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sz w:val="21"/>
        </w:rPr>
        <w:pict>
          <v:shape id="_x0000_s4097" o:spid="_x0000_s4097" o:spt="136" type="#_x0000_t136" style="position:absolute;left:0pt;margin-left:-5.9pt;margin-top:15.2pt;height:66.05pt;width:437.5pt;z-index:25166336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嘉祥县人民政府文件" style="font-family:方正小标宋简体;font-size:70pt;v-same-letter-heights:t;v-text-align:center;v-text-spacing:65537f;"/>
          </v:shape>
        </w:pic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嘉政发〔20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127635</wp:posOffset>
                </wp:positionV>
                <wp:extent cx="586740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85pt;margin-top:10.05pt;height:0.05pt;width:462pt;z-index:251667456;mso-width-relative:page;mso-height-relative:page;" filled="f" stroked="t" coordsize="21600,21600" o:gfxdata="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LgmatgAAAAJAQAADwAAAAAAAAABACAAAAAiAAAAZHJzL2Rvd25yZXYueG1s&#10;UEsBAhQAFAAAAAgAh07iQAWKoK/4AQAA5gMAAA4AAAAAAAAAAQAgAAAAJwEAAGRycy9lMm9Eb2Mu&#10;eG1sUEsFBgAAAAAGAAYAWQEAAJE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嘉祥县人民政府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关于下达嘉祥县202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年国民经济和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社会发展计划的通知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各镇（街道）人民政府（办事处），嘉祥经济开发区管委会，县政府各部门：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《嘉祥县202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年国民经济和社会发展计划》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已经县十八届人大三次会议审议批准，现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印发给你们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，请认真组织实施。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4661" w:firstLineChars="1451"/>
        <w:jc w:val="center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661" w:firstLineChars="1451"/>
        <w:jc w:val="center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661" w:firstLineChars="1451"/>
        <w:jc w:val="left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嘉祥县人民政府</w:t>
      </w:r>
    </w:p>
    <w:p>
      <w:pPr>
        <w:spacing w:line="560" w:lineRule="exact"/>
        <w:ind w:right="320" w:firstLine="5044" w:firstLineChars="1570"/>
        <w:jc w:val="left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kern w:val="0"/>
          <w:sz w:val="44"/>
          <w:szCs w:val="44"/>
          <w:highlight w:val="none"/>
          <w:lang w:val="zh-CN" w:bidi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kern w:val="0"/>
          <w:sz w:val="44"/>
          <w:szCs w:val="44"/>
          <w:highlight w:val="none"/>
          <w:lang w:val="zh-CN" w:bidi="zh-CN"/>
          <w14:textFill>
            <w14:solidFill>
              <w14:schemeClr w14:val="tx1"/>
            </w14:solidFill>
          </w14:textFill>
        </w:rPr>
        <w:t>嘉祥县202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kern w:val="0"/>
          <w:sz w:val="44"/>
          <w:szCs w:val="44"/>
          <w:highlight w:val="none"/>
          <w:lang w:val="en-US" w:bidi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kern w:val="0"/>
          <w:sz w:val="44"/>
          <w:szCs w:val="44"/>
          <w:highlight w:val="none"/>
          <w:lang w:val="zh-CN" w:bidi="zh-CN"/>
          <w14:textFill>
            <w14:solidFill>
              <w14:schemeClr w14:val="tx1"/>
            </w14:solidFill>
          </w14:textFill>
        </w:rPr>
        <w:t>年国民经济和社会发展计划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outlineLvl w:val="0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both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是中华人民共和国成立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75周年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，是实施“十四五”规划的关键之年。做好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年的经济社会发展工作，我们要以习近平新时代中国特色社会主义思想为指导，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贯彻落实党的二十大精神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和二十届二中全会精神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，坚持稳中求进工作总基调，完整、准确、全面贯彻新发展理念，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快构建新发展格局，着力推动高质量发展，围绕“1231”布局，进一步突出新型工业化、新型城镇化、农业现代化“三化”协同，抓好工业园区、中心城区、文旅景区“三区”建设，聚焦经济工作“八个突破”、民生工作“六项任务”，集中推进“十大攻坚举措”，加快推动新时代“强富和美”新嘉祥建设取得新成效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主要预期目标为：地区生产总值增长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6.5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%左右，一般公共预算收入增长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%左右，固定资产投资增长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8.5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%左右，社会消费品零售总额增长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%左右，城乡居民人均可支配收入分别增长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4.8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%、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7.6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%左右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全面完成节能减排降碳和环境质量改善约束性指标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一、更大力度扩投资促消费稳外贸，切实稳住经济大盘。</w:t>
      </w:r>
      <w:r>
        <w:rPr>
          <w:rFonts w:hint="eastAsia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一是持续扩大有效投入。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狠抓项目建设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力争县委一号文重点项目完成投资160亿元以上，纳入省重大项目3个以上、省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绿色低碳高质量发展项目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11个以上，获批专项债项目20个以上。实施工业技改项目80个，投资增长10%以上。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聚力招大引强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，年内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签约引进过亿元项目20个以上，过10亿元项目不少于2个，央企、500强项目2个以上。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强化要素保障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争取市级以上资金50亿元，力争重点项目融资规模达到60亿元；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用足用好增减挂钩、工矿废弃地复垦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补充耕地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等模式，新增土地指标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1000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亩以上，处置批而未供和闲置土地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700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亩以上。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二是促进消费提档扩容。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促进房地产消费，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深化“教育+地产”“医疗+地产”等模式，制定激活二手房市场政策，打造明德世家、梧桐树等高品质住宅项目。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扩大新能源汽车消费，配套实施新能源汽车充电优惠、免费停车等政策，推动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充电设施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向镇街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覆盖。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升级传统消费，提振建材家居、家电等大宗消费，扩大餐饮、购物等日常消费，打造一刻钟便民生活圈2处</w:t>
      </w:r>
      <w:r>
        <w:rPr>
          <w:rFonts w:hint="eastAsia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规划或建设11处加油站点。强化电商专业人才培育，力争网络零售额增长12%以上。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三是着力打造开放高地。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加快培育外贸新动能，办好冰雪运动服饰博览会，推动蚂蚁车网申报二手车出口试点建设，鼓励企业出境参展、抢抓外贸订单，进出口增幅保持在5%以上。深化与市城投、市国投协同招引外资机制，完成外资5000万美元以上。 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二、更大力度建设现代产业体系，加速推动绿色低碳高质量发展。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一是强力突破制造强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深化助企攀登、梯次培育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强企俱乐部企业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扩大到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家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。强化优质企业培育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新增规上工业企业20家以上，市级以上瞪羚、专精特新、单项冠军等企业14家以上。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深化数字转型、数字赋能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推动数字经济核心产业增加值增长6%以上。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深化创新驱动、动力提升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新增市级以上创新平台5家、国家高新技术企业20家以上，年内研发投入增长15%。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加强人才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招引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引进院士及海内外高层次人才5人以上，积极争创青年发展友好型城市。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二是强力突破现代农业。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加快发展“按揭农业、按揭畜牧业”，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新增5000万元项目2个。新增市级以上农业产业化龙头企业3家，土地流转面积达到50万亩。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实施农业良种工程，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大豆良繁面积稳定在14万亩、通过审定品种10个以上。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三是强力突破绿色发展。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决遏制“两高”项目盲目发展，落实“以煤定产”，推动梁宝寺煤矿等重点耗煤企业技术改造。加快推动华能集中式光伏二期、财金集中式风电等新能源项目建设，积极争创国家级整县屋顶分布式光伏开发示范县，力争新能源装机规模达到50万千瓦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四是强力突破“软”环境。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持续优化营商环境，推行“县镇一体、部门联动”服务企业制度，打造政务服务“24小时不打烊”品牌。深化国企劳动、人事、分配“三项制度”改革，稳步推进县级机构改革和县级疾控改革试点。深化“亩均效益”评价改革，完善产业用地全生命周期管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三、更大力度攻坚城市建设管理，着力提升新型城镇化发展质量。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一是加快融入“任兖邹曲嘉”都市区。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主动对接都市区发展规划，高标准编制中心城区控制性详细规划。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启动菜园齐庄片区城市更新项目建设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加快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东顺花园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二期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萌山片区二期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黄河沟片区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等棚改进度，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南关片区二期、萌山片区一期、老党校家属院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等项目交付使用。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提升职业中专家属院等14个老旧小区，打造理工职业学院等中水回用试点项目，完成振祥路等5条道路建设，实施求知路等5条道路照明工程。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二是提高精细化管理水平。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实施店外摆摊、乱泼乱倒、流动摊点等5个专项整治行动，规范各类临时便民摊点，纵深开展治危拆违行动。建设口袋公园及小微绿地2处，完成车站东路等5条新建道路绿化。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三是畅通交通大循环。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启动S244汶金线嘉祥段、G105京澳线嘉祥段建设，完成S319临鄄线老僧堂黄垓段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济广高速拓宽等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重点工程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持续提升农村路网，新改建农村路75.5公里，新建村道安防33公里，争创全国农村公路一路一档示范县、全国城乡交通运输一体化示范县。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完成祥城北港泊位码头、桥梁工程，加快铁路专用线建设，提升易隆港基础设施，配合做好洙水河航道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三改二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工程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，港口吞吐量突破1200万吨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四是持续改善农村人居环境。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启动9个市级示范片区建设，打造省级和美乡村11个。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加快省级衔接乡村振兴集中推进区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及省级乡村振兴齐鲁样板示范区建设，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争创国家乡村振兴示范县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国家级数字乡村建设试点县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000000" w:themeColor="text1"/>
          <w:sz w:val="32"/>
          <w:szCs w:val="3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  <w:t>四、更大力度增进民生福祉，不断满足群众对美好生活的向往。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一是落实就业优先战略。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年内新增城镇就业2200人、城镇失业人员再就业1000人以上，确保“零就业家庭”动态清零。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健全“创贷+”服务模式，推进贷款发放1.6亿元、扶持创业700人、带动就业2000人。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二是发展优质均衡教育。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实施中小学扩优提质工程，加快推进嘉北教育园区高中部、萌山南学校、五老洼校区新扩建，优化整合农村小学20所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支持县一中争创省级特色高中、县职业中专创建省级高水平中职学校，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加强与山东理工职业学院等高校深度合作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。持续做好城镇居住区幼儿园建设及移交，推动学前教育公办率达75%以上。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三是完善卫生健康体系。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全面实施居民长期护理保险，城乡居民基本养老保险、医疗保险参保率达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95.8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%、97%以上。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新增婴幼儿托位640个，打造市级以上托育服务示范机构3处。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四是攻坚文化“两创”实践。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精心打造17处文化“两创”示范点、示范基地，争创文化强省建设示范县。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开展送戏、送电影下乡等文化惠民活动8000场以上。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实施“景区焕新”行动，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争创4A级旅游景区1个、省级夜间文化和旅游消费集聚区1个、省级景区化村庄2个。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五是提升社会治理水平。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扎实开展信访问题源头治理三年行动，健全退役军人服务保障，全面打响第三轮禁毒人民战争，深入推进反电诈“全民攻坚行动”，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维护社会大局和谐稳定。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000000" w:themeColor="text1"/>
          <w:sz w:val="32"/>
          <w:szCs w:val="3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  <w:t>五、更大力度守住守牢红线底线，筑牢经济社会发展安全屏障。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紧盯关键领域风险点重心前移、快速应对，统筹抓好各行业各领域存量风险化解和增量风险防范，营造安全有序的发展环境。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一是守住粮食能源安全。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扛牢耕地保护和粮食安全政治责任，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确保粮食播种面积154.2万亩以上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产量13.8亿斤以上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。全力以赴做好迎峰度夏、迎峰度冬能源保供，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确保经济社会发展和人民生产生活的用能需求。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二是守牢生态安全底线。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实施大气污染防治攻坚行动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，保障空气质量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持续向好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争创省生态环境督察激励县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。坚持“四水四定”，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完成用水总量和用水效率控制目标。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严格落实“河湖长制”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，确保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重点河流断面稳定达标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启动矿山生态修复与乡村振兴产业融合EOD项目，完成采煤塌陷地治理1000亩、国土绿化1000亩以上，争创省级森林可持续经营试点县。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三是守牢安全生产底线。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严格落实“15条硬措施”和“八抓20条”创新举措，深入开展安全生产治本攻坚三年行动，实施监管单位履职能力和监管人员业务素质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“双提升”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工程。完善防灾减灾救灾体系，做好防汛抗旱、森林防火等各项工作。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四是守牢财政金融安全底线。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持续防范化解财政金融领域风险，推进重点企业风险化解、不良资产处置，加强政府债务管理，守住不发生系统性金融风险底线。</w:t>
      </w:r>
      <w:r>
        <w:rPr>
          <w:rFonts w:hint="default" w:ascii="方正楷体简体" w:hAnsi="方正楷体简体" w:eastAsia="方正楷体简体" w:cs="方正楷体简体"/>
          <w:b/>
          <w:bCs w:val="0"/>
          <w:color w:val="000000" w:themeColor="text1"/>
          <w:sz w:val="32"/>
          <w:szCs w:val="32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五是坚决守牢食品安全。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加强校园、农村等重点领域食品安全管控，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持续发布食品安全“红黑榜”，加强“两品一械”监管，筑牢食品药品安全防线。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-6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嘉祥县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-6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2024年国民经济和社会发展计划目标安排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Times New Roman" w:hAnsi="Times New Roman" w:eastAsia="方正黑体简体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黑体简体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Times New Roman" w:hAnsi="Times New Roman" w:eastAsia="方正黑体简体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黑体简体" w:cs="Times New Roman"/>
          <w:b/>
          <w:color w:val="000000" w:themeColor="text1"/>
          <w:spacing w:val="-20"/>
          <w:w w:val="96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pacing w:val="-20"/>
          <w:w w:val="96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嘉祥县202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pacing w:val="-20"/>
          <w:w w:val="96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pacing w:val="-20"/>
          <w:w w:val="96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年国民经济和社会发展计划目标安排</w:t>
      </w:r>
    </w:p>
    <w:tbl>
      <w:tblPr>
        <w:tblStyle w:val="11"/>
        <w:tblpPr w:leftFromText="180" w:rightFromText="180" w:vertAnchor="text" w:horzAnchor="page" w:tblpX="1261" w:tblpY="347"/>
        <w:tblOverlap w:val="never"/>
        <w:tblW w:w="93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3258"/>
        <w:gridCol w:w="850"/>
        <w:gridCol w:w="777"/>
        <w:gridCol w:w="838"/>
        <w:gridCol w:w="1039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指标名称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6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增幅（%）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增幅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4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一、地区生产总值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76.59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4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二、固定资产投资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30.3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-18.1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141.4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4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三、一般公共预算收入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19.7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20.859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4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四、社会消费品零售总额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162.2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11.2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171.9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五、工业生产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1.规模以上工业增加值增速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2.新增规模以上工业企业个数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20家以上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3.规模以上工业总产值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72.72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-8.67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.国家级高新技术企业新增数量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.高新技术产业产值占规模以上工业总产值比重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农业农村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粮食播种面积（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含济宁经开区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154.4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154.5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1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粮食总产量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含济宁经开区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69.31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2.03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69.4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七、服务业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新增批零住餐企业纳统个数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（含餐饮30）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（含餐饮30）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八、外经外贸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1.进出口总额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48.1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45.2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2.实际利用外资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万美元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5047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九、居民收入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1.城镇居民人均可支配收入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9522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41419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2.农村居民人均可支配收入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23301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25072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87"/>
                <w:tab w:val="center" w:pos="773"/>
              </w:tabs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3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十、就业保障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1.新增就业人数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3773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3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2.社会保险综合覆盖率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93.5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94.8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十一、招商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引资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1.新签约亿元以上项目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.落地亿元以上项目个数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.落地10亿元以上项目个数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4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十二、万元GDP能耗降低率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完成市定任务</w:t>
            </w:r>
          </w:p>
        </w:tc>
      </w:tr>
    </w:tbl>
    <w:p>
      <w:pPr>
        <w:pStyle w:val="5"/>
        <w:ind w:left="0" w:leftChars="0" w:firstLine="0" w:firstLineChars="0"/>
        <w:jc w:val="both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kern w:val="0"/>
          <w:sz w:val="32"/>
          <w:szCs w:val="20"/>
          <w:highlight w:val="none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2024年地区生产总值（GDP）基础指标任务分解明细表</w:t>
      </w:r>
    </w:p>
    <w:tbl>
      <w:tblPr>
        <w:tblStyle w:val="11"/>
        <w:tblW w:w="132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1516"/>
        <w:gridCol w:w="1500"/>
        <w:gridCol w:w="1567"/>
        <w:gridCol w:w="1603"/>
        <w:gridCol w:w="18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tblHeader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指     标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完成1季度计划应达增幅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完成2季度计划应达增幅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完成3季度计划应达增幅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完成4季度计划应达增幅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3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第一产业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1.农林牧渔业总产值不变价增长速度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6以上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6以上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6以上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6以上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农口各部门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第二产业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1.规上工业增加值不变价增长速度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11以上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县工业和信息化局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2.规下工业增加值不变价增长速度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9以上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9以上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9以上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9以上</w:t>
            </w: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3.建筑业总产值增长速度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12以上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12以上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12以上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12以上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县住房城乡建设局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4.建筑安装工程投资增长速度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第三产业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1.公路道路运输总周转量增长速度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县港航事业服务中心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2.铁路运输总周转量增长速度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3.多式联运和运输代理业营业收入增长速度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5以上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5以上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5以上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5以上</w:t>
            </w: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4.水上运输总周转量增长速度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20以上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20以上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20以上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20以上</w:t>
            </w: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5.邮政业务总量增长速度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18以上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18以上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18以上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18以上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县邮政管理局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6.保费收入增长速度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县金融</w:t>
            </w: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运行监测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国家金融监督管理总局嘉祥监管支局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7.金融机构利息净收入增长速度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8.金融机构手续费及佣金净收入增长速度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16以上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16以上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16以上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16以上</w:t>
            </w: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9.互联网和相关服务营业收入现价增长速度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县工业和信息化局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10.软件和信息技术服务业营业收入现价增长速度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11.租赁和商务服务业营业收入现价增长速度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6以上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6以上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6以上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6以上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县商务局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县科技局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县人力资源社会保障局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12. 科学研究和技术服务业营业收入现价增长速度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13.科学研究和技术服务业工资总额增长速度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14.水利、环境和公共设施管理业工资总额增长速度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8以上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8以上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8以上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8以上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县水务局      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市生态环境局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嘉祥分局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15.教育工资总额现价增长速度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8以上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8以上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8以上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8以上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县教育和体育局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县体育事业发展中心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16.卫生和社会工作工资总额增长速度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12以上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12以上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12以上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12以上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县卫生健康局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17.文化、体育和娱乐业营业收入现价增长速度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县文化和旅游局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18.文化、体育和娱乐业工资总额增长速度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12以上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12以上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12以上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12以上</w:t>
            </w: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19.公共管理、社会保障和社会组织工资总额增长速度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8以上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8以上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8以上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8以上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县人力资源社会保障局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20.房地产开发企业商品房屋销售面积增长速度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6以上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6以上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6以上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6以上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县住房城乡建设局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21.房地产业工资总额增长速度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22.批发业商品销售额现价增长速度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12以上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12以上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12以上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12以上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县商务局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23.零售业商品销售额现价增长速度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18以上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18以上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18以上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18以上</w:t>
            </w: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24.住宿业营业额现价增长速度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县商务局       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县公安局            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县税务局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25.餐饮业营业额现价增长速度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20以上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20以上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20以上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20以上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县商务局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县市场监管局        县税务局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26.电信业务总量增长速度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县工业和信息化局</w:t>
            </w:r>
          </w:p>
        </w:tc>
      </w:tr>
    </w:tbl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w w:val="10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2024年“个转企”“产转法”及“四上”企业纳统任务分工表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24"/>
          <w:szCs w:val="24"/>
          <w:highlight w:val="none"/>
          <w:lang w:val="zh-CN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24"/>
          <w:szCs w:val="24"/>
          <w:highlight w:val="none"/>
          <w:lang w:val="zh-CN" w:eastAsia="zh-CN" w:bidi="ar"/>
          <w14:textFill>
            <w14:solidFill>
              <w14:schemeClr w14:val="tx1"/>
            </w14:solidFill>
          </w14:textFill>
        </w:rPr>
        <w:t>制表单位：县统计局</w:t>
      </w:r>
    </w:p>
    <w:tbl>
      <w:tblPr>
        <w:tblStyle w:val="11"/>
        <w:tblpPr w:leftFromText="180" w:rightFromText="180" w:vertAnchor="text" w:horzAnchor="page" w:tblpXSpec="center" w:tblpY="143"/>
        <w:tblOverlap w:val="never"/>
        <w:tblW w:w="13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767"/>
        <w:gridCol w:w="3416"/>
        <w:gridCol w:w="1314"/>
        <w:gridCol w:w="1031"/>
        <w:gridCol w:w="867"/>
        <w:gridCol w:w="967"/>
        <w:gridCol w:w="886"/>
        <w:gridCol w:w="1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“四上”企业分行业</w:t>
            </w:r>
          </w:p>
        </w:tc>
        <w:tc>
          <w:tcPr>
            <w:tcW w:w="2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个转企、产转法个数（个）</w:t>
            </w:r>
          </w:p>
        </w:tc>
        <w:tc>
          <w:tcPr>
            <w:tcW w:w="6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纳统企业个数（个）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月之前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月已完成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3-5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6-8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9-11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年底纳统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规上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服务业</w:t>
            </w:r>
          </w:p>
          <w:p>
            <w:pPr>
              <w:pStyle w:val="5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（负责交运类纳统）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家（驾校、客货运、航运类经营单位）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县文化和旅游局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（负责文娱类纳统）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家（游乐园、书店影城、互联网传媒等文化经营单位）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县科技局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（负责科学技术类纳统）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县园林环卫事务中心（负责环卫、绿化类纳统）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家（垃圾清运、绿化管理类经营单位）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其他服务业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方正仿宋简体" w:cs="Times New Roman"/>
                <w:b/>
                <w:color w:val="auto"/>
                <w:kern w:val="0"/>
                <w:sz w:val="24"/>
                <w:highlight w:val="none"/>
                <w:lang w:val="en-US" w:bidi="zh-CN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highlight w:val="none"/>
                <w:lang w:bidi="zh-CN"/>
              </w:rPr>
              <w:t>——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highlight w:val="none"/>
                <w:lang w:bidi="zh-CN"/>
              </w:rPr>
              <w:t>——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highlight w:val="none"/>
                <w:lang w:bidi="zh-CN"/>
              </w:rPr>
              <w:t>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资质内建筑业、房地产业</w:t>
            </w:r>
          </w:p>
        </w:tc>
        <w:tc>
          <w:tcPr>
            <w:tcW w:w="2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县住房城乡建设局</w:t>
            </w:r>
          </w:p>
        </w:tc>
        <w:tc>
          <w:tcPr>
            <w:tcW w:w="3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家（物业、工程监理服务、建材类批发零售经营单位）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highlight w:val="none"/>
                <w:lang w:bidi="zh-CN"/>
              </w:rPr>
              <w:t>——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highlight w:val="none"/>
                <w:lang w:bidi="zh-CN"/>
              </w:rPr>
              <w:t>——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方正仿宋简体" w:cs="Times New Roman"/>
                <w:b/>
                <w:color w:val="auto"/>
                <w:kern w:val="0"/>
                <w:sz w:val="24"/>
                <w:highlight w:val="none"/>
                <w:lang w:val="en-US" w:bidi="zh-CN"/>
              </w:rPr>
              <w:t>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highlight w:val="none"/>
                <w:lang w:bidi="zh-CN"/>
              </w:rPr>
              <w:t>2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资质内建筑业、房地产业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highlight w:val="none"/>
                <w:lang w:bidi="zh-CN"/>
              </w:rPr>
              <w:t>——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highlight w:val="none"/>
                <w:lang w:bidi="zh-CN"/>
              </w:rPr>
              <w:t>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highlight w:val="none"/>
                <w:lang w:bidi="zh-CN"/>
              </w:rPr>
              <w:t>——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规上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县工业和信息化局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家（工业企业下属产业活动单位业务剥离）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限额以上批零住餐业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县商务局（牵头批零住餐纳统，主责批零业纳统）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家（电商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家，批发市场商户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（负责住宿行业纳统）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家（住宿、网吧、会所类经营单位）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县市场监管局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（负责餐饮行业纳统）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家（餐饮、糕点、奶茶、农贸市场商户等经营单位）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04"/>
                <w:tab w:val="center" w:pos="663"/>
              </w:tabs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涉农类“四上”企业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县农业农村局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（负责涉农类企业纳统）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家（涉农类经营单位）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</w:tr>
    </w:tbl>
    <w:p>
      <w:pPr>
        <w:spacing w:afterLines="50" w:line="640" w:lineRule="exact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sectPr>
          <w:footerReference r:id="rId4" w:type="default"/>
          <w:pgSz w:w="16832" w:h="11911" w:orient="landscape"/>
          <w:pgMar w:top="1417" w:right="1701" w:bottom="1417" w:left="1587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AndChars" w:linePitch="605" w:charSpace="2332"/>
        </w:sectPr>
      </w:pPr>
    </w:p>
    <w:p>
      <w:pPr>
        <w:spacing w:after="289" w:afterLines="50" w:line="64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20"/>
          <w:highlight w:val="none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年固定资产投资任务分解表</w:t>
      </w:r>
    </w:p>
    <w:tbl>
      <w:tblPr>
        <w:tblStyle w:val="11"/>
        <w:tblW w:w="9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359"/>
        <w:gridCol w:w="1877"/>
        <w:gridCol w:w="2466"/>
        <w:gridCol w:w="910"/>
        <w:gridCol w:w="910"/>
        <w:gridCol w:w="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9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制表单位：县发展改革局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6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13335</wp:posOffset>
                      </wp:positionV>
                      <wp:extent cx="1674495" cy="899160"/>
                      <wp:effectExtent l="2540" t="4445" r="18415" b="1079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02640" y="1885315"/>
                                <a:ext cx="1674495" cy="899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55pt;margin-top:1.05pt;height:70.8pt;width:131.85pt;z-index:251659264;mso-width-relative:page;mso-height-relative:page;" filled="f" stroked="t" coordsize="21600,21600" o:gfxdata="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O2/f1QAAAAcBAAAPAAAAAAAAAAEAIAAAACIAAABkcnMvZG93bnJldi54bWxQSwEC&#10;FAAUAAAACACHTuJAI15w6fcBAADDAwAADgAAAAAAAAABACAAAAAkAQAAZHJzL2Uyb0RvYy54bWxQ&#10;SwUGAAAAAAYABgBZAQAAj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widowControl/>
              <w:spacing w:line="300" w:lineRule="exact"/>
              <w:ind w:firstLine="1506" w:firstLineChars="600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</w:t>
            </w:r>
          </w:p>
          <w:p>
            <w:pPr>
              <w:widowControl/>
              <w:spacing w:line="300" w:lineRule="exact"/>
              <w:ind w:firstLine="1506" w:firstLineChars="600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widowControl/>
              <w:spacing w:line="300" w:lineRule="exact"/>
              <w:ind w:firstLine="502" w:firstLineChars="200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300" w:lineRule="exact"/>
              <w:ind w:firstLine="502" w:firstLineChars="200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6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固定资产投资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                                        计划目标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500-5000万元固定资产投资项目入库个数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5000万元以上固定资产投资项目入库个数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140616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1.县  属</w:t>
            </w:r>
          </w:p>
        </w:tc>
        <w:tc>
          <w:tcPr>
            <w:tcW w:w="6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住建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房地产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354863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32224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28795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县卫生健康局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5596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教育和体育局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县水务局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23465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嘉祥经济开发区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300568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2.镇  街</w:t>
            </w:r>
          </w:p>
        </w:tc>
        <w:tc>
          <w:tcPr>
            <w:tcW w:w="6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嘉祥街道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111336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金 屯 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91291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满 硐 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56398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纸 坊 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105854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仲 山 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58572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卧龙山街道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97753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孟姑集镇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57355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老僧堂镇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74330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黄 垓 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68052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梁宝寺镇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105537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大张楼镇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103500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马 村 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71408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万张街道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95808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20"/>
          <w:highlight w:val="none"/>
          <w:lang w:val="zh-CN" w:bidi="zh-CN"/>
          <w14:textFill>
            <w14:solidFill>
              <w14:schemeClr w14:val="tx1"/>
            </w14:solidFill>
          </w14:textFill>
        </w:rPr>
        <w:sectPr>
          <w:footerReference r:id="rId5" w:type="default"/>
          <w:pgSz w:w="11911" w:h="16832"/>
          <w:pgMar w:top="1701" w:right="1417" w:bottom="1587" w:left="1417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605" w:charSpace="2332"/>
        </w:sectPr>
      </w:pP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20"/>
          <w:highlight w:val="none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年工业经济指标任务分解表</w:t>
      </w:r>
    </w:p>
    <w:tbl>
      <w:tblPr>
        <w:tblStyle w:val="11"/>
        <w:tblpPr w:leftFromText="180" w:rightFromText="180" w:vertAnchor="text" w:horzAnchor="page" w:tblpXSpec="center" w:tblpY="423"/>
        <w:tblOverlap w:val="never"/>
        <w:tblW w:w="85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4"/>
        <w:gridCol w:w="1330"/>
        <w:gridCol w:w="1500"/>
        <w:gridCol w:w="1666"/>
        <w:gridCol w:w="1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制表单位：县工业和信息化局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指标</w:t>
            </w:r>
          </w:p>
          <w:p>
            <w:pPr>
              <w:widowControl/>
              <w:spacing w:line="280" w:lineRule="exact"/>
              <w:ind w:left="502" w:hanging="502" w:hangingChars="200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ind w:left="524" w:leftChars="209" w:firstLine="0" w:firstLineChars="0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新增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规模以上工业企业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个数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31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规模以上工业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总产值                                    （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亿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年                                                          完成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年                                                                                         计划新增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年                                                               计划目标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增幅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总  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1.县 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嘉祥经济开发区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144.5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2.镇 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嘉祥街道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22.2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金 屯 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满 硐 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纸 坊 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仲 山 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卧龙山街道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孟姑集镇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老僧堂镇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黄 垓 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梁宝寺镇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大张楼镇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马 村 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万张街道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20"/>
          <w:highlight w:val="none"/>
          <w:lang w:val="zh-CN" w:bidi="zh-CN"/>
          <w14:textFill>
            <w14:solidFill>
              <w14:schemeClr w14:val="tx1"/>
            </w14:solidFill>
          </w14:textFill>
        </w:rPr>
        <w:sectPr>
          <w:footerReference r:id="rId6" w:type="default"/>
          <w:pgSz w:w="11911" w:h="16832"/>
          <w:pgMar w:top="1701" w:right="1417" w:bottom="1587" w:left="1417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605" w:charSpace="2332"/>
        </w:sectPr>
      </w:pPr>
    </w:p>
    <w:p>
      <w:pPr>
        <w:spacing w:after="289" w:afterLines="50" w:line="64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20"/>
          <w:highlight w:val="none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年服务业发展任务分解表</w:t>
      </w:r>
    </w:p>
    <w:tbl>
      <w:tblPr>
        <w:tblStyle w:val="11"/>
        <w:tblW w:w="87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5"/>
        <w:gridCol w:w="3061"/>
        <w:gridCol w:w="23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制表单位：县发展改革局、县商务局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3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 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单位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新增规上服务业企业纳统数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新增批零住餐企业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纳统数（个）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年计划目标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（其中现代服务业占比不少于50%）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年计划目标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总  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8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1.县  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——</w:t>
            </w:r>
            <w:bookmarkStart w:id="0" w:name="_GoBack"/>
            <w:bookmarkEnd w:id="0"/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highlight w:val="none"/>
                <w:lang w:val="en-US" w:bidi="zh-CN"/>
              </w:rPr>
              <w:t>30（餐饮</w:t>
            </w:r>
            <w:r>
              <w:rPr>
                <w:rFonts w:hint="eastAsia" w:eastAsia="方正仿宋简体" w:cs="Times New Roman"/>
                <w:b/>
                <w:color w:val="auto"/>
                <w:kern w:val="0"/>
                <w:sz w:val="24"/>
                <w:highlight w:val="none"/>
                <w:lang w:val="en-US" w:bidi="zh-CN"/>
              </w:rPr>
              <w:t>，可与镇街重复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highlight w:val="none"/>
                <w:lang w:val="en-US" w:bidi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260" w:lineRule="exact"/>
              <w:ind w:right="1" w:righ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12"/>
                <w:w w:val="95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60" w:lineRule="exact"/>
              <w:ind w:left="375" w:leftChars="0" w:right="377" w:righ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260" w:lineRule="exact"/>
              <w:ind w:right="1" w:righ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pacing w:val="12"/>
                <w:w w:val="95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12"/>
                <w:w w:val="95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县文化和旅游局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60" w:lineRule="exact"/>
              <w:ind w:left="375" w:leftChars="0" w:right="377" w:righ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pacing w:val="12"/>
                <w:w w:val="95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12"/>
                <w:w w:val="95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260" w:lineRule="exact"/>
              <w:ind w:right="1" w:righ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pacing w:val="12"/>
                <w:w w:val="95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12"/>
                <w:w w:val="95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县科技局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60" w:lineRule="exact"/>
              <w:ind w:left="375" w:leftChars="0" w:right="377" w:righ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pacing w:val="12"/>
                <w:w w:val="95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12"/>
                <w:w w:val="95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260" w:lineRule="exact"/>
              <w:ind w:right="1" w:righ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pacing w:val="12"/>
                <w:w w:val="95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12"/>
                <w:w w:val="95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县住房城乡建设局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60" w:lineRule="exact"/>
              <w:ind w:left="375" w:leftChars="0" w:right="377" w:righ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pacing w:val="12"/>
                <w:w w:val="95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12"/>
                <w:w w:val="95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260" w:lineRule="exact"/>
              <w:ind w:right="1" w:righ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pacing w:val="12"/>
                <w:w w:val="95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12"/>
                <w:w w:val="95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县人力资源社会保障局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60" w:lineRule="exact"/>
              <w:ind w:left="375" w:leftChars="0" w:right="377" w:righ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pacing w:val="12"/>
                <w:w w:val="95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12"/>
                <w:w w:val="95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260" w:lineRule="exact"/>
              <w:ind w:right="1" w:righ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pacing w:val="12"/>
                <w:w w:val="95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pacing w:val="12"/>
                <w:w w:val="95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12"/>
                <w:w w:val="95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60" w:lineRule="exact"/>
              <w:ind w:left="375" w:leftChars="0" w:right="377" w:righ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pacing w:val="12"/>
                <w:w w:val="95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12"/>
                <w:w w:val="95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260" w:lineRule="exact"/>
              <w:ind w:right="1" w:righ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pacing w:val="12"/>
                <w:w w:val="95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pacing w:val="12"/>
                <w:w w:val="95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县卫生健康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12"/>
                <w:w w:val="95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60" w:lineRule="exact"/>
              <w:ind w:left="375" w:leftChars="0" w:right="377" w:righ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pacing w:val="12"/>
                <w:w w:val="95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12"/>
                <w:w w:val="95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260" w:lineRule="exact"/>
              <w:ind w:right="1" w:righ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县教育和体育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60" w:lineRule="exact"/>
              <w:ind w:left="375" w:leftChars="0" w:right="377" w:righ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  <w:jc w:val="center"/>
        </w:trPr>
        <w:tc>
          <w:tcPr>
            <w:tcW w:w="8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2.镇  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嘉祥街道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金 屯 镇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满 硐 镇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260" w:lineRule="exact"/>
              <w:ind w:left="2" w:lef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纸 坊 镇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60" w:lineRule="exact"/>
              <w:ind w:left="2" w:lef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仲 山 镇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卧龙山街道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孟姑集镇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260" w:lineRule="exact"/>
              <w:ind w:left="2" w:lef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老僧堂镇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60" w:lineRule="exact"/>
              <w:ind w:left="2" w:lef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黄 垓 镇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梁宝寺镇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大张楼镇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260" w:lineRule="exact"/>
              <w:ind w:left="2" w:lef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马 村 镇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60" w:lineRule="exact"/>
              <w:ind w:left="2" w:lef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万张街道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b/>
          <w:color w:val="000000" w:themeColor="text1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年外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资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外贸任务分解表</w:t>
      </w:r>
    </w:p>
    <w:tbl>
      <w:tblPr>
        <w:tblStyle w:val="11"/>
        <w:tblW w:w="884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1306"/>
        <w:gridCol w:w="1833"/>
        <w:gridCol w:w="1820"/>
        <w:gridCol w:w="825"/>
        <w:gridCol w:w="10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28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制表单位：县商务局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指标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单位 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进出口（万元）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实际利用外资（万美元）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实际完成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实际完成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计划目标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总  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481040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5047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color w:val="auto"/>
                <w:kern w:val="0"/>
                <w:sz w:val="24"/>
                <w:highlight w:val="none"/>
                <w:lang w:val="en-US" w:bidi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8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1.县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嘉祥经济开发区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241719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3271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4400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2.镇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highlight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嘉祥街道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60912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378.6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金 屯 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8208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126.1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满 硐 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10416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67.12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纸 坊 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20345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369.5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仲 山 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10383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74.3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卧龙山街道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20587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138.27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孟姑集镇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8195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123.1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老僧堂镇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20477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黄 垓 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8368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122.88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梁宝寺镇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20557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大张楼镇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10149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马 村 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20287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万张街道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20437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年县直有关部门招商引资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（外资）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任务分解表</w:t>
      </w:r>
    </w:p>
    <w:tbl>
      <w:tblPr>
        <w:tblStyle w:val="11"/>
        <w:tblpPr w:leftFromText="180" w:rightFromText="180" w:vertAnchor="text" w:horzAnchor="page" w:tblpXSpec="center" w:tblpY="260"/>
        <w:tblOverlap w:val="never"/>
        <w:tblW w:w="895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5"/>
        <w:gridCol w:w="1389"/>
        <w:gridCol w:w="1200"/>
        <w:gridCol w:w="1484"/>
        <w:gridCol w:w="16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895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lang w:val="en-US" w:eastAsia="zh-CN"/>
              </w:rPr>
              <w:t xml:space="preserve">制表单位：县商务局                                        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</w:rPr>
              <w:t>单位：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lang w:val="en-US" w:eastAsia="zh-CN"/>
              </w:rPr>
              <w:t>万美元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3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lang w:val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lang w:val="en-US" w:eastAsia="zh-CN"/>
              </w:rPr>
              <w:t>单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lang w:val="en-US" w:eastAsia="zh-CN"/>
              </w:rPr>
              <w:t>2023年实际完成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lang w:val="en-US" w:eastAsia="zh-CN"/>
              </w:rPr>
              <w:t>2024年计划目标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3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lang w:val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lang w:val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lang w:val="en-US" w:eastAsia="zh-CN"/>
              </w:rPr>
              <w:t>外资任务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lang w:val="zh-CN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lang w:val="en-US" w:eastAsia="zh-CN"/>
              </w:rPr>
              <w:t>外资总量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lang w:val="en-US" w:eastAsia="zh-CN"/>
              </w:rPr>
              <w:t>外资总量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lang w:val="en-US" w:eastAsia="zh-CN"/>
              </w:rPr>
              <w:t>高技术外资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  <w:jc w:val="center"/>
        </w:trPr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嘉祥经济开发区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/>
              </w:rPr>
            </w:pPr>
            <w:r>
              <w:rPr>
                <w:rFonts w:hint="eastAsia" w:eastAsia="方正仿宋简体" w:cs="Times New Roman"/>
                <w:b/>
                <w:bCs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绿色化工产业招商专班）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5000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3271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4400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  <w:jc w:val="center"/>
        </w:trPr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县住房城乡建设局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/>
              </w:rPr>
            </w:pPr>
            <w:r>
              <w:rPr>
                <w:rFonts w:hint="eastAsia" w:eastAsia="方正仿宋简体" w:cs="Times New Roman"/>
                <w:b/>
                <w:bCs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装配式建筑专班</w:t>
            </w:r>
            <w:r>
              <w:rPr>
                <w:rFonts w:hint="eastAsia" w:eastAsia="方正仿宋简体" w:cs="Times New Roman"/>
                <w:b/>
                <w:bCs/>
                <w:lang w:val="en-US" w:eastAsia="zh-CN"/>
              </w:rPr>
              <w:t>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700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800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  <w:jc w:val="center"/>
        </w:trPr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县商务局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/>
              </w:rPr>
            </w:pPr>
            <w:r>
              <w:rPr>
                <w:rFonts w:hint="eastAsia" w:eastAsia="方正仿宋简体" w:cs="Times New Roman"/>
                <w:b/>
                <w:bCs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冰雪运动服饰招商专班</w:t>
            </w:r>
            <w:r>
              <w:rPr>
                <w:rFonts w:hint="eastAsia" w:eastAsia="方正仿宋简体" w:cs="Times New Roman"/>
                <w:b/>
                <w:bCs/>
                <w:lang w:val="en-US" w:eastAsia="zh-CN"/>
              </w:rPr>
              <w:t>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1000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——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1000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  <w:jc w:val="center"/>
        </w:trPr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县市场监管局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/>
              </w:rPr>
            </w:pPr>
            <w:r>
              <w:rPr>
                <w:rFonts w:hint="eastAsia" w:eastAsia="方正仿宋简体" w:cs="Times New Roman"/>
                <w:b/>
                <w:bCs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健康食品产业招商专班</w:t>
            </w:r>
            <w:r>
              <w:rPr>
                <w:rFonts w:hint="eastAsia" w:eastAsia="方正仿宋简体" w:cs="Times New Roman"/>
                <w:b/>
                <w:bCs/>
                <w:lang w:val="en-US" w:eastAsia="zh-CN"/>
              </w:rPr>
              <w:t>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——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700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  <w:jc w:val="center"/>
        </w:trPr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县投资促进发展中心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/>
              </w:rPr>
            </w:pPr>
            <w:r>
              <w:rPr>
                <w:rFonts w:hint="eastAsia" w:eastAsia="方正仿宋简体" w:cs="Times New Roman"/>
                <w:b/>
                <w:bCs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新一代信息技术招商专班</w:t>
            </w:r>
            <w:r>
              <w:rPr>
                <w:rFonts w:hint="eastAsia" w:eastAsia="方正仿宋简体" w:cs="Times New Roman"/>
                <w:b/>
                <w:bCs/>
                <w:lang w:val="en-US" w:eastAsia="zh-CN"/>
              </w:rPr>
              <w:t>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1000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1000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1000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  <w:jc w:val="center"/>
        </w:trPr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县农业农村局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/>
              </w:rPr>
            </w:pPr>
            <w:r>
              <w:rPr>
                <w:rFonts w:hint="eastAsia" w:eastAsia="方正仿宋简体" w:cs="Times New Roman"/>
                <w:b/>
                <w:bCs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现代农业专班</w:t>
            </w:r>
            <w:r>
              <w:rPr>
                <w:rFonts w:hint="eastAsia" w:eastAsia="方正仿宋简体" w:cs="Times New Roman"/>
                <w:b/>
                <w:bCs/>
                <w:lang w:val="en-US" w:eastAsia="zh-CN"/>
              </w:rPr>
              <w:t>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——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700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  <w:jc w:val="center"/>
        </w:trPr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县文化和旅游局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/>
              </w:rPr>
            </w:pPr>
            <w:r>
              <w:rPr>
                <w:rFonts w:hint="eastAsia" w:eastAsia="方正仿宋简体" w:cs="Times New Roman"/>
                <w:b/>
                <w:bCs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文旅产业专班</w:t>
            </w:r>
            <w:r>
              <w:rPr>
                <w:rFonts w:hint="eastAsia" w:eastAsia="方正仿宋简体" w:cs="Times New Roman"/>
                <w:b/>
                <w:bCs/>
                <w:lang w:val="en-US" w:eastAsia="zh-CN"/>
              </w:rPr>
              <w:t>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——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700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  <w:jc w:val="center"/>
        </w:trPr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/>
              </w:rPr>
            </w:pPr>
            <w:r>
              <w:rPr>
                <w:rFonts w:hint="eastAsia" w:eastAsia="方正仿宋简体" w:cs="Times New Roman"/>
                <w:b/>
                <w:bCs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港航物流业专班</w:t>
            </w:r>
            <w:r>
              <w:rPr>
                <w:rFonts w:hint="eastAsia" w:eastAsia="方正仿宋简体" w:cs="Times New Roman"/>
                <w:b/>
                <w:bCs/>
                <w:lang w:val="en-US" w:eastAsia="zh-CN"/>
              </w:rPr>
              <w:t>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——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700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exact"/>
          <w:jc w:val="center"/>
        </w:trPr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县发展改革局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/>
              </w:rPr>
            </w:pPr>
            <w:r>
              <w:rPr>
                <w:rFonts w:hint="eastAsia" w:eastAsia="方正仿宋简体" w:cs="Times New Roman"/>
                <w:b/>
                <w:bCs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新能源产业招商专班）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762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800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800</w:t>
            </w:r>
          </w:p>
        </w:tc>
      </w:tr>
    </w:tbl>
    <w:p>
      <w:pPr>
        <w:spacing w:before="140" w:line="602" w:lineRule="exact"/>
        <w:ind w:left="149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spacing w:val="6"/>
          <w:w w:val="95"/>
          <w:position w:val="3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before="140" w:line="602" w:lineRule="exact"/>
        <w:ind w:left="149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w w:val="9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pacing w:val="6"/>
          <w:w w:val="95"/>
          <w:position w:val="3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pacing w:val="6"/>
          <w:w w:val="95"/>
          <w:position w:val="3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pacing w:val="6"/>
          <w:w w:val="95"/>
          <w:position w:val="3"/>
          <w:sz w:val="44"/>
          <w:szCs w:val="44"/>
          <w14:textFill>
            <w14:solidFill>
              <w14:schemeClr w14:val="tx1"/>
            </w14:solidFill>
          </w14:textFill>
        </w:rPr>
        <w:t>年部分科级领导干部招商引资工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pacing w:val="5"/>
          <w:w w:val="95"/>
          <w:position w:val="3"/>
          <w:sz w:val="44"/>
          <w:szCs w:val="44"/>
          <w14:textFill>
            <w14:solidFill>
              <w14:schemeClr w14:val="tx1"/>
            </w14:solidFill>
          </w14:textFill>
        </w:rPr>
        <w:t>作任务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pacing w:val="5"/>
          <w:w w:val="95"/>
          <w:position w:val="3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1" w:line="320" w:lineRule="exact"/>
        <w:textAlignment w:val="auto"/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i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制表单位：县投资促进发展中心</w:t>
      </w:r>
      <w:r>
        <w:rPr>
          <w:rFonts w:hint="default" w:ascii="Times New Roman" w:hAnsi="Times New Roman" w:eastAsia="方正楷体简体" w:cs="Times New Roman"/>
          <w:b/>
          <w:bCs/>
          <w:i w:val="0"/>
          <w:i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单位：亿元、个</w:t>
      </w:r>
    </w:p>
    <w:tbl>
      <w:tblPr>
        <w:tblStyle w:val="15"/>
        <w:tblpPr w:leftFromText="180" w:rightFromText="180" w:vertAnchor="text" w:horzAnchor="page" w:tblpXSpec="center" w:tblpY="12"/>
        <w:tblOverlap w:val="never"/>
        <w:tblW w:w="911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660"/>
        <w:gridCol w:w="1383"/>
        <w:gridCol w:w="1370"/>
        <w:gridCol w:w="1510"/>
        <w:gridCol w:w="1227"/>
        <w:gridCol w:w="7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5"/>
                <w:tab w:val="center" w:pos="1081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新签约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过亿元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5"/>
                <w:tab w:val="center" w:pos="1081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项目数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新开工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过亿元项目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发改委系统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到位资金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商务厅系统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到位资金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高新技术企业个数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  震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翟远芝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王希</w:t>
            </w:r>
            <w:r>
              <w:rPr>
                <w:rFonts w:hint="eastAsia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锋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李先华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曹梦彩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  伟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张一中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飞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伊东君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宋超华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荆培峰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阳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孙德利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w w:val="95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w w:val="95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2024年县产业招商专班招商引资任务分解表</w:t>
      </w:r>
    </w:p>
    <w:tbl>
      <w:tblPr>
        <w:tblStyle w:val="11"/>
        <w:tblpPr w:leftFromText="180" w:rightFromText="180" w:vertAnchor="text" w:horzAnchor="page" w:tblpX="1253" w:tblpY="725"/>
        <w:tblOverlap w:val="never"/>
        <w:tblW w:w="93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0"/>
        <w:gridCol w:w="732"/>
        <w:gridCol w:w="3024"/>
        <w:gridCol w:w="1008"/>
        <w:gridCol w:w="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7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楷体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制表单位：县投资促进发展中心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单位：亿元、个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到位资金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过亿元合同项目数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新开工项目</w:t>
            </w:r>
          </w:p>
        </w:tc>
        <w:tc>
          <w:tcPr>
            <w:tcW w:w="61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嘉祥经济开发区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（绿色化工产业招商专班）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6（含2个过10亿元项目、1个过50亿）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县科技局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（先进碳材料产业招商专班）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2（含1个过5亿）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县投资促进发展中心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（新一代信息技术招商专班）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3（含1个过10亿或2个过5亿元）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县工业和信息化局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（高端装备产业招商专班）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2（含1个过5亿元）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县商务局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（外资及冰雪运动服饰招商专班）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3（含1个过5亿或2个过千万美元的外资项目）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县市场监管局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（健康食品产业招商专班）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2（含1个过5亿元）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县文化和旅游局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（文旅产业专班）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2（含1个过10亿）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（港航物流业专班）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2（含1个过10亿）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县卫生健康局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（生物医药健康专班）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2（含1个过5亿元）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县发展改革局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（新能源产业招商专班）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2（含1个过10亿）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（现代农业招商专班）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2（含1个过5亿元）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县财政局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（基金招商专班）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2（含1个过5亿元）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县工商联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（商协会招商专班）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2（含1个过5亿元）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20"/>
          <w:lang w:val="zh-CN" w:bidi="zh-CN"/>
          <w14:textFill>
            <w14:solidFill>
              <w14:schemeClr w14:val="tx1"/>
            </w14:solidFill>
          </w14:textFill>
        </w:rPr>
        <w:sectPr>
          <w:footerReference r:id="rId7" w:type="default"/>
          <w:footerReference r:id="rId8" w:type="even"/>
          <w:pgSz w:w="11911" w:h="16832"/>
          <w:pgMar w:top="1701" w:right="1587" w:bottom="1587" w:left="1417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605" w:charSpace="2332"/>
        </w:sectPr>
      </w:pPr>
    </w:p>
    <w:p>
      <w:pPr>
        <w:spacing w:before="140" w:line="604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pacing w:val="5"/>
          <w:w w:val="90"/>
          <w:position w:val="3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pacing w:val="5"/>
          <w:w w:val="90"/>
          <w:position w:val="3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pacing w:val="5"/>
          <w:w w:val="90"/>
          <w:position w:val="3"/>
          <w:sz w:val="44"/>
          <w:szCs w:val="44"/>
          <w14:textFill>
            <w14:solidFill>
              <w14:schemeClr w14:val="tx1"/>
            </w14:solidFill>
          </w14:textFill>
        </w:rPr>
        <w:t>年县直部门单位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pacing w:val="5"/>
          <w:w w:val="90"/>
          <w:position w:val="3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及国企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pacing w:val="5"/>
          <w:w w:val="90"/>
          <w:position w:val="3"/>
          <w:sz w:val="44"/>
          <w:szCs w:val="44"/>
          <w14:textFill>
            <w14:solidFill>
              <w14:schemeClr w14:val="tx1"/>
            </w14:solidFill>
          </w14:textFill>
        </w:rPr>
        <w:t>招商引资工作任务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pacing w:val="5"/>
          <w:w w:val="90"/>
          <w:position w:val="3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分解表</w:t>
      </w:r>
    </w:p>
    <w:p>
      <w:pPr>
        <w:spacing w:before="92" w:line="202" w:lineRule="auto"/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-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制表单位：</w:t>
      </w:r>
      <w:r>
        <w:rPr>
          <w:rFonts w:hint="default" w:ascii="Times New Roman" w:hAnsi="Times New Roman" w:eastAsia="方正楷体简体" w:cs="Times New Roman"/>
          <w:b/>
          <w:bCs/>
          <w:i w:val="0"/>
          <w:i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县投资促进发展中心</w:t>
      </w:r>
      <w:r>
        <w:rPr>
          <w:rFonts w:hint="default" w:ascii="Times New Roman" w:hAnsi="Times New Roman" w:eastAsia="方正楷体简体" w:cs="Times New Roman"/>
          <w:b/>
          <w:bCs/>
          <w:i w:val="0"/>
          <w:i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单位：万元、个</w:t>
      </w:r>
    </w:p>
    <w:tbl>
      <w:tblPr>
        <w:tblStyle w:val="15"/>
        <w:tblW w:w="85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3"/>
        <w:gridCol w:w="2435"/>
        <w:gridCol w:w="12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4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新签约落地亿元项目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 w:themeColor="text1"/>
                <w:spacing w:val="9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4903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9" w:right="108" w:firstLine="2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县国有资产事务中心、县畜牧兽医事业发展中心、县能源事业发展中心、县农科园建设发展服务中心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  <w:jc w:val="center"/>
        </w:trPr>
        <w:tc>
          <w:tcPr>
            <w:tcW w:w="4903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9" w:right="31" w:firstLine="2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县教育和体育局、县民政局、县人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力资源和社会保障局、县自然资源和规划局、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县综合行政执法局、县水务局、县退役军人事务局、县应急管理局、县审计局、县行政审批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服务局、县统计局、县医疗保障局、县司法局、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县供销联社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4903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31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县委办公室、县政府办、县政协办、县人大办、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县委组织部、县委宣传部、县委统战部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4903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7" w:right="105" w:firstLine="5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县委编办、县直机关工委、县老干部局、县委党校、县档案馆、县总工会、团县委、县妇联、县科协、县文联、县红十字会办公室、县残联、曾子研究院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  <w:jc w:val="center"/>
        </w:trPr>
        <w:tc>
          <w:tcPr>
            <w:tcW w:w="4903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05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机关事务服务中心、县公共资源交易中心、县疾病预防控制中心、县港航事业服务中心、县干部政德教育中心、县人防事务中心、县融媒体中心、县干部执行力评价中心、县体育事业发展中心、县文物旅游服务中心、县不动产登记中心、县农业机械化服务中心、县土地房屋征收事务中心、县规划发展服务中心、县检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验检测中心、县爱国卫生运动促进中心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903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9" w:right="105" w:firstLine="2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7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嘉祥城建集团有限公司、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济宁园祥控股集团有限公司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、山东圣德城乡发展有限公司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（含1个过10亿元项目）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</w:tr>
    </w:tbl>
    <w:p>
      <w:pPr>
        <w:pStyle w:val="5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footerReference r:id="rId9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3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嘉祥县2024年</w:t>
      </w:r>
      <w:r>
        <w:rPr>
          <w:rFonts w:hint="eastAsia" w:eastAsia="方正小标宋简体" w:cs="Times New Roman"/>
          <w:b/>
          <w:bCs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计划实施项目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简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制表单位：县自然资源和规划局</w:t>
      </w:r>
    </w:p>
    <w:tbl>
      <w:tblPr>
        <w:tblStyle w:val="11"/>
        <w:tblW w:w="13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5026"/>
        <w:gridCol w:w="8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tblHeader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项目单位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济宁园祥控股集团有限公司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算力中心及数字经济产业园项目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济宁祥城北港务有限公司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铁路专用线配套设施建设项目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山东益大新材料股份有限公司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山东益大新材料股份有限公司技改升级暨6万吨碳基新材料项目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山东嘉冠蛋白饲料有限公司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150万吨饲料蛋白及副产品深加工项目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山东恒煊新能源科技有限公司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恒煊年产10万吨锂电负极前躯体材料制造及年产5万吨超高功率石墨电极项目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山东京嘉农业科技发展有限公司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农业废弃资源综合利用项目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山东连泓色彩新材料有限公司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连泓色彩新能源材料资源化综合利用项目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山东祺添新材料有限公司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祺添年产1.69万吨动力锂电池电解液添加剂和功能性有机硅材料生产项目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山东省金仕伦新能源科技有限公司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金仕伦新能源锂电池电解液综合生产及研发平台一体化项目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山东东辰工业自动化有限公司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汽车高精密关键部件智能化生产项目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山东民祥投资发展集团有限公司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嘉祥县冷链仓储配送设施建设项目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嘉祥理工投资管理有限公司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山东理工职业学院嘉祥产业学院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建华中兴手套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建华中兴手套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锦泰木业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锦泰木业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山东恒圣石墨科技有限公司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高纯度石墨制品生产加工项目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嘉祥洪润电碳有限公司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洪润电碳IC级半导体制备用超高纯石墨制品项目一期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山东德圣源新材料有限公司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德圣源年产10000吨锂电用勃姆石及1000万平方涂覆隔膜材料项目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济宁中浙石雕文化产业有限公司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嘉祥石雕文化产业园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山东嘉祥易隆港务有限公司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密闭式智能化环保大棚建设及贸易物流提升工程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山东世纪阳光科技有限公司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新建30000吨/年有机颜料及50000吨中间体项目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山东世纪阳光科技有限公司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年产24万吨硫酸配套项目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济宁祥城环保有限公司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济宁市生物产业园危废处置中心项目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济宁阳光煤化有限公司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年产40万吨高效减水剂项目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济宁广益置业有限公司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运河钢材市场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山东京升重工科技有限公司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挖掘机底盘及履带配件生产项目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山东中楠机械装备有限公司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山东中楠机械装备有限公司造纸设备加工项目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山东华博源化工有限公司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年产500吨吡啶酮乙醇胺盐、150吨VC乙基醚、2500吨异壬酰氯、2500吨异辛酰氯、2000吨异戊稀酸甲酯、200吨N-羟基正辛酰胺、1000吨磷化铝建设项目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山东新高地创新产业园管理有限公司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新高地面辅料产业园项目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嘉北双创园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嘉北双创园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山东友聚利生物科技有限公司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山东友聚利菌菇产业园项目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济宁祥城北港务有限公司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铁路专用线工程（1号文）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嘉祥县交运局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S244汶金线嘉祥大张楼至金乡胡集段改建工程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嘉祥县交运局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G105京澳线任城唐口至金乡胡集段改建工程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嘉祥县水务局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亚洲银行济宁西部供水一体化工程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县经开区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县经开区园区顺兴路、明德路、胜利路、消防站迁建项目、新危化品停车场项目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嘉祥县住建局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振祥路（祥城北苑）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嘉祥县住建局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求知路（龙城紫金府、山水龙城）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嘉祥县住建局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经三路（车站北路-北外环）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嘉祥县住建局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运祥路西延（山水龙城北）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嘉祥县住建局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经六路（北二路-北外环）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嘉祥县住建局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盛世路北延（战备路-凤凰山公园）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嘉祥县住建局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车站北路西延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山东天瑞康贝特医药科技有限公司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天瑞医药智能医药冷链物流全自动立体无人仓库及配套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嘉祥科伦普重工有限公司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科伦普锌铝镁合金智能产业化及综合利用项目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济宁市御峰环保科技有限公司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（1号文）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10万吨/年工业连续化废轮胎裂解生产线项目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山东红太阳酒业集团有限公司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（1号文）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山东红太阳酒业迁建项目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嘉祥县农业农村局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嘉祥县国家现代农业（种业）产业园建设项目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天安鲜农都数字农商产业园鲜农都农商产业综合体二期工程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（1号文）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嘉祥中农联农产品市场运营管理有限公司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山东鹏润新材料有限公司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山东鹏润新材料1.65万吨年功能精细化学品及有机硅偶联剂项目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县城建集团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嘉祥县刘山片区城市更新建设项目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山东嘉祥国家粮食储备库有限公司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山东嘉祥国家粮食储备库有限公司迁建项目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山东晶悦碳素制品有限公司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石晶悦石墨及光伏制品项目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山东和玉新能源有限公司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和玉高端锂电池负极材料生产整体搬迁项目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山东大力专用汽车制造有限公司</w:t>
            </w:r>
          </w:p>
        </w:tc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氢能源储运装备研发应用及制造搬迁项目</w:t>
            </w: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footerReference r:id="rId10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32" w:charSpace="0"/>
        </w:sectPr>
      </w:pPr>
    </w:p>
    <w:p>
      <w:pP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1"/>
        <w:tblpPr w:leftFromText="181" w:rightFromText="181" w:vertAnchor="page" w:horzAnchor="page" w:tblpXSpec="center" w:tblpY="13371"/>
        <w:tblOverlap w:val="never"/>
        <w:tblW w:w="852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抄送：县委各部门，县人大常委会办公室，县政协办公室，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04" w:firstLineChars="3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县法院，县检察院，县人武部。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嘉祥县人民政府办公室                2024年</w:t>
            </w:r>
            <w:r>
              <w:rPr>
                <w:rFonts w:hint="eastAsia" w:eastAsia="方正仿宋简体" w:cs="Times New Roman"/>
                <w:b/>
                <w:bCs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方正仿宋简体" w:cs="Times New Roman"/>
                <w:b/>
                <w:bCs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日印发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11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6.0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AX3g0QAAAAMBAAAPAAAAAAAAAAEAIAAAACIA&#10;AABkcnMvZG93bnJldi54bWxQSwECFAAUAAAACACHTuJAkTMNbxACAAAQ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6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wF94NEAAAADAQAADwAAAAAAAAABACAAAAAiAAAAZHJz&#10;L2Rvd25yZXYueG1sUEsBAhQAFAAAAAgAh07iQP+YHQY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6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DAX3g0QAAAAMBAAAPAAAAAAAAAAEAIAAAACIAAABkcnMv&#10;ZG93bnJldi54bWxQSwECFAAUAAAACACHTuJAXkui1w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6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xXtV21QAAAAMBAAAPAAAAAAAAAAEAIAAAACIAAABk&#10;cnMvZG93bnJldi54bWxQSwECFAAUAAAACACHTuJAJsuDhwkCAAAABAAADgAAAAAAAAABACAAAAAk&#10;AQAAZHJzL2Uyb0RvYy54bWxQSwUGAAAAAAYABgBZAQAAnw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24"/>
                            </w:rPr>
                            <w:t>16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J92v0wAAAAUBAAAPAAAAAAAAAAEAIAAAACIAAABkcnMvZG93bnJl&#10;di54bWxQSwECFAAUAAAACACHTuJA1q2DrwICAAACBAAADgAAAAAAAAABACAAAAAiAQAAZHJzL2Uy&#10;b0RvYy54bWxQSwUGAAAAAAYABgBZAQAAlg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Times New Roman" w:hAnsi="Times New Roman" w:eastAsia="宋体" w:cs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24"/>
                      </w:rPr>
                      <w:t>16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6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wF94NEAAAADAQAADwAAAAAAAAABACAAAAAiAAAAZHJz&#10;L2Rvd25yZXYueG1sUEsBAhQAFAAAAAgAh07iQK4hxVI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-129540</wp:posOffset>
              </wp:positionV>
              <wp:extent cx="457835" cy="175260"/>
              <wp:effectExtent l="0" t="0" r="0" b="0"/>
              <wp:wrapNone/>
              <wp:docPr id="2315" name="文本框 2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2pt;height:13.8pt;width:36.05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yEC5nSAAAABQEAAA8AAAAAAAAAAQAgAAAAIgAA&#10;AGRycy9kb3ducmV2LnhtbFBLAQIUABQAAAAIAIdO4kA6aDPIDgIAAAgEAAAOAAAAAAAAAAEAIAAA&#10;ACE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2314" name="文本框 2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6.05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MBfeDRAAAAAwEAAA8AAAAAAAAAAQAgAAAAIgAA&#10;AGRycy9kb3ducmV2LnhtbFBLAQIUABQAAAAIAIdO4kAQMIviDwIAAAgEAAAOAAAAAAAAAAEAIAAA&#10;ACA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NDcyM2FiNTI0M2MwNDY1NjE1ODBjY2RkYTJmMzUifQ=="/>
  </w:docVars>
  <w:rsids>
    <w:rsidRoot w:val="00000000"/>
    <w:rsid w:val="004F5D02"/>
    <w:rsid w:val="016F0A91"/>
    <w:rsid w:val="018E53BB"/>
    <w:rsid w:val="019464FB"/>
    <w:rsid w:val="020E6D2C"/>
    <w:rsid w:val="041651F4"/>
    <w:rsid w:val="058C71F1"/>
    <w:rsid w:val="05A36F5B"/>
    <w:rsid w:val="05C8750C"/>
    <w:rsid w:val="062B1CFE"/>
    <w:rsid w:val="0687062B"/>
    <w:rsid w:val="07D815DE"/>
    <w:rsid w:val="083D6D3F"/>
    <w:rsid w:val="084A37B4"/>
    <w:rsid w:val="08A43592"/>
    <w:rsid w:val="08F33D56"/>
    <w:rsid w:val="09557F35"/>
    <w:rsid w:val="09CB6A81"/>
    <w:rsid w:val="09D379A4"/>
    <w:rsid w:val="09F549A3"/>
    <w:rsid w:val="0A33245A"/>
    <w:rsid w:val="0A8D4120"/>
    <w:rsid w:val="0B1A381C"/>
    <w:rsid w:val="0B1F0E32"/>
    <w:rsid w:val="0CB63A18"/>
    <w:rsid w:val="0CEC7AB2"/>
    <w:rsid w:val="0D7C256C"/>
    <w:rsid w:val="0DBD1519"/>
    <w:rsid w:val="0E440A2C"/>
    <w:rsid w:val="0EA300C1"/>
    <w:rsid w:val="10264659"/>
    <w:rsid w:val="10645539"/>
    <w:rsid w:val="108E0F3E"/>
    <w:rsid w:val="10CE2D65"/>
    <w:rsid w:val="12331667"/>
    <w:rsid w:val="135E0B7B"/>
    <w:rsid w:val="13C635BD"/>
    <w:rsid w:val="13D334C9"/>
    <w:rsid w:val="13E217D2"/>
    <w:rsid w:val="143860FF"/>
    <w:rsid w:val="158F2621"/>
    <w:rsid w:val="159C63AE"/>
    <w:rsid w:val="17125CEF"/>
    <w:rsid w:val="17636C5F"/>
    <w:rsid w:val="178A59CF"/>
    <w:rsid w:val="18804A6F"/>
    <w:rsid w:val="18A64604"/>
    <w:rsid w:val="18E25E7E"/>
    <w:rsid w:val="198221A0"/>
    <w:rsid w:val="19E96131"/>
    <w:rsid w:val="1B2C190F"/>
    <w:rsid w:val="1C21022E"/>
    <w:rsid w:val="1C637123"/>
    <w:rsid w:val="1C7A5BA8"/>
    <w:rsid w:val="1D167441"/>
    <w:rsid w:val="1D2E547A"/>
    <w:rsid w:val="1D477BBD"/>
    <w:rsid w:val="1EEE2819"/>
    <w:rsid w:val="1F8D685B"/>
    <w:rsid w:val="1FFF5C81"/>
    <w:rsid w:val="20125FC6"/>
    <w:rsid w:val="20695B80"/>
    <w:rsid w:val="20C22534"/>
    <w:rsid w:val="20D109C9"/>
    <w:rsid w:val="217F059C"/>
    <w:rsid w:val="22E449E3"/>
    <w:rsid w:val="232B0424"/>
    <w:rsid w:val="24376D95"/>
    <w:rsid w:val="244E2598"/>
    <w:rsid w:val="25761ED8"/>
    <w:rsid w:val="25B74256"/>
    <w:rsid w:val="260F621B"/>
    <w:rsid w:val="265E1EAA"/>
    <w:rsid w:val="279B3ADF"/>
    <w:rsid w:val="28221B0A"/>
    <w:rsid w:val="28987244"/>
    <w:rsid w:val="28F32CB4"/>
    <w:rsid w:val="29347061"/>
    <w:rsid w:val="2A742AF1"/>
    <w:rsid w:val="2B812B79"/>
    <w:rsid w:val="2C552D25"/>
    <w:rsid w:val="2C593220"/>
    <w:rsid w:val="2DC94458"/>
    <w:rsid w:val="2F415170"/>
    <w:rsid w:val="2F4866CE"/>
    <w:rsid w:val="306B5F67"/>
    <w:rsid w:val="307F3F9D"/>
    <w:rsid w:val="31945827"/>
    <w:rsid w:val="319A041A"/>
    <w:rsid w:val="31F42769"/>
    <w:rsid w:val="32F74E84"/>
    <w:rsid w:val="334D6771"/>
    <w:rsid w:val="34A00474"/>
    <w:rsid w:val="34CC5FFC"/>
    <w:rsid w:val="354129C0"/>
    <w:rsid w:val="357119E3"/>
    <w:rsid w:val="366A1D15"/>
    <w:rsid w:val="368A544A"/>
    <w:rsid w:val="38C22C79"/>
    <w:rsid w:val="38F82D14"/>
    <w:rsid w:val="39903935"/>
    <w:rsid w:val="3A325BDD"/>
    <w:rsid w:val="3A85488B"/>
    <w:rsid w:val="3AAC17D9"/>
    <w:rsid w:val="3B5B73B5"/>
    <w:rsid w:val="3BB14BA6"/>
    <w:rsid w:val="3C1B21EF"/>
    <w:rsid w:val="3C1B75CB"/>
    <w:rsid w:val="3C1C4D96"/>
    <w:rsid w:val="3C3174BD"/>
    <w:rsid w:val="3CE72D73"/>
    <w:rsid w:val="3CE9358A"/>
    <w:rsid w:val="3D536596"/>
    <w:rsid w:val="3DEC2546"/>
    <w:rsid w:val="3EB93E85"/>
    <w:rsid w:val="3EC13AB1"/>
    <w:rsid w:val="3F1C50AD"/>
    <w:rsid w:val="406F588E"/>
    <w:rsid w:val="40D22B0E"/>
    <w:rsid w:val="4138003D"/>
    <w:rsid w:val="41D06DB9"/>
    <w:rsid w:val="41FD11C6"/>
    <w:rsid w:val="4253528A"/>
    <w:rsid w:val="433260D6"/>
    <w:rsid w:val="433672FD"/>
    <w:rsid w:val="439B2A45"/>
    <w:rsid w:val="44C45FCB"/>
    <w:rsid w:val="45321D53"/>
    <w:rsid w:val="45D04F11"/>
    <w:rsid w:val="46005DEC"/>
    <w:rsid w:val="46032B23"/>
    <w:rsid w:val="4654512D"/>
    <w:rsid w:val="46AE6F33"/>
    <w:rsid w:val="47523D62"/>
    <w:rsid w:val="48975D76"/>
    <w:rsid w:val="498521CD"/>
    <w:rsid w:val="49893A87"/>
    <w:rsid w:val="49EB1918"/>
    <w:rsid w:val="4A511DE8"/>
    <w:rsid w:val="4B7E4E3D"/>
    <w:rsid w:val="4BD87E85"/>
    <w:rsid w:val="4D143FEB"/>
    <w:rsid w:val="4E537B6E"/>
    <w:rsid w:val="4ECA0682"/>
    <w:rsid w:val="4F301D69"/>
    <w:rsid w:val="4F97342E"/>
    <w:rsid w:val="4FE319FB"/>
    <w:rsid w:val="4FFA6347"/>
    <w:rsid w:val="50302D9A"/>
    <w:rsid w:val="50493828"/>
    <w:rsid w:val="5055651D"/>
    <w:rsid w:val="51736DAF"/>
    <w:rsid w:val="524565F7"/>
    <w:rsid w:val="52D52AB2"/>
    <w:rsid w:val="53021554"/>
    <w:rsid w:val="532F31A9"/>
    <w:rsid w:val="53564F46"/>
    <w:rsid w:val="53A10259"/>
    <w:rsid w:val="53DB3461"/>
    <w:rsid w:val="540C51D3"/>
    <w:rsid w:val="54482815"/>
    <w:rsid w:val="54B76271"/>
    <w:rsid w:val="54C7052C"/>
    <w:rsid w:val="550A7BB6"/>
    <w:rsid w:val="56F97D56"/>
    <w:rsid w:val="572F0FEC"/>
    <w:rsid w:val="574014E1"/>
    <w:rsid w:val="58DC3A00"/>
    <w:rsid w:val="590F1AB3"/>
    <w:rsid w:val="591A5BE0"/>
    <w:rsid w:val="5973767D"/>
    <w:rsid w:val="5AC57B92"/>
    <w:rsid w:val="5B4779A9"/>
    <w:rsid w:val="5B687259"/>
    <w:rsid w:val="5B6F4A8B"/>
    <w:rsid w:val="5B8E38C0"/>
    <w:rsid w:val="5BE253F1"/>
    <w:rsid w:val="5C787F36"/>
    <w:rsid w:val="5D694C73"/>
    <w:rsid w:val="5D8660BC"/>
    <w:rsid w:val="5D931564"/>
    <w:rsid w:val="5DFE4F87"/>
    <w:rsid w:val="5E9B16F3"/>
    <w:rsid w:val="5FD10DCB"/>
    <w:rsid w:val="5FED5F7E"/>
    <w:rsid w:val="6032054F"/>
    <w:rsid w:val="60433DF0"/>
    <w:rsid w:val="60F03F78"/>
    <w:rsid w:val="618A3C6A"/>
    <w:rsid w:val="61E4105E"/>
    <w:rsid w:val="64127C5F"/>
    <w:rsid w:val="65163480"/>
    <w:rsid w:val="656E2178"/>
    <w:rsid w:val="65C93A40"/>
    <w:rsid w:val="65D04378"/>
    <w:rsid w:val="668313EA"/>
    <w:rsid w:val="66BF00F7"/>
    <w:rsid w:val="67211A19"/>
    <w:rsid w:val="6759039D"/>
    <w:rsid w:val="68D91796"/>
    <w:rsid w:val="6A6A2821"/>
    <w:rsid w:val="6B2B6B4D"/>
    <w:rsid w:val="6B641B0C"/>
    <w:rsid w:val="6B7D7580"/>
    <w:rsid w:val="6CC664D5"/>
    <w:rsid w:val="6DE440C6"/>
    <w:rsid w:val="6DF366CC"/>
    <w:rsid w:val="6E6B66D0"/>
    <w:rsid w:val="71947ED4"/>
    <w:rsid w:val="72321DA5"/>
    <w:rsid w:val="74D514A1"/>
    <w:rsid w:val="764F3097"/>
    <w:rsid w:val="76B255A9"/>
    <w:rsid w:val="76EF6C8C"/>
    <w:rsid w:val="777668B4"/>
    <w:rsid w:val="78751757"/>
    <w:rsid w:val="78CD2873"/>
    <w:rsid w:val="78E81387"/>
    <w:rsid w:val="78E81581"/>
    <w:rsid w:val="79334995"/>
    <w:rsid w:val="79AC48B1"/>
    <w:rsid w:val="7AF20495"/>
    <w:rsid w:val="7B223D6B"/>
    <w:rsid w:val="7B7B53A4"/>
    <w:rsid w:val="7BF3622D"/>
    <w:rsid w:val="7BFA0323"/>
    <w:rsid w:val="7DD867D8"/>
    <w:rsid w:val="7DF10ED8"/>
    <w:rsid w:val="7E4E493A"/>
    <w:rsid w:val="7ECA3C03"/>
    <w:rsid w:val="7F4C70F0"/>
    <w:rsid w:val="7F4D462A"/>
    <w:rsid w:val="7F5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rPr>
      <w:rFonts w:ascii="Times New Roman" w:hAnsi="Times New Roman"/>
    </w:rPr>
  </w:style>
  <w:style w:type="paragraph" w:styleId="3">
    <w:name w:val="Normal Indent"/>
    <w:basedOn w:val="1"/>
    <w:next w:val="1"/>
    <w:autoRedefine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Body Text First Indent 2"/>
    <w:basedOn w:val="6"/>
    <w:autoRedefine/>
    <w:semiHidden/>
    <w:qFormat/>
    <w:uiPriority w:val="0"/>
    <w:pPr>
      <w:ind w:firstLine="420" w:firstLineChars="200"/>
    </w:pPr>
  </w:style>
  <w:style w:type="paragraph" w:styleId="6">
    <w:name w:val="Body Text Indent"/>
    <w:basedOn w:val="1"/>
    <w:autoRedefine/>
    <w:semiHidden/>
    <w:qFormat/>
    <w:uiPriority w:val="0"/>
    <w:pPr>
      <w:ind w:firstLine="680"/>
    </w:pPr>
    <w:rPr>
      <w:rFonts w:ascii="仿宋_GB2312" w:hAnsi="创艺简标宋" w:eastAsia="仿宋_GB2312"/>
      <w:sz w:val="32"/>
      <w:szCs w:val="20"/>
    </w:rPr>
  </w:style>
  <w:style w:type="paragraph" w:styleId="7">
    <w:name w:val="Plain Text"/>
    <w:basedOn w:val="1"/>
    <w:autoRedefine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 w:firstLineChars="100"/>
    </w:pPr>
  </w:style>
  <w:style w:type="paragraph" w:customStyle="1" w:styleId="13">
    <w:name w:val="_Style 1"/>
    <w:basedOn w:val="1"/>
    <w:autoRedefine/>
    <w:qFormat/>
    <w:uiPriority w:val="99"/>
    <w:pPr>
      <w:spacing w:line="481" w:lineRule="atLeast"/>
      <w:ind w:firstLine="623"/>
      <w:textAlignment w:val="baseline"/>
    </w:pPr>
    <w:rPr>
      <w:rFonts w:eastAsia="仿宋_GB2312"/>
      <w:color w:val="000000"/>
      <w:sz w:val="31"/>
    </w:rPr>
  </w:style>
  <w:style w:type="character" w:customStyle="1" w:styleId="14">
    <w:name w:val="font51"/>
    <w:basedOn w:val="12"/>
    <w:autoRedefine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table" w:customStyle="1" w:styleId="1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49"/>
      <w:jc w:val="center"/>
    </w:pPr>
    <w:rPr>
      <w:rFonts w:ascii="方正仿宋简体" w:hAnsi="方正仿宋简体" w:eastAsia="方正仿宋简体" w:cs="方正仿宋简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9531</Words>
  <Characters>10754</Characters>
  <Lines>0</Lines>
  <Paragraphs>0</Paragraphs>
  <TotalTime>0</TotalTime>
  <ScaleCrop>false</ScaleCrop>
  <LinksUpToDate>false</LinksUpToDate>
  <CharactersWithSpaces>11419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2023-03-14T03:35:00Z</dcterms:created>
  <dc:creator>Administrator</dc:creator>
  <cp:lastModifiedBy>止戈为武</cp:lastModifiedBy>
  <cp:lastPrinted>2024-04-26T09:02:00Z</cp:lastPrinted>
  <dcterms:modified xsi:type="dcterms:W3CDTF">2024-04-30T02:24:23Z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9DEE220859BB4A5389C3A6E8F198F58D_13</vt:lpwstr>
  </property>
</Properties>
</file>