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36"/>
          <w:szCs w:val="36"/>
          <w:highlight w:val="none"/>
          <w14:textFill>
            <w14:solidFill>
              <w14:schemeClr w14:val="tx1"/>
            </w14:solidFill>
          </w14:textFill>
        </w:rPr>
      </w:pPr>
    </w:p>
    <w:p>
      <w:pPr>
        <w:rPr>
          <w:color w:val="000000" w:themeColor="text1"/>
          <w:sz w:val="36"/>
          <w:szCs w:val="36"/>
          <w:highlight w:val="none"/>
          <w14:textFill>
            <w14:solidFill>
              <w14:schemeClr w14:val="tx1"/>
            </w14:solidFill>
          </w14:textFill>
        </w:rPr>
      </w:pPr>
    </w:p>
    <w:p>
      <w:pPr>
        <w:rPr>
          <w:color w:val="000000" w:themeColor="text1"/>
          <w:sz w:val="36"/>
          <w:szCs w:val="36"/>
          <w:highlight w:val="none"/>
          <w14:textFill>
            <w14:solidFill>
              <w14:schemeClr w14:val="tx1"/>
            </w14:solidFill>
          </w14:textFill>
        </w:rPr>
      </w:pPr>
    </w:p>
    <w:p>
      <w:pPr>
        <w:adjustRightInd w:val="0"/>
        <w:snapToGrid w:val="0"/>
        <w:jc w:val="center"/>
        <w:outlineLvl w:val="0"/>
        <w:rPr>
          <w:bCs/>
          <w:color w:val="000000" w:themeColor="text1"/>
          <w:sz w:val="72"/>
          <w:szCs w:val="72"/>
          <w:highlight w:val="none"/>
          <w14:textFill>
            <w14:solidFill>
              <w14:schemeClr w14:val="tx1"/>
            </w14:solidFill>
          </w14:textFill>
        </w:rPr>
      </w:pPr>
      <w:r>
        <w:rPr>
          <w:rFonts w:eastAsia="方正小标宋_GBK"/>
          <w:bCs/>
          <w:color w:val="000000" w:themeColor="text1"/>
          <w:sz w:val="72"/>
          <w:szCs w:val="72"/>
          <w:highlight w:val="none"/>
          <w14:textFill>
            <w14:solidFill>
              <w14:schemeClr w14:val="tx1"/>
            </w14:solidFill>
          </w14:textFill>
        </w:rPr>
        <w:t>建设项目环境影响报告表</w:t>
      </w:r>
    </w:p>
    <w:p>
      <w:pPr>
        <w:adjustRightInd w:val="0"/>
        <w:snapToGrid w:val="0"/>
        <w:spacing w:before="192" w:beforeLines="80"/>
        <w:jc w:val="center"/>
        <w:rPr>
          <w:bCs/>
          <w:color w:val="000000" w:themeColor="text1"/>
          <w:sz w:val="48"/>
          <w:szCs w:val="48"/>
          <w:highlight w:val="none"/>
          <w14:textFill>
            <w14:solidFill>
              <w14:schemeClr w14:val="tx1"/>
            </w14:solidFill>
          </w14:textFill>
        </w:rPr>
      </w:pPr>
      <w:r>
        <w:rPr>
          <w:rFonts w:eastAsia="楷体_GB2312"/>
          <w:bCs/>
          <w:color w:val="000000" w:themeColor="text1"/>
          <w:sz w:val="48"/>
          <w:szCs w:val="48"/>
          <w:highlight w:val="none"/>
          <w14:textFill>
            <w14:solidFill>
              <w14:schemeClr w14:val="tx1"/>
            </w14:solidFill>
          </w14:textFill>
        </w:rPr>
        <w:t>（污染影响类）</w:t>
      </w:r>
    </w:p>
    <w:p>
      <w:pPr>
        <w:rPr>
          <w:color w:val="000000" w:themeColor="text1"/>
          <w:highlight w:val="none"/>
          <w14:textFill>
            <w14:solidFill>
              <w14:schemeClr w14:val="tx1"/>
            </w14:solidFill>
          </w14:textFill>
        </w:rPr>
      </w:pPr>
    </w:p>
    <w:p>
      <w:pPr>
        <w:rPr>
          <w:color w:val="000000" w:themeColor="text1"/>
          <w:kern w:val="44"/>
          <w:sz w:val="44"/>
          <w:szCs w:val="44"/>
          <w:highlight w:val="none"/>
          <w14:textFill>
            <w14:solidFill>
              <w14:schemeClr w14:val="tx1"/>
            </w14:solidFill>
          </w14:textFill>
        </w:rPr>
      </w:pPr>
    </w:p>
    <w:p>
      <w:pPr>
        <w:rPr>
          <w:color w:val="000000" w:themeColor="text1"/>
          <w:sz w:val="52"/>
          <w:szCs w:val="52"/>
          <w:highlight w:val="none"/>
          <w14:textFill>
            <w14:solidFill>
              <w14:schemeClr w14:val="tx1"/>
            </w14:solidFill>
          </w14:textFill>
        </w:rPr>
      </w:pPr>
    </w:p>
    <w:p>
      <w:pPr>
        <w:rPr>
          <w:color w:val="000000" w:themeColor="text1"/>
          <w:sz w:val="52"/>
          <w:szCs w:val="52"/>
          <w:highlight w:val="none"/>
          <w14:textFill>
            <w14:solidFill>
              <w14:schemeClr w14:val="tx1"/>
            </w14:solidFill>
          </w14:textFill>
        </w:rPr>
      </w:pPr>
    </w:p>
    <w:p>
      <w:pPr>
        <w:rPr>
          <w:color w:val="000000" w:themeColor="text1"/>
          <w:sz w:val="52"/>
          <w:szCs w:val="52"/>
          <w:highlight w:val="none"/>
          <w14:textFill>
            <w14:solidFill>
              <w14:schemeClr w14:val="tx1"/>
            </w14:solidFill>
          </w14:textFill>
        </w:rPr>
      </w:pPr>
    </w:p>
    <w:p>
      <w:pPr>
        <w:rPr>
          <w:color w:val="000000" w:themeColor="text1"/>
          <w:sz w:val="52"/>
          <w:szCs w:val="52"/>
          <w:highlight w:val="none"/>
          <w14:textFill>
            <w14:solidFill>
              <w14:schemeClr w14:val="tx1"/>
            </w14:solidFill>
          </w14:textFill>
        </w:rPr>
      </w:pPr>
    </w:p>
    <w:p>
      <w:pPr>
        <w:rPr>
          <w:color w:val="000000" w:themeColor="text1"/>
          <w:sz w:val="44"/>
          <w:szCs w:val="44"/>
          <w:highlight w:val="none"/>
          <w14:textFill>
            <w14:solidFill>
              <w14:schemeClr w14:val="tx1"/>
            </w14:solidFill>
          </w14:textFill>
        </w:rPr>
      </w:pPr>
    </w:p>
    <w:p>
      <w:pPr>
        <w:rPr>
          <w:color w:val="000000" w:themeColor="text1"/>
          <w:sz w:val="44"/>
          <w:szCs w:val="4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仿宋_GB2312"/>
          <w:color w:val="000000" w:themeColor="text1"/>
          <w:spacing w:val="-11"/>
          <w:sz w:val="32"/>
          <w:szCs w:val="32"/>
          <w:highlight w:val="none"/>
          <w:u w:val="single"/>
          <w:lang w:eastAsia="zh-CN"/>
          <w14:textFill>
            <w14:solidFill>
              <w14:schemeClr w14:val="tx1"/>
            </w14:solidFill>
          </w14:textFill>
        </w:rPr>
      </w:pPr>
      <w:r>
        <w:rPr>
          <w:rFonts w:hint="eastAsia" w:eastAsia="仿宋_GB2312"/>
          <w:color w:val="000000" w:themeColor="text1"/>
          <w:spacing w:val="-11"/>
          <w:sz w:val="32"/>
          <w:szCs w:val="32"/>
          <w:highlight w:val="none"/>
          <w:u w:val="none"/>
          <w:lang w:eastAsia="zh-CN"/>
          <w14:textFill>
            <w14:solidFill>
              <w14:schemeClr w14:val="tx1"/>
            </w14:solidFill>
          </w14:textFill>
        </w:rPr>
        <w:t>项目名称：</w:t>
      </w:r>
      <w:r>
        <w:rPr>
          <w:rFonts w:hint="eastAsia" w:eastAsia="仿宋_GB2312"/>
          <w:color w:val="000000" w:themeColor="text1"/>
          <w:spacing w:val="-11"/>
          <w:sz w:val="32"/>
          <w:szCs w:val="32"/>
          <w:highlight w:val="none"/>
          <w:u w:val="single"/>
          <w:lang w:val="en-US" w:eastAsia="zh-CN"/>
          <w14:textFill>
            <w14:solidFill>
              <w14:schemeClr w14:val="tx1"/>
            </w14:solidFill>
          </w14:textFill>
        </w:rPr>
        <w:t xml:space="preserve">  山</w:t>
      </w:r>
      <w:r>
        <w:rPr>
          <w:rFonts w:hint="eastAsia" w:eastAsia="仿宋_GB2312"/>
          <w:color w:val="000000" w:themeColor="text1"/>
          <w:spacing w:val="-11"/>
          <w:sz w:val="32"/>
          <w:szCs w:val="32"/>
          <w:highlight w:val="none"/>
          <w:u w:val="single"/>
          <w:lang w:eastAsia="zh-CN"/>
          <w14:textFill>
            <w14:solidFill>
              <w14:schemeClr w14:val="tx1"/>
            </w14:solidFill>
          </w14:textFill>
        </w:rPr>
        <w:t>东祺添新材料有限公司二期厂区实验室建设项目</w:t>
      </w:r>
      <w:r>
        <w:rPr>
          <w:rFonts w:hint="eastAsia" w:eastAsia="仿宋_GB2312"/>
          <w:color w:val="000000" w:themeColor="text1"/>
          <w:spacing w:val="-11"/>
          <w:sz w:val="32"/>
          <w:szCs w:val="32"/>
          <w:highlight w:val="none"/>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仿宋_GB2312"/>
          <w:color w:val="000000" w:themeColor="text1"/>
          <w:spacing w:val="-11"/>
          <w:sz w:val="32"/>
          <w:szCs w:val="32"/>
          <w:highlight w:val="none"/>
          <w:u w:val="single"/>
          <w:lang w:eastAsia="zh-CN"/>
          <w14:textFill>
            <w14:solidFill>
              <w14:schemeClr w14:val="tx1"/>
            </w14:solidFill>
          </w14:textFill>
        </w:rPr>
      </w:pPr>
      <w:r>
        <w:rPr>
          <w:rFonts w:hint="eastAsia" w:eastAsia="仿宋_GB2312"/>
          <w:color w:val="000000" w:themeColor="text1"/>
          <w:spacing w:val="-11"/>
          <w:sz w:val="32"/>
          <w:szCs w:val="32"/>
          <w:highlight w:val="none"/>
          <w:u w:val="none"/>
          <w:lang w:eastAsia="zh-CN"/>
          <w14:textFill>
            <w14:solidFill>
              <w14:schemeClr w14:val="tx1"/>
            </w14:solidFill>
          </w14:textFill>
        </w:rPr>
        <w:t>建设单位（盖章）：</w:t>
      </w:r>
      <w:r>
        <w:rPr>
          <w:rFonts w:hint="eastAsia" w:eastAsia="仿宋_GB2312"/>
          <w:color w:val="000000" w:themeColor="text1"/>
          <w:spacing w:val="-11"/>
          <w:sz w:val="32"/>
          <w:szCs w:val="32"/>
          <w:highlight w:val="none"/>
          <w:u w:val="single"/>
          <w:lang w:val="en-US" w:eastAsia="zh-CN"/>
          <w14:textFill>
            <w14:solidFill>
              <w14:schemeClr w14:val="tx1"/>
            </w14:solidFill>
          </w14:textFill>
        </w:rPr>
        <w:t xml:space="preserve">       山</w:t>
      </w:r>
      <w:r>
        <w:rPr>
          <w:rFonts w:hint="eastAsia" w:eastAsia="仿宋_GB2312"/>
          <w:color w:val="000000" w:themeColor="text1"/>
          <w:spacing w:val="-11"/>
          <w:sz w:val="32"/>
          <w:szCs w:val="32"/>
          <w:highlight w:val="none"/>
          <w:u w:val="single"/>
          <w:lang w:eastAsia="zh-CN"/>
          <w14:textFill>
            <w14:solidFill>
              <w14:schemeClr w14:val="tx1"/>
            </w14:solidFill>
          </w14:textFill>
        </w:rPr>
        <w:t>东祺添新材料有限公司</w:t>
      </w:r>
      <w:r>
        <w:rPr>
          <w:rFonts w:hint="eastAsia" w:eastAsia="仿宋_GB2312"/>
          <w:color w:val="000000" w:themeColor="text1"/>
          <w:spacing w:val="-11"/>
          <w:sz w:val="32"/>
          <w:szCs w:val="32"/>
          <w:highlight w:val="none"/>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仿宋_GB2312"/>
          <w:color w:val="000000" w:themeColor="text1"/>
          <w:spacing w:val="-11"/>
          <w:sz w:val="32"/>
          <w:szCs w:val="32"/>
          <w:highlight w:val="none"/>
          <w:u w:val="single"/>
          <w:lang w:eastAsia="zh-CN"/>
          <w14:textFill>
            <w14:solidFill>
              <w14:schemeClr w14:val="tx1"/>
            </w14:solidFill>
          </w14:textFill>
        </w:rPr>
      </w:pPr>
      <w:r>
        <w:rPr>
          <w:rFonts w:hint="eastAsia" w:eastAsia="仿宋_GB2312"/>
          <w:color w:val="000000" w:themeColor="text1"/>
          <w:spacing w:val="-11"/>
          <w:sz w:val="32"/>
          <w:szCs w:val="32"/>
          <w:highlight w:val="none"/>
          <w:u w:val="none"/>
          <w:lang w:eastAsia="zh-CN"/>
          <w14:textFill>
            <w14:solidFill>
              <w14:schemeClr w14:val="tx1"/>
            </w14:solidFill>
          </w14:textFill>
        </w:rPr>
        <w:t>编制日期：</w:t>
      </w:r>
      <w:r>
        <w:rPr>
          <w:rFonts w:hint="eastAsia" w:eastAsia="仿宋_GB2312"/>
          <w:color w:val="000000" w:themeColor="text1"/>
          <w:spacing w:val="-11"/>
          <w:sz w:val="32"/>
          <w:szCs w:val="32"/>
          <w:highlight w:val="none"/>
          <w:u w:val="single"/>
          <w:lang w:eastAsia="zh-CN"/>
          <w14:textFill>
            <w14:solidFill>
              <w14:schemeClr w14:val="tx1"/>
            </w14:solidFill>
          </w14:textFill>
        </w:rPr>
        <w:t xml:space="preserve">     </w:t>
      </w:r>
      <w:r>
        <w:rPr>
          <w:rFonts w:hint="eastAsia" w:eastAsia="仿宋_GB2312"/>
          <w:color w:val="000000" w:themeColor="text1"/>
          <w:spacing w:val="-11"/>
          <w:sz w:val="32"/>
          <w:szCs w:val="32"/>
          <w:highlight w:val="none"/>
          <w:u w:val="single"/>
          <w:lang w:val="en-US" w:eastAsia="zh-CN"/>
          <w14:textFill>
            <w14:solidFill>
              <w14:schemeClr w14:val="tx1"/>
            </w14:solidFill>
          </w14:textFill>
        </w:rPr>
        <w:t xml:space="preserve">   </w:t>
      </w:r>
      <w:r>
        <w:rPr>
          <w:rFonts w:hint="eastAsia" w:eastAsia="仿宋_GB2312"/>
          <w:color w:val="000000" w:themeColor="text1"/>
          <w:spacing w:val="-11"/>
          <w:sz w:val="32"/>
          <w:szCs w:val="32"/>
          <w:highlight w:val="none"/>
          <w:u w:val="single"/>
          <w:lang w:eastAsia="zh-CN"/>
          <w14:textFill>
            <w14:solidFill>
              <w14:schemeClr w14:val="tx1"/>
            </w14:solidFill>
          </w14:textFill>
        </w:rPr>
        <w:t xml:space="preserve">  </w:t>
      </w:r>
      <w:r>
        <w:rPr>
          <w:rFonts w:hint="eastAsia" w:eastAsia="仿宋_GB2312"/>
          <w:color w:val="000000" w:themeColor="text1"/>
          <w:spacing w:val="-11"/>
          <w:sz w:val="32"/>
          <w:szCs w:val="32"/>
          <w:highlight w:val="none"/>
          <w:u w:val="single"/>
          <w:lang w:val="en-US" w:eastAsia="zh-CN"/>
          <w14:textFill>
            <w14:solidFill>
              <w14:schemeClr w14:val="tx1"/>
            </w14:solidFill>
          </w14:textFill>
        </w:rPr>
        <w:t xml:space="preserve">  </w:t>
      </w:r>
      <w:r>
        <w:rPr>
          <w:rFonts w:hint="eastAsia" w:eastAsia="仿宋_GB2312"/>
          <w:color w:val="000000" w:themeColor="text1"/>
          <w:spacing w:val="-11"/>
          <w:sz w:val="32"/>
          <w:szCs w:val="32"/>
          <w:highlight w:val="none"/>
          <w:u w:val="single"/>
          <w:lang w:eastAsia="zh-CN"/>
          <w14:textFill>
            <w14:solidFill>
              <w14:schemeClr w14:val="tx1"/>
            </w14:solidFill>
          </w14:textFill>
        </w:rPr>
        <w:t xml:space="preserve">    202</w:t>
      </w:r>
      <w:r>
        <w:rPr>
          <w:rFonts w:hint="eastAsia" w:eastAsia="仿宋_GB2312"/>
          <w:color w:val="000000" w:themeColor="text1"/>
          <w:spacing w:val="-11"/>
          <w:sz w:val="32"/>
          <w:szCs w:val="32"/>
          <w:highlight w:val="none"/>
          <w:u w:val="single"/>
          <w:lang w:val="en-US" w:eastAsia="zh-CN"/>
          <w14:textFill>
            <w14:solidFill>
              <w14:schemeClr w14:val="tx1"/>
            </w14:solidFill>
          </w14:textFill>
        </w:rPr>
        <w:t>5</w:t>
      </w:r>
      <w:r>
        <w:rPr>
          <w:rFonts w:hint="eastAsia" w:eastAsia="仿宋_GB2312"/>
          <w:color w:val="000000" w:themeColor="text1"/>
          <w:spacing w:val="-11"/>
          <w:sz w:val="32"/>
          <w:szCs w:val="32"/>
          <w:highlight w:val="none"/>
          <w:u w:val="single"/>
          <w:lang w:eastAsia="zh-CN"/>
          <w14:textFill>
            <w14:solidFill>
              <w14:schemeClr w14:val="tx1"/>
            </w14:solidFill>
          </w14:textFill>
        </w:rPr>
        <w:t>年</w:t>
      </w:r>
      <w:r>
        <w:rPr>
          <w:rFonts w:hint="eastAsia" w:eastAsia="仿宋_GB2312"/>
          <w:color w:val="000000" w:themeColor="text1"/>
          <w:spacing w:val="-11"/>
          <w:sz w:val="32"/>
          <w:szCs w:val="32"/>
          <w:highlight w:val="none"/>
          <w:u w:val="single"/>
          <w:lang w:val="en-US" w:eastAsia="zh-CN"/>
          <w14:textFill>
            <w14:solidFill>
              <w14:schemeClr w14:val="tx1"/>
            </w14:solidFill>
          </w14:textFill>
        </w:rPr>
        <w:t>06</w:t>
      </w:r>
      <w:r>
        <w:rPr>
          <w:rFonts w:hint="eastAsia" w:eastAsia="仿宋_GB2312"/>
          <w:color w:val="000000" w:themeColor="text1"/>
          <w:spacing w:val="-11"/>
          <w:sz w:val="32"/>
          <w:szCs w:val="32"/>
          <w:highlight w:val="none"/>
          <w:u w:val="single"/>
          <w:lang w:eastAsia="zh-CN"/>
          <w14:textFill>
            <w14:solidFill>
              <w14:schemeClr w14:val="tx1"/>
            </w14:solidFill>
          </w14:textFill>
        </w:rPr>
        <w:t>月</w:t>
      </w:r>
      <w:bookmarkStart w:id="0" w:name="_Hlk57884087"/>
      <w:r>
        <w:rPr>
          <w:rFonts w:hint="eastAsia" w:eastAsia="仿宋_GB2312"/>
          <w:color w:val="000000" w:themeColor="text1"/>
          <w:spacing w:val="-11"/>
          <w:sz w:val="32"/>
          <w:szCs w:val="32"/>
          <w:highlight w:val="none"/>
          <w:u w:val="single"/>
          <w:lang w:eastAsia="zh-CN"/>
          <w14:textFill>
            <w14:solidFill>
              <w14:schemeClr w14:val="tx1"/>
            </w14:solidFill>
          </w14:textFill>
        </w:rPr>
        <w:t xml:space="preserve">       </w:t>
      </w:r>
      <w:r>
        <w:rPr>
          <w:rFonts w:hint="eastAsia" w:eastAsia="仿宋_GB2312"/>
          <w:color w:val="000000" w:themeColor="text1"/>
          <w:spacing w:val="-11"/>
          <w:sz w:val="32"/>
          <w:szCs w:val="32"/>
          <w:highlight w:val="none"/>
          <w:u w:val="single"/>
          <w:lang w:val="en-US" w:eastAsia="zh-CN"/>
          <w14:textFill>
            <w14:solidFill>
              <w14:schemeClr w14:val="tx1"/>
            </w14:solidFill>
          </w14:textFill>
        </w:rPr>
        <w:t xml:space="preserve">           </w:t>
      </w:r>
      <w:r>
        <w:rPr>
          <w:rFonts w:hint="eastAsia" w:eastAsia="仿宋_GB2312"/>
          <w:color w:val="000000" w:themeColor="text1"/>
          <w:spacing w:val="-11"/>
          <w:sz w:val="32"/>
          <w:szCs w:val="32"/>
          <w:highlight w:val="none"/>
          <w:u w:val="single"/>
          <w:lang w:eastAsia="zh-CN"/>
          <w14:textFill>
            <w14:solidFill>
              <w14:schemeClr w14:val="tx1"/>
            </w14:solidFill>
          </w14:textFill>
        </w:rPr>
        <w:t xml:space="preserve"> </w:t>
      </w:r>
      <w:r>
        <w:rPr>
          <w:rFonts w:hint="eastAsia" w:eastAsia="仿宋_GB2312"/>
          <w:color w:val="000000" w:themeColor="text1"/>
          <w:spacing w:val="-11"/>
          <w:sz w:val="32"/>
          <w:szCs w:val="32"/>
          <w:highlight w:val="none"/>
          <w:u w:val="single"/>
          <w:lang w:val="en-US" w:eastAsia="zh-CN"/>
          <w14:textFill>
            <w14:solidFill>
              <w14:schemeClr w14:val="tx1"/>
            </w14:solidFill>
          </w14:textFill>
        </w:rPr>
        <w:t xml:space="preserve">  </w:t>
      </w:r>
      <w:r>
        <w:rPr>
          <w:rFonts w:hint="eastAsia" w:eastAsia="仿宋_GB2312"/>
          <w:color w:val="000000" w:themeColor="text1"/>
          <w:spacing w:val="-11"/>
          <w:sz w:val="32"/>
          <w:szCs w:val="32"/>
          <w:highlight w:val="none"/>
          <w:u w:val="single"/>
          <w:lang w:eastAsia="zh-CN"/>
          <w14:textFill>
            <w14:solidFill>
              <w14:schemeClr w14:val="tx1"/>
            </w14:solidFill>
          </w14:textFill>
        </w:rPr>
        <w:t xml:space="preserve">  </w:t>
      </w:r>
    </w:p>
    <w:p>
      <w:pPr>
        <w:adjustRightInd w:val="0"/>
        <w:snapToGrid w:val="0"/>
        <w:spacing w:line="288" w:lineRule="auto"/>
        <w:ind w:firstLine="1040"/>
        <w:rPr>
          <w:color w:val="000000" w:themeColor="text1"/>
          <w:sz w:val="36"/>
          <w:szCs w:val="36"/>
          <w:highlight w:val="none"/>
          <w14:textFill>
            <w14:solidFill>
              <w14:schemeClr w14:val="tx1"/>
            </w14:solidFill>
          </w14:textFill>
        </w:rPr>
      </w:pPr>
    </w:p>
    <w:p>
      <w:pPr>
        <w:adjustRightInd w:val="0"/>
        <w:snapToGrid w:val="0"/>
        <w:spacing w:line="288" w:lineRule="auto"/>
        <w:ind w:firstLine="1040"/>
        <w:rPr>
          <w:color w:val="000000" w:themeColor="text1"/>
          <w:sz w:val="36"/>
          <w:szCs w:val="36"/>
          <w:highlight w:val="none"/>
          <w14:textFill>
            <w14:solidFill>
              <w14:schemeClr w14:val="tx1"/>
            </w14:solidFill>
          </w14:textFill>
        </w:rPr>
      </w:pPr>
    </w:p>
    <w:p>
      <w:pPr>
        <w:adjustRightInd w:val="0"/>
        <w:snapToGrid w:val="0"/>
        <w:spacing w:line="288" w:lineRule="auto"/>
        <w:ind w:firstLine="1040"/>
        <w:rPr>
          <w:color w:val="000000" w:themeColor="text1"/>
          <w:sz w:val="36"/>
          <w:szCs w:val="36"/>
          <w:highlight w:val="none"/>
          <w14:textFill>
            <w14:solidFill>
              <w14:schemeClr w14:val="tx1"/>
            </w14:solidFill>
          </w14:textFill>
        </w:rPr>
      </w:pPr>
    </w:p>
    <w:p>
      <w:pPr>
        <w:adjustRightInd w:val="0"/>
        <w:snapToGrid w:val="0"/>
        <w:spacing w:line="288" w:lineRule="auto"/>
        <w:rPr>
          <w:color w:val="000000" w:themeColor="text1"/>
          <w:sz w:val="36"/>
          <w:szCs w:val="36"/>
          <w:highlight w:val="none"/>
          <w14:textFill>
            <w14:solidFill>
              <w14:schemeClr w14:val="tx1"/>
            </w14:solidFill>
          </w14:textFill>
        </w:rPr>
      </w:pPr>
    </w:p>
    <w:bookmarkEnd w:id="0"/>
    <w:p>
      <w:pPr>
        <w:pStyle w:val="16"/>
        <w:jc w:val="center"/>
        <w:rPr>
          <w:rFonts w:ascii="Times New Roman" w:hAnsi="Times New Roman" w:eastAsia="楷体"/>
          <w:color w:val="000000" w:themeColor="text1"/>
          <w:sz w:val="36"/>
          <w:szCs w:val="36"/>
          <w:highlight w:val="none"/>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titlePg/>
          <w:docGrid w:linePitch="312" w:charSpace="0"/>
        </w:sectPr>
      </w:pPr>
      <w:r>
        <w:rPr>
          <w:rFonts w:ascii="Times New Roman" w:hAnsi="Times New Roman" w:eastAsia="楷体"/>
          <w:color w:val="000000" w:themeColor="text1"/>
          <w:sz w:val="36"/>
          <w:szCs w:val="36"/>
          <w:highlight w:val="none"/>
          <w14:textFill>
            <w14:solidFill>
              <w14:schemeClr w14:val="tx1"/>
            </w14:solidFill>
          </w14:textFill>
        </w:rPr>
        <w:t>中华人民共和国生态环境部制</w:t>
      </w:r>
    </w:p>
    <w:p>
      <w:pPr>
        <w:pStyle w:val="16"/>
        <w:jc w:val="center"/>
        <w:rPr>
          <w:rFonts w:ascii="Times New Roman" w:hAnsi="Times New Roman" w:eastAsia="楷体"/>
          <w:color w:val="000000" w:themeColor="text1"/>
          <w:sz w:val="36"/>
          <w:szCs w:val="36"/>
          <w:highlight w:val="none"/>
          <w14:textFill>
            <w14:solidFill>
              <w14:schemeClr w14:val="tx1"/>
            </w14:solidFill>
          </w14:textFill>
        </w:rPr>
        <w:sectPr>
          <w:footerReference r:id="rId5" w:type="firs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titlePg/>
          <w:docGrid w:linePitch="312" w:charSpace="0"/>
        </w:sectPr>
      </w:pPr>
    </w:p>
    <w:p>
      <w:pPr>
        <w:pStyle w:val="32"/>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一、建设项目基本情况</w:t>
      </w:r>
    </w:p>
    <w:tbl>
      <w:tblPr>
        <w:tblStyle w:val="3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8"/>
        <w:gridCol w:w="2185"/>
        <w:gridCol w:w="1510"/>
        <w:gridCol w:w="40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建设项目名称</w:t>
            </w:r>
          </w:p>
        </w:tc>
        <w:tc>
          <w:tcPr>
            <w:tcW w:w="7742" w:type="dxa"/>
            <w:gridSpan w:val="3"/>
            <w:vAlign w:val="center"/>
          </w:tcPr>
          <w:p>
            <w:pPr>
              <w:adjustRightInd w:val="0"/>
              <w:snapToGrid w:val="0"/>
              <w:jc w:val="center"/>
              <w:rPr>
                <w:color w:val="000000" w:themeColor="text1"/>
                <w:sz w:val="24"/>
                <w:highlight w:val="none"/>
                <w14:textFill>
                  <w14:solidFill>
                    <w14:schemeClr w14:val="tx1"/>
                  </w14:solidFill>
                </w14:textFill>
              </w:rPr>
            </w:pPr>
            <w:bookmarkStart w:id="1" w:name="OLE_LINK24"/>
            <w:bookmarkStart w:id="2" w:name="OLE_LINK4"/>
            <w:r>
              <w:rPr>
                <w:rFonts w:hint="eastAsia"/>
                <w:color w:val="000000" w:themeColor="text1"/>
                <w:sz w:val="24"/>
                <w:highlight w:val="none"/>
                <w:lang w:val="en-US" w:eastAsia="zh-CN"/>
                <w14:textFill>
                  <w14:solidFill>
                    <w14:schemeClr w14:val="tx1"/>
                  </w14:solidFill>
                </w14:textFill>
              </w:rPr>
              <w:t>山东祺添新材料有限公司</w:t>
            </w:r>
            <w:bookmarkEnd w:id="1"/>
            <w:r>
              <w:rPr>
                <w:rFonts w:hint="eastAsia"/>
                <w:color w:val="000000" w:themeColor="text1"/>
                <w:sz w:val="24"/>
                <w:highlight w:val="none"/>
                <w:lang w:val="en-US" w:eastAsia="zh-CN"/>
                <w14:textFill>
                  <w14:solidFill>
                    <w14:schemeClr w14:val="tx1"/>
                  </w14:solidFill>
                </w14:textFill>
              </w:rPr>
              <w:t>二期厂区实验室建设项目</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项目代码</w:t>
            </w:r>
          </w:p>
        </w:tc>
        <w:tc>
          <w:tcPr>
            <w:tcW w:w="7742" w:type="dxa"/>
            <w:gridSpan w:val="3"/>
            <w:vAlign w:val="center"/>
          </w:tcPr>
          <w:p>
            <w:pPr>
              <w:keepNext w:val="0"/>
              <w:keepLines w:val="0"/>
              <w:widowControl/>
              <w:suppressLineNumbers w:val="0"/>
              <w:jc w:val="center"/>
              <w:rPr>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2502-370829-04-01-373853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建设单位</w:t>
            </w:r>
          </w:p>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联系人</w:t>
            </w:r>
          </w:p>
        </w:tc>
        <w:tc>
          <w:tcPr>
            <w:tcW w:w="2185" w:type="dxa"/>
            <w:vAlign w:val="center"/>
          </w:tcPr>
          <w:p>
            <w:pPr>
              <w:adjustRightInd w:val="0"/>
              <w:snapToGrid w:val="0"/>
              <w:jc w:val="center"/>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杜英慧</w:t>
            </w:r>
          </w:p>
        </w:tc>
        <w:tc>
          <w:tcPr>
            <w:tcW w:w="1510" w:type="dxa"/>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联系方式</w:t>
            </w:r>
          </w:p>
        </w:tc>
        <w:tc>
          <w:tcPr>
            <w:tcW w:w="4047" w:type="dxa"/>
            <w:vAlign w:val="center"/>
          </w:tcPr>
          <w:p>
            <w:pPr>
              <w:adjustRightInd w:val="0"/>
              <w:snapToGrid w:val="0"/>
              <w:jc w:val="center"/>
              <w:rPr>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建设地点</w:t>
            </w:r>
          </w:p>
        </w:tc>
        <w:tc>
          <w:tcPr>
            <w:tcW w:w="7742" w:type="dxa"/>
            <w:gridSpan w:val="3"/>
            <w:vAlign w:val="center"/>
          </w:tcPr>
          <w:p>
            <w:pPr>
              <w:adjustRightInd w:val="0"/>
              <w:snapToGrid w:val="0"/>
              <w:jc w:val="center"/>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山东省济宁市嘉祥化工产业园内，明德路西侧，发展路北侧，山东祺添新材料有限公司二期厂区</w:t>
            </w:r>
            <w:r>
              <w:rPr>
                <w:rFonts w:hint="eastAsia"/>
                <w:color w:val="000000" w:themeColor="text1"/>
                <w:sz w:val="24"/>
                <w:highlight w:val="none"/>
                <w:lang w:val="en-US" w:eastAsia="zh-CN"/>
                <w14:textFill>
                  <w14:solidFill>
                    <w14:schemeClr w14:val="tx1"/>
                  </w14:solidFill>
                </w14:textFill>
              </w:rPr>
              <w:t>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地理坐标</w:t>
            </w:r>
          </w:p>
        </w:tc>
        <w:tc>
          <w:tcPr>
            <w:tcW w:w="7742" w:type="dxa"/>
            <w:gridSpan w:val="3"/>
            <w:vAlign w:val="center"/>
          </w:tcPr>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北纬</w:t>
            </w:r>
            <w:r>
              <w:rPr>
                <w:rFonts w:hint="eastAsia"/>
                <w:color w:val="000000" w:themeColor="text1"/>
                <w:sz w:val="24"/>
                <w:highlight w:val="none"/>
                <w:u w:val="single"/>
                <w:lang w:val="en-US" w:eastAsia="zh-CN"/>
                <w14:textFill>
                  <w14:solidFill>
                    <w14:schemeClr w14:val="tx1"/>
                  </w14:solidFill>
                </w14:textFill>
              </w:rPr>
              <w:t>35</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21</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24.272</w:t>
            </w:r>
            <w:r>
              <w:rPr>
                <w:color w:val="000000" w:themeColor="text1"/>
                <w:sz w:val="24"/>
                <w:highlight w:val="none"/>
                <w14:textFill>
                  <w14:solidFill>
                    <w14:schemeClr w14:val="tx1"/>
                  </w14:solidFill>
                </w14:textFill>
              </w:rPr>
              <w:t>秒，东经</w:t>
            </w:r>
            <w:r>
              <w:rPr>
                <w:color w:val="000000" w:themeColor="text1"/>
                <w:sz w:val="24"/>
                <w:highlight w:val="none"/>
                <w:u w:val="single"/>
                <w14:textFill>
                  <w14:solidFill>
                    <w14:schemeClr w14:val="tx1"/>
                  </w14:solidFill>
                </w14:textFill>
              </w:rPr>
              <w:t>116</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 xml:space="preserve"> 16</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6.700</w:t>
            </w:r>
            <w:r>
              <w:rPr>
                <w:color w:val="000000" w:themeColor="text1"/>
                <w:sz w:val="24"/>
                <w:highlight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国民经济行业类别</w:t>
            </w:r>
          </w:p>
        </w:tc>
        <w:tc>
          <w:tcPr>
            <w:tcW w:w="2185" w:type="dxa"/>
            <w:vAlign w:val="center"/>
          </w:tcPr>
          <w:p>
            <w:pPr>
              <w:adjustRightInd w:val="0"/>
              <w:snapToGrid w:val="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M7452检测服务</w:t>
            </w:r>
          </w:p>
          <w:p>
            <w:pPr>
              <w:adjustRightInd w:val="0"/>
              <w:snapToGrid w:val="0"/>
              <w:jc w:val="center"/>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M7320工程和技术研究和试验发展</w:t>
            </w:r>
          </w:p>
        </w:tc>
        <w:tc>
          <w:tcPr>
            <w:tcW w:w="1510" w:type="dxa"/>
            <w:vAlign w:val="center"/>
          </w:tcPr>
          <w:p>
            <w:pPr>
              <w:adjustRightInd w:val="0"/>
              <w:snapToGrid w:val="0"/>
              <w:jc w:val="center"/>
              <w:rPr>
                <w:color w:val="000000" w:themeColor="text1"/>
                <w:sz w:val="24"/>
                <w:highlight w:val="none"/>
                <w14:textFill>
                  <w14:solidFill>
                    <w14:schemeClr w14:val="tx1"/>
                  </w14:solidFill>
                </w14:textFill>
              </w:rPr>
            </w:pPr>
            <w:bookmarkStart w:id="3" w:name="_Hlk49843745"/>
            <w:r>
              <w:rPr>
                <w:color w:val="000000" w:themeColor="text1"/>
                <w:sz w:val="24"/>
                <w:highlight w:val="none"/>
                <w14:textFill>
                  <w14:solidFill>
                    <w14:schemeClr w14:val="tx1"/>
                  </w14:solidFill>
                </w14:textFill>
              </w:rPr>
              <w:t>建设项目</w:t>
            </w:r>
          </w:p>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bookmarkEnd w:id="3"/>
          </w:p>
        </w:tc>
        <w:tc>
          <w:tcPr>
            <w:tcW w:w="4047" w:type="dxa"/>
            <w:vAlign w:val="center"/>
          </w:tcPr>
          <w:p>
            <w:pPr>
              <w:adjustRightInd w:val="0"/>
              <w:snapToGrid w:val="0"/>
              <w:jc w:val="center"/>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四十五</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研究和试验发展</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98、专业实验室、研发（试验）基地</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中“其他（不产生实验废气、废水、危险废物的除外）”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w:t>
            </w:r>
          </w:p>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性质</w:t>
            </w:r>
          </w:p>
        </w:tc>
        <w:tc>
          <w:tcPr>
            <w:tcW w:w="2185" w:type="dxa"/>
            <w:vAlign w:val="center"/>
          </w:tcPr>
          <w:p>
            <w:pPr>
              <w:jc w:val="left"/>
              <w:rPr>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新建（迁建）</w:t>
            </w:r>
          </w:p>
          <w:p>
            <w:pPr>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□改建</w:t>
            </w:r>
          </w:p>
          <w:p>
            <w:pPr>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□扩建</w:t>
            </w:r>
          </w:p>
          <w:p>
            <w:pPr>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□技术改造</w:t>
            </w:r>
          </w:p>
        </w:tc>
        <w:tc>
          <w:tcPr>
            <w:tcW w:w="1510" w:type="dxa"/>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w:t>
            </w:r>
          </w:p>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申报情形</w:t>
            </w:r>
          </w:p>
        </w:tc>
        <w:tc>
          <w:tcPr>
            <w:tcW w:w="4047" w:type="dxa"/>
            <w:vAlign w:val="center"/>
          </w:tcPr>
          <w:p>
            <w:pPr>
              <w:jc w:val="left"/>
              <w:rPr>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首次申报项目</w:t>
            </w:r>
          </w:p>
          <w:p>
            <w:pPr>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□不予批准后再次申报项目</w:t>
            </w:r>
          </w:p>
          <w:p>
            <w:pPr>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□超五年重新审核项目</w:t>
            </w:r>
          </w:p>
          <w:p>
            <w:pPr>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项目审批（核准/备案）部门</w:t>
            </w:r>
          </w:p>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（选填）</w:t>
            </w:r>
          </w:p>
        </w:tc>
        <w:tc>
          <w:tcPr>
            <w:tcW w:w="2185" w:type="dxa"/>
            <w:vAlign w:val="center"/>
          </w:tcPr>
          <w:p>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嘉祥</w:t>
            </w:r>
            <w:r>
              <w:rPr>
                <w:color w:val="000000" w:themeColor="text1"/>
                <w:sz w:val="24"/>
                <w:highlight w:val="none"/>
                <w14:textFill>
                  <w14:solidFill>
                    <w14:schemeClr w14:val="tx1"/>
                  </w14:solidFill>
                </w14:textFill>
              </w:rPr>
              <w:t>县行政审批服务局</w:t>
            </w:r>
          </w:p>
        </w:tc>
        <w:tc>
          <w:tcPr>
            <w:tcW w:w="1510" w:type="dxa"/>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w:t>
            </w:r>
          </w:p>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（核准/备案）</w:t>
            </w:r>
          </w:p>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文号（选填）</w:t>
            </w:r>
          </w:p>
        </w:tc>
        <w:tc>
          <w:tcPr>
            <w:tcW w:w="4047" w:type="dxa"/>
            <w:vAlign w:val="center"/>
          </w:tcPr>
          <w:p>
            <w:pPr>
              <w:adjustRightInd w:val="0"/>
              <w:snapToGrid w:val="0"/>
              <w:jc w:val="center"/>
              <w:rPr>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2502-370829-04-01-373853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总投资</w:t>
            </w:r>
          </w:p>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（万元）</w:t>
            </w:r>
          </w:p>
        </w:tc>
        <w:tc>
          <w:tcPr>
            <w:tcW w:w="2185" w:type="dxa"/>
            <w:vAlign w:val="center"/>
          </w:tcPr>
          <w:p>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50</w:t>
            </w:r>
            <w:r>
              <w:rPr>
                <w:color w:val="000000" w:themeColor="text1"/>
                <w:sz w:val="24"/>
                <w:highlight w:val="none"/>
                <w14:textFill>
                  <w14:solidFill>
                    <w14:schemeClr w14:val="tx1"/>
                  </w14:solidFill>
                </w14:textFill>
              </w:rPr>
              <w:t>0</w:t>
            </w:r>
          </w:p>
        </w:tc>
        <w:tc>
          <w:tcPr>
            <w:tcW w:w="1510"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环保投资（万元）</w:t>
            </w:r>
          </w:p>
        </w:tc>
        <w:tc>
          <w:tcPr>
            <w:tcW w:w="4047" w:type="dxa"/>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p>
        </w:tc>
        <w:tc>
          <w:tcPr>
            <w:tcW w:w="2185" w:type="dxa"/>
            <w:vAlign w:val="center"/>
          </w:tcPr>
          <w:p>
            <w:pPr>
              <w:adjustRightInd w:val="0"/>
              <w:snapToGrid w:val="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6</w:t>
            </w:r>
          </w:p>
        </w:tc>
        <w:tc>
          <w:tcPr>
            <w:tcW w:w="1510"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4047" w:type="dxa"/>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8"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是否开工建设</w:t>
            </w:r>
          </w:p>
        </w:tc>
        <w:tc>
          <w:tcPr>
            <w:tcW w:w="2185" w:type="dxa"/>
            <w:vAlign w:val="center"/>
          </w:tcPr>
          <w:p>
            <w:pPr>
              <w:adjustRightInd w:val="0"/>
              <w:snapToGrid w:val="0"/>
              <w:rPr>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否</w:t>
            </w:r>
          </w:p>
          <w:p>
            <w:pPr>
              <w:adjustRightInd w:val="0"/>
              <w:snapToGrid w:val="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w:t>
            </w:r>
            <w:r>
              <w:rPr>
                <w:color w:val="000000" w:themeColor="text1"/>
                <w:sz w:val="24"/>
                <w:highlight w:val="none"/>
                <w:u w:val="single"/>
                <w14:textFill>
                  <w14:solidFill>
                    <w14:schemeClr w14:val="tx1"/>
                  </w14:solidFill>
                </w14:textFill>
              </w:rPr>
              <w:t xml:space="preserve">             </w:t>
            </w:r>
          </w:p>
        </w:tc>
        <w:tc>
          <w:tcPr>
            <w:tcW w:w="1510" w:type="dxa"/>
            <w:tcMar>
              <w:top w:w="16" w:type="dxa"/>
              <w:left w:w="16" w:type="dxa"/>
              <w:right w:w="16" w:type="dxa"/>
            </w:tcMar>
            <w:vAlign w:val="center"/>
          </w:tcPr>
          <w:p>
            <w:pPr>
              <w:adjustRightInd w:val="0"/>
              <w:snapToGrid w:val="0"/>
              <w:jc w:val="center"/>
              <w:rPr>
                <w:color w:val="000000" w:themeColor="text1"/>
                <w:spacing w:val="-6"/>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用地（用海）面积（m</w:t>
            </w:r>
            <w:r>
              <w:rPr>
                <w:color w:val="000000" w:themeColor="text1"/>
                <w:spacing w:val="-6"/>
                <w:sz w:val="24"/>
                <w:highlight w:val="none"/>
                <w:vertAlign w:val="superscript"/>
                <w14:textFill>
                  <w14:solidFill>
                    <w14:schemeClr w14:val="tx1"/>
                  </w14:solidFill>
                </w14:textFill>
              </w:rPr>
              <w:t>2</w:t>
            </w:r>
            <w:r>
              <w:rPr>
                <w:color w:val="000000" w:themeColor="text1"/>
                <w:spacing w:val="-6"/>
                <w:sz w:val="24"/>
                <w:highlight w:val="none"/>
                <w14:textFill>
                  <w14:solidFill>
                    <w14:schemeClr w14:val="tx1"/>
                  </w14:solidFill>
                </w14:textFill>
              </w:rPr>
              <w:t>）</w:t>
            </w:r>
          </w:p>
        </w:tc>
        <w:tc>
          <w:tcPr>
            <w:tcW w:w="4047" w:type="dxa"/>
            <w:vAlign w:val="center"/>
          </w:tcPr>
          <w:p>
            <w:pPr>
              <w:adjustRightInd w:val="0"/>
              <w:snapToGrid w:val="0"/>
              <w:jc w:val="center"/>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依托现有办公楼五楼、六楼</w:t>
            </w:r>
          </w:p>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bookmarkStart w:id="4" w:name="OLE_LINK5"/>
            <w:r>
              <w:rPr>
                <w:rFonts w:hint="eastAsia"/>
                <w:color w:val="000000" w:themeColor="text1"/>
                <w:sz w:val="24"/>
                <w:highlight w:val="none"/>
                <w:lang w:val="en-US" w:eastAsia="zh-CN"/>
                <w14:textFill>
                  <w14:solidFill>
                    <w14:schemeClr w14:val="tx1"/>
                  </w14:solidFill>
                </w14:textFill>
              </w:rPr>
              <w:t>每层建筑面积826.88m</w:t>
            </w:r>
            <w:r>
              <w:rPr>
                <w:rFonts w:hint="eastAsia"/>
                <w:color w:val="000000" w:themeColor="text1"/>
                <w:sz w:val="24"/>
                <w:highlight w:val="none"/>
                <w:vertAlign w:val="superscript"/>
                <w:lang w:val="en-US" w:eastAsia="zh-CN"/>
                <w14:textFill>
                  <w14:solidFill>
                    <w14:schemeClr w14:val="tx1"/>
                  </w14:solidFill>
                </w14:textFill>
              </w:rPr>
              <w:t>2</w:t>
            </w:r>
            <w:bookmarkEnd w:id="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8" w:type="dxa"/>
            <w:vAlign w:val="center"/>
          </w:tcPr>
          <w:p>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专项评价设置情况</w:t>
            </w:r>
          </w:p>
        </w:tc>
        <w:tc>
          <w:tcPr>
            <w:tcW w:w="7742"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根据《建设项目环境影响报告表编制技术指南(污染影响类)（试行）》表1专项评价设置原则表：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1、本项目废气排放的污染因子主要为VOC</w:t>
            </w:r>
            <w:r>
              <w:rPr>
                <w:rFonts w:hint="eastAsia"/>
                <w:color w:val="000000" w:themeColor="text1"/>
                <w:sz w:val="24"/>
                <w:highlight w:val="none"/>
                <w:vertAlign w:val="subscript"/>
                <w:lang w:val="en-US" w:eastAsia="zh-CN"/>
                <w14:textFill>
                  <w14:solidFill>
                    <w14:schemeClr w14:val="tx1"/>
                  </w14:solidFill>
                </w14:textFill>
              </w:rPr>
              <w:t>S</w:t>
            </w:r>
            <w:r>
              <w:rPr>
                <w:rFonts w:hint="eastAsia"/>
                <w:color w:val="000000" w:themeColor="text1"/>
                <w:sz w:val="24"/>
                <w:highlight w:val="none"/>
                <w:lang w:val="en-US" w:eastAsia="zh-CN"/>
                <w14:textFill>
                  <w14:solidFill>
                    <w14:schemeClr w14:val="tx1"/>
                  </w14:solidFill>
                </w14:textFill>
              </w:rPr>
              <w:t>、硫酸雾、氯化氢、硝酸雾、氨、涉及有毒有害污染物二氯甲烷、三氯甲烷，不涉及二噁英、苯并[a]芘、氰化物、氯气，厂界外500米范围内无环境空气保护目标，不需要设置大气专项评价。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2、本项目废水经厂区污水处理站处理后排入园区污水管网，经园区污水处理厂</w:t>
            </w:r>
            <w:r>
              <w:rPr>
                <w:rFonts w:hint="default" w:ascii="Times New Roman" w:hAnsi="Times New Roman" w:eastAsia="宋体" w:cs="Times New Roman"/>
                <w:color w:val="000000" w:themeColor="text1"/>
                <w:sz w:val="24"/>
                <w:szCs w:val="24"/>
                <w:highlight w:val="none"/>
                <w14:textFill>
                  <w14:solidFill>
                    <w14:schemeClr w14:val="tx1"/>
                  </w14:solidFill>
                </w14:textFill>
              </w:rPr>
              <w:t>做深度处理</w:t>
            </w:r>
            <w:r>
              <w:rPr>
                <w:rFonts w:hint="eastAsia"/>
                <w:color w:val="000000" w:themeColor="text1"/>
                <w:sz w:val="24"/>
                <w:highlight w:val="none"/>
                <w:lang w:val="en-US" w:eastAsia="zh-CN"/>
                <w14:textFill>
                  <w14:solidFill>
                    <w14:schemeClr w14:val="tx1"/>
                  </w14:solidFill>
                </w14:textFill>
              </w:rPr>
              <w:t>。不属于废水直排项目，不需要设置地表水专项评价。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3、对照《建设项目环境风险评价技术导则》（HJ169-2018）本项目有毒有害和易燃易爆危险物质存储量不超过临界量，不需要设置环境风险专项评价。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4、本项目不属于取水口下游500m范围内有重要的水生生物自然产卵场、索饵场、越冬场和洄游通道新增河道取水的污染类建设项目，不需要设置生态专项评价。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5、本项目不属于直接向海洋排放污染物的海洋工程建设项目，不需要设置海洋专项评价。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综上所述，本项目不需要设置专项评价。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pPr>
              <w:autoSpaceDE w:val="0"/>
              <w:autoSpaceDN w:val="0"/>
              <w:adjustRightInd w:val="0"/>
              <w:snapToGrid w:val="0"/>
              <w:spacing w:line="276" w:lineRule="auto"/>
              <w:jc w:val="center"/>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规划情况</w:t>
            </w:r>
          </w:p>
        </w:tc>
        <w:tc>
          <w:tcPr>
            <w:tcW w:w="7742" w:type="dxa"/>
            <w:gridSpan w:val="3"/>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规划名称</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《嘉祥化工产业园总体发展规划》(2023-2035年)</w:t>
            </w:r>
            <w:r>
              <w:rPr>
                <w:rFonts w:hint="eastAsia"/>
                <w:color w:val="000000" w:themeColor="text1"/>
                <w:sz w:val="24"/>
                <w:highlight w:val="none"/>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审批部门</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嘉祥县人民政府</w:t>
            </w:r>
            <w:r>
              <w:rPr>
                <w:rFonts w:hint="eastAsia"/>
                <w:color w:val="000000" w:themeColor="text1"/>
                <w:sz w:val="24"/>
                <w:highlight w:val="none"/>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批复文号</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嘉政字[2024]23号。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1128" w:type="dxa"/>
            <w:vAlign w:val="center"/>
          </w:tcPr>
          <w:p>
            <w:pPr>
              <w:adjustRightInd w:val="0"/>
              <w:snapToGrid w:val="0"/>
              <w:spacing w:line="276" w:lineRule="auto"/>
              <w:jc w:val="center"/>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规划环境影响评价情况</w:t>
            </w:r>
          </w:p>
        </w:tc>
        <w:tc>
          <w:tcPr>
            <w:tcW w:w="7742"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contextualSpacing/>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文件名称</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《嘉祥化工产业园总体发展规划(2023-2035)环境影响报告书》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contextualSpacing/>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审批部门</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济宁市生态环境局</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contextualSpacing/>
              <w:jc w:val="left"/>
              <w:textAlignment w:val="auto"/>
              <w:rPr>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批复文号</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济环审[2024]8号。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8" w:type="dxa"/>
            <w:vAlign w:val="center"/>
          </w:tcPr>
          <w:p>
            <w:pPr>
              <w:autoSpaceDE w:val="0"/>
              <w:autoSpaceDN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规划及规划环境影响评价符合性分析</w:t>
            </w:r>
          </w:p>
        </w:tc>
        <w:tc>
          <w:tcPr>
            <w:tcW w:w="7742" w:type="dxa"/>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bidi="ar"/>
                <w14:textFill>
                  <w14:solidFill>
                    <w14:schemeClr w14:val="tx1"/>
                  </w14:solidFill>
                </w14:textFill>
              </w:rPr>
              <w:t>一、</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与《嘉祥化工产业园总体发展规划》(2023-2035年)的符合性</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本项目位于山东省济宁市嘉祥化工产业园内，明德路西侧，发展路北侧，山东祺添新材料有限公司二期厂区内</w:t>
            </w:r>
            <w:r>
              <w:rPr>
                <w:rFonts w:hint="eastAsia" w:cs="Times New Roman"/>
                <w:color w:val="000000" w:themeColor="text1"/>
                <w:kern w:val="0"/>
                <w:sz w:val="24"/>
                <w:szCs w:val="24"/>
                <w:highlight w:val="none"/>
                <w:lang w:val="en-US" w:eastAsia="zh-CN" w:bidi="ar"/>
                <w14:textFill>
                  <w14:solidFill>
                    <w14:schemeClr w14:val="tx1"/>
                  </w14:solidFill>
                </w14:textFill>
              </w:rPr>
              <w:t>（地理位置见</w:t>
            </w:r>
            <w:r>
              <w:rPr>
                <w:rFonts w:hint="eastAsia" w:cs="Times New Roman"/>
                <w:b/>
                <w:bCs/>
                <w:i/>
                <w:iCs/>
                <w:color w:val="000000" w:themeColor="text1"/>
                <w:kern w:val="0"/>
                <w:sz w:val="24"/>
                <w:szCs w:val="24"/>
                <w:highlight w:val="none"/>
                <w:lang w:val="en-US" w:eastAsia="zh-CN" w:bidi="ar"/>
                <w14:textFill>
                  <w14:solidFill>
                    <w14:schemeClr w14:val="tx1"/>
                  </w14:solidFill>
                </w14:textFill>
              </w:rPr>
              <w:t>附图1-1</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用地为工业用地，符合该园区规划，嘉祥化工产业园总体规划图见</w:t>
            </w:r>
            <w:r>
              <w:rPr>
                <w:rFonts w:hint="default" w:ascii="Times New Roman" w:hAnsi="Times New Roman" w:eastAsia="宋体" w:cs="Times New Roman"/>
                <w:b/>
                <w:bCs/>
                <w:i/>
                <w:iCs/>
                <w:color w:val="000000" w:themeColor="text1"/>
                <w:kern w:val="0"/>
                <w:sz w:val="24"/>
                <w:szCs w:val="24"/>
                <w:highlight w:val="none"/>
                <w:lang w:val="en-US" w:eastAsia="zh-CN" w:bidi="ar"/>
                <w14:textFill>
                  <w14:solidFill>
                    <w14:schemeClr w14:val="tx1"/>
                  </w14:solidFill>
                </w14:textFill>
              </w:rPr>
              <w:t>附图</w:t>
            </w:r>
            <w:r>
              <w:rPr>
                <w:rFonts w:hint="eastAsia" w:cs="Times New Roman"/>
                <w:b/>
                <w:bCs/>
                <w:i/>
                <w:iCs/>
                <w:color w:val="000000" w:themeColor="text1"/>
                <w:kern w:val="0"/>
                <w:sz w:val="24"/>
                <w:szCs w:val="24"/>
                <w:highlight w:val="none"/>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项目准入条件</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园区应重点引进工艺先进，技术创新，低污染、规模适中、效益好、带动作用强的项目，严禁生产方式落后、产品质量低劣、环境污染严重和能源消耗高的项目进入园区。园区重点围绕国家战略性新兴产业方向，突出规划发展市场需求大、绿色环保、前景好的项目，并能充分体现产业间的深度融合，最大限度地提高产品的附加值。可重点考虑规划相关配套精细化学品和新材料，如动力电池领域气凝胶、碳纳米管，光伏领域PVB及中间膜制品、三氯氢硅等产品项目；高附加值的多功能硅烷产品，补充园区功能性硅烷产品体系；从绿色低碳发展和市场需求角度出发，以生物降解材料为切入点，积极推进园区生物化工产业快速发展，同时保留原规划中医药产业项目，着力培育园区新的增长极。</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企业项目建设必须严格遵守"三同时"制度和环境影响评价制度。新建、改建、扩建的基本建设项目、技术改造项目其防治环境污染和生态破坏的设施，必须与主体工程同时设计、同时施工、同时投产使用；在进行建设活动之前，对建设项目的选址、设计和建成投产使用后可能对周围环境产生的不良影响进行调查、预测和评定，提出防治措施，并按照法定程序进行报批。</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3)入区企业必须承诺采用清洁的工艺和技术，积极开展清洁生产，遵循清洁生产原则进行生产，要求企业不断改进工艺和产品设计、使用清洁的能源和原科、采用先进的工艺技术与设备、改善管理水平、实施废物综合利用，从源头削减污染；发展循环经济，实现废物的“减量化、再利用、再循环</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最大限度提高资源利用效率，切实降低物耗能耗，减少废物的产生量和产生种类；已经获得产品环境标志的企业可获得优先入区权。</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4)对入区企业的工艺废气和生产废水均需建设相关配套处理设施，落实治理工程，确保正常运行，做到达标排放，废水处理设施的设计容量和采用工艺必须与废水特性匹配，对于较难处理的特殊废水，在设施建造前必须经过专家论证方案，以保证废水经预处理后全部达到污水处理厂的进水水质标准。</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5)园区在选择入区企业时应将单位面积土地产值作为一个重要的衡量指标。有意向进入园区的各企业需达到园区规划单位面积土地产值的基本指标。对于产值不高，但占地面积较大的企业，应对其入区进行严格控制。同时，园区应提高存量和闲置土地使用效益。对已取得土地使用权及办理好各项手续但尚未开工建设的项目，必须限定时间要求其开工建设，抑制土地荒芜闲置行为发生；长时间闲置的土地，应依法收回。逐步实现并提高区内土地集约化利用程度。</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表1-1  园区入区行业控制级别一览表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59"/>
              <w:gridCol w:w="2522"/>
              <w:gridCol w:w="1323"/>
              <w:gridCol w:w="21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14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行业</w:t>
                  </w:r>
                </w:p>
              </w:tc>
              <w:tc>
                <w:tcPr>
                  <w:tcW w:w="25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行业分类</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控制级别</w:t>
                  </w:r>
                </w:p>
              </w:tc>
              <w:tc>
                <w:tcPr>
                  <w:tcW w:w="21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b/>
                      <w:bCs/>
                      <w:i w:val="0"/>
                      <w:iCs w:val="0"/>
                      <w:color w:val="000000" w:themeColor="text1"/>
                      <w:kern w:val="0"/>
                      <w:sz w:val="21"/>
                      <w:szCs w:val="21"/>
                      <w:highlight w:val="none"/>
                      <w:u w:val="none"/>
                      <w:lang w:val="en-US" w:eastAsia="zh-CN" w:bidi="ar"/>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C25石油、煤炭及其他燃料加工业</w:t>
                  </w: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C251</w:t>
                  </w:r>
                  <w:r>
                    <w:rPr>
                      <w:rFonts w:hint="default" w:ascii="Times New Roman" w:hAnsi="Times New Roman" w:cs="Times New Roman"/>
                      <w:color w:val="000000" w:themeColor="text1"/>
                      <w:szCs w:val="21"/>
                      <w:highlight w:val="none"/>
                      <w14:textFill>
                        <w14:solidFill>
                          <w14:schemeClr w14:val="tx1"/>
                        </w14:solidFill>
                      </w14:textFill>
                    </w:rPr>
                    <w:t>精炼石油产品制造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C2521炼焦</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▲控制进入</w:t>
                  </w:r>
                </w:p>
              </w:tc>
              <w:tc>
                <w:tcPr>
                  <w:tcW w:w="21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对于</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产品可与园区现状形成上下游关系的循环产业链或可形成产业集群项目经论证后方可准入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C253核燃料加工</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禁止</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进入</w:t>
                  </w:r>
                </w:p>
              </w:tc>
              <w:tc>
                <w:tcPr>
                  <w:tcW w:w="219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C254</w:t>
                  </w:r>
                  <w:r>
                    <w:rPr>
                      <w:rFonts w:hint="default" w:ascii="Times New Roman" w:hAnsi="Times New Roman" w:cs="Times New Roman"/>
                      <w:color w:val="000000" w:themeColor="text1"/>
                      <w:szCs w:val="21"/>
                      <w:highlight w:val="none"/>
                      <w14:textFill>
                        <w14:solidFill>
                          <w14:schemeClr w14:val="tx1"/>
                        </w14:solidFill>
                      </w14:textFill>
                    </w:rPr>
                    <w:t>生物质燃料加工</w:t>
                  </w:r>
                </w:p>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2542生物质致密成型燃料加工除外</w:t>
                  </w:r>
                  <w:r>
                    <w:rPr>
                      <w:rFonts w:hint="eastAsia" w:ascii="Times New Roman" w:hAnsi="Times New Roman" w:cs="Times New Roman"/>
                      <w:color w:val="000000" w:themeColor="text1"/>
                      <w:szCs w:val="21"/>
                      <w:highlight w:val="none"/>
                      <w:lang w:eastAsia="zh-CN"/>
                      <w14:textFill>
                        <w14:solidFill>
                          <w14:schemeClr w14:val="tx1"/>
                        </w14:solidFill>
                      </w14:textFill>
                    </w:rPr>
                    <w:t>）</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C26化学原料和化学制品制造业</w:t>
                  </w: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C261基础化学原料</w:t>
                  </w:r>
                  <w:r>
                    <w:rPr>
                      <w:rFonts w:hint="default" w:ascii="Times New Roman" w:hAnsi="Times New Roman" w:cs="Times New Roman"/>
                      <w:color w:val="000000" w:themeColor="text1"/>
                      <w:sz w:val="21"/>
                      <w:szCs w:val="21"/>
                      <w:highlight w:val="none"/>
                      <w14:textFill>
                        <w14:solidFill>
                          <w14:schemeClr w14:val="tx1"/>
                        </w14:solidFill>
                      </w14:textFill>
                    </w:rPr>
                    <w:t>制造</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不含生产</w:t>
                  </w:r>
                  <w:r>
                    <w:rPr>
                      <w:rFonts w:hint="eastAsia" w:ascii="Times New Roman" w:hAnsi="Times New Roman" w:eastAsia="宋体" w:cs="Times New Roman"/>
                      <w:color w:val="000000" w:themeColor="text1"/>
                      <w:sz w:val="21"/>
                      <w:szCs w:val="21"/>
                      <w:highlight w:val="none"/>
                      <w14:textFill>
                        <w14:solidFill>
                          <w14:schemeClr w14:val="tx1"/>
                        </w14:solidFill>
                      </w14:textFill>
                    </w:rPr>
                    <w:t>氯碱</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纯碱、电石、黄磷的项目</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C262肥料制造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▲控制进入</w:t>
                  </w:r>
                </w:p>
              </w:tc>
              <w:tc>
                <w:tcPr>
                  <w:tcW w:w="219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对于产品可与园区现状形成上下游关系的循环产业链或可形成产业集群并符合上级产业政策的项目，经论证后方可准入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C263农药制造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▲控制进入</w:t>
                  </w:r>
                </w:p>
              </w:tc>
              <w:tc>
                <w:tcPr>
                  <w:tcW w:w="219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C264</w:t>
                  </w:r>
                  <w:r>
                    <w:rPr>
                      <w:rFonts w:hint="default" w:ascii="Times New Roman" w:hAnsi="Times New Roman" w:cs="Times New Roman"/>
                      <w:color w:val="000000" w:themeColor="text1"/>
                      <w:kern w:val="0"/>
                      <w:szCs w:val="21"/>
                      <w:highlight w:val="none"/>
                      <w14:textFill>
                        <w14:solidFill>
                          <w14:schemeClr w14:val="tx1"/>
                        </w14:solidFill>
                      </w14:textFill>
                    </w:rPr>
                    <w:t>涂料、油墨、颜料及类似产品制造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C26</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5合成材料</w:t>
                  </w:r>
                  <w:r>
                    <w:rPr>
                      <w:rFonts w:hint="default" w:ascii="Times New Roman" w:hAnsi="Times New Roman" w:cs="Times New Roman"/>
                      <w:color w:val="000000" w:themeColor="text1"/>
                      <w:kern w:val="0"/>
                      <w:szCs w:val="21"/>
                      <w:highlight w:val="none"/>
                      <w14:textFill>
                        <w14:solidFill>
                          <w14:schemeClr w14:val="tx1"/>
                        </w14:solidFill>
                      </w14:textFill>
                    </w:rPr>
                    <w:t>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★优先进入</w:t>
                  </w:r>
                </w:p>
              </w:tc>
              <w:tc>
                <w:tcPr>
                  <w:tcW w:w="21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C266专用化学产品制造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★优先进入</w:t>
                  </w:r>
                </w:p>
              </w:tc>
              <w:tc>
                <w:tcPr>
                  <w:tcW w:w="21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C267</w:t>
                  </w:r>
                  <w:r>
                    <w:rPr>
                      <w:rFonts w:hint="default" w:ascii="Times New Roman" w:hAnsi="Times New Roman" w:cs="Times New Roman"/>
                      <w:color w:val="000000" w:themeColor="text1"/>
                      <w:kern w:val="0"/>
                      <w:szCs w:val="21"/>
                      <w:highlight w:val="none"/>
                      <w14:textFill>
                        <w14:solidFill>
                          <w14:schemeClr w14:val="tx1"/>
                        </w14:solidFill>
                      </w14:textFill>
                    </w:rPr>
                    <w:t>炸药、火工及焰火产品制造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禁止</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进入</w:t>
                  </w:r>
                </w:p>
              </w:tc>
              <w:tc>
                <w:tcPr>
                  <w:tcW w:w="21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C26</w:t>
                  </w:r>
                  <w:r>
                    <w:rPr>
                      <w:rFonts w:hint="eastAsia" w:ascii="Times New Roman" w:hAnsi="Times New Roman" w:cs="Times New Roman"/>
                      <w:color w:val="000000" w:themeColor="text1"/>
                      <w:szCs w:val="21"/>
                      <w:highlight w:val="none"/>
                      <w:lang w:val="en-US" w:eastAsia="zh-CN"/>
                      <w14:textFill>
                        <w14:solidFill>
                          <w14:schemeClr w14:val="tx1"/>
                        </w14:solidFill>
                      </w14:textFill>
                    </w:rPr>
                    <w:t>8日用化学产品制造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C27</w:t>
                  </w:r>
                  <w:r>
                    <w:rPr>
                      <w:rFonts w:hint="default" w:ascii="Times New Roman" w:hAnsi="Times New Roman" w:cs="Times New Roman"/>
                      <w:bCs/>
                      <w:color w:val="000000" w:themeColor="text1"/>
                      <w:szCs w:val="21"/>
                      <w:highlight w:val="none"/>
                      <w14:textFill>
                        <w14:solidFill>
                          <w14:schemeClr w14:val="tx1"/>
                        </w14:solidFill>
                      </w14:textFill>
                    </w:rPr>
                    <w:t>医药制造业</w:t>
                  </w:r>
                </w:p>
              </w:tc>
              <w:tc>
                <w:tcPr>
                  <w:tcW w:w="25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C271化学药品原料药制造、</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272化学药品制剂制造、C275兽用药品制造、</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C276生物药品制造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C28</w:t>
                  </w:r>
                  <w:r>
                    <w:rPr>
                      <w:rFonts w:hint="default" w:ascii="Times New Roman" w:hAnsi="Times New Roman" w:cs="Times New Roman"/>
                      <w:color w:val="000000" w:themeColor="text1"/>
                      <w:szCs w:val="21"/>
                      <w:highlight w:val="none"/>
                      <w14:textFill>
                        <w14:solidFill>
                          <w14:schemeClr w14:val="tx1"/>
                        </w14:solidFill>
                      </w14:textFill>
                    </w:rPr>
                    <w:t>化学纤维制造业</w:t>
                  </w:r>
                </w:p>
              </w:tc>
              <w:tc>
                <w:tcPr>
                  <w:tcW w:w="25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C28</w:t>
                  </w:r>
                  <w:r>
                    <w:rPr>
                      <w:rFonts w:hint="eastAsia" w:ascii="Times New Roman" w:hAnsi="Times New Roman" w:cs="Times New Roman"/>
                      <w:color w:val="000000" w:themeColor="text1"/>
                      <w:szCs w:val="21"/>
                      <w:highlight w:val="none"/>
                      <w:lang w:val="en-US" w:eastAsia="zh-CN"/>
                      <w14:textFill>
                        <w14:solidFill>
                          <w14:schemeClr w14:val="tx1"/>
                        </w14:solidFill>
                      </w14:textFill>
                    </w:rPr>
                    <w:t>1纤维素纤维原料及纤维</w:t>
                  </w:r>
                  <w:r>
                    <w:rPr>
                      <w:rFonts w:hint="default" w:ascii="Times New Roman" w:hAnsi="Times New Roman" w:cs="Times New Roman"/>
                      <w:color w:val="000000" w:themeColor="text1"/>
                      <w:szCs w:val="21"/>
                      <w:highlight w:val="none"/>
                      <w14:textFill>
                        <w14:solidFill>
                          <w14:schemeClr w14:val="tx1"/>
                        </w14:solidFill>
                      </w14:textFill>
                    </w:rPr>
                    <w:t>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宋体" w:hAnsi="宋体" w:eastAsia="宋体"/>
                      <w:b w:val="0"/>
                      <w:color w:val="000000" w:themeColor="text1"/>
                      <w:spacing w:val="0"/>
                      <w:sz w:val="18"/>
                      <w:szCs w:val="18"/>
                      <w:highlight w:val="none"/>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Cs/>
                      <w:color w:val="000000" w:themeColor="text1"/>
                      <w:szCs w:val="21"/>
                      <w:highlight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C28</w:t>
                  </w:r>
                  <w:r>
                    <w:rPr>
                      <w:rFonts w:hint="eastAsia" w:ascii="Times New Roman" w:hAnsi="Times New Roman" w:cs="Times New Roman"/>
                      <w:color w:val="000000" w:themeColor="text1"/>
                      <w:szCs w:val="21"/>
                      <w:highlight w:val="none"/>
                      <w:lang w:val="en-US" w:eastAsia="zh-CN"/>
                      <w14:textFill>
                        <w14:solidFill>
                          <w14:schemeClr w14:val="tx1"/>
                        </w14:solidFill>
                      </w14:textFill>
                    </w:rPr>
                    <w:t>2合成纤维</w:t>
                  </w:r>
                  <w:r>
                    <w:rPr>
                      <w:rFonts w:hint="default" w:ascii="Times New Roman" w:hAnsi="Times New Roman" w:cs="Times New Roman"/>
                      <w:color w:val="000000" w:themeColor="text1"/>
                      <w:szCs w:val="21"/>
                      <w:highlight w:val="none"/>
                      <w14:textFill>
                        <w14:solidFill>
                          <w14:schemeClr w14:val="tx1"/>
                        </w14:solidFill>
                      </w14:textFill>
                    </w:rPr>
                    <w:t>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宋体" w:hAnsi="宋体" w:eastAsia="宋体"/>
                      <w:b w:val="0"/>
                      <w:color w:val="000000" w:themeColor="text1"/>
                      <w:spacing w:val="0"/>
                      <w:sz w:val="18"/>
                      <w:szCs w:val="18"/>
                      <w:highlight w:val="none"/>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C283生物基</w:t>
                  </w:r>
                  <w:r>
                    <w:rPr>
                      <w:rFonts w:hint="eastAsia" w:ascii="Times New Roman" w:hAnsi="Times New Roman" w:cs="Times New Roman"/>
                      <w:color w:val="000000" w:themeColor="text1"/>
                      <w:szCs w:val="21"/>
                      <w:highlight w:val="none"/>
                      <w:lang w:val="en-US" w:eastAsia="zh-CN"/>
                      <w14:textFill>
                        <w14:solidFill>
                          <w14:schemeClr w14:val="tx1"/>
                        </w14:solidFill>
                      </w14:textFill>
                    </w:rPr>
                    <w:t>材料</w:t>
                  </w:r>
                  <w:r>
                    <w:rPr>
                      <w:rFonts w:hint="default" w:ascii="Times New Roman" w:hAnsi="Times New Roman" w:cs="Times New Roman"/>
                      <w:color w:val="000000" w:themeColor="text1"/>
                      <w:szCs w:val="21"/>
                      <w:highlight w:val="none"/>
                      <w14:textFill>
                        <w14:solidFill>
                          <w14:schemeClr w14:val="tx1"/>
                        </w14:solidFill>
                      </w14:textFill>
                    </w:rPr>
                    <w:t>制造</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C31黑色金属冶炼和压延加工业</w:t>
                  </w: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C31黑色金属冶炼和压延加工业</w:t>
                  </w:r>
                </w:p>
              </w:tc>
              <w:tc>
                <w:tcPr>
                  <w:tcW w:w="13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▲控制进入</w:t>
                  </w:r>
                </w:p>
              </w:tc>
              <w:tc>
                <w:tcPr>
                  <w:tcW w:w="219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仅限园区现状企业技改项目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C42废弃资源综合利用业</w:t>
                  </w:r>
                </w:p>
              </w:tc>
              <w:tc>
                <w:tcPr>
                  <w:tcW w:w="2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C422</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非金属废料和碎屑加工处理</w:t>
                  </w:r>
                </w:p>
              </w:tc>
              <w:tc>
                <w:tcPr>
                  <w:tcW w:w="1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宋体" w:hAnsi="宋体" w:eastAsia="宋体"/>
                      <w:b w:val="0"/>
                      <w:color w:val="000000" w:themeColor="text1"/>
                      <w:spacing w:val="0"/>
                      <w:sz w:val="18"/>
                      <w:szCs w:val="18"/>
                      <w:highlight w:val="none"/>
                      <w14:textFill>
                        <w14:solidFill>
                          <w14:schemeClr w14:val="tx1"/>
                        </w14:solidFill>
                      </w14:textFill>
                    </w:rPr>
                  </w:pPr>
                  <w:r>
                    <w:rPr>
                      <w:rFonts w:ascii="宋体" w:hAnsi="宋体" w:eastAsia="宋体"/>
                      <w:b w:val="0"/>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准许进入</w:t>
                  </w:r>
                </w:p>
              </w:tc>
              <w:tc>
                <w:tcPr>
                  <w:tcW w:w="21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p>
              </w:tc>
            </w:tr>
          </w:tbl>
          <w:p>
            <w:pPr>
              <w:pStyle w:val="94"/>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sz w:val="18"/>
                <w:szCs w:val="18"/>
                <w:highlight w:val="none"/>
                <w14:textFill>
                  <w14:solidFill>
                    <w14:schemeClr w14:val="tx1"/>
                  </w14:solidFill>
                </w14:textFill>
              </w:rPr>
              <w:t>注：★—优先进入行业；●—准许进入行业；▲—控制进入行业；</w:t>
            </w:r>
            <w:r>
              <w:rPr>
                <w:rFonts w:hint="default" w:ascii="Times New Roman" w:hAnsi="Times New Roman" w:eastAsia="宋体" w:cs="Times New Roman"/>
                <w:b/>
                <w:bCs/>
                <w:color w:val="000000" w:themeColor="text1"/>
                <w:spacing w:val="0"/>
                <w:sz w:val="18"/>
                <w:szCs w:val="18"/>
                <w:highlight w:val="none"/>
                <w14:textFill>
                  <w14:solidFill>
                    <w14:schemeClr w14:val="tx1"/>
                  </w14:solidFill>
                </w14:textFill>
              </w:rPr>
              <w:t>×</w:t>
            </w:r>
            <w:r>
              <w:rPr>
                <w:rFonts w:hint="default" w:ascii="Times New Roman" w:hAnsi="Times New Roman" w:eastAsia="宋体" w:cs="Times New Roman"/>
                <w:b w:val="0"/>
                <w:color w:val="000000" w:themeColor="text1"/>
                <w:spacing w:val="0"/>
                <w:sz w:val="18"/>
                <w:szCs w:val="18"/>
                <w:highlight w:val="none"/>
                <w14:textFill>
                  <w14:solidFill>
                    <w14:schemeClr w14:val="tx1"/>
                  </w14:solidFill>
                </w14:textFill>
              </w:rPr>
              <w:t>—禁止进入行业。除上述行业外，其他符合产业定位的行业参照《产业结构调整指导目录》（按国家最新要求）。</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准入条件说明：准许进入及优先进入行业中涉及高耗能、高污染及排放含重金属等难处理生产废水的项目，经具体项目环境影响评价论证，对区域环境影响较小且环保可行的项目方可入园。</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规划提出的园区发展的主导产业，引导园区向可持续的方向良性发展的原则，有利于形成产业的集聚效应，有利于污染物排放的控制，有利于环保设施的正常运行，有利于环境管理。但对于不属于区域主导产业的拟入驻企业，若与规划行业有互补作用，或属于开发区重要项目的下游企业，或属于高品质、高附加值、低污染的企业，或有利于规划区实现循环经济理念和可持续发展，这一类企业若在具体项目环评中经分析与周边规划用地性质不相冲突，不会影响园区规划的实施，建议对该类企业从规划角度不作更多的限制。</w:t>
            </w:r>
          </w:p>
          <w:p>
            <w:pPr>
              <w:pStyle w:val="15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w:t>
            </w:r>
            <w:r>
              <w:rPr>
                <w:rFonts w:hint="eastAsia" w:ascii="Times New Roman" w:hAnsi="Times New Roman" w:cs="Times New Roman"/>
                <w:color w:val="000000" w:themeColor="text1"/>
                <w:sz w:val="24"/>
                <w:szCs w:val="24"/>
                <w:highlight w:val="none"/>
                <w:lang w:eastAsia="zh-CN"/>
                <w14:textFill>
                  <w14:solidFill>
                    <w14:schemeClr w14:val="tx1"/>
                  </w14:solidFill>
                </w14:textFill>
              </w:rPr>
              <w:t>利用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二期厂区</w:t>
            </w:r>
            <w:r>
              <w:rPr>
                <w:rFonts w:hint="eastAsia" w:ascii="Times New Roman" w:hAnsi="Times New Roman" w:cs="Times New Roman"/>
                <w:color w:val="000000" w:themeColor="text1"/>
                <w:sz w:val="24"/>
                <w:szCs w:val="24"/>
                <w:highlight w:val="none"/>
                <w:lang w:eastAsia="zh-CN"/>
                <w14:textFill>
                  <w14:solidFill>
                    <w14:schemeClr w14:val="tx1"/>
                  </w14:solidFill>
                </w14:textFill>
              </w:rPr>
              <w:t>办公楼五楼和六楼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建设</w:t>
            </w:r>
            <w:r>
              <w:rPr>
                <w:rFonts w:hint="default" w:ascii="Times New Roman" w:hAnsi="Times New Roman" w:cs="Times New Roman"/>
                <w:color w:val="000000" w:themeColor="text1"/>
                <w:sz w:val="24"/>
                <w:szCs w:val="24"/>
                <w:highlight w:val="none"/>
                <w14:textFill>
                  <w14:solidFill>
                    <w14:schemeClr w14:val="tx1"/>
                  </w14:solidFill>
                </w14:textFill>
              </w:rPr>
              <w:t>山东祺添新材料有限公司二期厂区实验室建设项目</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本项目实验室主要</w:t>
            </w:r>
            <w:r>
              <w:rPr>
                <w:rFonts w:hint="eastAsia" w:ascii="Times New Roman" w:hAnsi="Times New Roman" w:cs="Times New Roman"/>
                <w:color w:val="000000" w:themeColor="text1"/>
                <w:sz w:val="24"/>
                <w:szCs w:val="24"/>
                <w:highlight w:val="none"/>
                <w:lang w:eastAsia="zh-CN"/>
                <w14:textFill>
                  <w14:solidFill>
                    <w14:schemeClr w14:val="tx1"/>
                  </w14:solidFill>
                </w14:textFill>
              </w:rPr>
              <w:t>用于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企业原料、产品的</w:t>
            </w:r>
            <w:r>
              <w:rPr>
                <w:rFonts w:hint="eastAsia" w:ascii="Times New Roman" w:hAnsi="Times New Roman" w:cs="Times New Roman"/>
                <w:color w:val="000000" w:themeColor="text1"/>
                <w:sz w:val="24"/>
                <w:szCs w:val="24"/>
                <w:highlight w:val="none"/>
                <w:lang w:eastAsia="zh-CN"/>
                <w14:textFill>
                  <w14:solidFill>
                    <w14:schemeClr w14:val="tx1"/>
                  </w14:solidFill>
                </w14:textFill>
              </w:rPr>
              <w:t>测试分析</w:t>
            </w:r>
            <w:r>
              <w:rPr>
                <w:rFonts w:hint="eastAsia"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产品</w:t>
            </w:r>
            <w:r>
              <w:rPr>
                <w:rFonts w:hint="eastAsia" w:ascii="Times New Roman" w:hAnsi="Times New Roman" w:cs="Times New Roman"/>
                <w:color w:val="000000" w:themeColor="text1"/>
                <w:sz w:val="24"/>
                <w:szCs w:val="24"/>
                <w:highlight w:val="none"/>
                <w:lang w:eastAsia="zh-CN"/>
                <w14:textFill>
                  <w14:solidFill>
                    <w14:schemeClr w14:val="tx1"/>
                  </w14:solidFill>
                </w14:textFill>
              </w:rPr>
              <w:t>研发</w:t>
            </w:r>
            <w:r>
              <w:rPr>
                <w:rFonts w:hint="eastAsia" w:cs="Times New Roman"/>
                <w:color w:val="000000" w:themeColor="text1"/>
                <w:sz w:val="24"/>
                <w:szCs w:val="24"/>
                <w:highlight w:val="none"/>
                <w:lang w:val="en-US" w:eastAsia="zh-CN"/>
                <w14:textFill>
                  <w14:solidFill>
                    <w14:schemeClr w14:val="tx1"/>
                  </w14:solidFill>
                </w14:textFill>
              </w:rPr>
              <w:t>小试及工艺优化小试</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办公楼的五楼为化验室，</w:t>
            </w:r>
            <w:r>
              <w:rPr>
                <w:rFonts w:hint="eastAsia" w:ascii="Times New Roman" w:hAnsi="Times New Roman" w:cs="Times New Roman"/>
                <w:color w:val="000000" w:themeColor="text1"/>
                <w:sz w:val="24"/>
                <w:szCs w:val="24"/>
                <w:highlight w:val="none"/>
                <w:lang w:eastAsia="zh-CN"/>
                <w14:textFill>
                  <w14:solidFill>
                    <w14:schemeClr w14:val="tx1"/>
                  </w14:solidFill>
                </w14:textFill>
              </w:rPr>
              <w:t>主要用于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企业原料、产品的</w:t>
            </w:r>
            <w:r>
              <w:rPr>
                <w:rFonts w:hint="eastAsia" w:ascii="Times New Roman" w:hAnsi="Times New Roman" w:cs="Times New Roman"/>
                <w:color w:val="000000" w:themeColor="text1"/>
                <w:sz w:val="24"/>
                <w:szCs w:val="24"/>
                <w:highlight w:val="none"/>
                <w:lang w:eastAsia="zh-CN"/>
                <w14:textFill>
                  <w14:solidFill>
                    <w14:schemeClr w14:val="tx1"/>
                  </w14:solidFill>
                </w14:textFill>
              </w:rPr>
              <w:t>测试分析，</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仅服务企业内部</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；办公楼的六楼为研发室，主要进行锂电池电解液添加剂和功能有机硅材料产品创新研发</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小试</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及工艺优化。</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w:t>
            </w:r>
            <w:r>
              <w:rPr>
                <w:rFonts w:hint="eastAsia" w:ascii="Times New Roman" w:hAnsi="Times New Roman" w:cs="Times New Roman"/>
                <w:color w:val="000000" w:themeColor="text1"/>
                <w:sz w:val="24"/>
                <w:szCs w:val="24"/>
                <w:highlight w:val="none"/>
                <w:lang w:eastAsia="zh-CN"/>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属于M7452检测服务、M7320工程和技术研究和试验发展，为企业配套工程，不在园区禁止进入行业内，为允许进入行业，符合园区行业准入要求。</w:t>
            </w:r>
          </w:p>
          <w:p>
            <w:pPr>
              <w:pStyle w:val="15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w:t>
            </w:r>
            <w:r>
              <w:rPr>
                <w:rFonts w:hint="eastAsia" w:ascii="Times New Roman" w:hAnsi="Times New Roman" w:cs="Times New Roman"/>
                <w:color w:val="000000" w:themeColor="text1"/>
                <w:sz w:val="24"/>
                <w:szCs w:val="24"/>
                <w:highlight w:val="none"/>
                <w:lang w:eastAsia="zh-CN"/>
                <w14:textFill>
                  <w14:solidFill>
                    <w14:schemeClr w14:val="tx1"/>
                  </w14:solidFill>
                </w14:textFill>
              </w:rPr>
              <w:t>利用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二期厂区</w:t>
            </w:r>
            <w:r>
              <w:rPr>
                <w:rFonts w:hint="eastAsia" w:ascii="Times New Roman" w:hAnsi="Times New Roman" w:cs="Times New Roman"/>
                <w:color w:val="000000" w:themeColor="text1"/>
                <w:sz w:val="24"/>
                <w:szCs w:val="24"/>
                <w:highlight w:val="none"/>
                <w:lang w:eastAsia="zh-CN"/>
                <w14:textFill>
                  <w14:solidFill>
                    <w14:schemeClr w14:val="tx1"/>
                  </w14:solidFill>
                </w14:textFill>
              </w:rPr>
              <w:t>办公楼五楼和六楼，</w:t>
            </w:r>
            <w:r>
              <w:rPr>
                <w:rFonts w:hint="default" w:ascii="Times New Roman" w:hAnsi="Times New Roman" w:cs="Times New Roman"/>
                <w:color w:val="000000" w:themeColor="text1"/>
                <w:sz w:val="24"/>
                <w:szCs w:val="24"/>
                <w:highlight w:val="none"/>
                <w14:textFill>
                  <w14:solidFill>
                    <w14:schemeClr w14:val="tx1"/>
                  </w14:solidFill>
                </w14:textFill>
              </w:rPr>
              <w:t>不会影响园区规划的实施；项目生活污水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和生产</w:t>
            </w:r>
            <w:r>
              <w:rPr>
                <w:rFonts w:hint="default" w:ascii="Times New Roman" w:hAnsi="Times New Roman" w:cs="Times New Roman"/>
                <w:color w:val="000000" w:themeColor="text1"/>
                <w:sz w:val="24"/>
                <w:szCs w:val="24"/>
                <w:highlight w:val="none"/>
                <w14:textFill>
                  <w14:solidFill>
                    <w14:schemeClr w14:val="tx1"/>
                  </w14:solidFill>
                </w14:textFill>
              </w:rPr>
              <w:t>废水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经厂区污水处理站处理后</w:t>
            </w:r>
            <w:r>
              <w:rPr>
                <w:rFonts w:hint="default" w:ascii="Times New Roman" w:hAnsi="Times New Roman" w:cs="Times New Roman"/>
                <w:color w:val="000000" w:themeColor="text1"/>
                <w:sz w:val="24"/>
                <w:szCs w:val="24"/>
                <w:highlight w:val="none"/>
                <w14:textFill>
                  <w14:solidFill>
                    <w14:schemeClr w14:val="tx1"/>
                  </w14:solidFill>
                </w14:textFill>
              </w:rPr>
              <w:t>通过一企一管排入园区污水处理厂进行深度处理；项目生产设备和工艺不属于限制和淘汰</w:t>
            </w:r>
            <w:r>
              <w:rPr>
                <w:rFonts w:hint="default" w:ascii="Times New Roman" w:hAnsi="Times New Roman" w:cs="Times New Roman"/>
                <w:color w:val="000000" w:themeColor="text1"/>
                <w:spacing w:val="4"/>
                <w:sz w:val="24"/>
                <w:szCs w:val="24"/>
                <w:highlight w:val="none"/>
                <w14:textFill>
                  <w14:solidFill>
                    <w14:schemeClr w14:val="tx1"/>
                  </w14:solidFill>
                </w14:textFill>
              </w:rPr>
              <w:t>类，符合国家产业政策要求；项目有机废气采</w:t>
            </w:r>
            <w:r>
              <w:rPr>
                <w:rFonts w:hint="default" w:ascii="Times New Roman" w:hAnsi="Times New Roman" w:cs="Times New Roman"/>
                <w:color w:val="000000" w:themeColor="text1"/>
                <w:spacing w:val="3"/>
                <w:sz w:val="24"/>
                <w:szCs w:val="24"/>
                <w:highlight w:val="none"/>
                <w14:textFill>
                  <w14:solidFill>
                    <w14:schemeClr w14:val="tx1"/>
                  </w14:solidFill>
                </w14:textFill>
              </w:rPr>
              <w:t>用活性炭吸附装置</w:t>
            </w:r>
            <w:r>
              <w:rPr>
                <w:rFonts w:hint="default" w:ascii="Times New Roman" w:hAnsi="Times New Roman" w:cs="Times New Roman"/>
                <w:color w:val="000000" w:themeColor="text1"/>
                <w:spacing w:val="4"/>
                <w:sz w:val="24"/>
                <w:szCs w:val="24"/>
                <w:highlight w:val="none"/>
                <w14:textFill>
                  <w14:solidFill>
                    <w14:schemeClr w14:val="tx1"/>
                  </w14:solidFill>
                </w14:textFill>
              </w:rPr>
              <w:t>处理，处</w:t>
            </w:r>
            <w:r>
              <w:rPr>
                <w:rFonts w:hint="default" w:ascii="Times New Roman" w:hAnsi="Times New Roman" w:cs="Times New Roman"/>
                <w:color w:val="000000" w:themeColor="text1"/>
                <w:spacing w:val="3"/>
                <w:sz w:val="24"/>
                <w:szCs w:val="24"/>
                <w:highlight w:val="none"/>
                <w14:textFill>
                  <w14:solidFill>
                    <w14:schemeClr w14:val="tx1"/>
                  </w14:solidFill>
                </w14:textFill>
              </w:rPr>
              <w:t>理后达标外排；</w:t>
            </w:r>
            <w:r>
              <w:rPr>
                <w:rFonts w:hint="default" w:ascii="Times New Roman" w:hAnsi="Times New Roman" w:cs="Times New Roman"/>
                <w:color w:val="000000" w:themeColor="text1"/>
                <w:sz w:val="24"/>
                <w:szCs w:val="24"/>
                <w:highlight w:val="none"/>
                <w14:textFill>
                  <w14:solidFill>
                    <w14:schemeClr w14:val="tx1"/>
                  </w14:solidFill>
                </w14:textFill>
              </w:rPr>
              <w:t>本项目不涉及剧毒、重金属、放射性废水，</w:t>
            </w:r>
            <w:r>
              <w:rPr>
                <w:rFonts w:hint="default" w:ascii="Times New Roman" w:hAnsi="Times New Roman" w:cs="Times New Roman"/>
                <w:color w:val="000000" w:themeColor="text1"/>
                <w:spacing w:val="-1"/>
                <w:sz w:val="24"/>
                <w:szCs w:val="24"/>
                <w:highlight w:val="none"/>
                <w14:textFill>
                  <w14:solidFill>
                    <w14:schemeClr w14:val="tx1"/>
                  </w14:solidFill>
                </w14:textFill>
              </w:rPr>
              <w:t>本项目符合园区行业准入</w:t>
            </w:r>
            <w:r>
              <w:rPr>
                <w:rFonts w:hint="default" w:ascii="Times New Roman" w:hAnsi="Times New Roman" w:cs="Times New Roman"/>
                <w:color w:val="000000" w:themeColor="text1"/>
                <w:spacing w:val="-2"/>
                <w:sz w:val="24"/>
                <w:szCs w:val="24"/>
                <w:highlight w:val="none"/>
                <w14:textFill>
                  <w14:solidFill>
                    <w14:schemeClr w14:val="tx1"/>
                  </w14:solidFill>
                </w14:textFill>
              </w:rPr>
              <w:t>要求。</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eastAsia" w:cs="Times New Roman"/>
                <w:b/>
                <w:bCs/>
                <w:color w:val="000000" w:themeColor="text1"/>
                <w:kern w:val="0"/>
                <w:sz w:val="24"/>
                <w:szCs w:val="24"/>
                <w:highlight w:val="none"/>
                <w:lang w:val="en-US" w:eastAsia="zh-CN" w:bidi="ar"/>
                <w14:textFill>
                  <w14:solidFill>
                    <w14:schemeClr w14:val="tx1"/>
                  </w14:solidFill>
                </w14:textFill>
              </w:rPr>
              <w:t>二、</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与《嘉祥化工产业园总体发展规划(2023-2035年)环境影响报告书》</w:t>
            </w:r>
            <w:r>
              <w:rPr>
                <w:rFonts w:hint="eastAsia" w:cs="Times New Roman"/>
                <w:b/>
                <w:bCs/>
                <w:color w:val="000000" w:themeColor="text1"/>
                <w:kern w:val="0"/>
                <w:sz w:val="24"/>
                <w:szCs w:val="24"/>
                <w:highlight w:val="none"/>
                <w:lang w:val="en-US" w:eastAsia="zh-CN" w:bidi="ar"/>
                <w14:textFill>
                  <w14:solidFill>
                    <w14:schemeClr w14:val="tx1"/>
                  </w14:solidFill>
                </w14:textFill>
              </w:rPr>
              <w:t>审查意见</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的符合性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2024年7月22日济宁市生态环境局出具了关于《嘉祥化工产业园总体发展规划(2023-2035年)环境影响报告书》的审查意见</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济环审[2024]8号</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见附件</w:t>
            </w:r>
            <w:r>
              <w:rPr>
                <w:rFonts w:hint="eastAsia" w:cs="Times New Roman"/>
                <w:color w:val="000000" w:themeColor="text1"/>
                <w:kern w:val="0"/>
                <w:sz w:val="24"/>
                <w:szCs w:val="24"/>
                <w:highlight w:val="none"/>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其符合性分析如下：</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表1-2  与规划环评审查意见符合性分析一览表</w:t>
            </w:r>
          </w:p>
          <w:tbl>
            <w:tblPr>
              <w:tblStyle w:val="37"/>
              <w:tblW w:w="7547" w:type="dxa"/>
              <w:tblInd w:w="-11"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762"/>
              <w:gridCol w:w="1928"/>
              <w:gridCol w:w="85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762" w:type="dxa"/>
                  <w:vAlign w:val="center"/>
                </w:tcPr>
                <w:p>
                  <w:pPr>
                    <w:keepNext w:val="0"/>
                    <w:keepLines w:val="0"/>
                    <w:widowControl/>
                    <w:suppressLineNumbers w:val="0"/>
                    <w:jc w:val="center"/>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审查意见内容</w:t>
                  </w:r>
                </w:p>
              </w:tc>
              <w:tc>
                <w:tcPr>
                  <w:tcW w:w="1928" w:type="dxa"/>
                  <w:vAlign w:val="center"/>
                </w:tcPr>
                <w:p>
                  <w:pPr>
                    <w:keepNext w:val="0"/>
                    <w:keepLines w:val="0"/>
                    <w:widowControl/>
                    <w:suppressLineNumbers w:val="0"/>
                    <w:jc w:val="center"/>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本项目情况</w:t>
                  </w:r>
                </w:p>
              </w:tc>
              <w:tc>
                <w:tcPr>
                  <w:tcW w:w="857" w:type="dxa"/>
                  <w:vAlign w:val="center"/>
                </w:tcPr>
                <w:p>
                  <w:pPr>
                    <w:keepNext w:val="0"/>
                    <w:keepLines w:val="0"/>
                    <w:widowControl/>
                    <w:suppressLineNumbers w:val="0"/>
                    <w:jc w:val="center"/>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762" w:type="dxa"/>
                  <w:vAlign w:val="center"/>
                </w:tcPr>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认真贯彻《中共中央办公厅国务院办公厅&lt;关于加强生态环境分区管控的意见&gt;》《中共中央、国务院关于完整准确全面贯彻新发展理念做好碳达峰碳中和工作的意见》《山东省“十四五”生态环境保护规划》等文件要求，落实国家、省关于碳达峰碳中和等相关政策，切实推动园区生态环境高水平保护和经济高质量发展。</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2.严格执行法定上位规划。根据上位规划的变化情况适时调整园区规划，并及时开展规划环境影响评价工作。</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3.严格落实“三线一单”生态环境分区管控要求，按照生态环境准入清单筛选入区项目，合理布局新入园企业，提高土地开发强度，集约节约使用土地。</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4.推动减污降碳协同共治，引导企业持续降低碳排放强度，进一步降低园区单位工业增加值能耗和水耗等指标。</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5.加快推进园区集中供水系统建设，严格控制取用地下水。完善园区雨污水管网建设，认真落实《山东省深入打好碧水保卫战行动计划</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(2021-2025年)》要求。</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结合环境质量改善目标、污染防治方案、减排任务等：制定园区污染物减排方案并落实。对涉及新增污染物排放的入区项目，依法依规落实污染物替代要求。大力推进企业VOCs、工业粉尘治理，严格执行行业标准或无组织排放标准控制要求，实现全流程、全环节达标排放。</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7.落实固体废物环境管理制度，强化工业企业一般固体废物和危险废物的贮存、转移及处置等环节的管理。</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8.健全园区环境管理机构，完善有效的环境监测体系：提高环境管理水平，强化日常环境监管，发现违法违规问题及时依法依规处理处置。</w:t>
                  </w:r>
                </w:p>
                <w:p>
                  <w:pPr>
                    <w:keepNext w:val="0"/>
                    <w:keepLines w:val="0"/>
                    <w:widowControl/>
                    <w:suppressLineNumbers w:val="0"/>
                    <w:jc w:val="left"/>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9.健全园区环境风险防控体系，强化“企业-园区-政府”环境管理联动，定期组织应急演练。督促指导入区企业</w:t>
                  </w:r>
                </w:p>
              </w:tc>
              <w:tc>
                <w:tcPr>
                  <w:tcW w:w="1928" w:type="dxa"/>
                  <w:vAlign w:val="center"/>
                </w:tcPr>
                <w:p>
                  <w:pPr>
                    <w:keepNext w:val="0"/>
                    <w:keepLines w:val="0"/>
                    <w:widowControl/>
                    <w:suppressLineNumbers w:val="0"/>
                    <w:jc w:val="left"/>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本项目不属于两高项目；项目位于嘉祥化工产业园内，符合《嘉祥县国土空间总体规划》(2021-2035年)</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本项目供水由园区供水管网提供；项目有机废气采用活性炭吸附装置处理，处理后达标外排；项目生活污水</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及生产</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废水</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经厂区污水处理站处理后</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通过一企一管排入园区污水处理厂进行深度处理；本项目一般固体废物进行外售综合利用，危险废物暂存危废库，</w:t>
                  </w:r>
                  <w:r>
                    <w:rPr>
                      <w:rFonts w:hint="eastAsia" w:cs="Times New Roman"/>
                      <w:color w:val="000000" w:themeColor="text1"/>
                      <w:kern w:val="0"/>
                      <w:sz w:val="21"/>
                      <w:szCs w:val="21"/>
                      <w:highlight w:val="none"/>
                      <w:lang w:val="en-US" w:eastAsia="zh-CN" w:bidi="ar"/>
                      <w14:textFill>
                        <w14:solidFill>
                          <w14:schemeClr w14:val="tx1"/>
                        </w14:solidFill>
                      </w14:textFill>
                    </w:rPr>
                    <w:t>焚烧处置</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，生活垃圾交由环卫部门处理</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；企业应急预案</w:t>
                  </w:r>
                  <w:r>
                    <w:rPr>
                      <w:rFonts w:hint="eastAsia" w:cs="Times New Roman"/>
                      <w:color w:val="000000" w:themeColor="text1"/>
                      <w:kern w:val="0"/>
                      <w:sz w:val="21"/>
                      <w:szCs w:val="21"/>
                      <w:highlight w:val="none"/>
                      <w:lang w:val="en-US" w:eastAsia="zh-CN" w:bidi="ar"/>
                      <w14:textFill>
                        <w14:solidFill>
                          <w14:schemeClr w14:val="tx1"/>
                        </w14:solidFill>
                      </w14:textFill>
                    </w:rPr>
                    <w:t>应</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加入本项目内容</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并与园区联动；本项目制定了监测方案，定期对废气、噪声、废水、等进行例行监测</w:t>
                  </w:r>
                  <w:r>
                    <w:rPr>
                      <w:rFonts w:hint="eastAsia" w:cs="Times New Roman"/>
                      <w:color w:val="000000" w:themeColor="text1"/>
                      <w:kern w:val="0"/>
                      <w:sz w:val="21"/>
                      <w:szCs w:val="21"/>
                      <w:highlight w:val="none"/>
                      <w:lang w:val="en-US" w:eastAsia="zh-CN" w:bidi="ar"/>
                      <w14:textFill>
                        <w14:solidFill>
                          <w14:schemeClr w14:val="tx1"/>
                        </w14:solidFill>
                      </w14:textFill>
                    </w:rPr>
                    <w:t>。</w:t>
                  </w:r>
                </w:p>
              </w:tc>
              <w:tc>
                <w:tcPr>
                  <w:tcW w:w="857" w:type="dxa"/>
                  <w:vAlign w:val="center"/>
                </w:tcPr>
                <w:p>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eastAsia="宋体"/>
                <w:bCs/>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根据上表分析，本项目符合规划环评审查意见要求。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pPr>
              <w:autoSpaceDE w:val="0"/>
              <w:autoSpaceDN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其他符合性分析</w:t>
            </w:r>
          </w:p>
        </w:tc>
        <w:tc>
          <w:tcPr>
            <w:tcW w:w="7742" w:type="dxa"/>
            <w:gridSpan w:val="3"/>
            <w:vAlign w:val="center"/>
          </w:tcPr>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lang w:val="zh-CN"/>
                <w14:textFill>
                  <w14:solidFill>
                    <w14:schemeClr w14:val="tx1"/>
                  </w14:solidFill>
                </w14:textFill>
              </w:rPr>
              <w:t>1、</w:t>
            </w:r>
            <w:r>
              <w:rPr>
                <w:b/>
                <w:color w:val="000000" w:themeColor="text1"/>
                <w:sz w:val="24"/>
                <w:highlight w:val="none"/>
                <w14:textFill>
                  <w14:solidFill>
                    <w14:schemeClr w14:val="tx1"/>
                  </w14:solidFill>
                </w14:textFill>
              </w:rPr>
              <w:t>产业政策</w:t>
            </w:r>
            <w:r>
              <w:rPr>
                <w:rFonts w:hint="eastAsia"/>
                <w:b/>
                <w:color w:val="000000" w:themeColor="text1"/>
                <w:sz w:val="24"/>
                <w:highlight w:val="none"/>
                <w:lang w:val="en-US" w:eastAsia="zh-CN"/>
                <w14:textFill>
                  <w14:solidFill>
                    <w14:schemeClr w14:val="tx1"/>
                  </w14:solidFill>
                </w14:textFill>
              </w:rPr>
              <w:t>符合</w:t>
            </w:r>
            <w:r>
              <w:rPr>
                <w:b/>
                <w:color w:val="000000" w:themeColor="text1"/>
                <w:sz w:val="24"/>
                <w:highlight w:val="none"/>
                <w14:textFill>
                  <w14:solidFill>
                    <w14:schemeClr w14:val="tx1"/>
                  </w14:solidFill>
                </w14:textFill>
              </w:rPr>
              <w:t>性</w:t>
            </w:r>
          </w:p>
          <w:p>
            <w:pPr>
              <w:spacing w:line="360" w:lineRule="auto"/>
              <w:ind w:firstLine="480" w:firstLineChars="200"/>
              <w:rPr>
                <w:bCs/>
                <w:color w:val="000000" w:themeColor="text1"/>
                <w:sz w:val="24"/>
                <w:highlight w:val="none"/>
                <w14:textFill>
                  <w14:solidFill>
                    <w14:schemeClr w14:val="tx1"/>
                  </w14:solidFill>
                </w14:textFill>
              </w:rPr>
            </w:pPr>
            <w:bookmarkStart w:id="5" w:name="OLE_LINK23"/>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w:t>
            </w:r>
            <w:r>
              <w:rPr>
                <w:rFonts w:hint="eastAsia" w:ascii="Times New Roman" w:hAnsi="Times New Roman" w:cs="Times New Roman"/>
                <w:color w:val="000000" w:themeColor="text1"/>
                <w:sz w:val="24"/>
                <w:szCs w:val="24"/>
                <w:highlight w:val="none"/>
                <w:lang w:eastAsia="zh-CN"/>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建设的实验室</w:t>
            </w:r>
            <w:r>
              <w:rPr>
                <w:rFonts w:hint="eastAsia" w:ascii="Times New Roman" w:hAnsi="Times New Roman" w:cs="Times New Roman"/>
                <w:color w:val="000000" w:themeColor="text1"/>
                <w:sz w:val="24"/>
                <w:szCs w:val="24"/>
                <w:highlight w:val="none"/>
                <w:lang w:eastAsia="zh-CN"/>
                <w14:textFill>
                  <w14:solidFill>
                    <w14:schemeClr w14:val="tx1"/>
                  </w14:solidFill>
                </w14:textFill>
              </w:rPr>
              <w:t>主要用于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企业原料、产品的</w:t>
            </w:r>
            <w:r>
              <w:rPr>
                <w:rFonts w:hint="eastAsia" w:ascii="Times New Roman" w:hAnsi="Times New Roman" w:cs="Times New Roman"/>
                <w:color w:val="000000" w:themeColor="text1"/>
                <w:sz w:val="24"/>
                <w:szCs w:val="24"/>
                <w:highlight w:val="none"/>
                <w:lang w:eastAsia="zh-CN"/>
                <w14:textFill>
                  <w14:solidFill>
                    <w14:schemeClr w14:val="tx1"/>
                  </w14:solidFill>
                </w14:textFill>
              </w:rPr>
              <w:t>测试分析</w:t>
            </w:r>
            <w:r>
              <w:rPr>
                <w:rFonts w:hint="eastAsia"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产品</w:t>
            </w:r>
            <w:r>
              <w:rPr>
                <w:rFonts w:hint="eastAsia" w:ascii="Times New Roman" w:hAnsi="Times New Roman" w:cs="Times New Roman"/>
                <w:color w:val="000000" w:themeColor="text1"/>
                <w:sz w:val="24"/>
                <w:szCs w:val="24"/>
                <w:highlight w:val="none"/>
                <w:lang w:eastAsia="zh-CN"/>
                <w14:textFill>
                  <w14:solidFill>
                    <w14:schemeClr w14:val="tx1"/>
                  </w14:solidFill>
                </w14:textFill>
              </w:rPr>
              <w:t>研发</w:t>
            </w:r>
            <w:r>
              <w:rPr>
                <w:rFonts w:hint="eastAsia" w:cs="Times New Roman"/>
                <w:color w:val="000000" w:themeColor="text1"/>
                <w:sz w:val="24"/>
                <w:szCs w:val="24"/>
                <w:highlight w:val="none"/>
                <w:lang w:val="en-US" w:eastAsia="zh-CN"/>
                <w14:textFill>
                  <w14:solidFill>
                    <w14:schemeClr w14:val="tx1"/>
                  </w14:solidFill>
                </w14:textFill>
              </w:rPr>
              <w:t>小试及工艺优化小试</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bookmarkEnd w:id="5"/>
            <w:r>
              <w:rPr>
                <w:bCs/>
                <w:color w:val="000000" w:themeColor="text1"/>
                <w:sz w:val="24"/>
                <w:highlight w:val="none"/>
                <w14:textFill>
                  <w14:solidFill>
                    <w14:schemeClr w14:val="tx1"/>
                  </w14:solidFill>
                </w14:textFill>
              </w:rPr>
              <w:t>对照国家发展改革委《产业结构调整指导目录（2024年本）》，</w:t>
            </w:r>
            <w:r>
              <w:rPr>
                <w:rFonts w:hint="eastAsia"/>
                <w:bCs/>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不属于鼓励类、限制类及淘汰类项目，属于允许建设项目</w:t>
            </w:r>
            <w:r>
              <w:rPr>
                <w:rFonts w:hint="eastAsia"/>
                <w:bCs/>
                <w:color w:val="000000" w:themeColor="text1"/>
                <w:sz w:val="24"/>
                <w:highlight w:val="none"/>
                <w:lang w:val="en-US" w:eastAsia="zh-CN"/>
                <w14:textFill>
                  <w14:solidFill>
                    <w14:schemeClr w14:val="tx1"/>
                  </w14:solidFill>
                </w14:textFill>
              </w:rPr>
              <w:t>。</w:t>
            </w:r>
            <w:r>
              <w:rPr>
                <w:bCs/>
                <w:color w:val="000000" w:themeColor="text1"/>
                <w:sz w:val="24"/>
                <w:highlight w:val="none"/>
                <w14:textFill>
                  <w14:solidFill>
                    <w14:schemeClr w14:val="tx1"/>
                  </w14:solidFill>
                </w14:textFill>
              </w:rPr>
              <w:t>本项目已在</w:t>
            </w:r>
            <w:r>
              <w:rPr>
                <w:rFonts w:hint="eastAsia"/>
                <w:bCs/>
                <w:color w:val="000000" w:themeColor="text1"/>
                <w:sz w:val="24"/>
                <w:highlight w:val="none"/>
                <w14:textFill>
                  <w14:solidFill>
                    <w14:schemeClr w14:val="tx1"/>
                  </w14:solidFill>
                </w14:textFill>
              </w:rPr>
              <w:t>山东省投资项目在线审批监管平台进行登记，项目代码：2502-370829-04-01-373853。</w:t>
            </w:r>
            <w:r>
              <w:rPr>
                <w:bCs/>
                <w:color w:val="000000" w:themeColor="text1"/>
                <w:sz w:val="24"/>
                <w:highlight w:val="none"/>
                <w14:textFill>
                  <w14:solidFill>
                    <w14:schemeClr w14:val="tx1"/>
                  </w14:solidFill>
                </w14:textFill>
              </w:rPr>
              <w:t>符合国家现行产业政策的要求，且符合国家有关法律、法规和政策规定。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000000" w:themeColor="text1"/>
                <w:kern w:val="0"/>
                <w:sz w:val="24"/>
                <w:szCs w:val="24"/>
                <w:highlight w:val="none"/>
                <w14:textFill>
                  <w14:solidFill>
                    <w14:schemeClr w14:val="tx1"/>
                  </w14:solidFill>
                </w14:textFill>
              </w:rPr>
            </w:pPr>
            <w:r>
              <w:rPr>
                <w:rFonts w:hint="eastAsia"/>
                <w:b/>
                <w:bCs/>
                <w:color w:val="000000" w:themeColor="text1"/>
                <w:kern w:val="0"/>
                <w:sz w:val="24"/>
                <w:szCs w:val="24"/>
                <w:highlight w:val="none"/>
                <w14:textFill>
                  <w14:solidFill>
                    <w14:schemeClr w14:val="tx1"/>
                  </w14:solidFill>
                </w14:textFill>
              </w:rPr>
              <w:t>2、项目与《环境保护综合名录（2021）年版》符合性分析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szCs w:val="24"/>
                <w:highlight w:val="none"/>
                <w14:textFill>
                  <w14:solidFill>
                    <w14:schemeClr w14:val="tx1"/>
                  </w14:solidFill>
                </w14:textFill>
              </w:rPr>
            </w:pPr>
            <w:r>
              <w:rPr>
                <w:rFonts w:hint="eastAsia"/>
                <w:color w:val="000000" w:themeColor="text1"/>
                <w:kern w:val="0"/>
                <w:sz w:val="24"/>
                <w:szCs w:val="24"/>
                <w:highlight w:val="none"/>
                <w14:textFill>
                  <w14:solidFill>
                    <w14:schemeClr w14:val="tx1"/>
                  </w14:solidFill>
                </w14:textFill>
              </w:rPr>
              <w:t>根据与《环境保护综合名录（2021）年版》对照分析，</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w:t>
            </w:r>
            <w:r>
              <w:rPr>
                <w:rFonts w:hint="eastAsia" w:ascii="Times New Roman" w:hAnsi="Times New Roman" w:cs="Times New Roman"/>
                <w:color w:val="000000" w:themeColor="text1"/>
                <w:sz w:val="24"/>
                <w:szCs w:val="24"/>
                <w:highlight w:val="none"/>
                <w:lang w:eastAsia="zh-CN"/>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建设的实验室</w:t>
            </w:r>
            <w:r>
              <w:rPr>
                <w:rFonts w:hint="eastAsia" w:cs="Times New Roman"/>
                <w:color w:val="000000" w:themeColor="text1"/>
                <w:sz w:val="24"/>
                <w:szCs w:val="24"/>
                <w:highlight w:val="none"/>
                <w:lang w:val="en-US" w:eastAsia="zh-CN"/>
                <w14:textFill>
                  <w14:solidFill>
                    <w14:schemeClr w14:val="tx1"/>
                  </w14:solidFill>
                </w14:textFill>
              </w:rPr>
              <w:t>不涉及</w:t>
            </w:r>
            <w:r>
              <w:rPr>
                <w:rFonts w:hint="eastAsia"/>
                <w:color w:val="000000" w:themeColor="text1"/>
                <w:kern w:val="0"/>
                <w:sz w:val="24"/>
                <w:szCs w:val="24"/>
                <w:highlight w:val="none"/>
                <w14:textFill>
                  <w14:solidFill>
                    <w14:schemeClr w14:val="tx1"/>
                  </w14:solidFill>
                </w14:textFill>
              </w:rPr>
              <w:t>《环境保护综合名录（2021）年版》内产品。</w:t>
            </w:r>
          </w:p>
          <w:p>
            <w:pPr>
              <w:pStyle w:val="7"/>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2"/>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eastAsia="宋体"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选址合理</w:t>
            </w:r>
            <w:r>
              <w:rPr>
                <w:rFonts w:hint="default" w:ascii="Times New Roman" w:hAnsi="Times New Roman" w:eastAsia="宋体" w:cs="Times New Roman"/>
                <w:b/>
                <w:bCs/>
                <w:color w:val="000000" w:themeColor="text1"/>
                <w:sz w:val="24"/>
                <w:highlight w:val="none"/>
                <w14:textFill>
                  <w14:solidFill>
                    <w14:schemeClr w14:val="tx1"/>
                  </w14:solidFill>
                </w14:textFill>
              </w:rPr>
              <w:t>性分析</w:t>
            </w:r>
          </w:p>
          <w:p>
            <w:pPr>
              <w:pStyle w:val="35"/>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根据《自然资源要素支撑产业高质量发展指导目录（2024年本）》（自然资发〔2024〕273号），包含鼓励、限制和禁止三类事项，鼓励类、限制类和禁止类之外，且符合国家有关法律法规和政策规定的项目属于允许类，依法办理相关手续。本项目属于</w:t>
            </w: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允许类项目</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，符合国家有关法律法规和政策规定，且依法办理相关手续。</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本项目位于山东省济宁市嘉祥化工产业园内，明德路西侧，发展路北侧，山东祺添新材料有限公司二期厂区内</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用地为工业用地，符合嘉祥化工产业园总体规划。</w:t>
            </w:r>
          </w:p>
          <w:p>
            <w:pPr>
              <w:pStyle w:val="7"/>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2"/>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4、与《嘉祥县国土空间总体规划(2021-2035年)》符合性分析</w:t>
            </w:r>
          </w:p>
          <w:p>
            <w:pPr>
              <w:pStyle w:val="7"/>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2"/>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根据《嘉祥县国土空间总体规划(2021-2035年)》，本项目所在地位于城镇开发边界范围内，符合要求，见</w:t>
            </w:r>
            <w:r>
              <w:rPr>
                <w:rFonts w:hint="default" w:ascii="Times New Roman" w:hAnsi="Times New Roman" w:eastAsia="宋体" w:cs="Times New Roman"/>
                <w:b/>
                <w:bCs/>
                <w:i/>
                <w:iCs/>
                <w:color w:val="000000" w:themeColor="text1"/>
                <w:sz w:val="24"/>
                <w:highlight w:val="none"/>
                <w:lang w:val="en-US" w:eastAsia="zh-CN"/>
                <w14:textFill>
                  <w14:solidFill>
                    <w14:schemeClr w14:val="tx1"/>
                  </w14:solidFill>
                </w14:textFill>
              </w:rPr>
              <w:t>附图</w:t>
            </w:r>
            <w:r>
              <w:rPr>
                <w:rFonts w:hint="eastAsia" w:ascii="Times New Roman" w:hAnsi="Times New Roman" w:cs="Times New Roman"/>
                <w:b/>
                <w:bCs/>
                <w:i/>
                <w:iCs/>
                <w:color w:val="000000" w:themeColor="text1"/>
                <w:sz w:val="24"/>
                <w:highlight w:val="none"/>
                <w:lang w:val="en-US" w:eastAsia="zh-CN"/>
                <w14:textFill>
                  <w14:solidFill>
                    <w14:schemeClr w14:val="tx1"/>
                  </w14:solidFill>
                </w14:textFill>
              </w:rPr>
              <w:t>1-3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pPr>
              <w:spacing w:line="360" w:lineRule="auto"/>
              <w:ind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5</w:t>
            </w:r>
            <w:r>
              <w:rPr>
                <w:b/>
                <w:color w:val="000000" w:themeColor="text1"/>
                <w:sz w:val="24"/>
                <w:highlight w:val="none"/>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与</w:t>
            </w:r>
            <w:r>
              <w:rPr>
                <w:rFonts w:hint="default" w:ascii="Times New Roman" w:hAnsi="Times New Roman" w:cs="Times New Roman"/>
                <w:b/>
                <w:bCs/>
                <w:caps w:val="0"/>
                <w:smallCaps w:val="0"/>
                <w:color w:val="000000" w:themeColor="text1"/>
                <w:spacing w:val="0"/>
                <w:w w:val="100"/>
                <w:kern w:val="0"/>
                <w:position w:val="0"/>
                <w:sz w:val="24"/>
                <w:szCs w:val="24"/>
                <w:highlight w:val="none"/>
                <w:lang w:val="en-US" w:eastAsia="zh-CN"/>
                <w14:textFill>
                  <w14:solidFill>
                    <w14:schemeClr w14:val="tx1"/>
                  </w14:solidFill>
                </w14:textFill>
              </w:rPr>
              <w:t>《济宁市生态环境委员会办公室关于发布2023年生态环境分区管控动态更新成果的通知》</w:t>
            </w:r>
            <w:r>
              <w:rPr>
                <w:rFonts w:hint="default" w:ascii="Times New Roman" w:hAnsi="Times New Roman" w:cs="Times New Roman"/>
                <w:b/>
                <w:bCs/>
                <w:color w:val="000000" w:themeColor="text1"/>
                <w:sz w:val="24"/>
                <w:szCs w:val="24"/>
                <w:highlight w:val="none"/>
                <w14:textFill>
                  <w14:solidFill>
                    <w14:schemeClr w14:val="tx1"/>
                  </w14:solidFill>
                </w14:textFill>
              </w:rPr>
              <w:t>符合性分析</w:t>
            </w:r>
          </w:p>
          <w:p>
            <w:pPr>
              <w:spacing w:line="360" w:lineRule="auto"/>
              <w:ind w:firstLine="480" w:firstLineChars="200"/>
              <w:rPr>
                <w:color w:val="000000" w:themeColor="text1"/>
                <w:sz w:val="24"/>
                <w:highlight w:val="none"/>
                <w14:textFill>
                  <w14:solidFill>
                    <w14:schemeClr w14:val="tx1"/>
                  </w14:solidFill>
                </w14:textFill>
              </w:rPr>
            </w:pPr>
            <w:r>
              <w:rPr>
                <w:rFonts w:hint="default" w:ascii="Times New Roman" w:hAnsi="Times New Roman" w:cs="Times New Roman"/>
                <w:caps w:val="0"/>
                <w:smallCaps w:val="0"/>
                <w:color w:val="000000" w:themeColor="text1"/>
                <w:spacing w:val="0"/>
                <w:w w:val="100"/>
                <w:kern w:val="0"/>
                <w:position w:val="0"/>
                <w:sz w:val="24"/>
                <w:szCs w:val="24"/>
                <w:highlight w:val="none"/>
                <w:lang w:val="en-US" w:eastAsia="zh-CN"/>
                <w14:textFill>
                  <w14:solidFill>
                    <w14:schemeClr w14:val="tx1"/>
                  </w14:solidFill>
                </w14:textFill>
              </w:rPr>
              <w:t>根据《关于印发济宁市“三线一单”生态环境分区管控方案的通知》（济政字〔2021〕27号）、</w:t>
            </w:r>
            <w:r>
              <w:rPr>
                <w:rFonts w:hint="default" w:ascii="Times New Roman" w:hAnsi="Times New Roman" w:cs="Times New Roman"/>
                <w:color w:val="000000" w:themeColor="text1"/>
                <w:sz w:val="24"/>
                <w:highlight w:val="none"/>
                <w14:textFill>
                  <w14:solidFill>
                    <w14:schemeClr w14:val="tx1"/>
                  </w14:solidFill>
                </w14:textFill>
              </w:rPr>
              <w:t>关于印发</w:t>
            </w:r>
            <w:r>
              <w:rPr>
                <w:rFonts w:hint="default" w:ascii="Times New Roman" w:hAnsi="Times New Roman" w:cs="Times New Roman"/>
                <w:caps w:val="0"/>
                <w:smallCaps w:val="0"/>
                <w:color w:val="000000" w:themeColor="text1"/>
                <w:spacing w:val="0"/>
                <w:w w:val="100"/>
                <w:kern w:val="0"/>
                <w:position w:val="0"/>
                <w:sz w:val="24"/>
                <w:szCs w:val="24"/>
                <w:highlight w:val="none"/>
                <w:lang w:val="en-US" w:eastAsia="zh-CN"/>
                <w14:textFill>
                  <w14:solidFill>
                    <w14:schemeClr w14:val="tx1"/>
                  </w14:solidFill>
                </w14:textFill>
              </w:rPr>
              <w:t>《济宁市生态环境委员会办公室关于发布2023年生态环境分区管控动态更新成果的通知》（济环委办[2024]5号）</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aps w:val="0"/>
                <w:smallCaps w:val="0"/>
                <w:color w:val="000000" w:themeColor="text1"/>
                <w:spacing w:val="0"/>
                <w:w w:val="100"/>
                <w:kern w:val="0"/>
                <w:position w:val="0"/>
                <w:sz w:val="24"/>
                <w:szCs w:val="24"/>
                <w:highlight w:val="none"/>
                <w:lang w:val="en-US" w:eastAsia="zh-CN"/>
                <w14:textFill>
                  <w14:solidFill>
                    <w14:schemeClr w14:val="tx1"/>
                  </w14:solidFill>
                </w14:textFill>
              </w:rPr>
              <w:t>济宁市共划定197个环境管控单元，分为优先保护单元、重点管控单元和一般管控单元，实施分类管控</w:t>
            </w:r>
            <w:r>
              <w:rPr>
                <w:rFonts w:hint="default" w:ascii="Times New Roman" w:hAnsi="Times New Roman" w:cs="Times New Roman"/>
                <w:color w:val="000000" w:themeColor="text1"/>
                <w:kern w:val="0"/>
                <w:sz w:val="24"/>
                <w:highlight w:val="none"/>
                <w:lang w:bidi="ar"/>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对照《济宁市生态环境委员会办公室＜关于发布2023年生态环境分区管控动态更新成果的通知＞》（济环委办〔2024〕5号），</w:t>
            </w:r>
            <w:r>
              <w:rPr>
                <w:rFonts w:hint="eastAsia"/>
                <w:color w:val="000000" w:themeColor="text1"/>
                <w:sz w:val="24"/>
                <w:highlight w:val="none"/>
                <w14:textFill>
                  <w14:solidFill>
                    <w14:schemeClr w14:val="tx1"/>
                  </w14:solidFill>
                </w14:textFill>
              </w:rPr>
              <w:t>本项目位于嘉祥化工产业园</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属于重点管控单元(见</w:t>
            </w:r>
            <w:r>
              <w:rPr>
                <w:rFonts w:hint="eastAsia"/>
                <w:b/>
                <w:bCs/>
                <w:i/>
                <w:iCs/>
                <w:color w:val="000000" w:themeColor="text1"/>
                <w:sz w:val="24"/>
                <w:highlight w:val="none"/>
                <w:lang w:val="en-US" w:eastAsia="zh-CN"/>
                <w14:textFill>
                  <w14:solidFill>
                    <w14:schemeClr w14:val="tx1"/>
                  </w14:solidFill>
                </w14:textFill>
              </w:rPr>
              <w:t>附图1-4</w:t>
            </w:r>
            <w:r>
              <w:rPr>
                <w:rFonts w:hint="eastAsia"/>
                <w:color w:val="000000" w:themeColor="text1"/>
                <w:sz w:val="24"/>
                <w:highlight w:val="none"/>
                <w:lang w:val="en-US" w:eastAsia="zh-CN"/>
                <w14:textFill>
                  <w14:solidFill>
                    <w14:schemeClr w14:val="tx1"/>
                  </w14:solidFill>
                </w14:textFill>
              </w:rPr>
              <w:t>)，项目与环境管控单元生态环境准入符合性分析详见下表。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000000" w:themeColor="text1"/>
                <w:sz w:val="24"/>
                <w:highlight w:val="none"/>
                <w:vertAlign w:val="baseline"/>
                <w14:textFill>
                  <w14:solidFill>
                    <w14:schemeClr w14:val="tx1"/>
                  </w14:solidFill>
                </w14:textFill>
              </w:rPr>
            </w:pPr>
            <w:r>
              <w:rPr>
                <w:b/>
                <w:color w:val="000000" w:themeColor="text1"/>
                <w:kern w:val="0"/>
                <w:sz w:val="24"/>
                <w:highlight w:val="none"/>
                <w14:textFill>
                  <w14:solidFill>
                    <w14:schemeClr w14:val="tx1"/>
                  </w14:solidFill>
                </w14:textFill>
              </w:rPr>
              <w:t>表1-</w:t>
            </w:r>
            <w:r>
              <w:rPr>
                <w:rFonts w:hint="eastAsia"/>
                <w:b/>
                <w:color w:val="000000" w:themeColor="text1"/>
                <w:kern w:val="0"/>
                <w:sz w:val="24"/>
                <w:highlight w:val="none"/>
                <w:lang w:val="en-US" w:eastAsia="zh-CN"/>
                <w14:textFill>
                  <w14:solidFill>
                    <w14:schemeClr w14:val="tx1"/>
                  </w14:solidFill>
                </w14:textFill>
              </w:rPr>
              <w:t>3</w:t>
            </w:r>
            <w:r>
              <w:rPr>
                <w:b/>
                <w:color w:val="000000" w:themeColor="text1"/>
                <w:kern w:val="0"/>
                <w:sz w:val="24"/>
                <w:highlight w:val="none"/>
                <w14:textFill>
                  <w14:solidFill>
                    <w14:schemeClr w14:val="tx1"/>
                  </w14:solidFill>
                </w14:textFill>
              </w:rPr>
              <w:t xml:space="preserve">  </w:t>
            </w:r>
            <w:r>
              <w:rPr>
                <w:rFonts w:hint="eastAsia"/>
                <w:b/>
                <w:color w:val="000000" w:themeColor="text1"/>
                <w:kern w:val="0"/>
                <w:sz w:val="24"/>
                <w:highlight w:val="none"/>
                <w:lang w:val="en-US" w:eastAsia="zh-CN"/>
                <w14:textFill>
                  <w14:solidFill>
                    <w14:schemeClr w14:val="tx1"/>
                  </w14:solidFill>
                </w14:textFill>
              </w:rPr>
              <w:t>本</w:t>
            </w:r>
            <w:r>
              <w:rPr>
                <w:b/>
                <w:color w:val="000000" w:themeColor="text1"/>
                <w:sz w:val="24"/>
                <w:highlight w:val="none"/>
                <w14:textFill>
                  <w14:solidFill>
                    <w14:schemeClr w14:val="tx1"/>
                  </w14:solidFill>
                </w14:textFill>
              </w:rPr>
              <w:t>项目与</w:t>
            </w:r>
            <w:r>
              <w:rPr>
                <w:rFonts w:hint="eastAsia"/>
                <w:b/>
                <w:color w:val="000000" w:themeColor="text1"/>
                <w:sz w:val="24"/>
                <w:highlight w:val="none"/>
                <w14:textFill>
                  <w14:solidFill>
                    <w14:schemeClr w14:val="tx1"/>
                  </w14:solidFill>
                </w14:textFill>
              </w:rPr>
              <w:t>《济宁市生态环境委员会办公室＜关于发布2023年生态环境分区管控动态更新成果的通知＞》</w:t>
            </w:r>
            <w:r>
              <w:rPr>
                <w:b/>
                <w:color w:val="000000" w:themeColor="text1"/>
                <w:sz w:val="24"/>
                <w:highlight w:val="none"/>
                <w14:textFill>
                  <w14:solidFill>
                    <w14:schemeClr w14:val="tx1"/>
                  </w14:solidFill>
                </w14:textFill>
              </w:rPr>
              <w:t>符合情况分析表</w:t>
            </w:r>
          </w:p>
          <w:tbl>
            <w:tblPr>
              <w:tblStyle w:val="37"/>
              <w:tblW w:w="4999"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328"/>
              <w:gridCol w:w="2468"/>
              <w:gridCol w:w="90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7" w:type="pct"/>
                  <w:gridSpan w:val="2"/>
                  <w:vAlign w:val="center"/>
                </w:tcPr>
                <w:p>
                  <w:pPr>
                    <w:contextualSpacing/>
                    <w:jc w:val="center"/>
                    <w:rPr>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环境管控单元编码</w:t>
                  </w:r>
                </w:p>
              </w:tc>
              <w:tc>
                <w:tcPr>
                  <w:tcW w:w="2252" w:type="pct"/>
                  <w:gridSpan w:val="2"/>
                  <w:vAlign w:val="center"/>
                </w:tcPr>
                <w:p>
                  <w:pPr>
                    <w:contextualSpacing/>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ZH37082920002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7" w:type="pct"/>
                  <w:gridSpan w:val="2"/>
                  <w:vAlign w:val="center"/>
                </w:tcPr>
                <w:p>
                  <w:pPr>
                    <w:contextualSpacing/>
                    <w:jc w:val="center"/>
                    <w:rPr>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环境管控单元名称</w:t>
                  </w:r>
                </w:p>
              </w:tc>
              <w:tc>
                <w:tcPr>
                  <w:tcW w:w="2252" w:type="pct"/>
                  <w:gridSpan w:val="2"/>
                  <w:vAlign w:val="center"/>
                </w:tcPr>
                <w:p>
                  <w:pPr>
                    <w:contextualSpacing/>
                    <w:jc w:val="center"/>
                    <w:rPr>
                      <w:b/>
                      <w:bCs/>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嘉祥化工产业园</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7" w:type="pct"/>
                  <w:gridSpan w:val="2"/>
                  <w:vAlign w:val="center"/>
                </w:tcPr>
                <w:p>
                  <w:pPr>
                    <w:contextualSpacing/>
                    <w:jc w:val="center"/>
                    <w:rPr>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行政区划</w:t>
                  </w:r>
                </w:p>
              </w:tc>
              <w:tc>
                <w:tcPr>
                  <w:tcW w:w="2252" w:type="pct"/>
                  <w:gridSpan w:val="2"/>
                  <w:vAlign w:val="center"/>
                </w:tcPr>
                <w:p>
                  <w:pPr>
                    <w:contextualSpacing/>
                    <w:jc w:val="center"/>
                    <w:rPr>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山东省济宁市</w:t>
                  </w:r>
                  <w:r>
                    <w:rPr>
                      <w:rFonts w:hint="eastAsia" w:cs="Times New Roman"/>
                      <w:b w:val="0"/>
                      <w:bCs w:val="0"/>
                      <w:color w:val="000000" w:themeColor="text1"/>
                      <w:sz w:val="21"/>
                      <w:szCs w:val="21"/>
                      <w:highlight w:val="none"/>
                      <w:lang w:val="en-US" w:eastAsia="zh-CN"/>
                      <w14:textFill>
                        <w14:solidFill>
                          <w14:schemeClr w14:val="tx1"/>
                        </w14:solidFill>
                      </w14:textFill>
                    </w:rPr>
                    <w:t>嘉祥县</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47" w:type="pct"/>
                  <w:gridSpan w:val="2"/>
                  <w:vAlign w:val="center"/>
                </w:tcPr>
                <w:p>
                  <w:pPr>
                    <w:contextualSpacing/>
                    <w:jc w:val="center"/>
                    <w:rPr>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管控单元分类</w:t>
                  </w:r>
                </w:p>
              </w:tc>
              <w:tc>
                <w:tcPr>
                  <w:tcW w:w="2252" w:type="pct"/>
                  <w:gridSpan w:val="2"/>
                  <w:vAlign w:val="center"/>
                </w:tcPr>
                <w:p>
                  <w:pPr>
                    <w:contextualSpacing/>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重点管控单元</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Align w:val="center"/>
                </w:tcPr>
                <w:p>
                  <w:pPr>
                    <w:contextualSpacing/>
                    <w:jc w:val="center"/>
                    <w:rPr>
                      <w:rFonts w:hint="eastAsia" w:eastAsia="宋体"/>
                      <w:color w:val="000000" w:themeColor="text1"/>
                      <w:sz w:val="21"/>
                      <w:szCs w:val="21"/>
                      <w:highlight w:val="none"/>
                      <w:vertAlign w:val="baseli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分类</w:t>
                  </w:r>
                </w:p>
              </w:tc>
              <w:tc>
                <w:tcPr>
                  <w:tcW w:w="2220" w:type="pct"/>
                  <w:vAlign w:val="center"/>
                </w:tcPr>
                <w:p>
                  <w:pPr>
                    <w:contextualSpacing/>
                    <w:jc w:val="center"/>
                    <w:rPr>
                      <w:color w:val="000000" w:themeColor="text1"/>
                      <w:sz w:val="21"/>
                      <w:szCs w:val="21"/>
                      <w:highlight w:val="none"/>
                      <w:vertAlign w:val="baseline"/>
                      <w14:textFill>
                        <w14:solidFill>
                          <w14:schemeClr w14:val="tx1"/>
                        </w14:solidFill>
                      </w14:textFill>
                    </w:rPr>
                  </w:pPr>
                  <w:r>
                    <w:rPr>
                      <w:b/>
                      <w:bCs/>
                      <w:color w:val="000000" w:themeColor="text1"/>
                      <w:sz w:val="21"/>
                      <w:szCs w:val="21"/>
                      <w:highlight w:val="none"/>
                      <w14:textFill>
                        <w14:solidFill>
                          <w14:schemeClr w14:val="tx1"/>
                        </w14:solidFill>
                      </w14:textFill>
                    </w:rPr>
                    <w:t>文件要求</w:t>
                  </w:r>
                </w:p>
              </w:tc>
              <w:tc>
                <w:tcPr>
                  <w:tcW w:w="1646" w:type="pct"/>
                  <w:vAlign w:val="center"/>
                </w:tcPr>
                <w:p>
                  <w:pPr>
                    <w:contextualSpacing/>
                    <w:jc w:val="center"/>
                    <w:rPr>
                      <w:color w:val="000000" w:themeColor="text1"/>
                      <w:sz w:val="21"/>
                      <w:szCs w:val="21"/>
                      <w:highlight w:val="none"/>
                      <w:vertAlign w:val="baseline"/>
                      <w14:textFill>
                        <w14:solidFill>
                          <w14:schemeClr w14:val="tx1"/>
                        </w14:solidFill>
                      </w14:textFill>
                    </w:rPr>
                  </w:pPr>
                  <w:r>
                    <w:rPr>
                      <w:b/>
                      <w:bCs/>
                      <w:color w:val="000000" w:themeColor="text1"/>
                      <w:sz w:val="21"/>
                      <w:szCs w:val="21"/>
                      <w:highlight w:val="none"/>
                      <w14:textFill>
                        <w14:solidFill>
                          <w14:schemeClr w14:val="tx1"/>
                        </w14:solidFill>
                      </w14:textFill>
                    </w:rPr>
                    <w:t>项目情况</w:t>
                  </w:r>
                </w:p>
              </w:tc>
              <w:tc>
                <w:tcPr>
                  <w:tcW w:w="606" w:type="pct"/>
                  <w:vAlign w:val="center"/>
                </w:tcPr>
                <w:p>
                  <w:pPr>
                    <w:contextualSpacing/>
                    <w:jc w:val="center"/>
                    <w:rPr>
                      <w:color w:val="000000" w:themeColor="text1"/>
                      <w:sz w:val="21"/>
                      <w:szCs w:val="21"/>
                      <w:highlight w:val="none"/>
                      <w:vertAlign w:val="baseline"/>
                      <w14:textFill>
                        <w14:solidFill>
                          <w14:schemeClr w14:val="tx1"/>
                        </w14:solidFill>
                      </w14:textFill>
                    </w:rPr>
                  </w:pPr>
                  <w:r>
                    <w:rPr>
                      <w:b/>
                      <w:bCs/>
                      <w:color w:val="000000" w:themeColor="text1"/>
                      <w:sz w:val="21"/>
                      <w:szCs w:val="21"/>
                      <w:highlight w:val="none"/>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Align w:val="center"/>
                </w:tcPr>
                <w:p>
                  <w:pPr>
                    <w:contextualSpacing/>
                    <w:rPr>
                      <w:b/>
                      <w:bCs/>
                      <w:color w:val="000000" w:themeColor="text1"/>
                      <w:sz w:val="21"/>
                      <w:szCs w:val="21"/>
                      <w:highlight w:val="none"/>
                      <w:vertAlign w:val="baseline"/>
                      <w14:textFill>
                        <w14:solidFill>
                          <w14:schemeClr w14:val="tx1"/>
                        </w14:solidFill>
                      </w14:textFill>
                    </w:rPr>
                  </w:pPr>
                  <w:r>
                    <w:rPr>
                      <w:b/>
                      <w:bCs/>
                      <w:color w:val="000000" w:themeColor="text1"/>
                      <w:sz w:val="21"/>
                      <w:szCs w:val="21"/>
                      <w:highlight w:val="none"/>
                      <w14:textFill>
                        <w14:solidFill>
                          <w14:schemeClr w14:val="tx1"/>
                        </w14:solidFill>
                      </w14:textFill>
                    </w:rPr>
                    <w:t>空间布局约束</w:t>
                  </w:r>
                </w:p>
              </w:tc>
              <w:tc>
                <w:tcPr>
                  <w:tcW w:w="2220" w:type="pct"/>
                  <w:vAlign w:val="center"/>
                </w:tcPr>
                <w:p>
                  <w:pPr>
                    <w:contextualSpacing/>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对于达不到进区企业要求的建设项目不支持进入：废水经预处理达不到污水处理厂接管标准的项目；采用落后的生产工艺或生产设备，不符合国家相关产业政策、达不到规模经济的项目；排放高浓度有机废气且不能有效处置的项目；有重金属废水、剧毒废水、放射性废水排放的项目禁止准入。</w:t>
                  </w:r>
                </w:p>
              </w:tc>
              <w:tc>
                <w:tcPr>
                  <w:tcW w:w="1646" w:type="pct"/>
                  <w:vAlign w:val="center"/>
                </w:tcPr>
                <w:p>
                  <w:pPr>
                    <w:contextualSpacing/>
                    <w:rPr>
                      <w:color w:val="000000" w:themeColor="text1"/>
                      <w:sz w:val="2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color w:val="000000" w:themeColor="text1"/>
                      <w:szCs w:val="21"/>
                      <w:highlight w:val="none"/>
                      <w14:textFill>
                        <w14:solidFill>
                          <w14:schemeClr w14:val="tx1"/>
                        </w14:solidFill>
                      </w14:textFill>
                    </w:rPr>
                    <w:t>废水</w:t>
                  </w:r>
                  <w:r>
                    <w:rPr>
                      <w:rFonts w:hint="eastAsia"/>
                      <w:color w:val="000000" w:themeColor="text1"/>
                      <w:szCs w:val="21"/>
                      <w:highlight w:val="none"/>
                      <w:lang w:val="en-US" w:eastAsia="zh-CN"/>
                      <w14:textFill>
                        <w14:solidFill>
                          <w14:schemeClr w14:val="tx1"/>
                        </w14:solidFill>
                      </w14:textFill>
                    </w:rPr>
                    <w:t>经厂区污水处理站处理后</w:t>
                  </w:r>
                  <w:r>
                    <w:rPr>
                      <w:rFonts w:hint="eastAsia"/>
                      <w:color w:val="000000" w:themeColor="text1"/>
                      <w:szCs w:val="21"/>
                      <w:highlight w:val="none"/>
                      <w14:textFill>
                        <w14:solidFill>
                          <w14:schemeClr w14:val="tx1"/>
                        </w14:solidFill>
                      </w14:textFill>
                    </w:rPr>
                    <w:t>通过一企一管排入园区污水处理厂处理，废水中不含重金属、剧毒、放射性物质；项目有机废气采用活性炭吸附装置处理，达标排放；项目已进行备案，符合国家产业政策</w:t>
                  </w:r>
                </w:p>
              </w:tc>
              <w:tc>
                <w:tcPr>
                  <w:tcW w:w="606" w:type="pct"/>
                  <w:vAlign w:val="center"/>
                </w:tcPr>
                <w:p>
                  <w:pPr>
                    <w:contextualSpacing/>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restart"/>
                  <w:vAlign w:val="center"/>
                </w:tcPr>
                <w:p>
                  <w:pPr>
                    <w:contextualSpacing/>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污染物排放管控</w:t>
                  </w:r>
                </w:p>
              </w:tc>
              <w:tc>
                <w:tcPr>
                  <w:tcW w:w="2220" w:type="pct"/>
                  <w:vAlign w:val="center"/>
                </w:tcPr>
                <w:p>
                  <w:pPr>
                    <w:contextualSpacing/>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1.严格控制项目施工期和运营期扬尘污染；严格工艺废气污染控制措施。</w:t>
                  </w:r>
                </w:p>
              </w:tc>
              <w:tc>
                <w:tcPr>
                  <w:tcW w:w="1646" w:type="pct"/>
                  <w:vAlign w:val="center"/>
                </w:tcPr>
                <w:p>
                  <w:pPr>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项目利用厂区现有办公楼五楼和六楼</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不进行土建施工；项目生产过程中产生的有机废气采用活性炭吸附装置处理，达标排放</w:t>
                  </w:r>
                </w:p>
              </w:tc>
              <w:tc>
                <w:tcPr>
                  <w:tcW w:w="606" w:type="pct"/>
                  <w:vAlign w:val="center"/>
                </w:tcPr>
                <w:p>
                  <w:pPr>
                    <w:contextualSpacing/>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vAlign w:val="center"/>
                </w:tcPr>
                <w:p>
                  <w:pPr>
                    <w:contextualSpacing/>
                    <w:rPr>
                      <w:rFonts w:hint="eastAsia"/>
                      <w:b/>
                      <w:bCs/>
                      <w:color w:val="000000" w:themeColor="text1"/>
                      <w:sz w:val="21"/>
                      <w:szCs w:val="21"/>
                      <w:highlight w:val="none"/>
                      <w:lang w:val="en-US" w:eastAsia="zh-CN"/>
                      <w14:textFill>
                        <w14:solidFill>
                          <w14:schemeClr w14:val="tx1"/>
                        </w14:solidFill>
                      </w14:textFill>
                    </w:rPr>
                  </w:pPr>
                </w:p>
              </w:tc>
              <w:tc>
                <w:tcPr>
                  <w:tcW w:w="2220" w:type="pct"/>
                  <w:vAlign w:val="center"/>
                </w:tcPr>
                <w:p>
                  <w:pPr>
                    <w:contextualSpacing/>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2.加快污水处理厂工程进度以及配套污水管网的铺设工作；园区各企业废水应在各自厂区内处理达到污水处理厂进水水质要求后，通过一企一管排入污水处理厂，实行清污分流、雨污分流，建设中水回用管网。</w:t>
                  </w:r>
                </w:p>
              </w:tc>
              <w:tc>
                <w:tcPr>
                  <w:tcW w:w="1646" w:type="pct"/>
                  <w:vAlign w:val="center"/>
                </w:tcPr>
                <w:p>
                  <w:pPr>
                    <w:contextualSpacing/>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color w:val="000000" w:themeColor="text1"/>
                      <w:szCs w:val="21"/>
                      <w:highlight w:val="none"/>
                      <w14:textFill>
                        <w14:solidFill>
                          <w14:schemeClr w14:val="tx1"/>
                        </w14:solidFill>
                      </w14:textFill>
                    </w:rPr>
                    <w:t>废水</w:t>
                  </w:r>
                  <w:r>
                    <w:rPr>
                      <w:rFonts w:hint="eastAsia"/>
                      <w:color w:val="000000" w:themeColor="text1"/>
                      <w:szCs w:val="21"/>
                      <w:highlight w:val="none"/>
                      <w:lang w:val="en-US" w:eastAsia="zh-CN"/>
                      <w14:textFill>
                        <w14:solidFill>
                          <w14:schemeClr w14:val="tx1"/>
                        </w14:solidFill>
                      </w14:textFill>
                    </w:rPr>
                    <w:t>经厂区污水处理站处理后</w:t>
                  </w:r>
                  <w:r>
                    <w:rPr>
                      <w:rFonts w:hint="eastAsia"/>
                      <w:color w:val="000000" w:themeColor="text1"/>
                      <w:szCs w:val="21"/>
                      <w:highlight w:val="none"/>
                      <w14:textFill>
                        <w14:solidFill>
                          <w14:schemeClr w14:val="tx1"/>
                        </w14:solidFill>
                      </w14:textFill>
                    </w:rPr>
                    <w:t>通过一企一管排入园区污水处理厂处理</w:t>
                  </w:r>
                </w:p>
              </w:tc>
              <w:tc>
                <w:tcPr>
                  <w:tcW w:w="606" w:type="pct"/>
                  <w:vAlign w:val="center"/>
                </w:tcPr>
                <w:p>
                  <w:pPr>
                    <w:contextualSpacing/>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vAlign w:val="center"/>
                </w:tcPr>
                <w:p>
                  <w:pPr>
                    <w:contextualSpacing/>
                    <w:rPr>
                      <w:rFonts w:hint="eastAsia"/>
                      <w:b/>
                      <w:bCs/>
                      <w:color w:val="000000" w:themeColor="text1"/>
                      <w:sz w:val="21"/>
                      <w:szCs w:val="21"/>
                      <w:highlight w:val="none"/>
                      <w:lang w:val="en-US" w:eastAsia="zh-CN"/>
                      <w14:textFill>
                        <w14:solidFill>
                          <w14:schemeClr w14:val="tx1"/>
                        </w14:solidFill>
                      </w14:textFill>
                    </w:rPr>
                  </w:pPr>
                </w:p>
              </w:tc>
              <w:tc>
                <w:tcPr>
                  <w:tcW w:w="2220" w:type="pct"/>
                  <w:vAlign w:val="center"/>
                </w:tcPr>
                <w:p>
                  <w:pPr>
                    <w:contextualSpacing/>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建立园区固废鉴别标准和有毒、有害危险废物工业污染源动态数据库；制定评价区有关危险废物收集、处理和综合利用的管理实施细则；在废物的处置中推行“谁污染谁付费”的原则。危险废物委托有资质单位运输处置，加强园区工业固体废物回收利用。</w:t>
                  </w:r>
                </w:p>
              </w:tc>
              <w:tc>
                <w:tcPr>
                  <w:tcW w:w="1646" w:type="pct"/>
                  <w:vAlign w:val="center"/>
                </w:tcPr>
                <w:p>
                  <w:pPr>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本项目依托厂区现有的危废库，产生的危险废物暂存危废库，定期</w:t>
                  </w:r>
                  <w:r>
                    <w:rPr>
                      <w:rFonts w:hint="eastAsia"/>
                      <w:color w:val="000000" w:themeColor="text1"/>
                      <w:szCs w:val="21"/>
                      <w:highlight w:val="none"/>
                      <w:lang w:val="en-US" w:eastAsia="zh-CN"/>
                      <w14:textFill>
                        <w14:solidFill>
                          <w14:schemeClr w14:val="tx1"/>
                        </w14:solidFill>
                      </w14:textFill>
                    </w:rPr>
                    <w:t>焚烧</w:t>
                  </w:r>
                  <w:r>
                    <w:rPr>
                      <w:rFonts w:hint="eastAsia"/>
                      <w:color w:val="000000" w:themeColor="text1"/>
                      <w:szCs w:val="21"/>
                      <w:highlight w:val="none"/>
                      <w14:textFill>
                        <w14:solidFill>
                          <w14:schemeClr w14:val="tx1"/>
                        </w14:solidFill>
                      </w14:textFill>
                    </w:rPr>
                    <w:t>处理</w:t>
                  </w:r>
                </w:p>
              </w:tc>
              <w:tc>
                <w:tcPr>
                  <w:tcW w:w="606" w:type="pct"/>
                  <w:vAlign w:val="center"/>
                </w:tcPr>
                <w:p>
                  <w:pPr>
                    <w:contextualSpacing/>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restart"/>
                  <w:vAlign w:val="center"/>
                </w:tcPr>
                <w:p>
                  <w:pPr>
                    <w:contextualSpacing/>
                    <w:rPr>
                      <w:rFonts w:hint="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环境风险防控</w:t>
                  </w:r>
                </w:p>
              </w:tc>
              <w:tc>
                <w:tcPr>
                  <w:tcW w:w="2220" w:type="pct"/>
                  <w:vAlign w:val="center"/>
                </w:tcPr>
                <w:p>
                  <w:pPr>
                    <w:contextualSpacing/>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1.在合理规划重大风险源布局基础上，加强危险性废物的风险源管理。</w:t>
                  </w:r>
                </w:p>
              </w:tc>
              <w:tc>
                <w:tcPr>
                  <w:tcW w:w="1646" w:type="pct"/>
                  <w:vAlign w:val="center"/>
                </w:tcPr>
                <w:p>
                  <w:pPr>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本项目不涉及重大风险源，企业在运行过程中应加强危险废物的管理</w:t>
                  </w:r>
                </w:p>
              </w:tc>
              <w:tc>
                <w:tcPr>
                  <w:tcW w:w="606" w:type="pct"/>
                  <w:vAlign w:val="center"/>
                </w:tcPr>
                <w:p>
                  <w:pPr>
                    <w:contextualSpacing/>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vAlign w:val="center"/>
                </w:tcPr>
                <w:p>
                  <w:pPr>
                    <w:contextualSpacing/>
                    <w:rPr>
                      <w:rFonts w:hint="eastAsia"/>
                      <w:color w:val="000000" w:themeColor="text1"/>
                      <w:sz w:val="21"/>
                      <w:szCs w:val="21"/>
                      <w:highlight w:val="none"/>
                      <w:lang w:val="en-US" w:eastAsia="zh-CN"/>
                      <w14:textFill>
                        <w14:solidFill>
                          <w14:schemeClr w14:val="tx1"/>
                        </w14:solidFill>
                      </w14:textFill>
                    </w:rPr>
                  </w:pPr>
                </w:p>
              </w:tc>
              <w:tc>
                <w:tcPr>
                  <w:tcW w:w="2220" w:type="pct"/>
                  <w:vAlign w:val="center"/>
                </w:tcPr>
                <w:p>
                  <w:pPr>
                    <w:contextualSpacing/>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2.建立环境风险应急预案，制定风险应急措施，在一旦发生事故的情况下，确保各项应急工作快速、高效、有序启动，减缓事故蔓延的范围，最大限度地减轻风险事故造成的危害。</w:t>
                  </w:r>
                </w:p>
              </w:tc>
              <w:tc>
                <w:tcPr>
                  <w:tcW w:w="1646" w:type="pct"/>
                  <w:vAlign w:val="center"/>
                </w:tcPr>
                <w:p>
                  <w:pPr>
                    <w:contextualSpacing/>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企业按要求应制定应急预案，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与园区联动。</w:t>
                  </w:r>
                </w:p>
              </w:tc>
              <w:tc>
                <w:tcPr>
                  <w:tcW w:w="606" w:type="pct"/>
                  <w:vAlign w:val="center"/>
                </w:tcPr>
                <w:p>
                  <w:pPr>
                    <w:contextualSpacing/>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restart"/>
                  <w:vAlign w:val="center"/>
                </w:tcPr>
                <w:p>
                  <w:pPr>
                    <w:contextualSpacing/>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资源开发效率要求</w:t>
                  </w:r>
                </w:p>
              </w:tc>
              <w:tc>
                <w:tcPr>
                  <w:tcW w:w="2220" w:type="pct"/>
                  <w:vAlign w:val="center"/>
                </w:tcPr>
                <w:p>
                  <w:pPr>
                    <w:contextualSpacing/>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1.完善园区集中供热设施，积极推广集中供热。</w:t>
                  </w:r>
                </w:p>
              </w:tc>
              <w:tc>
                <w:tcPr>
                  <w:tcW w:w="1646" w:type="pct"/>
                  <w:vAlign w:val="center"/>
                </w:tcPr>
                <w:p>
                  <w:pPr>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实验用热采用电加热，办公室采用空调供热，不需要使用蒸汽。</w:t>
                  </w:r>
                </w:p>
              </w:tc>
              <w:tc>
                <w:tcPr>
                  <w:tcW w:w="606" w:type="pct"/>
                  <w:vAlign w:val="center"/>
                </w:tcPr>
                <w:p>
                  <w:pPr>
                    <w:contextualSpacing/>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vAlign w:val="center"/>
                </w:tcPr>
                <w:p>
                  <w:pPr>
                    <w:contextualSpacing/>
                    <w:rPr>
                      <w:rFonts w:hint="eastAsia"/>
                      <w:color w:val="000000" w:themeColor="text1"/>
                      <w:sz w:val="21"/>
                      <w:szCs w:val="21"/>
                      <w:highlight w:val="none"/>
                      <w:lang w:val="en-US" w:eastAsia="zh-CN"/>
                      <w14:textFill>
                        <w14:solidFill>
                          <w14:schemeClr w14:val="tx1"/>
                        </w14:solidFill>
                      </w14:textFill>
                    </w:rPr>
                  </w:pPr>
                </w:p>
              </w:tc>
              <w:tc>
                <w:tcPr>
                  <w:tcW w:w="2220" w:type="pct"/>
                  <w:vAlign w:val="center"/>
                </w:tcPr>
                <w:p>
                  <w:pPr>
                    <w:contextualSpacing/>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2.节约用水，尽量控制项目新鲜用水量，对园区重点耗水企业制定节水计划，并且提高水的重复利用率，以减少污水的排放。园区内的生活用水加强中水回用。</w:t>
                  </w:r>
                </w:p>
              </w:tc>
              <w:tc>
                <w:tcPr>
                  <w:tcW w:w="1646" w:type="pct"/>
                  <w:vAlign w:val="center"/>
                </w:tcPr>
                <w:p>
                  <w:pPr>
                    <w:contextualSpacing/>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本项目运营过程中主要用水为生活用水和实验用水，依托厂区现有供水管网提供</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项目</w:t>
                  </w:r>
                  <w:r>
                    <w:rPr>
                      <w:rFonts w:hint="eastAsia"/>
                      <w:color w:val="000000" w:themeColor="text1"/>
                      <w:szCs w:val="21"/>
                      <w:highlight w:val="none"/>
                      <w14:textFill>
                        <w14:solidFill>
                          <w14:schemeClr w14:val="tx1"/>
                        </w14:solidFill>
                      </w14:textFill>
                    </w:rPr>
                    <w:t>废水</w:t>
                  </w:r>
                  <w:r>
                    <w:rPr>
                      <w:rFonts w:hint="eastAsia"/>
                      <w:color w:val="000000" w:themeColor="text1"/>
                      <w:szCs w:val="21"/>
                      <w:highlight w:val="none"/>
                      <w:lang w:val="en-US" w:eastAsia="zh-CN"/>
                      <w14:textFill>
                        <w14:solidFill>
                          <w14:schemeClr w14:val="tx1"/>
                        </w14:solidFill>
                      </w14:textFill>
                    </w:rPr>
                    <w:t>经厂区污水处理站处理后</w:t>
                  </w:r>
                  <w:r>
                    <w:rPr>
                      <w:rFonts w:hint="eastAsia"/>
                      <w:color w:val="000000" w:themeColor="text1"/>
                      <w:szCs w:val="21"/>
                      <w:highlight w:val="none"/>
                      <w14:textFill>
                        <w14:solidFill>
                          <w14:schemeClr w14:val="tx1"/>
                        </w14:solidFill>
                      </w14:textFill>
                    </w:rPr>
                    <w:t>通过一企一管排入园区污水处理厂处理</w:t>
                  </w:r>
                </w:p>
              </w:tc>
              <w:tc>
                <w:tcPr>
                  <w:tcW w:w="606" w:type="pct"/>
                  <w:vAlign w:val="center"/>
                </w:tcPr>
                <w:p>
                  <w:pPr>
                    <w:contextualSpacing/>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bl>
          <w:p>
            <w:pPr>
              <w:pStyle w:val="115"/>
              <w:keepNext w:val="0"/>
              <w:keepLines w:val="0"/>
              <w:pageBreakBefore w:val="0"/>
              <w:widowControl w:val="0"/>
              <w:kinsoku/>
              <w:wordWrap/>
              <w:overflowPunct/>
              <w:topLinePunct w:val="0"/>
              <w:bidi w:val="0"/>
              <w:snapToGrid w:val="0"/>
              <w:ind w:firstLine="480"/>
              <w:textAlignment w:val="auto"/>
              <w:rPr>
                <w:rFonts w:cs="Times New Roman"/>
                <w:color w:val="000000" w:themeColor="text1"/>
                <w:sz w:val="24"/>
                <w:szCs w:val="24"/>
                <w:highlight w:val="none"/>
                <w14:textFill>
                  <w14:solidFill>
                    <w14:schemeClr w14:val="tx1"/>
                  </w14:solidFill>
                </w14:textFill>
              </w:rPr>
            </w:pPr>
            <w:bookmarkStart w:id="6" w:name="_Ref28437961"/>
            <w:bookmarkEnd w:id="6"/>
            <w:r>
              <w:rPr>
                <w:rFonts w:cs="Times New Roman"/>
                <w:color w:val="000000" w:themeColor="text1"/>
                <w:sz w:val="24"/>
                <w:szCs w:val="24"/>
                <w:highlight w:val="none"/>
                <w14:textFill>
                  <w14:solidFill>
                    <w14:schemeClr w14:val="tx1"/>
                  </w14:solidFill>
                </w14:textFill>
              </w:rPr>
              <w:t>因此，本建项目满足</w:t>
            </w:r>
            <w:r>
              <w:rPr>
                <w:rFonts w:hint="default" w:cs="Times New Roman"/>
                <w:color w:val="000000" w:themeColor="text1"/>
                <w:sz w:val="24"/>
                <w:szCs w:val="24"/>
                <w:highlight w:val="none"/>
                <w:lang w:val="en-US" w:eastAsia="zh-CN"/>
                <w14:textFill>
                  <w14:solidFill>
                    <w14:schemeClr w14:val="tx1"/>
                  </w14:solidFill>
                </w14:textFill>
              </w:rPr>
              <w:t>《济宁市生态环境委员会办公室关于发布2023年生态环境分区管控动态更新成果的通知》</w:t>
            </w:r>
            <w:r>
              <w:rPr>
                <w:rFonts w:hint="eastAsia" w:cs="Times New Roman"/>
                <w:color w:val="000000" w:themeColor="text1"/>
                <w:sz w:val="24"/>
                <w:szCs w:val="24"/>
                <w:highlight w:val="none"/>
                <w:lang w:val="en-US" w:eastAsia="zh-CN"/>
                <w14:textFill>
                  <w14:solidFill>
                    <w14:schemeClr w14:val="tx1"/>
                  </w14:solidFill>
                </w14:textFill>
              </w:rPr>
              <w:t>的</w:t>
            </w:r>
            <w:r>
              <w:rPr>
                <w:rFonts w:cs="Times New Roman"/>
                <w:color w:val="000000" w:themeColor="text1"/>
                <w:sz w:val="24"/>
                <w:szCs w:val="24"/>
                <w:highlight w:val="none"/>
                <w14:textFill>
                  <w14:solidFill>
                    <w14:schemeClr w14:val="tx1"/>
                  </w14:solidFill>
                </w14:textFill>
              </w:rPr>
              <w:t>要求。</w:t>
            </w:r>
          </w:p>
          <w:p>
            <w:pPr>
              <w:keepNext w:val="0"/>
              <w:keepLines w:val="0"/>
              <w:pageBreakBefore w:val="0"/>
              <w:widowControl w:val="0"/>
              <w:kinsoku/>
              <w:wordWrap/>
              <w:overflowPunct/>
              <w:topLinePunct w:val="0"/>
              <w:bidi w:val="0"/>
              <w:snapToGrid w:val="0"/>
              <w:spacing w:line="360" w:lineRule="auto"/>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6</w:t>
            </w:r>
            <w:r>
              <w:rPr>
                <w:b/>
                <w:bCs/>
                <w:color w:val="000000" w:themeColor="text1"/>
                <w:sz w:val="24"/>
                <w:highlight w:val="none"/>
                <w14:textFill>
                  <w14:solidFill>
                    <w14:schemeClr w14:val="tx1"/>
                  </w14:solidFill>
                </w14:textFill>
              </w:rPr>
              <w:t>、与《山东省环境保护条例》的符合性分析</w:t>
            </w:r>
          </w:p>
          <w:p>
            <w:pPr>
              <w:keepNext w:val="0"/>
              <w:keepLines w:val="0"/>
              <w:pageBreakBefore w:val="0"/>
              <w:widowControl w:val="0"/>
              <w:kinsoku/>
              <w:wordWrap/>
              <w:overflowPunct/>
              <w:topLinePunct w:val="0"/>
              <w:bidi w:val="0"/>
              <w:adjustRightInd w:val="0"/>
              <w:snapToGrid w:val="0"/>
              <w:spacing w:line="360" w:lineRule="auto"/>
              <w:ind w:firstLine="482" w:firstLineChars="200"/>
              <w:contextualSpacing/>
              <w:jc w:val="center"/>
              <w:textAlignment w:val="auto"/>
              <w:rPr>
                <w:b/>
                <w:color w:val="000000" w:themeColor="text1"/>
                <w:sz w:val="24"/>
                <w:highlight w:val="none"/>
                <w14:textFill>
                  <w14:solidFill>
                    <w14:schemeClr w14:val="tx1"/>
                  </w14:solidFill>
                </w14:textFill>
              </w:rPr>
            </w:pPr>
            <w:r>
              <w:rPr>
                <w:b/>
                <w:color w:val="000000" w:themeColor="text1"/>
                <w:kern w:val="0"/>
                <w:sz w:val="24"/>
                <w:highlight w:val="none"/>
                <w14:textFill>
                  <w14:solidFill>
                    <w14:schemeClr w14:val="tx1"/>
                  </w14:solidFill>
                </w14:textFill>
              </w:rPr>
              <w:t>表1-</w:t>
            </w:r>
            <w:r>
              <w:rPr>
                <w:rFonts w:hint="eastAsia"/>
                <w:b/>
                <w:color w:val="000000" w:themeColor="text1"/>
                <w:kern w:val="0"/>
                <w:sz w:val="24"/>
                <w:highlight w:val="none"/>
                <w:lang w:val="en-US" w:eastAsia="zh-CN"/>
                <w14:textFill>
                  <w14:solidFill>
                    <w14:schemeClr w14:val="tx1"/>
                  </w14:solidFill>
                </w14:textFill>
              </w:rPr>
              <w:t>4</w:t>
            </w:r>
            <w:r>
              <w:rPr>
                <w:b/>
                <w:color w:val="000000" w:themeColor="text1"/>
                <w:kern w:val="0"/>
                <w:sz w:val="24"/>
                <w:highlight w:val="none"/>
                <w14:textFill>
                  <w14:solidFill>
                    <w14:schemeClr w14:val="tx1"/>
                  </w14:solidFill>
                </w14:textFill>
              </w:rPr>
              <w:t xml:space="preserve">  </w:t>
            </w:r>
            <w:r>
              <w:rPr>
                <w:b/>
                <w:color w:val="000000" w:themeColor="text1"/>
                <w:sz w:val="24"/>
                <w:highlight w:val="none"/>
                <w14:textFill>
                  <w14:solidFill>
                    <w14:schemeClr w14:val="tx1"/>
                  </w14:solidFill>
                </w14:textFill>
              </w:rPr>
              <w:t>项目与</w:t>
            </w:r>
            <w:r>
              <w:rPr>
                <w:b/>
                <w:color w:val="000000" w:themeColor="text1"/>
                <w:sz w:val="24"/>
                <w:szCs w:val="21"/>
                <w:highlight w:val="none"/>
                <w14:textFill>
                  <w14:solidFill>
                    <w14:schemeClr w14:val="tx1"/>
                  </w14:solidFill>
                </w14:textFill>
              </w:rPr>
              <w:t>《</w:t>
            </w:r>
            <w:r>
              <w:rPr>
                <w:b/>
                <w:color w:val="000000" w:themeColor="text1"/>
                <w:sz w:val="24"/>
                <w:highlight w:val="none"/>
                <w14:textFill>
                  <w14:solidFill>
                    <w14:schemeClr w14:val="tx1"/>
                  </w14:solidFill>
                </w14:textFill>
              </w:rPr>
              <w:t>山东省环境保护管理条例</w:t>
            </w:r>
            <w:r>
              <w:rPr>
                <w:b/>
                <w:color w:val="000000" w:themeColor="text1"/>
                <w:sz w:val="24"/>
                <w:szCs w:val="21"/>
                <w:highlight w:val="none"/>
                <w14:textFill>
                  <w14:solidFill>
                    <w14:schemeClr w14:val="tx1"/>
                  </w14:solidFill>
                </w14:textFill>
              </w:rPr>
              <w:t>》</w:t>
            </w:r>
            <w:r>
              <w:rPr>
                <w:b/>
                <w:color w:val="000000" w:themeColor="text1"/>
                <w:sz w:val="24"/>
                <w:highlight w:val="none"/>
                <w14:textFill>
                  <w14:solidFill>
                    <w14:schemeClr w14:val="tx1"/>
                  </w14:solidFill>
                </w14:textFill>
              </w:rPr>
              <w:t>的符合性分析</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
            <w:tblGrid>
              <w:gridCol w:w="4376"/>
              <w:gridCol w:w="2184"/>
              <w:gridCol w:w="93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18" w:type="pct"/>
                  <w:tcMar>
                    <w:left w:w="57" w:type="dxa"/>
                    <w:right w:w="57" w:type="dxa"/>
                  </w:tcMar>
                  <w:vAlign w:val="center"/>
                </w:tcPr>
                <w:p>
                  <w:pPr>
                    <w:keepNext w:val="0"/>
                    <w:keepLines w:val="0"/>
                    <w:pageBreakBefore w:val="0"/>
                    <w:widowControl w:val="0"/>
                    <w:kinsoku/>
                    <w:wordWrap/>
                    <w:overflowPunct/>
                    <w:topLinePunct w:val="0"/>
                    <w:bidi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文件要求</w:t>
                  </w:r>
                </w:p>
              </w:tc>
              <w:tc>
                <w:tcPr>
                  <w:tcW w:w="1456" w:type="pct"/>
                  <w:tcMar>
                    <w:left w:w="57" w:type="dxa"/>
                    <w:right w:w="57" w:type="dxa"/>
                  </w:tcMar>
                  <w:vAlign w:val="center"/>
                </w:tcPr>
                <w:p>
                  <w:pPr>
                    <w:keepNext w:val="0"/>
                    <w:keepLines w:val="0"/>
                    <w:pageBreakBefore w:val="0"/>
                    <w:widowControl w:val="0"/>
                    <w:kinsoku/>
                    <w:wordWrap/>
                    <w:overflowPunct/>
                    <w:topLinePunct w:val="0"/>
                    <w:bidi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本项目情况</w:t>
                  </w:r>
                </w:p>
              </w:tc>
              <w:tc>
                <w:tcPr>
                  <w:tcW w:w="624" w:type="pct"/>
                  <w:tcMar>
                    <w:left w:w="57" w:type="dxa"/>
                    <w:right w:w="57" w:type="dxa"/>
                  </w:tcMar>
                  <w:vAlign w:val="center"/>
                </w:tcPr>
                <w:p>
                  <w:pPr>
                    <w:keepNext w:val="0"/>
                    <w:keepLines w:val="0"/>
                    <w:pageBreakBefore w:val="0"/>
                    <w:widowControl w:val="0"/>
                    <w:kinsoku/>
                    <w:wordWrap/>
                    <w:overflowPunct/>
                    <w:topLinePunct w:val="0"/>
                    <w:bidi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18" w:type="pct"/>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第十五条 禁止建设不符合国家和省产业政策的小型造纸、制革、印染、染料、炼焦、炼硫、炼砷、炼汞、炼油、电镀、农药、石棉、水泥、玻璃、钢铁、火电以及其他严重污染环境的生产项目。</w:t>
                  </w:r>
                </w:p>
              </w:tc>
              <w:tc>
                <w:tcPr>
                  <w:tcW w:w="1456" w:type="pct"/>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textAlignment w:val="auto"/>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本项目</w:t>
                  </w:r>
                  <w:r>
                    <w:rPr>
                      <w:rFonts w:hint="eastAsia"/>
                      <w:bCs/>
                      <w:color w:val="000000" w:themeColor="text1"/>
                      <w:szCs w:val="21"/>
                      <w:highlight w:val="none"/>
                      <w14:textFill>
                        <w14:solidFill>
                          <w14:schemeClr w14:val="tx1"/>
                        </w14:solidFill>
                      </w14:textFill>
                    </w:rPr>
                    <w:t>属于M7452检测服务</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M7320工程和技术研究和试验发展</w:t>
                  </w:r>
                  <w:r>
                    <w:rPr>
                      <w:rFonts w:hint="eastAsia"/>
                      <w:bCs/>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不</w:t>
                  </w:r>
                  <w:r>
                    <w:rPr>
                      <w:rFonts w:hint="eastAsia"/>
                      <w:color w:val="000000" w:themeColor="text1"/>
                      <w:szCs w:val="21"/>
                      <w:highlight w:val="none"/>
                      <w:lang w:val="en-US" w:eastAsia="zh-CN"/>
                      <w14:textFill>
                        <w14:solidFill>
                          <w14:schemeClr w14:val="tx1"/>
                        </w14:solidFill>
                      </w14:textFill>
                    </w:rPr>
                    <w:t>属于禁止</w:t>
                  </w:r>
                  <w:r>
                    <w:rPr>
                      <w:color w:val="000000" w:themeColor="text1"/>
                      <w:szCs w:val="21"/>
                      <w:highlight w:val="none"/>
                      <w14:textFill>
                        <w14:solidFill>
                          <w14:schemeClr w14:val="tx1"/>
                        </w14:solidFill>
                      </w14:textFill>
                    </w:rPr>
                    <w:t>项目。</w:t>
                  </w:r>
                </w:p>
              </w:tc>
              <w:tc>
                <w:tcPr>
                  <w:tcW w:w="624" w:type="pct"/>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18" w:type="pct"/>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第四十三条 各级人民政府应当推进绿色低碳发展，制定循环经济、清洁生产、环境综合治理、废弃物资源化等政策措施，加强重点区域、重点流域、重点行业污染控制，鼓励、支持无污染或者低污染产业发展，提高资源利用效率，减少污染排放。</w:t>
                  </w:r>
                </w:p>
              </w:tc>
              <w:tc>
                <w:tcPr>
                  <w:tcW w:w="1456" w:type="pct"/>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14:textFill>
                        <w14:solidFill>
                          <w14:schemeClr w14:val="tx1"/>
                        </w14:solidFill>
                      </w14:textFill>
                    </w:rPr>
                    <w:t>实验室</w:t>
                  </w:r>
                  <w:r>
                    <w:rPr>
                      <w:color w:val="000000" w:themeColor="text1"/>
                      <w:szCs w:val="21"/>
                      <w:highlight w:val="none"/>
                      <w14:textFill>
                        <w14:solidFill>
                          <w14:schemeClr w14:val="tx1"/>
                        </w14:solidFill>
                      </w14:textFill>
                    </w:rPr>
                    <w:t>废气经处理后达标排放</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废水经厂区污水处理站处理后进入园区污水处理厂进一步处理</w:t>
                  </w:r>
                  <w:r>
                    <w:rPr>
                      <w:color w:val="000000" w:themeColor="text1"/>
                      <w:szCs w:val="21"/>
                      <w:highlight w:val="none"/>
                      <w14:textFill>
                        <w14:solidFill>
                          <w14:schemeClr w14:val="tx1"/>
                        </w14:solidFill>
                      </w14:textFill>
                    </w:rPr>
                    <w:t>，危险废物</w:t>
                  </w:r>
                  <w:r>
                    <w:rPr>
                      <w:rFonts w:hint="eastAsia"/>
                      <w:color w:val="000000" w:themeColor="text1"/>
                      <w:szCs w:val="21"/>
                      <w:highlight w:val="none"/>
                      <w:lang w:val="en-US" w:eastAsia="zh-CN"/>
                      <w14:textFill>
                        <w14:solidFill>
                          <w14:schemeClr w14:val="tx1"/>
                        </w14:solidFill>
                      </w14:textFill>
                    </w:rPr>
                    <w:t>和</w:t>
                  </w:r>
                  <w:r>
                    <w:rPr>
                      <w:color w:val="000000" w:themeColor="text1"/>
                      <w:szCs w:val="21"/>
                      <w:highlight w:val="none"/>
                      <w14:textFill>
                        <w14:solidFill>
                          <w14:schemeClr w14:val="tx1"/>
                        </w14:solidFill>
                      </w14:textFill>
                    </w:rPr>
                    <w:t>一般工业固废妥善处置。</w:t>
                  </w:r>
                </w:p>
              </w:tc>
              <w:tc>
                <w:tcPr>
                  <w:tcW w:w="624" w:type="pct"/>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18" w:type="pct"/>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第四十五条 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实行排污许可管理的排污单位，应当按照排污许可证规定的污染物种类、浓度、排放去向和许可排放量等要求排放污染物。</w:t>
                  </w:r>
                </w:p>
              </w:tc>
              <w:tc>
                <w:tcPr>
                  <w:tcW w:w="1456" w:type="pct"/>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val="0"/>
                    <w:spacing w:line="240" w:lineRule="auto"/>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本项目</w:t>
                  </w:r>
                  <w:r>
                    <w:rPr>
                      <w:color w:val="000000" w:themeColor="text1"/>
                      <w:szCs w:val="21"/>
                      <w:highlight w:val="none"/>
                      <w14:textFill>
                        <w14:solidFill>
                          <w14:schemeClr w14:val="tx1"/>
                        </w14:solidFill>
                      </w14:textFill>
                    </w:rPr>
                    <w:t>在建设期和运营期严格落实本报告提出的废气、废水、固废和噪声的环保治理措施。</w:t>
                  </w:r>
                </w:p>
              </w:tc>
              <w:tc>
                <w:tcPr>
                  <w:tcW w:w="624" w:type="pct"/>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18" w:type="pct"/>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第四十六条 新建、改建、扩建建设项目，应当根据环境影响评价文件以及生态环境主管部门审批决定的要求建设环境保护设施、落实环境保护措施。环境保护设施应当与主体工程同时设计、同时施工、同时投产使用。</w:t>
                  </w:r>
                </w:p>
              </w:tc>
              <w:tc>
                <w:tcPr>
                  <w:tcW w:w="1456" w:type="pct"/>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本项目建成后严格按照环保要求建设环境保护设施、落实环境保护措施。环境保护设施应当与主体工程同时设计、同时施工、同时投产使用。</w:t>
                  </w:r>
                </w:p>
              </w:tc>
              <w:tc>
                <w:tcPr>
                  <w:tcW w:w="624" w:type="pct"/>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bl>
          <w:p>
            <w:pPr>
              <w:pStyle w:val="115"/>
              <w:ind w:firstLine="482"/>
              <w:rPr>
                <w:rFonts w:cs="Times New Roman"/>
                <w:color w:val="000000" w:themeColor="text1"/>
                <w:sz w:val="24"/>
                <w:szCs w:val="24"/>
                <w:highlight w:val="none"/>
                <w14:textFill>
                  <w14:solidFill>
                    <w14:schemeClr w14:val="tx1"/>
                  </w14:solidFill>
                </w14:textFill>
              </w:rPr>
            </w:pPr>
            <w:r>
              <w:rPr>
                <w:rFonts w:hint="eastAsia" w:cs="Times New Roman"/>
                <w:b/>
                <w:color w:val="000000" w:themeColor="text1"/>
                <w:sz w:val="24"/>
                <w:highlight w:val="none"/>
                <w:lang w:val="en-US" w:eastAsia="zh-CN"/>
                <w14:textFill>
                  <w14:solidFill>
                    <w14:schemeClr w14:val="tx1"/>
                  </w14:solidFill>
                </w14:textFill>
              </w:rPr>
              <w:t>7</w:t>
            </w:r>
            <w:r>
              <w:rPr>
                <w:rFonts w:cs="Times New Roman"/>
                <w:b/>
                <w:color w:val="000000" w:themeColor="text1"/>
                <w:sz w:val="24"/>
                <w:highlight w:val="none"/>
                <w:lang w:val="zh-CN"/>
                <w14:textFill>
                  <w14:solidFill>
                    <w14:schemeClr w14:val="tx1"/>
                  </w14:solidFill>
                </w14:textFill>
              </w:rPr>
              <w:t>、</w:t>
            </w:r>
            <w:r>
              <w:rPr>
                <w:rFonts w:cs="Times New Roman"/>
                <w:b/>
                <w:bCs/>
                <w:color w:val="000000" w:themeColor="text1"/>
                <w:sz w:val="24"/>
                <w:highlight w:val="none"/>
                <w14:textFill>
                  <w14:solidFill>
                    <w14:schemeClr w14:val="tx1"/>
                  </w14:solidFill>
                </w14:textFill>
              </w:rPr>
              <w:t>与</w:t>
            </w:r>
            <w:r>
              <w:rPr>
                <w:rFonts w:cs="Times New Roman"/>
                <w:b/>
                <w:color w:val="000000" w:themeColor="text1"/>
                <w:sz w:val="24"/>
                <w:highlight w:val="none"/>
                <w14:textFill>
                  <w14:solidFill>
                    <w14:schemeClr w14:val="tx1"/>
                  </w14:solidFill>
                </w14:textFill>
              </w:rPr>
              <w:t>“两高”</w:t>
            </w:r>
            <w:r>
              <w:rPr>
                <w:rFonts w:hint="eastAsia" w:cs="Times New Roman"/>
                <w:b/>
                <w:color w:val="000000" w:themeColor="text1"/>
                <w:sz w:val="24"/>
                <w:highlight w:val="none"/>
                <w:lang w:val="en-US" w:eastAsia="zh-CN"/>
                <w14:textFill>
                  <w14:solidFill>
                    <w14:schemeClr w14:val="tx1"/>
                  </w14:solidFill>
                </w14:textFill>
              </w:rPr>
              <w:t>项目</w:t>
            </w:r>
            <w:r>
              <w:rPr>
                <w:rFonts w:cs="Times New Roman"/>
                <w:b/>
                <w:color w:val="000000" w:themeColor="text1"/>
                <w:sz w:val="24"/>
                <w:highlight w:val="none"/>
                <w14:textFill>
                  <w14:solidFill>
                    <w14:schemeClr w14:val="tx1"/>
                  </w14:solidFill>
                </w14:textFill>
              </w:rPr>
              <w:t>政策符合性分析</w:t>
            </w:r>
          </w:p>
          <w:p>
            <w:pPr>
              <w:spacing w:line="360" w:lineRule="auto"/>
              <w:ind w:firstLine="480" w:firstLineChars="200"/>
              <w:rPr>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根据《关于“两高”项目管理有关事项的补充通知》（</w:t>
            </w:r>
            <w:r>
              <w:rPr>
                <w:bCs/>
                <w:color w:val="000000" w:themeColor="text1"/>
                <w:sz w:val="24"/>
                <w:highlight w:val="none"/>
                <w14:textFill>
                  <w14:solidFill>
                    <w14:schemeClr w14:val="tx1"/>
                  </w14:solidFill>
                </w14:textFill>
              </w:rPr>
              <w:t>鲁发改工业[2023]34号</w:t>
            </w:r>
            <w:r>
              <w:rPr>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w:t>
            </w:r>
            <w:r>
              <w:rPr>
                <w:color w:val="000000" w:themeColor="text1"/>
                <w:sz w:val="24"/>
                <w:szCs w:val="21"/>
                <w:highlight w:val="none"/>
                <w14:textFill>
                  <w14:solidFill>
                    <w14:schemeClr w14:val="tx1"/>
                  </w14:solidFill>
                </w14:textFill>
              </w:rPr>
              <w:t>本项目</w:t>
            </w:r>
            <w:r>
              <w:rPr>
                <w:color w:val="000000" w:themeColor="text1"/>
                <w:sz w:val="24"/>
                <w:highlight w:val="none"/>
                <w14:textFill>
                  <w14:solidFill>
                    <w14:schemeClr w14:val="tx1"/>
                  </w14:solidFill>
                </w14:textFill>
              </w:rPr>
              <w:t>不属于</w:t>
            </w:r>
            <w:r>
              <w:rPr>
                <w:color w:val="000000" w:themeColor="text1"/>
                <w:sz w:val="24"/>
                <w:szCs w:val="21"/>
                <w:highlight w:val="none"/>
                <w14:textFill>
                  <w14:solidFill>
                    <w14:schemeClr w14:val="tx1"/>
                  </w14:solidFill>
                </w14:textFill>
              </w:rPr>
              <w:t>“两高”</w:t>
            </w:r>
            <w:r>
              <w:rPr>
                <w:color w:val="000000" w:themeColor="text1"/>
                <w:sz w:val="24"/>
                <w:highlight w:val="none"/>
                <w14:textFill>
                  <w14:solidFill>
                    <w14:schemeClr w14:val="tx1"/>
                  </w14:solidFill>
                </w14:textFill>
              </w:rPr>
              <w:t>项目</w:t>
            </w:r>
            <w:r>
              <w:rPr>
                <w:bCs/>
                <w:color w:val="000000" w:themeColor="text1"/>
                <w:sz w:val="24"/>
                <w:highlight w:val="none"/>
                <w14:textFill>
                  <w14:solidFill>
                    <w14:schemeClr w14:val="tx1"/>
                  </w14:solidFill>
                </w14:textFill>
              </w:rPr>
              <w:t>。</w:t>
            </w:r>
          </w:p>
          <w:p>
            <w:pPr>
              <w:numPr>
                <w:ilvl w:val="0"/>
                <w:numId w:val="0"/>
              </w:numPr>
              <w:spacing w:line="360" w:lineRule="auto"/>
              <w:ind w:firstLine="482" w:firstLineChars="20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8、</w:t>
            </w:r>
            <w:r>
              <w:rPr>
                <w:b/>
                <w:bCs/>
                <w:color w:val="000000" w:themeColor="text1"/>
                <w:sz w:val="24"/>
                <w:szCs w:val="24"/>
                <w:highlight w:val="none"/>
                <w14:textFill>
                  <w14:solidFill>
                    <w14:schemeClr w14:val="tx1"/>
                  </w14:solidFill>
                </w14:textFill>
              </w:rPr>
              <w:t>与山东省人民政府关于印发《山东省“十四五”生态环境保护规划的通知》（鲁政发【2021】12号）的符合性</w:t>
            </w:r>
          </w:p>
          <w:p>
            <w:pPr>
              <w:adjustRightInd w:val="0"/>
              <w:snapToGrid w:val="0"/>
              <w:jc w:val="center"/>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表1-</w:t>
            </w:r>
            <w:r>
              <w:rPr>
                <w:rFonts w:hint="eastAsia"/>
                <w:b/>
                <w:color w:val="000000" w:themeColor="text1"/>
                <w:sz w:val="24"/>
                <w:szCs w:val="24"/>
                <w:highlight w:val="none"/>
                <w:lang w:val="en-US" w:eastAsia="zh-CN"/>
                <w14:textFill>
                  <w14:solidFill>
                    <w14:schemeClr w14:val="tx1"/>
                  </w14:solidFill>
                </w14:textFill>
              </w:rPr>
              <w:t xml:space="preserve">5  </w:t>
            </w:r>
            <w:r>
              <w:rPr>
                <w:rFonts w:hint="eastAsia"/>
                <w:b/>
                <w:color w:val="000000" w:themeColor="text1"/>
                <w:sz w:val="24"/>
                <w:szCs w:val="24"/>
                <w:highlight w:val="none"/>
                <w14:textFill>
                  <w14:solidFill>
                    <w14:schemeClr w14:val="tx1"/>
                  </w14:solidFill>
                </w14:textFill>
              </w:rPr>
              <w:t>项目</w:t>
            </w:r>
            <w:r>
              <w:rPr>
                <w:b/>
                <w:color w:val="000000" w:themeColor="text1"/>
                <w:sz w:val="24"/>
                <w:szCs w:val="24"/>
                <w:highlight w:val="none"/>
                <w14:textFill>
                  <w14:solidFill>
                    <w14:schemeClr w14:val="tx1"/>
                  </w14:solidFill>
                </w14:textFill>
              </w:rPr>
              <w:t>与</w:t>
            </w:r>
            <w:r>
              <w:rPr>
                <w:b/>
                <w:bCs/>
                <w:color w:val="000000" w:themeColor="text1"/>
                <w:sz w:val="24"/>
                <w:szCs w:val="24"/>
                <w:highlight w:val="none"/>
                <w14:textFill>
                  <w14:solidFill>
                    <w14:schemeClr w14:val="tx1"/>
                  </w14:solidFill>
                </w14:textFill>
              </w:rPr>
              <w:t>鲁政发【2021】12号</w:t>
            </w:r>
            <w:r>
              <w:rPr>
                <w:rFonts w:hint="eastAsia"/>
                <w:b/>
                <w:bCs/>
                <w:color w:val="000000" w:themeColor="text1"/>
                <w:sz w:val="24"/>
                <w:szCs w:val="24"/>
                <w:highlight w:val="none"/>
                <w14:textFill>
                  <w14:solidFill>
                    <w14:schemeClr w14:val="tx1"/>
                  </w14:solidFill>
                </w14:textFill>
              </w:rPr>
              <w:t>文</w:t>
            </w:r>
            <w:r>
              <w:rPr>
                <w:b/>
                <w:bCs/>
                <w:color w:val="000000" w:themeColor="text1"/>
                <w:sz w:val="24"/>
                <w:szCs w:val="24"/>
                <w:highlight w:val="none"/>
                <w14:textFill>
                  <w14:solidFill>
                    <w14:schemeClr w14:val="tx1"/>
                  </w14:solidFill>
                </w14:textFill>
              </w:rPr>
              <w:t>符合性分析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59"/>
              <w:gridCol w:w="2619"/>
              <w:gridCol w:w="9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5" w:type="dxa"/>
                  <w:tcBorders>
                    <w:tl2br w:val="nil"/>
                    <w:tr2bl w:val="nil"/>
                  </w:tcBorders>
                  <w:noWrap w:val="0"/>
                  <w:vAlign w:val="center"/>
                </w:tcPr>
                <w:p>
                  <w:pPr>
                    <w:adjustRightInd w:val="0"/>
                    <w:snapToGrid w:val="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文件要求</w:t>
                  </w:r>
                </w:p>
              </w:tc>
              <w:tc>
                <w:tcPr>
                  <w:tcW w:w="2524" w:type="dxa"/>
                  <w:tcBorders>
                    <w:tl2br w:val="nil"/>
                    <w:tr2bl w:val="nil"/>
                  </w:tcBorders>
                  <w:noWrap w:val="0"/>
                  <w:vAlign w:val="center"/>
                </w:tcPr>
                <w:p>
                  <w:pPr>
                    <w:adjustRightInd w:val="0"/>
                    <w:snapToGrid w:val="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本项目情况</w:t>
                  </w:r>
                </w:p>
              </w:tc>
              <w:tc>
                <w:tcPr>
                  <w:tcW w:w="885" w:type="dxa"/>
                  <w:tcBorders>
                    <w:tl2br w:val="nil"/>
                    <w:tr2bl w:val="nil"/>
                  </w:tcBorders>
                  <w:noWrap w:val="0"/>
                  <w:vAlign w:val="center"/>
                </w:tcPr>
                <w:p>
                  <w:pPr>
                    <w:adjustRightInd w:val="0"/>
                    <w:snapToGrid w:val="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5" w:type="dxa"/>
                  <w:tcBorders>
                    <w:tl2br w:val="nil"/>
                    <w:tr2bl w:val="nil"/>
                  </w:tcBorders>
                  <w:noWrap w:val="0"/>
                  <w:vAlign w:val="center"/>
                </w:tcPr>
                <w:p>
                  <w:pPr>
                    <w:adjustRightInd w:val="0"/>
                    <w:snapToGrid w:val="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持续推进涉气污染源治理</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实施重点行业NOx等污染物深度治理</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大力推进重点行业VOCs治理</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加强其它涉气污染物治理</w:t>
                  </w:r>
                </w:p>
              </w:tc>
              <w:tc>
                <w:tcPr>
                  <w:tcW w:w="2524" w:type="dxa"/>
                  <w:tcBorders>
                    <w:tl2br w:val="nil"/>
                    <w:tr2bl w:val="nil"/>
                  </w:tcBorders>
                  <w:noWrap w:val="0"/>
                  <w:vAlign w:val="center"/>
                </w:tcPr>
                <w:p>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生产过程产生的</w:t>
                  </w:r>
                  <w:r>
                    <w:rPr>
                      <w:rFonts w:hint="eastAsia"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废气经</w:t>
                  </w: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处理</w:t>
                  </w:r>
                  <w:r>
                    <w:rPr>
                      <w:rFonts w:hint="eastAsia"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后</w:t>
                  </w: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达标排放</w:t>
                  </w:r>
                </w:p>
              </w:tc>
              <w:tc>
                <w:tcPr>
                  <w:tcW w:w="885" w:type="dxa"/>
                  <w:tcBorders>
                    <w:tl2br w:val="nil"/>
                    <w:tr2bl w:val="nil"/>
                  </w:tcBorders>
                  <w:noWrap w:val="0"/>
                  <w:vAlign w:val="center"/>
                </w:tcPr>
                <w:p>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5" w:type="dxa"/>
                  <w:tcBorders>
                    <w:tl2br w:val="nil"/>
                    <w:tr2bl w:val="nil"/>
                  </w:tcBorders>
                  <w:noWrap w:val="0"/>
                  <w:vAlign w:val="center"/>
                </w:tcPr>
                <w:p>
                  <w:pPr>
                    <w:adjustRightInd w:val="0"/>
                    <w:snapToGrid w:val="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深化水污染防治</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狠抓工业污染防治</w:t>
                  </w:r>
                </w:p>
              </w:tc>
              <w:tc>
                <w:tcPr>
                  <w:tcW w:w="2524" w:type="dxa"/>
                  <w:tcBorders>
                    <w:tl2br w:val="nil"/>
                    <w:tr2bl w:val="nil"/>
                  </w:tcBorders>
                  <w:noWrap w:val="0"/>
                  <w:vAlign w:val="center"/>
                </w:tcPr>
                <w:p>
                  <w:pPr>
                    <w:adjustRightInd w:val="0"/>
                    <w:snapToGrid w:val="0"/>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本项目</w:t>
                  </w:r>
                  <w:r>
                    <w:rPr>
                      <w:rFonts w:hint="eastAsia" w:cs="Times New Roman"/>
                      <w:b w:val="0"/>
                      <w:bCs w:val="0"/>
                      <w:color w:val="000000" w:themeColor="text1"/>
                      <w:spacing w:val="-6"/>
                      <w:sz w:val="21"/>
                      <w:szCs w:val="21"/>
                      <w:highlight w:val="none"/>
                      <w:lang w:val="en-US" w:eastAsia="zh-CN"/>
                      <w14:textFill>
                        <w14:solidFill>
                          <w14:schemeClr w14:val="tx1"/>
                        </w14:solidFill>
                      </w14:textFill>
                    </w:rPr>
                    <w:t>废水经厂区污水处理站处理后进入</w:t>
                  </w:r>
                  <w:r>
                    <w:rPr>
                      <w:rFonts w:hint="eastAsia"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园区污水处理厂处理</w:t>
                  </w:r>
                </w:p>
              </w:tc>
              <w:tc>
                <w:tcPr>
                  <w:tcW w:w="885" w:type="dxa"/>
                  <w:tcBorders>
                    <w:tl2br w:val="nil"/>
                    <w:tr2bl w:val="nil"/>
                  </w:tcBorders>
                  <w:noWrap w:val="0"/>
                  <w:vAlign w:val="center"/>
                </w:tcPr>
                <w:p>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5" w:type="dxa"/>
                  <w:tcBorders>
                    <w:tl2br w:val="nil"/>
                    <w:tr2bl w:val="nil"/>
                  </w:tcBorders>
                  <w:noWrap w:val="0"/>
                  <w:vAlign w:val="center"/>
                </w:tcPr>
                <w:p>
                  <w:pPr>
                    <w:adjustRightInd w:val="0"/>
                    <w:snapToGrid w:val="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强化土壤和地下水污染源系统防控</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加强空间布局管控</w:t>
                  </w:r>
                </w:p>
              </w:tc>
              <w:tc>
                <w:tcPr>
                  <w:tcW w:w="2524" w:type="dxa"/>
                  <w:tcBorders>
                    <w:tl2br w:val="nil"/>
                    <w:tr2bl w:val="nil"/>
                  </w:tcBorders>
                  <w:noWrap w:val="0"/>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项目用地符合规划，且进行了分区防渗措施</w:t>
                  </w:r>
                </w:p>
              </w:tc>
              <w:tc>
                <w:tcPr>
                  <w:tcW w:w="885" w:type="dxa"/>
                  <w:tcBorders>
                    <w:tl2br w:val="nil"/>
                    <w:tr2bl w:val="nil"/>
                  </w:tcBorders>
                  <w:noWrap w:val="0"/>
                  <w:vAlign w:val="center"/>
                </w:tcPr>
                <w:p>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5" w:type="dxa"/>
                  <w:tcBorders>
                    <w:tl2br w:val="nil"/>
                    <w:tr2bl w:val="nil"/>
                  </w:tcBorders>
                  <w:noWrap w:val="0"/>
                  <w:vAlign w:val="center"/>
                </w:tcPr>
                <w:p>
                  <w:pPr>
                    <w:adjustRightInd w:val="0"/>
                    <w:snapToGrid w:val="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完善环境风险防控机制</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加强隐患排查和风险评估</w:t>
                  </w:r>
                </w:p>
              </w:tc>
              <w:tc>
                <w:tcPr>
                  <w:tcW w:w="2524" w:type="dxa"/>
                  <w:tcBorders>
                    <w:tl2br w:val="nil"/>
                    <w:tr2bl w:val="nil"/>
                  </w:tcBorders>
                  <w:noWrap w:val="0"/>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color w:val="000000" w:themeColor="text1"/>
                      <w:sz w:val="21"/>
                      <w:szCs w:val="21"/>
                      <w:highlight w:val="none"/>
                      <w14:textFill>
                        <w14:solidFill>
                          <w14:schemeClr w14:val="tx1"/>
                        </w14:solidFill>
                      </w14:textFill>
                    </w:rPr>
                    <w:t>风险</w:t>
                  </w:r>
                  <w:r>
                    <w:rPr>
                      <w:rFonts w:hint="eastAsia"/>
                      <w:color w:val="000000" w:themeColor="text1"/>
                      <w:sz w:val="21"/>
                      <w:szCs w:val="21"/>
                      <w:highlight w:val="none"/>
                      <w14:textFill>
                        <w14:solidFill>
                          <w14:schemeClr w14:val="tx1"/>
                        </w14:solidFill>
                      </w14:textFill>
                    </w:rPr>
                    <w:t>较小，</w:t>
                  </w:r>
                  <w:r>
                    <w:rPr>
                      <w:color w:val="000000" w:themeColor="text1"/>
                      <w:sz w:val="21"/>
                      <w:szCs w:val="21"/>
                      <w:highlight w:val="none"/>
                      <w14:textFill>
                        <w14:solidFill>
                          <w14:schemeClr w14:val="tx1"/>
                        </w14:solidFill>
                      </w14:textFill>
                    </w:rPr>
                    <w:t>环境风险可接受</w:t>
                  </w:r>
                </w:p>
              </w:tc>
              <w:tc>
                <w:tcPr>
                  <w:tcW w:w="885" w:type="dxa"/>
                  <w:tcBorders>
                    <w:tl2br w:val="nil"/>
                    <w:tr2bl w:val="nil"/>
                  </w:tcBorders>
                  <w:noWrap w:val="0"/>
                  <w:vAlign w:val="center"/>
                </w:tcPr>
                <w:p>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5" w:type="dxa"/>
                  <w:tcBorders>
                    <w:tl2br w:val="nil"/>
                    <w:tr2bl w:val="nil"/>
                  </w:tcBorders>
                  <w:noWrap w:val="0"/>
                  <w:vAlign w:val="center"/>
                </w:tcPr>
                <w:p>
                  <w:pPr>
                    <w:adjustRightInd w:val="0"/>
                    <w:snapToGrid w:val="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加强危险废物医疗废物环境管理</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优化提升危险废物收集与利用处置能力</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强化危险废物全过程环境监管</w:t>
                  </w:r>
                </w:p>
              </w:tc>
              <w:tc>
                <w:tcPr>
                  <w:tcW w:w="2524" w:type="dxa"/>
                  <w:tcBorders>
                    <w:tl2br w:val="nil"/>
                    <w:tr2bl w:val="nil"/>
                  </w:tcBorders>
                  <w:noWrap w:val="0"/>
                  <w:vAlign w:val="center"/>
                </w:tcPr>
                <w:p>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一般固废</w:t>
                  </w:r>
                  <w:r>
                    <w:rPr>
                      <w:rFonts w:hint="eastAsia"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外售</w:t>
                  </w:r>
                  <w:r>
                    <w:rPr>
                      <w:rFonts w:hint="default" w:ascii="Times New Roman" w:hAnsi="Times New Roman" w:eastAsia="宋体"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综合利用，危废</w:t>
                  </w:r>
                  <w:r>
                    <w:rPr>
                      <w:rFonts w:hint="eastAsia"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焚烧</w:t>
                  </w:r>
                  <w:r>
                    <w:rPr>
                      <w:rFonts w:hint="default" w:ascii="Times New Roman" w:hAnsi="Times New Roman" w:eastAsia="宋体"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处理</w:t>
                  </w:r>
                </w:p>
              </w:tc>
              <w:tc>
                <w:tcPr>
                  <w:tcW w:w="885" w:type="dxa"/>
                  <w:tcBorders>
                    <w:tl2br w:val="nil"/>
                    <w:tr2bl w:val="nil"/>
                  </w:tcBorders>
                  <w:noWrap w:val="0"/>
                  <w:vAlign w:val="center"/>
                </w:tcPr>
                <w:p>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pPr>
              <w:spacing w:line="360" w:lineRule="auto"/>
              <w:ind w:firstLine="480" w:firstLineChars="200"/>
              <w:rPr>
                <w:b/>
                <w:bCs/>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由上表可知，</w:t>
            </w:r>
            <w:r>
              <w:rPr>
                <w:rFonts w:hint="eastAsia"/>
                <w:color w:val="000000" w:themeColor="text1"/>
                <w:sz w:val="24"/>
                <w:szCs w:val="24"/>
                <w:highlight w:val="none"/>
                <w14:textFill>
                  <w14:solidFill>
                    <w14:schemeClr w14:val="tx1"/>
                  </w14:solidFill>
                </w14:textFill>
              </w:rPr>
              <w:t>项目</w:t>
            </w:r>
            <w:r>
              <w:rPr>
                <w:color w:val="000000" w:themeColor="text1"/>
                <w:sz w:val="24"/>
                <w:szCs w:val="24"/>
                <w:highlight w:val="none"/>
                <w14:textFill>
                  <w14:solidFill>
                    <w14:schemeClr w14:val="tx1"/>
                  </w14:solidFill>
                </w14:textFill>
              </w:rPr>
              <w:t>符合</w:t>
            </w:r>
            <w:r>
              <w:rPr>
                <w:rFonts w:hint="eastAsia"/>
                <w:color w:val="000000" w:themeColor="text1"/>
                <w:sz w:val="24"/>
                <w:szCs w:val="24"/>
                <w:highlight w:val="none"/>
                <w14:textFill>
                  <w14:solidFill>
                    <w14:schemeClr w14:val="tx1"/>
                  </w14:solidFill>
                </w14:textFill>
              </w:rPr>
              <w:t>《山东省“十四五”生态环境保护规划》</w:t>
            </w:r>
            <w:r>
              <w:rPr>
                <w:color w:val="000000" w:themeColor="text1"/>
                <w:sz w:val="24"/>
                <w:szCs w:val="24"/>
                <w:highlight w:val="none"/>
                <w14:textFill>
                  <w14:solidFill>
                    <w14:schemeClr w14:val="tx1"/>
                  </w14:solidFill>
                </w14:textFill>
              </w:rPr>
              <w:t>要求</w:t>
            </w:r>
          </w:p>
          <w:p>
            <w:pPr>
              <w:spacing w:line="360" w:lineRule="auto"/>
              <w:ind w:firstLine="482" w:firstLineChars="20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9、</w:t>
            </w:r>
            <w:r>
              <w:rPr>
                <w:b/>
                <w:bCs/>
                <w:color w:val="000000" w:themeColor="text1"/>
                <w:sz w:val="24"/>
                <w:szCs w:val="24"/>
                <w:highlight w:val="none"/>
                <w14:textFill>
                  <w14:solidFill>
                    <w14:schemeClr w14:val="tx1"/>
                  </w14:solidFill>
                </w14:textFill>
              </w:rPr>
              <w:t>《关于严格项目审批工作坚决防止新上“散乱污”项目的通知》(鲁环字〔2021〕58号)符合性</w:t>
            </w:r>
          </w:p>
          <w:p>
            <w:pPr>
              <w:adjustRightInd w:val="0"/>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表1-</w:t>
            </w:r>
            <w:r>
              <w:rPr>
                <w:rFonts w:hint="eastAsia"/>
                <w:b/>
                <w:bCs/>
                <w:color w:val="000000" w:themeColor="text1"/>
                <w:sz w:val="24"/>
                <w:szCs w:val="24"/>
                <w:highlight w:val="none"/>
                <w:lang w:val="en-US" w:eastAsia="zh-CN"/>
                <w14:textFill>
                  <w14:solidFill>
                    <w14:schemeClr w14:val="tx1"/>
                  </w14:solidFill>
                </w14:textFill>
              </w:rPr>
              <w:t xml:space="preserve">6  </w:t>
            </w:r>
            <w:r>
              <w:rPr>
                <w:rFonts w:hint="eastAsia"/>
                <w:b/>
                <w:bCs/>
                <w:color w:val="000000" w:themeColor="text1"/>
                <w:sz w:val="24"/>
                <w:szCs w:val="24"/>
                <w:highlight w:val="none"/>
                <w14:textFill>
                  <w14:solidFill>
                    <w14:schemeClr w14:val="tx1"/>
                  </w14:solidFill>
                </w14:textFill>
              </w:rPr>
              <w:t>项目</w:t>
            </w:r>
            <w:r>
              <w:rPr>
                <w:b/>
                <w:bCs/>
                <w:color w:val="000000" w:themeColor="text1"/>
                <w:sz w:val="24"/>
                <w:szCs w:val="24"/>
                <w:highlight w:val="none"/>
                <w14:textFill>
                  <w14:solidFill>
                    <w14:schemeClr w14:val="tx1"/>
                  </w14:solidFill>
                </w14:textFill>
              </w:rPr>
              <w:t>与鲁环字〔2021〕58号符合性分析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947"/>
              <w:gridCol w:w="9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0" w:type="dxa"/>
                  <w:tcBorders>
                    <w:tl2br w:val="nil"/>
                    <w:tr2bl w:val="nil"/>
                  </w:tcBorders>
                  <w:noWrap w:val="0"/>
                  <w:vAlign w:val="center"/>
                </w:tcPr>
                <w:p>
                  <w:pPr>
                    <w:autoSpaceDE w:val="0"/>
                    <w:autoSpaceDN w:val="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要求</w:t>
                  </w:r>
                </w:p>
              </w:tc>
              <w:tc>
                <w:tcPr>
                  <w:tcW w:w="1876" w:type="dxa"/>
                  <w:tcBorders>
                    <w:tl2br w:val="nil"/>
                    <w:tr2bl w:val="nil"/>
                  </w:tcBorders>
                  <w:noWrap w:val="0"/>
                  <w:vAlign w:val="center"/>
                </w:tcPr>
                <w:p>
                  <w:pPr>
                    <w:autoSpaceDE w:val="0"/>
                    <w:autoSpaceDN w:val="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项目情况</w:t>
                  </w:r>
                </w:p>
              </w:tc>
              <w:tc>
                <w:tcPr>
                  <w:tcW w:w="898" w:type="dxa"/>
                  <w:tcBorders>
                    <w:tl2br w:val="nil"/>
                    <w:tr2bl w:val="nil"/>
                  </w:tcBorders>
                  <w:noWrap w:val="0"/>
                  <w:vAlign w:val="center"/>
                </w:tcPr>
                <w:p>
                  <w:pPr>
                    <w:autoSpaceDE w:val="0"/>
                    <w:autoSpaceDN w:val="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4450" w:type="dxa"/>
                  <w:tcBorders>
                    <w:tl2br w:val="nil"/>
                    <w:tr2bl w:val="nil"/>
                  </w:tcBorders>
                  <w:noWrap w:val="0"/>
                  <w:vAlign w:val="center"/>
                </w:tcPr>
                <w:p>
                  <w:pPr>
                    <w:autoSpaceDE w:val="0"/>
                    <w:autoSpaceDN w:val="0"/>
                    <w:adjustRightInd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各级立项部门在为企业办理手续时，要认真对照《产业结构调整指导目录（2019年本）》（如有更新，以更新后文件为准），对鼓励类项目，按照有关规定审批、核准或备案；对限制类项目，禁止新建，现有生产能力允许在一定期限内改造升级；对淘汰类项目，市场主体不得进入，行政机关不予审批。</w:t>
                  </w:r>
                </w:p>
              </w:tc>
              <w:tc>
                <w:tcPr>
                  <w:tcW w:w="1876"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本项目属于</w:t>
                  </w:r>
                  <w:r>
                    <w:rPr>
                      <w:rFonts w:hint="eastAsia" w:cs="Times New Roman"/>
                      <w:color w:val="000000" w:themeColor="text1"/>
                      <w:sz w:val="21"/>
                      <w:szCs w:val="21"/>
                      <w:highlight w:val="none"/>
                      <w:lang w:val="en-US" w:eastAsia="zh-CN"/>
                      <w14:textFill>
                        <w14:solidFill>
                          <w14:schemeClr w14:val="tx1"/>
                        </w14:solidFill>
                      </w14:textFill>
                    </w:rPr>
                    <w:t>允许</w:t>
                  </w:r>
                  <w:r>
                    <w:rPr>
                      <w:rFonts w:hint="default" w:ascii="Times New Roman" w:hAnsi="Times New Roman" w:cs="Times New Roman"/>
                      <w:color w:val="000000" w:themeColor="text1"/>
                      <w:sz w:val="21"/>
                      <w:szCs w:val="21"/>
                      <w:highlight w:val="none"/>
                      <w14:textFill>
                        <w14:solidFill>
                          <w14:schemeClr w14:val="tx1"/>
                        </w14:solidFill>
                      </w14:textFill>
                    </w:rPr>
                    <w:t>类</w:t>
                  </w:r>
                  <w:r>
                    <w:rPr>
                      <w:rFonts w:hint="eastAsia" w:cs="Times New Roman"/>
                      <w:color w:val="000000" w:themeColor="text1"/>
                      <w:sz w:val="21"/>
                      <w:szCs w:val="21"/>
                      <w:highlight w:val="none"/>
                      <w:lang w:val="en-US" w:eastAsia="zh-CN"/>
                      <w14:textFill>
                        <w14:solidFill>
                          <w14:schemeClr w14:val="tx1"/>
                        </w14:solidFill>
                      </w14:textFill>
                    </w:rPr>
                    <w:t>项目，已完成备案</w:t>
                  </w:r>
                </w:p>
              </w:tc>
              <w:tc>
                <w:tcPr>
                  <w:tcW w:w="898" w:type="dxa"/>
                  <w:tcBorders>
                    <w:tl2br w:val="nil"/>
                    <w:tr2bl w:val="nil"/>
                  </w:tcBorders>
                  <w:noWrap w:val="0"/>
                  <w:vAlign w:val="center"/>
                </w:tcPr>
                <w:p>
                  <w:pPr>
                    <w:adjustRightInd w:val="0"/>
                    <w:snapToGrid w:val="0"/>
                    <w:jc w:val="center"/>
                    <w:outlineLvl w:val="2"/>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0" w:type="dxa"/>
                  <w:tcBorders>
                    <w:tl2br w:val="nil"/>
                    <w:tr2bl w:val="nil"/>
                  </w:tcBorders>
                  <w:noWrap w:val="0"/>
                  <w:vAlign w:val="center"/>
                </w:tcPr>
                <w:p>
                  <w:pPr>
                    <w:autoSpaceDE w:val="0"/>
                    <w:autoSpaceDN w:val="0"/>
                    <w:adjustRightInd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科学把好项目选址关。新建有污染物排放的工业项目，除在安全生产等方面有特殊要求的以外，应当进入工业园区或工业集聚区。</w:t>
                  </w:r>
                </w:p>
              </w:tc>
              <w:tc>
                <w:tcPr>
                  <w:tcW w:w="1876" w:type="dxa"/>
                  <w:vMerge w:val="restart"/>
                  <w:tcBorders>
                    <w:tl2br w:val="nil"/>
                    <w:tr2bl w:val="nil"/>
                  </w:tcBorders>
                  <w:noWrap w:val="0"/>
                  <w:vAlign w:val="center"/>
                </w:tcPr>
                <w:p>
                  <w:pPr>
                    <w:jc w:val="center"/>
                    <w:rPr>
                      <w:rFonts w:hint="default" w:ascii="Times New Roman" w:hAnsi="Times New Roman" w:cs="Times New Roman"/>
                      <w:color w:val="000000" w:themeColor="text1"/>
                      <w:spacing w:val="-2"/>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b w:val="0"/>
                      <w:bCs w:val="0"/>
                      <w:color w:val="000000" w:themeColor="text1"/>
                      <w:sz w:val="21"/>
                      <w:szCs w:val="21"/>
                      <w:highlight w:val="none"/>
                      <w:lang w:val="zh-TW" w:eastAsia="zh-TW"/>
                      <w14:textFill>
                        <w14:solidFill>
                          <w14:schemeClr w14:val="tx1"/>
                        </w14:solidFill>
                      </w14:textFill>
                    </w:rPr>
                    <w:t>符合《嘉祥县国土空间总体规划(2021-2035年)》</w:t>
                  </w:r>
                  <w:r>
                    <w:rPr>
                      <w:rFonts w:hint="eastAsia" w:cs="Times New Roman"/>
                      <w:b w:val="0"/>
                      <w:bCs w:val="0"/>
                      <w:color w:val="000000" w:themeColor="text1"/>
                      <w:sz w:val="21"/>
                      <w:szCs w:val="21"/>
                      <w:highlight w:val="none"/>
                      <w:lang w:val="en-US" w:eastAsia="zh-CN"/>
                      <w14:textFill>
                        <w14:solidFill>
                          <w14:schemeClr w14:val="tx1"/>
                        </w14:solidFill>
                      </w14:textFill>
                    </w:rPr>
                    <w:t>及《嘉祥化工产业园总体发展规划》(2023-2035年)</w:t>
                  </w:r>
                </w:p>
              </w:tc>
              <w:tc>
                <w:tcPr>
                  <w:tcW w:w="898" w:type="dxa"/>
                  <w:tcBorders>
                    <w:tl2br w:val="nil"/>
                    <w:tr2bl w:val="nil"/>
                  </w:tcBorders>
                  <w:noWrap w:val="0"/>
                  <w:vAlign w:val="center"/>
                </w:tcPr>
                <w:p>
                  <w:pPr>
                    <w:adjustRightInd w:val="0"/>
                    <w:snapToGrid w:val="0"/>
                    <w:jc w:val="center"/>
                    <w:outlineLvl w:val="2"/>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450" w:type="dxa"/>
                  <w:tcBorders>
                    <w:tl2br w:val="nil"/>
                    <w:tr2bl w:val="nil"/>
                  </w:tcBorders>
                  <w:noWrap w:val="0"/>
                  <w:vAlign w:val="center"/>
                </w:tcPr>
                <w:p>
                  <w:pPr>
                    <w:autoSpaceDE w:val="0"/>
                    <w:autoSpaceDN w:val="0"/>
                    <w:adjustRightInd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强化规划刚性约束。新上项目必须符合国土空间规划、产业发展规划等要求，积极引导产业园区外“散乱污”整治搬迁改造企业进入产业园区或工业集聚区，并鼓励租赁标准厂房。</w:t>
                  </w:r>
                </w:p>
              </w:tc>
              <w:tc>
                <w:tcPr>
                  <w:tcW w:w="1876" w:type="dxa"/>
                  <w:vMerge w:val="continue"/>
                  <w:tcBorders>
                    <w:tl2br w:val="nil"/>
                    <w:tr2bl w:val="nil"/>
                  </w:tcBorders>
                  <w:noWrap w:val="0"/>
                  <w:vAlign w:val="center"/>
                </w:tcPr>
                <w:p>
                  <w:pPr>
                    <w:autoSpaceDE w:val="0"/>
                    <w:autoSpaceDN w:val="0"/>
                    <w:adjustRightInd w:val="0"/>
                    <w:rPr>
                      <w:rFonts w:hint="default" w:ascii="Times New Roman" w:hAnsi="Times New Roman" w:cs="Times New Roman"/>
                      <w:color w:val="000000" w:themeColor="text1"/>
                      <w:spacing w:val="-2"/>
                      <w:sz w:val="21"/>
                      <w:szCs w:val="21"/>
                      <w:highlight w:val="none"/>
                      <w14:textFill>
                        <w14:solidFill>
                          <w14:schemeClr w14:val="tx1"/>
                        </w14:solidFill>
                      </w14:textFill>
                    </w:rPr>
                  </w:pPr>
                </w:p>
              </w:tc>
              <w:tc>
                <w:tcPr>
                  <w:tcW w:w="898" w:type="dxa"/>
                  <w:tcBorders>
                    <w:tl2br w:val="nil"/>
                    <w:tr2bl w:val="nil"/>
                  </w:tcBorders>
                  <w:noWrap w:val="0"/>
                  <w:vAlign w:val="center"/>
                </w:tcPr>
                <w:p>
                  <w:pPr>
                    <w:adjustRightInd w:val="0"/>
                    <w:snapToGrid w:val="0"/>
                    <w:jc w:val="center"/>
                    <w:outlineLvl w:val="2"/>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0" w:type="dxa"/>
                  <w:tcBorders>
                    <w:tl2br w:val="nil"/>
                    <w:tr2bl w:val="nil"/>
                  </w:tcBorders>
                  <w:noWrap w:val="0"/>
                  <w:vAlign w:val="center"/>
                </w:tcPr>
                <w:p>
                  <w:pPr>
                    <w:autoSpaceDE w:val="0"/>
                    <w:autoSpaceDN w:val="0"/>
                    <w:adjustRightInd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强化替代约束，涉及主要污染物排放的，必须落实区域污染物排放替代，确保增产减污；涉及煤炭消耗的，必须落实煤炭消费减量替代，否则各级环评审批部门一律不予审批通过。</w:t>
                  </w:r>
                </w:p>
              </w:tc>
              <w:tc>
                <w:tcPr>
                  <w:tcW w:w="1876" w:type="dxa"/>
                  <w:tcBorders>
                    <w:tl2br w:val="nil"/>
                    <w:tr2bl w:val="nil"/>
                  </w:tcBorders>
                  <w:noWrap w:val="0"/>
                  <w:vAlign w:val="center"/>
                </w:tcPr>
                <w:p>
                  <w:pPr>
                    <w:autoSpaceDE w:val="0"/>
                    <w:autoSpaceDN w:val="0"/>
                    <w:adjustRightInd w:val="0"/>
                    <w:rPr>
                      <w:rFonts w:hint="eastAsia" w:ascii="Times New Roman" w:hAnsi="Times New Roman" w:eastAsia="宋体" w:cs="Times New Roman"/>
                      <w:color w:val="000000" w:themeColor="text1"/>
                      <w:spacing w:val="-2"/>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排放的</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相关污染物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主要为VOC</w:t>
                  </w:r>
                  <w:r>
                    <w:rPr>
                      <w:rFonts w:hint="default"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S</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按照倍量</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进行削减替代</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，不涉及煤炭消耗。</w:t>
                  </w:r>
                </w:p>
              </w:tc>
              <w:tc>
                <w:tcPr>
                  <w:tcW w:w="898" w:type="dxa"/>
                  <w:tcBorders>
                    <w:tl2br w:val="nil"/>
                    <w:tr2bl w:val="nil"/>
                  </w:tcBorders>
                  <w:noWrap w:val="0"/>
                  <w:vAlign w:val="center"/>
                </w:tcPr>
                <w:p>
                  <w:pPr>
                    <w:adjustRightInd w:val="0"/>
                    <w:snapToGrid w:val="0"/>
                    <w:jc w:val="center"/>
                    <w:outlineLvl w:val="2"/>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0" w:type="dxa"/>
                  <w:tcBorders>
                    <w:tl2br w:val="nil"/>
                    <w:tr2bl w:val="nil"/>
                  </w:tcBorders>
                  <w:noWrap w:val="0"/>
                  <w:vAlign w:val="center"/>
                </w:tcPr>
                <w:p>
                  <w:pPr>
                    <w:adjustRightInd w:val="0"/>
                    <w:snapToGrid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严把项目环评审批关。新上项目必须严格执行环评审批“三挂钩”机制和“五个不批”要求，落实“三线一单”生态环境分区管控要求。强化替代约束，涉及主要污染物排放的，必须落实区域污染物排放替代，确保增产减污。</w:t>
                  </w:r>
                </w:p>
              </w:tc>
              <w:tc>
                <w:tcPr>
                  <w:tcW w:w="18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spacing w:val="-2"/>
                      <w:sz w:val="21"/>
                      <w:szCs w:val="21"/>
                      <w:highlight w:val="none"/>
                      <w14:textFill>
                        <w14:solidFill>
                          <w14:schemeClr w14:val="tx1"/>
                        </w14:solidFill>
                      </w14:textFill>
                    </w:rPr>
                  </w:pPr>
                  <w:r>
                    <w:rPr>
                      <w:rFonts w:hint="default" w:ascii="Times New Roman" w:hAnsi="Times New Roman" w:cs="Times New Roman"/>
                      <w:b w:val="0"/>
                      <w:bCs w:val="0"/>
                      <w:color w:val="000000" w:themeColor="text1"/>
                      <w:szCs w:val="21"/>
                      <w:highlight w:val="none"/>
                      <w14:textFill>
                        <w14:solidFill>
                          <w14:schemeClr w14:val="tx1"/>
                        </w14:solidFill>
                      </w14:textFill>
                    </w:rPr>
                    <w:t>项目符合</w:t>
                  </w:r>
                  <w:r>
                    <w:rPr>
                      <w:rFonts w:hint="default" w:ascii="Times New Roman" w:hAnsi="Times New Roman"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szCs w:val="21"/>
                      <w:highlight w:val="none"/>
                      <w14:textFill>
                        <w14:solidFill>
                          <w14:schemeClr w14:val="tx1"/>
                        </w14:solidFill>
                      </w14:textFill>
                    </w:rPr>
                    <w:t>三线一单</w:t>
                  </w:r>
                  <w:r>
                    <w:rPr>
                      <w:rFonts w:hint="default" w:ascii="Times New Roman" w:hAnsi="Times New Roman"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szCs w:val="21"/>
                      <w:highlight w:val="none"/>
                      <w14:textFill>
                        <w14:solidFill>
                          <w14:schemeClr w14:val="tx1"/>
                        </w14:solidFill>
                      </w14:textFill>
                    </w:rPr>
                    <w:t>管控要求；落实了区域污染物排放替代</w:t>
                  </w:r>
                </w:p>
              </w:tc>
              <w:tc>
                <w:tcPr>
                  <w:tcW w:w="898"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0" w:type="dxa"/>
                  <w:tcBorders>
                    <w:tl2br w:val="nil"/>
                    <w:tr2bl w:val="nil"/>
                  </w:tcBorders>
                  <w:noWrap w:val="0"/>
                  <w:vAlign w:val="center"/>
                </w:tcPr>
                <w:p>
                  <w:pPr>
                    <w:autoSpaceDE w:val="0"/>
                    <w:autoSpaceDN w:val="0"/>
                    <w:adjustRightInd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强化日常监管执法。持续加大对违反产业政策、规划、准入规定等违法违规建设行为的查处力度，坚决遏制“未批先建”等违法行为。畅通群众举报投诉渠道，对“散乱污”项目做到早发现、早应对、早处置，严防死灰复燃。</w:t>
                  </w:r>
                </w:p>
              </w:tc>
              <w:tc>
                <w:tcPr>
                  <w:tcW w:w="1876"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无</w:t>
                  </w:r>
                  <w:r>
                    <w:rPr>
                      <w:rFonts w:hint="default" w:ascii="Times New Roman" w:hAnsi="Times New Roman"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未批先建</w:t>
                  </w:r>
                  <w:r>
                    <w:rPr>
                      <w:rFonts w:hint="default" w:ascii="Times New Roman" w:hAnsi="Times New Roman"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等违法行为，</w:t>
                  </w:r>
                  <w:r>
                    <w:rPr>
                      <w:rFonts w:hint="default" w:ascii="Times New Roman" w:hAnsi="Times New Roman" w:cs="Times New Roman"/>
                      <w:b w:val="0"/>
                      <w:bCs w:val="0"/>
                      <w:color w:val="000000" w:themeColor="text1"/>
                      <w:szCs w:val="21"/>
                      <w:highlight w:val="none"/>
                      <w:lang w:eastAsia="zh-CN"/>
                      <w14:textFill>
                        <w14:solidFill>
                          <w14:schemeClr w14:val="tx1"/>
                        </w14:solidFill>
                      </w14:textFill>
                    </w:rPr>
                    <w:t>本</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项目不属于</w:t>
                  </w:r>
                  <w:r>
                    <w:rPr>
                      <w:rFonts w:hint="default" w:ascii="Times New Roman" w:hAnsi="Times New Roman"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散乱污</w:t>
                  </w:r>
                  <w:r>
                    <w:rPr>
                      <w:rFonts w:hint="default" w:ascii="Times New Roman" w:hAnsi="Times New Roman"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项目</w:t>
                  </w:r>
                </w:p>
              </w:tc>
              <w:tc>
                <w:tcPr>
                  <w:tcW w:w="898" w:type="dxa"/>
                  <w:tcBorders>
                    <w:tl2br w:val="nil"/>
                    <w:tr2bl w:val="nil"/>
                  </w:tcBorders>
                  <w:noWrap w:val="0"/>
                  <w:vAlign w:val="center"/>
                </w:tcPr>
                <w:p>
                  <w:pPr>
                    <w:adjustRightInd w:val="0"/>
                    <w:snapToGrid w:val="0"/>
                    <w:jc w:val="center"/>
                    <w:outlineLvl w:val="2"/>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由上表可知，本项目符合《关于严格项目审批工作坚决防止新上“散乱污”项目的通知》(鲁环字〔2021〕58号)》要求。</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firstLine="482" w:firstLineChars="200"/>
              <w:jc w:val="left"/>
              <w:textAlignment w:val="auto"/>
              <w:rPr>
                <w:b/>
                <w:color w:val="000000" w:themeColor="text1"/>
                <w:kern w:val="0"/>
                <w:sz w:val="24"/>
                <w:highlight w:val="none"/>
                <w:lang w:bidi="ar"/>
                <w14:textFill>
                  <w14:solidFill>
                    <w14:schemeClr w14:val="tx1"/>
                  </w14:solidFill>
                </w14:textFill>
              </w:rPr>
            </w:pPr>
            <w:r>
              <w:rPr>
                <w:rFonts w:hint="eastAsia"/>
                <w:b/>
                <w:color w:val="000000" w:themeColor="text1"/>
                <w:kern w:val="0"/>
                <w:sz w:val="24"/>
                <w:highlight w:val="none"/>
                <w:lang w:val="en-US" w:eastAsia="zh-CN" w:bidi="ar"/>
                <w14:textFill>
                  <w14:solidFill>
                    <w14:schemeClr w14:val="tx1"/>
                  </w14:solidFill>
                </w14:textFill>
              </w:rPr>
              <w:t>10、</w:t>
            </w:r>
            <w:r>
              <w:rPr>
                <w:b/>
                <w:color w:val="000000" w:themeColor="text1"/>
                <w:kern w:val="0"/>
                <w:sz w:val="24"/>
                <w:highlight w:val="none"/>
                <w:lang w:bidi="ar"/>
                <w14:textFill>
                  <w14:solidFill>
                    <w14:schemeClr w14:val="tx1"/>
                  </w14:solidFill>
                </w14:textFill>
              </w:rPr>
              <w:t>与</w:t>
            </w:r>
            <w:r>
              <w:rPr>
                <w:rFonts w:hint="eastAsia"/>
                <w:b/>
                <w:color w:val="000000" w:themeColor="text1"/>
                <w:kern w:val="0"/>
                <w:sz w:val="24"/>
                <w:highlight w:val="none"/>
                <w:lang w:eastAsia="zh-CN" w:bidi="ar"/>
                <w14:textFill>
                  <w14:solidFill>
                    <w14:schemeClr w14:val="tx1"/>
                  </w14:solidFill>
                </w14:textFill>
              </w:rPr>
              <w:t>《</w:t>
            </w:r>
            <w:r>
              <w:rPr>
                <w:rFonts w:hint="default"/>
                <w:b/>
                <w:color w:val="000000" w:themeColor="text1"/>
                <w:kern w:val="0"/>
                <w:sz w:val="24"/>
                <w:highlight w:val="none"/>
                <w:lang w:bidi="ar"/>
                <w14:textFill>
                  <w14:solidFill>
                    <w14:schemeClr w14:val="tx1"/>
                  </w14:solidFill>
                </w14:textFill>
              </w:rPr>
              <w:t>山东省空气质量持续改善暨第三轮“四减四增”行动实施方案</w:t>
            </w:r>
            <w:r>
              <w:rPr>
                <w:rFonts w:hint="eastAsia"/>
                <w:b/>
                <w:color w:val="000000" w:themeColor="text1"/>
                <w:kern w:val="0"/>
                <w:sz w:val="24"/>
                <w:highlight w:val="none"/>
                <w:lang w:eastAsia="zh-CN" w:bidi="ar"/>
                <w14:textFill>
                  <w14:solidFill>
                    <w14:schemeClr w14:val="tx1"/>
                  </w14:solidFill>
                </w14:textFill>
              </w:rPr>
              <w:t>》(鲁政字〔2024〕102号)</w:t>
            </w:r>
            <w:r>
              <w:rPr>
                <w:b/>
                <w:color w:val="000000" w:themeColor="text1"/>
                <w:kern w:val="0"/>
                <w:sz w:val="24"/>
                <w:highlight w:val="none"/>
                <w:lang w:bidi="ar"/>
                <w14:textFill>
                  <w14:solidFill>
                    <w14:schemeClr w14:val="tx1"/>
                  </w14:solidFill>
                </w14:textFill>
              </w:rPr>
              <w:t>符合性分析</w:t>
            </w:r>
          </w:p>
          <w:p>
            <w:pPr>
              <w:spacing w:line="360" w:lineRule="auto"/>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表1-</w:t>
            </w:r>
            <w:r>
              <w:rPr>
                <w:rFonts w:hint="eastAsia"/>
                <w:b/>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与(鲁政字〔2024〕102号)符合</w:t>
            </w:r>
            <w:r>
              <w:rPr>
                <w:b/>
                <w:color w:val="000000" w:themeColor="text1"/>
                <w:kern w:val="0"/>
                <w:sz w:val="24"/>
                <w:highlight w:val="none"/>
                <w:lang w:bidi="ar"/>
                <w14:textFill>
                  <w14:solidFill>
                    <w14:schemeClr w14:val="tx1"/>
                  </w14:solidFill>
                </w14:textFill>
              </w:rPr>
              <w:t>性分析</w:t>
            </w:r>
          </w:p>
          <w:tbl>
            <w:tblPr>
              <w:tblStyle w:val="158"/>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91"/>
              <w:gridCol w:w="4293"/>
              <w:gridCol w:w="1979"/>
              <w:gridCol w:w="7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具体要求</w:t>
                  </w:r>
                </w:p>
              </w:tc>
              <w:tc>
                <w:tcPr>
                  <w:tcW w:w="28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要求</w:t>
                  </w:r>
                </w:p>
              </w:tc>
              <w:tc>
                <w:tcPr>
                  <w:tcW w:w="1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本项目情况</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27" w:type="pct"/>
                  <w:tcBorders>
                    <w:tl2br w:val="nil"/>
                    <w:tr2bl w:val="nil"/>
                  </w:tcBorders>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总体要求</w:t>
                  </w:r>
                </w:p>
              </w:tc>
              <w:tc>
                <w:tcPr>
                  <w:tcW w:w="2865" w:type="pct"/>
                  <w:tcBorders>
                    <w:tl2br w:val="nil"/>
                    <w:tr2bl w:val="nil"/>
                  </w:tcBorders>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以改善空气质量为核心，以减少重污染天气和解决人民群众身边的突出大气环境问题为重点，以降低PM2.5浓度为主线，扎实推进产业、能源、交通、用地结构绿色低碳转型，持续做好氮氧化物（NOx）和挥发性有机物（VOCs）减排，深入推进高质量发展和高水平保护，实现环境效益、经济效益和社会效益多赢。以济南、淄博、枣庄、东营、潍坊、济宁、泰安、日照、临沂、德州、聊城、滨州、菏泽13市为重点区域。</w:t>
                  </w:r>
                </w:p>
              </w:tc>
              <w:tc>
                <w:tcPr>
                  <w:tcW w:w="1320" w:type="pct"/>
                  <w:tcBorders>
                    <w:tl2br w:val="nil"/>
                    <w:tr2bl w:val="nil"/>
                  </w:tcBorders>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位于</w:t>
                  </w:r>
                  <w:r>
                    <w:rPr>
                      <w:rFonts w:hint="default" w:ascii="Times New Roman" w:hAnsi="Times New Roman" w:eastAsia="宋体" w:cs="Times New Roman"/>
                      <w:color w:val="000000" w:themeColor="text1"/>
                      <w:sz w:val="21"/>
                      <w:szCs w:val="21"/>
                      <w:highlight w:val="none"/>
                      <w14:textFill>
                        <w14:solidFill>
                          <w14:schemeClr w14:val="tx1"/>
                        </w14:solidFill>
                      </w14:textFill>
                    </w:rPr>
                    <w:t>济宁市</w:t>
                  </w:r>
                  <w:r>
                    <w:rPr>
                      <w:rFonts w:hint="eastAsia" w:cs="Times New Roman"/>
                      <w:color w:val="000000" w:themeColor="text1"/>
                      <w:sz w:val="21"/>
                      <w:szCs w:val="21"/>
                      <w:highlight w:val="none"/>
                      <w:lang w:val="en-US" w:eastAsia="zh-CN"/>
                      <w14:textFill>
                        <w14:solidFill>
                          <w14:schemeClr w14:val="tx1"/>
                        </w14:solidFill>
                      </w14:textFill>
                    </w:rPr>
                    <w:t>嘉祥</w:t>
                  </w:r>
                  <w:r>
                    <w:rPr>
                      <w:rFonts w:hint="eastAsia" w:eastAsia="宋体" w:cs="Times New Roman"/>
                      <w:color w:val="000000" w:themeColor="text1"/>
                      <w:sz w:val="21"/>
                      <w:szCs w:val="21"/>
                      <w:highlight w:val="none"/>
                      <w:lang w:val="en-US" w:eastAsia="zh-CN"/>
                      <w14:textFill>
                        <w14:solidFill>
                          <w14:schemeClr w14:val="tx1"/>
                        </w14:solidFill>
                      </w14:textFill>
                    </w:rPr>
                    <w:t>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项目所在区域属重点区域。</w:t>
                  </w:r>
                </w:p>
              </w:tc>
              <w:tc>
                <w:tcPr>
                  <w:tcW w:w="486" w:type="pct"/>
                  <w:tcBorders>
                    <w:tl2br w:val="nil"/>
                    <w:tr2bl w:val="nil"/>
                  </w:tcBorders>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27" w:type="pct"/>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产业结构绿色升级行动</w:t>
                  </w:r>
                </w:p>
              </w:tc>
              <w:tc>
                <w:tcPr>
                  <w:tcW w:w="2865"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严格环境准入。坚决遏制高耗能、高排放、低水平项目盲目上马，新、改、扩建项目严格落实国家和省产业规划、产业政策、生态环境分区管控方案、规划环评、项目环评、规划水土保持审查、节能审查、产能置换、重点污染物总量控制、污染物排放区域削减、碳排放达峰目标等相关要求，原则上采用清洁运输方式。涉及产能置换的项目，被置换产能及其配套设施关停后，新建项目方可投产。</w:t>
                  </w:r>
                </w:p>
              </w:tc>
              <w:tc>
                <w:tcPr>
                  <w:tcW w:w="1320"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本项目不属于高耗能、高排放、低水平及产能置换的项目，项目符合产业政策、生态环境分区管控方案、总量控制、污染物排放区域削减等要求。</w:t>
                  </w:r>
                </w:p>
              </w:tc>
              <w:tc>
                <w:tcPr>
                  <w:tcW w:w="486"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27"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65"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优化调整重点行业结构。重点区域进一步提高落后产能能耗、环保、质量、安全、技术等要求，逐步退出限制类涉气行业工艺和装备；逐步淘汰步进式烧结机和球团竖炉以及半封闭式硅锰合金、镍铁、高碳铬铁、高碳锰铁电炉。</w:t>
                  </w:r>
                </w:p>
              </w:tc>
              <w:tc>
                <w:tcPr>
                  <w:tcW w:w="1320"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本项目不涉及限制类涉气行业工艺和装备；不涉及步进式烧结机和球团竖炉以及半封闭式硅锰合金、镍铁、高碳铬铁、高碳锰铁电炉。</w:t>
                  </w:r>
                </w:p>
              </w:tc>
              <w:tc>
                <w:tcPr>
                  <w:tcW w:w="486"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27"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65" w:type="pct"/>
                  <w:tcBorders>
                    <w:tl2br w:val="nil"/>
                    <w:tr2bl w:val="nil"/>
                  </w:tcBorders>
                  <w:noWrap w:val="0"/>
                  <w:vAlign w:val="center"/>
                </w:tcPr>
                <w:p>
                  <w:pPr>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四</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优化含VOCs原辅材料和产品结构。严格控制生产和使用高VOCs含量涂料、油墨、胶粘剂、清洗剂等建设项目，提高低(无)VOCs含量产品比重。实施源头替代工程，加大工业涂装、包装印刷和电子行业低(无)VOCs含量原辅材料替代力度。指导企业积极申报VOCs末端治理豁免。</w:t>
                  </w:r>
                </w:p>
              </w:tc>
              <w:tc>
                <w:tcPr>
                  <w:tcW w:w="1320"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不涉及生产或使用高VOCs含量涂料、油墨、胶粘剂、清洗剂等；项目产生的VOC</w:t>
                  </w:r>
                  <w:r>
                    <w:rPr>
                      <w:rFonts w:hint="eastAsia" w:cs="Times New Roman"/>
                      <w:color w:val="000000" w:themeColor="text1"/>
                      <w:sz w:val="21"/>
                      <w:szCs w:val="21"/>
                      <w:highlight w:val="none"/>
                      <w:vertAlign w:val="subscript"/>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经处理后达标排放</w:t>
                  </w:r>
                </w:p>
              </w:tc>
              <w:tc>
                <w:tcPr>
                  <w:tcW w:w="486" w:type="pct"/>
                  <w:tcBorders>
                    <w:tl2br w:val="nil"/>
                    <w:tr2bl w:val="nil"/>
                  </w:tcBorders>
                  <w:noWrap w:val="0"/>
                  <w:vAlign w:val="center"/>
                </w:tcPr>
                <w:p>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27"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能源结构清洁低碳高效发展行动</w:t>
                  </w:r>
                </w:p>
              </w:tc>
              <w:tc>
                <w:tcPr>
                  <w:tcW w:w="2865"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严格合理控制煤炭消费总量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重点区域新、改、扩建用煤项目，依法实行煤炭等量或减量替代，替代方案不完善的不予审批；不得将使用石油焦、焦炭、兰炭、油母页岩等高污染燃料作为煤炭减量替代措施。完善煤炭消费减量替代管理办法，煤矸石、原料用煤不纳入煤炭消费总量考核</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原则上不再新增自备燃煤机组，支持自备燃煤机组实施清洁能源替代。重点区域不再新增燃料类煤气发生炉，新、改、扩建加热炉、热处理炉、干燥炉、熔化炉原则上采用清洁低碳能源。</w:t>
                  </w:r>
                </w:p>
              </w:tc>
              <w:tc>
                <w:tcPr>
                  <w:tcW w:w="1320"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本项目生产采取电加热，不涉及煤炭消费，不涉及燃料类煤气发生炉。</w:t>
                  </w:r>
                </w:p>
              </w:tc>
              <w:tc>
                <w:tcPr>
                  <w:tcW w:w="486"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pPr>
              <w:adjustRightInd w:val="0"/>
              <w:spacing w:line="360" w:lineRule="auto"/>
              <w:ind w:firstLine="482" w:firstLineChars="200"/>
              <w:rPr>
                <w:rFonts w:hint="eastAsia"/>
                <w:b/>
                <w:color w:val="000000" w:themeColor="text1"/>
                <w:sz w:val="24"/>
                <w:szCs w:val="24"/>
                <w:highlight w:val="none"/>
                <w14:textFill>
                  <w14:solidFill>
                    <w14:schemeClr w14:val="tx1"/>
                  </w14:solidFill>
                </w14:textFill>
              </w:rPr>
            </w:pPr>
            <w:r>
              <w:rPr>
                <w:rFonts w:hint="eastAsia"/>
                <w:b/>
                <w:color w:val="000000" w:themeColor="text1"/>
                <w:sz w:val="24"/>
                <w:szCs w:val="24"/>
                <w:highlight w:val="none"/>
                <w:lang w:val="en-US" w:eastAsia="zh-CN"/>
                <w14:textFill>
                  <w14:solidFill>
                    <w14:schemeClr w14:val="tx1"/>
                  </w14:solidFill>
                </w14:textFill>
              </w:rPr>
              <w:t>11、</w:t>
            </w:r>
            <w:r>
              <w:rPr>
                <w:rFonts w:hint="eastAsia"/>
                <w:b/>
                <w:color w:val="000000" w:themeColor="text1"/>
                <w:sz w:val="24"/>
                <w:szCs w:val="24"/>
                <w:highlight w:val="none"/>
                <w14:textFill>
                  <w14:solidFill>
                    <w14:schemeClr w14:val="tx1"/>
                  </w14:solidFill>
                </w14:textFill>
              </w:rPr>
              <w:t>与《山东省深入打好蓝天保卫战行动计划（2021</w:t>
            </w:r>
            <w:r>
              <w:rPr>
                <w:rFonts w:hint="eastAsia"/>
                <w:b/>
                <w:color w:val="000000" w:themeColor="text1"/>
                <w:sz w:val="24"/>
                <w:szCs w:val="24"/>
                <w:highlight w:val="none"/>
                <w:lang w:val="en-US" w:eastAsia="zh-CN"/>
                <w14:textFill>
                  <w14:solidFill>
                    <w14:schemeClr w14:val="tx1"/>
                  </w14:solidFill>
                </w14:textFill>
              </w:rPr>
              <w:t>-</w:t>
            </w:r>
            <w:r>
              <w:rPr>
                <w:rFonts w:hint="eastAsia"/>
                <w:b/>
                <w:color w:val="000000" w:themeColor="text1"/>
                <w:sz w:val="24"/>
                <w:szCs w:val="24"/>
                <w:highlight w:val="none"/>
                <w14:textFill>
                  <w14:solidFill>
                    <w14:schemeClr w14:val="tx1"/>
                  </w14:solidFill>
                </w14:textFill>
              </w:rPr>
              <w:t>2025年）》</w:t>
            </w:r>
            <w:r>
              <w:rPr>
                <w:rFonts w:hint="eastAsia"/>
                <w:b/>
                <w:color w:val="000000" w:themeColor="text1"/>
                <w:sz w:val="24"/>
                <w:szCs w:val="24"/>
                <w:highlight w:val="none"/>
                <w:lang w:val="en-US" w:eastAsia="zh-CN"/>
                <w14:textFill>
                  <w14:solidFill>
                    <w14:schemeClr w14:val="tx1"/>
                  </w14:solidFill>
                </w14:textFill>
              </w:rPr>
              <w:t>的</w:t>
            </w:r>
            <w:r>
              <w:rPr>
                <w:rFonts w:hint="eastAsia"/>
                <w:b/>
                <w:color w:val="000000" w:themeColor="text1"/>
                <w:sz w:val="24"/>
                <w:szCs w:val="24"/>
                <w:highlight w:val="none"/>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表1-</w:t>
            </w:r>
            <w:r>
              <w:rPr>
                <w:rFonts w:hint="eastAsia"/>
                <w:b/>
                <w:bCs/>
                <w:color w:val="000000" w:themeColor="text1"/>
                <w:sz w:val="24"/>
                <w:szCs w:val="24"/>
                <w:highlight w:val="none"/>
                <w:lang w:val="en-US" w:eastAsia="zh-CN"/>
                <w14:textFill>
                  <w14:solidFill>
                    <w14:schemeClr w14:val="tx1"/>
                  </w14:solidFill>
                </w14:textFill>
              </w:rPr>
              <w:t xml:space="preserve">8  </w:t>
            </w:r>
            <w:r>
              <w:rPr>
                <w:rFonts w:hint="eastAsia"/>
                <w:b/>
                <w:bCs/>
                <w:color w:val="000000" w:themeColor="text1"/>
                <w:sz w:val="24"/>
                <w:szCs w:val="24"/>
                <w:highlight w:val="none"/>
                <w14:textFill>
                  <w14:solidFill>
                    <w14:schemeClr w14:val="tx1"/>
                  </w14:solidFill>
                </w14:textFill>
              </w:rPr>
              <w:t>项目与《山东省深入打好蓝天保卫战行动计划（2021-2025年）》符合性分析表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05"/>
              <w:gridCol w:w="1621"/>
              <w:gridCol w:w="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5" w:type="pct"/>
                  <w:tcBorders>
                    <w:tl2br w:val="nil"/>
                    <w:tr2bl w:val="nil"/>
                  </w:tcBorders>
                  <w:noWrap w:val="0"/>
                  <w:vAlign w:val="center"/>
                </w:tcPr>
                <w:p>
                  <w:pPr>
                    <w:autoSpaceDE w:val="0"/>
                    <w:autoSpaceDN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要求</w:t>
                  </w:r>
                </w:p>
              </w:tc>
              <w:tc>
                <w:tcPr>
                  <w:tcW w:w="1081" w:type="pct"/>
                  <w:tcBorders>
                    <w:tl2br w:val="nil"/>
                    <w:tr2bl w:val="nil"/>
                  </w:tcBorders>
                  <w:noWrap w:val="0"/>
                  <w:vAlign w:val="center"/>
                </w:tcPr>
                <w:p>
                  <w:pPr>
                    <w:autoSpaceDE w:val="0"/>
                    <w:autoSpaceDN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项目情况</w:t>
                  </w:r>
                </w:p>
              </w:tc>
              <w:tc>
                <w:tcPr>
                  <w:tcW w:w="513" w:type="pct"/>
                  <w:tcBorders>
                    <w:tl2br w:val="nil"/>
                    <w:tr2bl w:val="nil"/>
                  </w:tcBorders>
                  <w:noWrap w:val="0"/>
                  <w:vAlign w:val="center"/>
                </w:tcPr>
                <w:p>
                  <w:pPr>
                    <w:autoSpaceDE w:val="0"/>
                    <w:autoSpaceDN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符合</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5" w:type="pct"/>
                  <w:tcBorders>
                    <w:tl2br w:val="nil"/>
                    <w:tr2bl w:val="nil"/>
                  </w:tcBorders>
                  <w:noWrap w:val="0"/>
                  <w:vAlign w:val="center"/>
                </w:tcPr>
                <w:p>
                  <w:pPr>
                    <w:autoSpaceDE w:val="0"/>
                    <w:autoSpaceDN w:val="0"/>
                    <w:adjustRightInd w:val="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聚焦钢铁、地炼、焦化、煤电、水泥、轮胎、煤炭、化工8个重点行业，加快淘汰低效落后产能。严格执行质量、环保、能耗、安全等法规标准，按照《产业结构调整指导目录》，对</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淘汰类</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落后生产工艺装备和落后产品全部淘汰出清。各市聚焦</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高耗能、高污染、高排放、高风险</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等行业，分类组织实施转移、压减、整合、关停任务</w:t>
                  </w:r>
                </w:p>
              </w:tc>
              <w:tc>
                <w:tcPr>
                  <w:tcW w:w="1081" w:type="pct"/>
                  <w:tcBorders>
                    <w:tl2br w:val="nil"/>
                    <w:tr2bl w:val="nil"/>
                  </w:tcBorders>
                  <w:noWrap w:val="0"/>
                  <w:vAlign w:val="center"/>
                </w:tcPr>
                <w:p>
                  <w:pPr>
                    <w:autoSpaceDE w:val="0"/>
                    <w:autoSpaceDN w:val="0"/>
                    <w:adjustRightInd w:val="0"/>
                    <w:jc w:val="both"/>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本项目不属于</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限制类</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淘汰类</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项目</w:t>
                  </w:r>
                  <w:r>
                    <w:rPr>
                      <w:rFonts w:hint="eastAsia"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本项目不属于</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高耗能、高污染、高排放、高风险</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等行业</w:t>
                  </w:r>
                </w:p>
              </w:tc>
              <w:tc>
                <w:tcPr>
                  <w:tcW w:w="513" w:type="pct"/>
                  <w:tcBorders>
                    <w:tl2br w:val="nil"/>
                    <w:tr2bl w:val="nil"/>
                  </w:tcBorders>
                  <w:noWrap w:val="0"/>
                  <w:vAlign w:val="center"/>
                </w:tcPr>
                <w:p>
                  <w:pPr>
                    <w:adjustRightInd w:val="0"/>
                    <w:snapToGrid w:val="0"/>
                    <w:jc w:val="center"/>
                    <w:outlineLvl w:val="2"/>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05" w:type="pct"/>
                  <w:tcBorders>
                    <w:tl2br w:val="nil"/>
                    <w:tr2bl w:val="nil"/>
                  </w:tcBorders>
                  <w:noWrap w:val="0"/>
                  <w:vAlign w:val="center"/>
                </w:tcPr>
                <w:p>
                  <w:pPr>
                    <w:autoSpaceDE w:val="0"/>
                    <w:autoSpaceDN w:val="0"/>
                    <w:adjustRightInd w:val="0"/>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14:textFill>
                        <w14:solidFill>
                          <w14:schemeClr w14:val="tx1"/>
                        </w14:solidFill>
                      </w14:textFill>
                    </w:rPr>
                    <w:t>实施低VOCs含量工业涂料、油墨、胶粘剂、</w:t>
                  </w:r>
                  <w:r>
                    <w:rPr>
                      <w:rFonts w:hint="eastAsia"/>
                      <w:b w:val="0"/>
                      <w:bCs w:val="0"/>
                      <w:color w:val="000000" w:themeColor="text1"/>
                      <w:szCs w:val="21"/>
                      <w:highlight w:val="none"/>
                      <w:lang w:eastAsia="zh-CN"/>
                      <w14:textFill>
                        <w14:solidFill>
                          <w14:schemeClr w14:val="tx1"/>
                        </w14:solidFill>
                      </w14:textFill>
                    </w:rPr>
                    <w:t>喷枪清洗</w:t>
                  </w:r>
                  <w:r>
                    <w:rPr>
                      <w:rFonts w:hint="eastAsia"/>
                      <w:b w:val="0"/>
                      <w:bCs w:val="0"/>
                      <w:color w:val="000000" w:themeColor="text1"/>
                      <w:szCs w:val="21"/>
                      <w:highlight w:val="none"/>
                      <w14:textFill>
                        <w14:solidFill>
                          <w14:schemeClr w14:val="tx1"/>
                        </w14:solidFill>
                      </w14:textFill>
                    </w:rPr>
                    <w:t>剂等原辅料使用替代。新、改、</w:t>
                  </w:r>
                  <w:r>
                    <w:rPr>
                      <w:rFonts w:hint="eastAsia"/>
                      <w:b w:val="0"/>
                      <w:bCs w:val="0"/>
                      <w:color w:val="000000" w:themeColor="text1"/>
                      <w:szCs w:val="21"/>
                      <w:highlight w:val="none"/>
                      <w:lang w:eastAsia="zh-CN"/>
                      <w14:textFill>
                        <w14:solidFill>
                          <w14:schemeClr w14:val="tx1"/>
                        </w14:solidFill>
                      </w14:textFill>
                    </w:rPr>
                    <w:t>技改</w:t>
                  </w:r>
                  <w:r>
                    <w:rPr>
                      <w:rFonts w:hint="eastAsia"/>
                      <w:b w:val="0"/>
                      <w:bCs w:val="0"/>
                      <w:color w:val="000000" w:themeColor="text1"/>
                      <w:szCs w:val="21"/>
                      <w:highlight w:val="none"/>
                      <w14:textFill>
                        <w14:solidFill>
                          <w14:schemeClr w14:val="tx1"/>
                        </w14:solidFill>
                      </w14:textFill>
                    </w:rPr>
                    <w:t>工业涂装、包装印刷等含VOCs原辅材料使用的项目，原则上使用低（无）VOCs含量产品。</w:t>
                  </w:r>
                </w:p>
              </w:tc>
              <w:tc>
                <w:tcPr>
                  <w:tcW w:w="1081" w:type="pct"/>
                  <w:tcBorders>
                    <w:tl2br w:val="nil"/>
                    <w:tr2bl w:val="nil"/>
                  </w:tcBorders>
                  <w:noWrap w:val="0"/>
                  <w:vAlign w:val="center"/>
                </w:tcPr>
                <w:p>
                  <w:pPr>
                    <w:autoSpaceDE w:val="0"/>
                    <w:autoSpaceDN w:val="0"/>
                    <w:adjustRightInd w:val="0"/>
                    <w:jc w:val="both"/>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不涉及使用工业涂料、油墨、胶粘剂、喷枪清洗剂</w:t>
                  </w:r>
                </w:p>
              </w:tc>
              <w:tc>
                <w:tcPr>
                  <w:tcW w:w="513" w:type="pct"/>
                  <w:tcBorders>
                    <w:tl2br w:val="nil"/>
                    <w:tr2bl w:val="nil"/>
                  </w:tcBorders>
                  <w:noWrap w:val="0"/>
                  <w:vAlign w:val="center"/>
                </w:tcPr>
                <w:p>
                  <w:pPr>
                    <w:adjustRightInd w:val="0"/>
                    <w:snapToGrid w:val="0"/>
                    <w:jc w:val="center"/>
                    <w:outlineLvl w:val="2"/>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5" w:type="pct"/>
                  <w:tcBorders>
                    <w:tl2br w:val="nil"/>
                    <w:tr2bl w:val="nil"/>
                  </w:tcBorders>
                  <w:noWrap w:val="0"/>
                  <w:vAlign w:val="center"/>
                </w:tcPr>
                <w:p>
                  <w:pPr>
                    <w:autoSpaceDE w:val="0"/>
                    <w:autoSpaceDN w:val="0"/>
                    <w:adjustRightInd w:val="0"/>
                    <w:rPr>
                      <w:rFonts w:hint="eastAsia"/>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14:textFill>
                        <w14:solidFill>
                          <w14:schemeClr w14:val="tx1"/>
                        </w14:solidFill>
                      </w14:textFill>
                    </w:rPr>
                    <w:t>2021年年底前，完成现有VOCs废气收集率、治理设施同步运行率和去除率排查工作，对达不到要求的收集、治理设施进行更换或升级改造；组织开展有机废气排放系统旁路摸底排查，取消非必要的旁路，确因安全生产等原因无法取消的，应安装有效的监控装置纳入监管。2025年年底前，炼化企业基本完成延迟焦化装置密闭除焦改造。强化装载废气收集治理，2022年年底前，万吨级以上原油、成品油码头全部完成油气回收治理。2025年年底前，80%以上的油品运输船舶具备油气回收条件。符合国家标准规定的储油库和依法被确定为重点排污单位的加油站，应安装油气回收自动监控设备并与生态环境部门联网。</w:t>
                  </w:r>
                </w:p>
              </w:tc>
              <w:tc>
                <w:tcPr>
                  <w:tcW w:w="1081" w:type="pct"/>
                  <w:tcBorders>
                    <w:tl2br w:val="nil"/>
                    <w:tr2bl w:val="nil"/>
                  </w:tcBorders>
                  <w:noWrap w:val="0"/>
                  <w:vAlign w:val="center"/>
                </w:tcPr>
                <w:p>
                  <w:pPr>
                    <w:autoSpaceDE w:val="0"/>
                    <w:autoSpaceDN w:val="0"/>
                    <w:adjustRightInd w:val="0"/>
                    <w:jc w:val="both"/>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本项目</w:t>
                  </w:r>
                  <w:r>
                    <w:rPr>
                      <w:rFonts w:hint="eastAsia" w:cs="Times New Roman"/>
                      <w:b w:val="0"/>
                      <w:bCs w:val="0"/>
                      <w:color w:val="000000" w:themeColor="text1"/>
                      <w:spacing w:val="-2"/>
                      <w:sz w:val="21"/>
                      <w:szCs w:val="21"/>
                      <w:highlight w:val="none"/>
                      <w:lang w:val="en-US" w:eastAsia="zh-CN"/>
                      <w14:textFill>
                        <w14:solidFill>
                          <w14:schemeClr w14:val="tx1"/>
                        </w14:solidFill>
                      </w14:textFill>
                    </w:rPr>
                    <w:t>设置于室</w:t>
                  </w:r>
                  <w:r>
                    <w:rPr>
                      <w:rFonts w:hint="default" w:ascii="Times New Roman" w:hAnsi="Times New Roman" w:eastAsia="宋体" w:cs="Times New Roman"/>
                      <w:b w:val="0"/>
                      <w:bCs w:val="0"/>
                      <w:color w:val="000000" w:themeColor="text1"/>
                      <w:spacing w:val="-2"/>
                      <w:sz w:val="21"/>
                      <w:szCs w:val="21"/>
                      <w:highlight w:val="none"/>
                      <w:lang w:eastAsia="zh-CN"/>
                      <w14:textFill>
                        <w14:solidFill>
                          <w14:schemeClr w14:val="tx1"/>
                        </w14:solidFill>
                      </w14:textFill>
                    </w:rPr>
                    <w:t>内</w:t>
                  </w:r>
                  <w:r>
                    <w:rPr>
                      <w:rFonts w:hint="eastAsia" w:ascii="Times New Roman" w:hAnsi="Times New Roman" w:eastAsia="宋体" w:cs="Times New Roman"/>
                      <w:b w:val="0"/>
                      <w:bCs w:val="0"/>
                      <w:color w:val="000000" w:themeColor="text1"/>
                      <w:spacing w:val="-2"/>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生产过程产生的废气污染物经</w:t>
                  </w: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处理</w:t>
                  </w:r>
                  <w:r>
                    <w:rPr>
                      <w:rFonts w:hint="eastAsia"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后</w:t>
                  </w: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通过排气筒达标排放</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13" w:type="pct"/>
                  <w:tcBorders>
                    <w:tl2br w:val="nil"/>
                    <w:tr2bl w:val="nil"/>
                  </w:tcBorders>
                  <w:noWrap w:val="0"/>
                  <w:vAlign w:val="center"/>
                </w:tcPr>
                <w:p>
                  <w:pPr>
                    <w:adjustRightInd w:val="0"/>
                    <w:snapToGrid w:val="0"/>
                    <w:jc w:val="center"/>
                    <w:outlineLvl w:val="2"/>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5" w:type="pct"/>
                  <w:tcBorders>
                    <w:tl2br w:val="nil"/>
                    <w:tr2bl w:val="nil"/>
                  </w:tcBorders>
                  <w:noWrap w:val="0"/>
                  <w:vAlign w:val="center"/>
                </w:tcPr>
                <w:p>
                  <w:pPr>
                    <w:autoSpaceDE w:val="0"/>
                    <w:autoSpaceDN w:val="0"/>
                    <w:adjustRightInd w:val="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持续压减煤炭消费总量，</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十四五</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期间，全省煤炭消费总量下降10%，控制在3.5亿吨左右。对以煤、石油焦、渣油、重油等为燃料的工业炉窑，加快使用工厂余热、电厂热力、清洁能源等进行替代。新、改、扩建熔化炉、加热炉、热处理炉、干燥炉原则上使用清洁低碳能源，不得使用煤炭、重油</w:t>
                  </w:r>
                </w:p>
              </w:tc>
              <w:tc>
                <w:tcPr>
                  <w:tcW w:w="1081" w:type="pct"/>
                  <w:tcBorders>
                    <w:tl2br w:val="nil"/>
                    <w:tr2bl w:val="nil"/>
                  </w:tcBorders>
                  <w:noWrap w:val="0"/>
                  <w:vAlign w:val="center"/>
                </w:tcPr>
                <w:p>
                  <w:pPr>
                    <w:autoSpaceDE w:val="0"/>
                    <w:autoSpaceDN w:val="0"/>
                    <w:adjustRightInd w:val="0"/>
                    <w:jc w:val="both"/>
                    <w:rPr>
                      <w:rFonts w:hint="default" w:ascii="Times New Roman" w:hAnsi="Times New Roman" w:eastAsia="宋体" w:cs="Times New Roman"/>
                      <w:b w:val="0"/>
                      <w:bCs w:val="0"/>
                      <w:color w:val="000000" w:themeColor="text1"/>
                      <w:spacing w:val="-2"/>
                      <w:sz w:val="21"/>
                      <w:szCs w:val="21"/>
                      <w:highlight w:val="none"/>
                      <w:lang w:eastAsia="zh-CN"/>
                      <w14:textFill>
                        <w14:solidFill>
                          <w14:schemeClr w14:val="tx1"/>
                        </w14:solidFill>
                      </w14:textFill>
                    </w:rPr>
                  </w:pPr>
                  <w:r>
                    <w:rPr>
                      <w:rFonts w:hint="eastAsia" w:cs="Times New Roman"/>
                      <w:b w:val="0"/>
                      <w:bCs w:val="0"/>
                      <w:color w:val="000000" w:themeColor="text1"/>
                      <w:spacing w:val="-2"/>
                      <w:sz w:val="21"/>
                      <w:szCs w:val="21"/>
                      <w:highlight w:val="none"/>
                      <w:lang w:eastAsia="zh-CN"/>
                      <w14:textFill>
                        <w14:solidFill>
                          <w14:schemeClr w14:val="tx1"/>
                        </w14:solidFill>
                      </w14:textFill>
                    </w:rPr>
                    <w:t>本项目生产过程不使用煤炭</w:t>
                  </w:r>
                </w:p>
              </w:tc>
              <w:tc>
                <w:tcPr>
                  <w:tcW w:w="513" w:type="pct"/>
                  <w:tcBorders>
                    <w:tl2br w:val="nil"/>
                    <w:tr2bl w:val="nil"/>
                  </w:tcBorders>
                  <w:noWrap w:val="0"/>
                  <w:vAlign w:val="center"/>
                </w:tcPr>
                <w:p>
                  <w:pPr>
                    <w:adjustRightInd w:val="0"/>
                    <w:snapToGrid w:val="0"/>
                    <w:jc w:val="center"/>
                    <w:outlineLvl w:val="2"/>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5" w:type="pct"/>
                  <w:tcBorders>
                    <w:tl2br w:val="nil"/>
                    <w:tr2bl w:val="nil"/>
                  </w:tcBorders>
                  <w:noWrap w:val="0"/>
                  <w:vAlign w:val="center"/>
                </w:tcPr>
                <w:p>
                  <w:pPr>
                    <w:autoSpaceDE w:val="0"/>
                    <w:autoSpaceDN w:val="0"/>
                    <w:adjustRightInd w:val="0"/>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坚持依法治污，综合运用按日连续处罚、查封扣押、限产停产、移送拘留等手段，依法从严处罚环境违法行为。加大省级生态环境保护督察力度。建立对重点排放源监测或检测结果的全程留痕、信息可追溯机制。严厉打击不正常运行废气治理设施等环境违法违规行为。对企业自动监测监控设备运行情况开展专项检查，严厉打击自动监测监控设备不正常运行和数据造假等违法行为；对排污单位和第三方机构、人员参与弄虚作假的，分别依法追究责任。严格禁止以各种形式干扰空气质量监测站正常运行行为</w:t>
                  </w:r>
                  <w:r>
                    <w:rPr>
                      <w:rFonts w:hint="eastAsia" w:cs="Times New Roman"/>
                      <w:b w:val="0"/>
                      <w:bCs w:val="0"/>
                      <w:color w:val="000000" w:themeColor="text1"/>
                      <w:szCs w:val="21"/>
                      <w:highlight w:val="none"/>
                      <w:lang w:eastAsia="zh-CN"/>
                      <w14:textFill>
                        <w14:solidFill>
                          <w14:schemeClr w14:val="tx1"/>
                        </w14:solidFill>
                      </w14:textFill>
                    </w:rPr>
                    <w:t>。</w:t>
                  </w:r>
                </w:p>
              </w:tc>
              <w:tc>
                <w:tcPr>
                  <w:tcW w:w="1081" w:type="pct"/>
                  <w:tcBorders>
                    <w:tl2br w:val="nil"/>
                    <w:tr2bl w:val="nil"/>
                  </w:tcBorders>
                  <w:noWrap w:val="0"/>
                  <w:vAlign w:val="center"/>
                </w:tcPr>
                <w:p>
                  <w:pPr>
                    <w:autoSpaceDE w:val="0"/>
                    <w:autoSpaceDN w:val="0"/>
                    <w:adjustRightInd w:val="0"/>
                    <w:jc w:val="both"/>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本项目建成后依法治污，并定期检查废气治理设施，保证其正常运行。</w:t>
                  </w:r>
                </w:p>
              </w:tc>
              <w:tc>
                <w:tcPr>
                  <w:tcW w:w="513" w:type="pct"/>
                  <w:tcBorders>
                    <w:tl2br w:val="nil"/>
                    <w:tr2bl w:val="nil"/>
                  </w:tcBorders>
                  <w:noWrap w:val="0"/>
                  <w:vAlign w:val="center"/>
                </w:tcPr>
                <w:p>
                  <w:pPr>
                    <w:adjustRightInd w:val="0"/>
                    <w:snapToGrid w:val="0"/>
                    <w:jc w:val="center"/>
                    <w:outlineLvl w:val="2"/>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符合</w:t>
                  </w:r>
                </w:p>
              </w:tc>
            </w:tr>
          </w:tbl>
          <w:p>
            <w:pPr>
              <w:pStyle w:val="7"/>
              <w:keepNext w:val="0"/>
              <w:keepLines w:val="0"/>
              <w:pageBreakBefore w:val="0"/>
              <w:widowControl w:val="0"/>
              <w:tabs>
                <w:tab w:val="left" w:pos="4648"/>
              </w:tabs>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本项目的建设符合《山东省深入打好蓝天保卫战行动计划（2021-2025年）》的相关要求。</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12、</w:t>
            </w:r>
            <w:r>
              <w:rPr>
                <w:rFonts w:hint="eastAsia"/>
                <w:b/>
                <w:bCs/>
                <w:color w:val="000000" w:themeColor="text1"/>
                <w:sz w:val="24"/>
                <w:szCs w:val="24"/>
                <w:highlight w:val="none"/>
                <w14:textFill>
                  <w14:solidFill>
                    <w14:schemeClr w14:val="tx1"/>
                  </w14:solidFill>
                </w14:textFill>
              </w:rPr>
              <w:t>与《山东省深入打好碧水保卫战行动计划（2021-2025年）》</w:t>
            </w:r>
            <w:r>
              <w:rPr>
                <w:rFonts w:hint="eastAsia"/>
                <w:b/>
                <w:bCs/>
                <w:color w:val="000000" w:themeColor="text1"/>
                <w:sz w:val="24"/>
                <w:szCs w:val="24"/>
                <w:highlight w:val="none"/>
                <w:lang w:val="en-US" w:eastAsia="zh-CN"/>
                <w14:textFill>
                  <w14:solidFill>
                    <w14:schemeClr w14:val="tx1"/>
                  </w14:solidFill>
                </w14:textFill>
              </w:rPr>
              <w:t>的</w:t>
            </w:r>
            <w:r>
              <w:rPr>
                <w:rFonts w:hint="eastAsia"/>
                <w:b/>
                <w:bCs/>
                <w:color w:val="000000" w:themeColor="text1"/>
                <w:sz w:val="24"/>
                <w:szCs w:val="24"/>
                <w:highlight w:val="none"/>
                <w14:textFill>
                  <w14:solidFill>
                    <w14:schemeClr w14:val="tx1"/>
                  </w14:solidFill>
                </w14:textFill>
              </w:rPr>
              <w:t>符合性分析</w:t>
            </w:r>
          </w:p>
          <w:p>
            <w:pPr>
              <w:numPr>
                <w:ilvl w:val="0"/>
                <w:numId w:val="0"/>
              </w:numPr>
              <w:adjustRightInd w:val="0"/>
              <w:snapToGrid w:val="0"/>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14:textFill>
                  <w14:solidFill>
                    <w14:schemeClr w14:val="tx1"/>
                  </w14:solidFill>
                </w14:textFill>
              </w:rPr>
              <w:t>1</w:t>
            </w: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 xml:space="preserve">9  </w:t>
            </w:r>
            <w:r>
              <w:rPr>
                <w:rFonts w:hint="eastAsia"/>
                <w:b/>
                <w:bCs/>
                <w:color w:val="000000" w:themeColor="text1"/>
                <w:sz w:val="24"/>
                <w:szCs w:val="24"/>
                <w:highlight w:val="none"/>
                <w14:textFill>
                  <w14:solidFill>
                    <w14:schemeClr w14:val="tx1"/>
                  </w14:solidFill>
                </w14:textFill>
              </w:rPr>
              <w:t>与《山东省深入打好碧水保卫战行动计划（2021-2025年）》符合性分析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1622"/>
              <w:gridCol w:w="9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934" w:type="dxa"/>
                  <w:tcBorders>
                    <w:tl2br w:val="nil"/>
                    <w:tr2bl w:val="nil"/>
                  </w:tcBorders>
                  <w:noWrap w:val="0"/>
                  <w:vAlign w:val="center"/>
                </w:tcPr>
                <w:p>
                  <w:pPr>
                    <w:autoSpaceDE w:val="0"/>
                    <w:autoSpaceDN w:val="0"/>
                    <w:jc w:val="center"/>
                    <w:rPr>
                      <w:b/>
                      <w:color w:val="000000" w:themeColor="text1"/>
                      <w:kern w:val="0"/>
                      <w:sz w:val="21"/>
                      <w:szCs w:val="21"/>
                      <w:highlight w:val="none"/>
                      <w14:textFill>
                        <w14:solidFill>
                          <w14:schemeClr w14:val="tx1"/>
                        </w14:solidFill>
                      </w14:textFill>
                    </w:rPr>
                  </w:pPr>
                  <w:r>
                    <w:rPr>
                      <w:rFonts w:hint="eastAsia"/>
                      <w:b/>
                      <w:color w:val="000000" w:themeColor="text1"/>
                      <w:kern w:val="0"/>
                      <w:sz w:val="21"/>
                      <w:szCs w:val="21"/>
                      <w:highlight w:val="none"/>
                      <w14:textFill>
                        <w14:solidFill>
                          <w14:schemeClr w14:val="tx1"/>
                        </w14:solidFill>
                      </w14:textFill>
                    </w:rPr>
                    <w:t>要求</w:t>
                  </w:r>
                </w:p>
              </w:tc>
              <w:tc>
                <w:tcPr>
                  <w:tcW w:w="1622" w:type="dxa"/>
                  <w:tcBorders>
                    <w:tl2br w:val="nil"/>
                    <w:tr2bl w:val="nil"/>
                  </w:tcBorders>
                  <w:noWrap w:val="0"/>
                  <w:vAlign w:val="center"/>
                </w:tcPr>
                <w:p>
                  <w:pPr>
                    <w:autoSpaceDE w:val="0"/>
                    <w:autoSpaceDN w:val="0"/>
                    <w:jc w:val="center"/>
                    <w:rPr>
                      <w:b/>
                      <w:color w:val="000000" w:themeColor="text1"/>
                      <w:kern w:val="0"/>
                      <w:sz w:val="21"/>
                      <w:szCs w:val="21"/>
                      <w:highlight w:val="none"/>
                      <w14:textFill>
                        <w14:solidFill>
                          <w14:schemeClr w14:val="tx1"/>
                        </w14:solidFill>
                      </w14:textFill>
                    </w:rPr>
                  </w:pPr>
                  <w:r>
                    <w:rPr>
                      <w:rFonts w:hint="eastAsia"/>
                      <w:b/>
                      <w:color w:val="000000" w:themeColor="text1"/>
                      <w:kern w:val="0"/>
                      <w:sz w:val="21"/>
                      <w:szCs w:val="21"/>
                      <w:highlight w:val="none"/>
                      <w14:textFill>
                        <w14:solidFill>
                          <w14:schemeClr w14:val="tx1"/>
                        </w14:solidFill>
                      </w14:textFill>
                    </w:rPr>
                    <w:t>项目情况</w:t>
                  </w:r>
                </w:p>
              </w:tc>
              <w:tc>
                <w:tcPr>
                  <w:tcW w:w="940" w:type="dxa"/>
                  <w:tcBorders>
                    <w:tl2br w:val="nil"/>
                    <w:tr2bl w:val="nil"/>
                  </w:tcBorders>
                  <w:noWrap w:val="0"/>
                  <w:vAlign w:val="center"/>
                </w:tcPr>
                <w:p>
                  <w:pPr>
                    <w:autoSpaceDE w:val="0"/>
                    <w:autoSpaceDN w:val="0"/>
                    <w:jc w:val="center"/>
                    <w:rPr>
                      <w:b/>
                      <w:color w:val="000000" w:themeColor="text1"/>
                      <w:kern w:val="0"/>
                      <w:sz w:val="21"/>
                      <w:szCs w:val="21"/>
                      <w:highlight w:val="none"/>
                      <w14:textFill>
                        <w14:solidFill>
                          <w14:schemeClr w14:val="tx1"/>
                        </w14:solidFill>
                      </w14:textFill>
                    </w:rPr>
                  </w:pPr>
                  <w:r>
                    <w:rPr>
                      <w:rFonts w:hint="eastAsia"/>
                      <w:b/>
                      <w:color w:val="000000" w:themeColor="text1"/>
                      <w:kern w:val="0"/>
                      <w:sz w:val="21"/>
                      <w:szCs w:val="21"/>
                      <w:highlight w:val="none"/>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934" w:type="dxa"/>
                  <w:tcBorders>
                    <w:tl2br w:val="nil"/>
                    <w:tr2bl w:val="nil"/>
                  </w:tcBorders>
                  <w:noWrap w:val="0"/>
                  <w:vAlign w:val="center"/>
                </w:tcPr>
                <w:p>
                  <w:pPr>
                    <w:autoSpaceDE w:val="0"/>
                    <w:autoSpaceDN w:val="0"/>
                    <w:jc w:val="left"/>
                    <w:rPr>
                      <w:rFonts w:hint="eastAsia" w:eastAsia="宋体"/>
                      <w:color w:val="000000" w:themeColor="text1"/>
                      <w:kern w:val="0"/>
                      <w:sz w:val="21"/>
                      <w:szCs w:val="21"/>
                      <w:highlight w:val="none"/>
                      <w:lang w:eastAsia="zh-CN"/>
                      <w14:textFill>
                        <w14:solidFill>
                          <w14:schemeClr w14:val="tx1"/>
                        </w14:solidFill>
                      </w14:textFill>
                    </w:rPr>
                  </w:pPr>
                  <w:r>
                    <w:rPr>
                      <w:color w:val="000000" w:themeColor="text1"/>
                      <w:kern w:val="0"/>
                      <w:sz w:val="21"/>
                      <w:szCs w:val="21"/>
                      <w:highlight w:val="none"/>
                      <w14:textFill>
                        <w14:solidFill>
                          <w14:schemeClr w14:val="tx1"/>
                        </w14:solidFill>
                      </w14:textFill>
                    </w:rPr>
                    <w:t>补齐城镇生活污水治理设施短板</w:t>
                  </w:r>
                  <w:r>
                    <w:rPr>
                      <w:rFonts w:hint="eastAsia"/>
                      <w:color w:val="000000" w:themeColor="text1"/>
                      <w:kern w:val="0"/>
                      <w:sz w:val="21"/>
                      <w:szCs w:val="21"/>
                      <w:highlight w:val="none"/>
                      <w14:textFill>
                        <w14:solidFill>
                          <w14:schemeClr w14:val="tx1"/>
                        </w14:solidFill>
                      </w14:textFill>
                    </w:rPr>
                    <w:t>。开展“污水零直排区”建设，控制城市面源污染。彻底摸清城市（含县城）管网底数，加快雨污分流改造，推进实现整县域合流制管网清零。</w:t>
                  </w:r>
                  <w:r>
                    <w:rPr>
                      <w:color w:val="000000" w:themeColor="text1"/>
                      <w:kern w:val="0"/>
                      <w:sz w:val="21"/>
                      <w:szCs w:val="21"/>
                      <w:highlight w:val="none"/>
                      <w14:textFill>
                        <w14:solidFill>
                          <w14:schemeClr w14:val="tx1"/>
                        </w14:solidFill>
                      </w14:textFill>
                    </w:rPr>
                    <w:t>因地制宜建立管网长效管理机制，推进城市排水企业实施“厂—网—河湖”一体化运营管理</w:t>
                  </w:r>
                  <w:r>
                    <w:rPr>
                      <w:rFonts w:hint="eastAsia"/>
                      <w:color w:val="000000" w:themeColor="text1"/>
                      <w:kern w:val="0"/>
                      <w:sz w:val="21"/>
                      <w:szCs w:val="21"/>
                      <w:highlight w:val="none"/>
                      <w:lang w:eastAsia="zh-CN"/>
                      <w14:textFill>
                        <w14:solidFill>
                          <w14:schemeClr w14:val="tx1"/>
                        </w14:solidFill>
                      </w14:textFill>
                    </w:rPr>
                    <w:t>。</w:t>
                  </w:r>
                </w:p>
              </w:tc>
              <w:tc>
                <w:tcPr>
                  <w:tcW w:w="1622" w:type="dxa"/>
                  <w:vMerge w:val="restart"/>
                  <w:tcBorders>
                    <w:tl2br w:val="nil"/>
                    <w:tr2bl w:val="nil"/>
                  </w:tcBorders>
                  <w:noWrap w:val="0"/>
                  <w:vAlign w:val="center"/>
                </w:tcPr>
                <w:p>
                  <w:pPr>
                    <w:autoSpaceDE w:val="0"/>
                    <w:autoSpaceDN w:val="0"/>
                    <w:jc w:val="both"/>
                    <w:rPr>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本项目</w:t>
                  </w:r>
                  <w:r>
                    <w:rPr>
                      <w:rFonts w:hint="eastAsia" w:cs="Times New Roman"/>
                      <w:b w:val="0"/>
                      <w:bCs w:val="0"/>
                      <w:color w:val="000000" w:themeColor="text1"/>
                      <w:spacing w:val="-6"/>
                      <w:sz w:val="21"/>
                      <w:szCs w:val="21"/>
                      <w:highlight w:val="none"/>
                      <w:lang w:val="en-US" w:eastAsia="zh-CN"/>
                      <w14:textFill>
                        <w14:solidFill>
                          <w14:schemeClr w14:val="tx1"/>
                        </w14:solidFill>
                      </w14:textFill>
                    </w:rPr>
                    <w:t>废水经厂区污水处理站处理后</w:t>
                  </w:r>
                  <w:r>
                    <w:rPr>
                      <w:rFonts w:hint="eastAsia"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进入</w:t>
                  </w:r>
                  <w:r>
                    <w:rPr>
                      <w:rFonts w:hint="eastAsia" w:cs="Times New Roman"/>
                      <w:b w:val="0"/>
                      <w:bCs w:val="0"/>
                      <w:color w:val="000000" w:themeColor="text1"/>
                      <w:spacing w:val="-6"/>
                      <w:sz w:val="21"/>
                      <w:szCs w:val="21"/>
                      <w:highlight w:val="none"/>
                      <w:lang w:val="en-US" w:eastAsia="zh-CN"/>
                      <w14:textFill>
                        <w14:solidFill>
                          <w14:schemeClr w14:val="tx1"/>
                        </w14:solidFill>
                      </w14:textFill>
                    </w:rPr>
                    <w:t>园区污水处理厂处理达标后排放</w:t>
                  </w:r>
                </w:p>
              </w:tc>
              <w:tc>
                <w:tcPr>
                  <w:tcW w:w="940" w:type="dxa"/>
                  <w:tcBorders>
                    <w:tl2br w:val="nil"/>
                    <w:tr2bl w:val="nil"/>
                  </w:tcBorders>
                  <w:noWrap w:val="0"/>
                  <w:vAlign w:val="center"/>
                </w:tcPr>
                <w:p>
                  <w:pPr>
                    <w:autoSpaceDE w:val="0"/>
                    <w:autoSpaceDN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4934" w:type="dxa"/>
                  <w:tcBorders>
                    <w:tl2br w:val="nil"/>
                    <w:tr2bl w:val="nil"/>
                  </w:tcBorders>
                  <w:noWrap w:val="0"/>
                  <w:vAlign w:val="center"/>
                </w:tcPr>
                <w:p>
                  <w:pPr>
                    <w:autoSpaceDE w:val="0"/>
                    <w:autoSpaceDN w:val="0"/>
                    <w:jc w:val="left"/>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强化农村生活污水和黑臭水体治理。开展新一轮农村生活污水治理巩固提升，优先治理黄河沿线、南四湖东平湖流域、水源保护区等生态环境敏感区，重点整治黑臭水体集中区域、乡镇政府所在地、中心村、城乡接合部、旅游风景区等地区</w:t>
                  </w:r>
                  <w:r>
                    <w:rPr>
                      <w:rFonts w:hint="eastAsia"/>
                      <w:color w:val="000000" w:themeColor="text1"/>
                      <w:kern w:val="0"/>
                      <w:sz w:val="21"/>
                      <w:szCs w:val="21"/>
                      <w:highlight w:val="none"/>
                      <w:lang w:eastAsia="zh-CN"/>
                      <w14:textFill>
                        <w14:solidFill>
                          <w14:schemeClr w14:val="tx1"/>
                        </w14:solidFill>
                      </w14:textFill>
                    </w:rPr>
                    <w:t>。</w:t>
                  </w:r>
                </w:p>
              </w:tc>
              <w:tc>
                <w:tcPr>
                  <w:tcW w:w="1622" w:type="dxa"/>
                  <w:vMerge w:val="continue"/>
                  <w:tcBorders>
                    <w:tl2br w:val="nil"/>
                    <w:tr2bl w:val="nil"/>
                  </w:tcBorders>
                  <w:noWrap w:val="0"/>
                  <w:vAlign w:val="center"/>
                </w:tcPr>
                <w:p>
                  <w:pPr>
                    <w:autoSpaceDE w:val="0"/>
                    <w:autoSpaceDN w:val="0"/>
                    <w:jc w:val="center"/>
                    <w:rPr>
                      <w:color w:val="000000" w:themeColor="text1"/>
                      <w:kern w:val="0"/>
                      <w:sz w:val="21"/>
                      <w:szCs w:val="21"/>
                      <w:highlight w:val="none"/>
                      <w14:textFill>
                        <w14:solidFill>
                          <w14:schemeClr w14:val="tx1"/>
                        </w14:solidFill>
                      </w14:textFill>
                    </w:rPr>
                  </w:pPr>
                </w:p>
              </w:tc>
              <w:tc>
                <w:tcPr>
                  <w:tcW w:w="940" w:type="dxa"/>
                  <w:tcBorders>
                    <w:tl2br w:val="nil"/>
                    <w:tr2bl w:val="nil"/>
                  </w:tcBorders>
                  <w:noWrap w:val="0"/>
                  <w:vAlign w:val="center"/>
                </w:tcPr>
                <w:p>
                  <w:pPr>
                    <w:autoSpaceDE w:val="0"/>
                    <w:autoSpaceDN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4" w:type="dxa"/>
                  <w:tcBorders>
                    <w:tl2br w:val="nil"/>
                    <w:tr2bl w:val="nil"/>
                  </w:tcBorders>
                  <w:noWrap w:val="0"/>
                  <w:vAlign w:val="center"/>
                </w:tcPr>
                <w:p>
                  <w:pPr>
                    <w:autoSpaceDE w:val="0"/>
                    <w:autoSpaceDN w:val="0"/>
                    <w:jc w:val="left"/>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精准治理工业企业污染。继续推进化工、有色金属、农副食品加工、印染、制革、原料药制造、电镀、冶金等行业退城入园，提高工业园区集聚水平</w:t>
                  </w:r>
                </w:p>
              </w:tc>
              <w:tc>
                <w:tcPr>
                  <w:tcW w:w="1622" w:type="dxa"/>
                  <w:tcBorders>
                    <w:tl2br w:val="nil"/>
                    <w:tr2bl w:val="nil"/>
                  </w:tcBorders>
                  <w:noWrap w:val="0"/>
                  <w:vAlign w:val="center"/>
                </w:tcPr>
                <w:p>
                  <w:pPr>
                    <w:autoSpaceDE w:val="0"/>
                    <w:autoSpaceDN w:val="0"/>
                    <w:jc w:val="center"/>
                    <w:rPr>
                      <w:rFonts w:hint="default"/>
                      <w:color w:val="000000" w:themeColor="text1"/>
                      <w:kern w:val="0"/>
                      <w:sz w:val="21"/>
                      <w:szCs w:val="21"/>
                      <w:highlight w:val="none"/>
                      <w:lang w:val="en-US"/>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项目</w:t>
                  </w:r>
                  <w:r>
                    <w:rPr>
                      <w:rFonts w:hint="eastAsia"/>
                      <w:color w:val="000000" w:themeColor="text1"/>
                      <w:kern w:val="0"/>
                      <w:sz w:val="21"/>
                      <w:szCs w:val="21"/>
                      <w:highlight w:val="none"/>
                      <w:lang w:val="en-US" w:eastAsia="zh-CN"/>
                      <w14:textFill>
                        <w14:solidFill>
                          <w14:schemeClr w14:val="tx1"/>
                        </w14:solidFill>
                      </w14:textFill>
                    </w:rPr>
                    <w:t>位于嘉祥化工产业园内</w:t>
                  </w:r>
                </w:p>
              </w:tc>
              <w:tc>
                <w:tcPr>
                  <w:tcW w:w="940" w:type="dxa"/>
                  <w:tcBorders>
                    <w:tl2br w:val="nil"/>
                    <w:tr2bl w:val="nil"/>
                  </w:tcBorders>
                  <w:noWrap w:val="0"/>
                  <w:vAlign w:val="center"/>
                </w:tcPr>
                <w:p>
                  <w:pPr>
                    <w:autoSpaceDE w:val="0"/>
                    <w:autoSpaceDN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4" w:type="dxa"/>
                  <w:tcBorders>
                    <w:tl2br w:val="nil"/>
                    <w:tr2bl w:val="nil"/>
                  </w:tcBorders>
                  <w:noWrap w:val="0"/>
                  <w:vAlign w:val="center"/>
                </w:tcPr>
                <w:p>
                  <w:pPr>
                    <w:autoSpaceDE w:val="0"/>
                    <w:autoSpaceDN w:val="0"/>
                    <w:jc w:val="left"/>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指导工业园区对污水实施科学收集、分类处理，梯级循环利用工业废水。逐步推进园区纳管企业废水“一企一管、明管输送、实时监控，统一调度”，第一时间锁定园区集中污水处理设施超标来水源头，及时有效处理处置</w:t>
                  </w:r>
                  <w:r>
                    <w:rPr>
                      <w:rFonts w:hint="eastAsia"/>
                      <w:color w:val="000000" w:themeColor="text1"/>
                      <w:kern w:val="0"/>
                      <w:sz w:val="21"/>
                      <w:szCs w:val="21"/>
                      <w:highlight w:val="none"/>
                      <w:lang w:eastAsia="zh-CN"/>
                      <w14:textFill>
                        <w14:solidFill>
                          <w14:schemeClr w14:val="tx1"/>
                        </w14:solidFill>
                      </w14:textFill>
                    </w:rPr>
                    <w:t>。</w:t>
                  </w:r>
                </w:p>
              </w:tc>
              <w:tc>
                <w:tcPr>
                  <w:tcW w:w="1622" w:type="dxa"/>
                  <w:tcBorders>
                    <w:tl2br w:val="nil"/>
                    <w:tr2bl w:val="nil"/>
                  </w:tcBorders>
                  <w:noWrap w:val="0"/>
                  <w:vAlign w:val="center"/>
                </w:tcPr>
                <w:p>
                  <w:pPr>
                    <w:autoSpaceDE w:val="0"/>
                    <w:autoSpaceDN w:val="0"/>
                    <w:jc w:val="both"/>
                    <w:rPr>
                      <w:rFonts w:hint="default"/>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本项目</w:t>
                  </w:r>
                  <w:r>
                    <w:rPr>
                      <w:rFonts w:hint="eastAsia" w:cs="Times New Roman"/>
                      <w:b w:val="0"/>
                      <w:bCs w:val="0"/>
                      <w:color w:val="000000" w:themeColor="text1"/>
                      <w:spacing w:val="-6"/>
                      <w:sz w:val="21"/>
                      <w:szCs w:val="21"/>
                      <w:highlight w:val="none"/>
                      <w:lang w:val="en-US" w:eastAsia="zh-CN"/>
                      <w14:textFill>
                        <w14:solidFill>
                          <w14:schemeClr w14:val="tx1"/>
                        </w14:solidFill>
                      </w14:textFill>
                    </w:rPr>
                    <w:t>废水经厂区污水处理站处理后通过一企一管</w:t>
                  </w:r>
                  <w:r>
                    <w:rPr>
                      <w:rFonts w:hint="eastAsia"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进入</w:t>
                  </w:r>
                  <w:r>
                    <w:rPr>
                      <w:rFonts w:hint="eastAsia" w:cs="Times New Roman"/>
                      <w:b w:val="0"/>
                      <w:bCs w:val="0"/>
                      <w:color w:val="000000" w:themeColor="text1"/>
                      <w:spacing w:val="-6"/>
                      <w:sz w:val="21"/>
                      <w:szCs w:val="21"/>
                      <w:highlight w:val="none"/>
                      <w:lang w:val="en-US" w:eastAsia="zh-CN"/>
                      <w14:textFill>
                        <w14:solidFill>
                          <w14:schemeClr w14:val="tx1"/>
                        </w14:solidFill>
                      </w14:textFill>
                    </w:rPr>
                    <w:t>园区污水处理厂处理达标后排放</w:t>
                  </w:r>
                </w:p>
              </w:tc>
              <w:tc>
                <w:tcPr>
                  <w:tcW w:w="940" w:type="dxa"/>
                  <w:tcBorders>
                    <w:tl2br w:val="nil"/>
                    <w:tr2bl w:val="nil"/>
                  </w:tcBorders>
                  <w:noWrap w:val="0"/>
                  <w:vAlign w:val="center"/>
                </w:tcPr>
                <w:p>
                  <w:pPr>
                    <w:autoSpaceDE w:val="0"/>
                    <w:autoSpaceDN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34" w:type="dxa"/>
                  <w:tcBorders>
                    <w:tl2br w:val="nil"/>
                    <w:tr2bl w:val="nil"/>
                  </w:tcBorders>
                  <w:noWrap w:val="0"/>
                  <w:vAlign w:val="center"/>
                </w:tcPr>
                <w:p>
                  <w:pPr>
                    <w:autoSpaceDE w:val="0"/>
                    <w:autoSpaceDN w:val="0"/>
                    <w:jc w:val="left"/>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推动地表水环境质量持续向好。开展入河排污口溯源分析，建立“排污单位—排污通道—排污口—受纳水体”的排污路径，完成排污口分类、命名、编码和标志牌树立等工作，形成规范的排污口“户籍”管理。按照“取缔一批、合并一批、规范一批”要求，编制整治工作方案，提出“一口一策”整治措施</w:t>
                  </w:r>
                  <w:r>
                    <w:rPr>
                      <w:rFonts w:hint="eastAsia"/>
                      <w:color w:val="000000" w:themeColor="text1"/>
                      <w:kern w:val="0"/>
                      <w:sz w:val="21"/>
                      <w:szCs w:val="21"/>
                      <w:highlight w:val="none"/>
                      <w:lang w:val="en-US" w:eastAsia="zh-CN"/>
                      <w14:textFill>
                        <w14:solidFill>
                          <w14:schemeClr w14:val="tx1"/>
                        </w14:solidFill>
                      </w14:textFill>
                    </w:rPr>
                    <w:t>。</w:t>
                  </w:r>
                </w:p>
              </w:tc>
              <w:tc>
                <w:tcPr>
                  <w:tcW w:w="1622" w:type="dxa"/>
                  <w:tcBorders>
                    <w:tl2br w:val="nil"/>
                    <w:tr2bl w:val="nil"/>
                  </w:tcBorders>
                  <w:noWrap w:val="0"/>
                  <w:vAlign w:val="center"/>
                </w:tcPr>
                <w:p>
                  <w:pPr>
                    <w:autoSpaceDE w:val="0"/>
                    <w:autoSpaceDN w:val="0"/>
                    <w:jc w:val="both"/>
                    <w:rPr>
                      <w:rFonts w:hint="default" w:eastAsia="宋体"/>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本项目</w:t>
                  </w:r>
                  <w:r>
                    <w:rPr>
                      <w:rFonts w:hint="eastAsia" w:cs="Times New Roman"/>
                      <w:b w:val="0"/>
                      <w:bCs w:val="0"/>
                      <w:color w:val="000000" w:themeColor="text1"/>
                      <w:spacing w:val="-6"/>
                      <w:sz w:val="21"/>
                      <w:szCs w:val="21"/>
                      <w:highlight w:val="none"/>
                      <w:lang w:val="en-US" w:eastAsia="zh-CN"/>
                      <w14:textFill>
                        <w14:solidFill>
                          <w14:schemeClr w14:val="tx1"/>
                        </w14:solidFill>
                      </w14:textFill>
                    </w:rPr>
                    <w:t>废水经厂区污水处理站处理后</w:t>
                  </w:r>
                  <w:r>
                    <w:rPr>
                      <w:rFonts w:hint="eastAsia"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进入</w:t>
                  </w:r>
                  <w:r>
                    <w:rPr>
                      <w:rFonts w:hint="eastAsia" w:cs="Times New Roman"/>
                      <w:b w:val="0"/>
                      <w:bCs w:val="0"/>
                      <w:color w:val="000000" w:themeColor="text1"/>
                      <w:spacing w:val="-6"/>
                      <w:sz w:val="21"/>
                      <w:szCs w:val="21"/>
                      <w:highlight w:val="none"/>
                      <w:lang w:val="en-US" w:eastAsia="zh-CN"/>
                      <w14:textFill>
                        <w14:solidFill>
                          <w14:schemeClr w14:val="tx1"/>
                        </w14:solidFill>
                      </w14:textFill>
                    </w:rPr>
                    <w:t>园区污水处理厂处理</w:t>
                  </w:r>
                  <w:r>
                    <w:rPr>
                      <w:rFonts w:hint="eastAsia"/>
                      <w:color w:val="000000" w:themeColor="text1"/>
                      <w:kern w:val="0"/>
                      <w:sz w:val="21"/>
                      <w:szCs w:val="21"/>
                      <w:highlight w:val="none"/>
                      <w:lang w:eastAsia="zh-CN"/>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不直接外排</w:t>
                  </w:r>
                </w:p>
              </w:tc>
              <w:tc>
                <w:tcPr>
                  <w:tcW w:w="940" w:type="dxa"/>
                  <w:tcBorders>
                    <w:tl2br w:val="nil"/>
                    <w:tr2bl w:val="nil"/>
                  </w:tcBorders>
                  <w:noWrap w:val="0"/>
                  <w:vAlign w:val="center"/>
                </w:tcPr>
                <w:p>
                  <w:pPr>
                    <w:autoSpaceDE w:val="0"/>
                    <w:autoSpaceDN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w:t>
            </w:r>
            <w:r>
              <w:rPr>
                <w:color w:val="000000" w:themeColor="text1"/>
                <w:sz w:val="24"/>
                <w:szCs w:val="24"/>
                <w:highlight w:val="none"/>
                <w14:textFill>
                  <w14:solidFill>
                    <w14:schemeClr w14:val="tx1"/>
                  </w14:solidFill>
                </w14:textFill>
              </w:rPr>
              <w:t>符合</w:t>
            </w:r>
            <w:r>
              <w:rPr>
                <w:rFonts w:hint="eastAsia"/>
                <w:color w:val="000000" w:themeColor="text1"/>
                <w:sz w:val="24"/>
                <w:szCs w:val="24"/>
                <w:highlight w:val="none"/>
                <w14:textFill>
                  <w14:solidFill>
                    <w14:schemeClr w14:val="tx1"/>
                  </w14:solidFill>
                </w14:textFill>
              </w:rPr>
              <w:t>《山东省深入打好碧水保卫战行动计划（2021-2025年）》</w:t>
            </w:r>
            <w:r>
              <w:rPr>
                <w:color w:val="000000" w:themeColor="text1"/>
                <w:sz w:val="24"/>
                <w:szCs w:val="24"/>
                <w:highlight w:val="none"/>
                <w14:textFill>
                  <w14:solidFill>
                    <w14:schemeClr w14:val="tx1"/>
                  </w14:solidFill>
                </w14:textFill>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13、</w:t>
            </w:r>
            <w:r>
              <w:rPr>
                <w:rFonts w:hint="eastAsia"/>
                <w:b/>
                <w:bCs/>
                <w:color w:val="000000" w:themeColor="text1"/>
                <w:sz w:val="24"/>
                <w:szCs w:val="24"/>
                <w:highlight w:val="none"/>
                <w14:textFill>
                  <w14:solidFill>
                    <w14:schemeClr w14:val="tx1"/>
                  </w14:solidFill>
                </w14:textFill>
              </w:rPr>
              <w:t>与《山东省深入打好净土保卫战行动计划（2021-2025年）》</w:t>
            </w:r>
            <w:r>
              <w:rPr>
                <w:rFonts w:hint="eastAsia"/>
                <w:b/>
                <w:bCs/>
                <w:color w:val="000000" w:themeColor="text1"/>
                <w:sz w:val="24"/>
                <w:szCs w:val="24"/>
                <w:highlight w:val="none"/>
                <w:lang w:val="en-US" w:eastAsia="zh-CN"/>
                <w14:textFill>
                  <w14:solidFill>
                    <w14:schemeClr w14:val="tx1"/>
                  </w14:solidFill>
                </w14:textFill>
              </w:rPr>
              <w:t>的</w:t>
            </w:r>
            <w:r>
              <w:rPr>
                <w:rFonts w:hint="eastAsia"/>
                <w:b/>
                <w:bCs/>
                <w:color w:val="000000" w:themeColor="text1"/>
                <w:sz w:val="24"/>
                <w:szCs w:val="24"/>
                <w:highlight w:val="none"/>
                <w14:textFill>
                  <w14:solidFill>
                    <w14:schemeClr w14:val="tx1"/>
                  </w14:solidFill>
                </w14:textFill>
              </w:rPr>
              <w:t>符合性分析</w:t>
            </w:r>
          </w:p>
          <w:p>
            <w:pPr>
              <w:numPr>
                <w:ilvl w:val="0"/>
                <w:numId w:val="0"/>
              </w:numPr>
              <w:adjustRightInd w:val="0"/>
              <w:snapToGrid w:val="0"/>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14:textFill>
                  <w14:solidFill>
                    <w14:schemeClr w14:val="tx1"/>
                  </w14:solidFill>
                </w14:textFill>
              </w:rPr>
              <w:t>1</w:t>
            </w: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 xml:space="preserve">10  </w:t>
            </w:r>
            <w:r>
              <w:rPr>
                <w:rFonts w:hint="eastAsia"/>
                <w:b/>
                <w:bCs/>
                <w:color w:val="000000" w:themeColor="text1"/>
                <w:sz w:val="24"/>
                <w:szCs w:val="24"/>
                <w:highlight w:val="none"/>
                <w14:textFill>
                  <w14:solidFill>
                    <w14:schemeClr w14:val="tx1"/>
                  </w14:solidFill>
                </w14:textFill>
              </w:rPr>
              <w:t>与《山东省深入打好净土保卫战行动计划（2021-2025年）》符合性分析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4"/>
              <w:gridCol w:w="1712"/>
              <w:gridCol w:w="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1" w:hRule="atLeast"/>
                <w:jc w:val="center"/>
              </w:trPr>
              <w:tc>
                <w:tcPr>
                  <w:tcW w:w="4834" w:type="dxa"/>
                  <w:tcBorders>
                    <w:tl2br w:val="nil"/>
                    <w:tr2bl w:val="nil"/>
                  </w:tcBorders>
                  <w:noWrap w:val="0"/>
                  <w:vAlign w:val="center"/>
                </w:tcPr>
                <w:p>
                  <w:pPr>
                    <w:autoSpaceDE w:val="0"/>
                    <w:autoSpaceDN w:val="0"/>
                    <w:jc w:val="center"/>
                    <w:rPr>
                      <w:b/>
                      <w:color w:val="000000" w:themeColor="text1"/>
                      <w:kern w:val="0"/>
                      <w:sz w:val="21"/>
                      <w:szCs w:val="21"/>
                      <w:highlight w:val="none"/>
                      <w14:textFill>
                        <w14:solidFill>
                          <w14:schemeClr w14:val="tx1"/>
                        </w14:solidFill>
                      </w14:textFill>
                    </w:rPr>
                  </w:pPr>
                  <w:r>
                    <w:rPr>
                      <w:rFonts w:hint="eastAsia"/>
                      <w:b/>
                      <w:color w:val="000000" w:themeColor="text1"/>
                      <w:kern w:val="0"/>
                      <w:sz w:val="21"/>
                      <w:szCs w:val="21"/>
                      <w:highlight w:val="none"/>
                      <w14:textFill>
                        <w14:solidFill>
                          <w14:schemeClr w14:val="tx1"/>
                        </w14:solidFill>
                      </w14:textFill>
                    </w:rPr>
                    <w:t>要求</w:t>
                  </w:r>
                </w:p>
              </w:tc>
              <w:tc>
                <w:tcPr>
                  <w:tcW w:w="1712" w:type="dxa"/>
                  <w:tcBorders>
                    <w:tl2br w:val="nil"/>
                    <w:tr2bl w:val="nil"/>
                  </w:tcBorders>
                  <w:noWrap w:val="0"/>
                  <w:vAlign w:val="center"/>
                </w:tcPr>
                <w:p>
                  <w:pPr>
                    <w:autoSpaceDE w:val="0"/>
                    <w:autoSpaceDN w:val="0"/>
                    <w:jc w:val="center"/>
                    <w:rPr>
                      <w:b/>
                      <w:color w:val="000000" w:themeColor="text1"/>
                      <w:kern w:val="0"/>
                      <w:sz w:val="21"/>
                      <w:szCs w:val="21"/>
                      <w:highlight w:val="none"/>
                      <w14:textFill>
                        <w14:solidFill>
                          <w14:schemeClr w14:val="tx1"/>
                        </w14:solidFill>
                      </w14:textFill>
                    </w:rPr>
                  </w:pPr>
                  <w:r>
                    <w:rPr>
                      <w:rFonts w:hint="eastAsia"/>
                      <w:b/>
                      <w:color w:val="000000" w:themeColor="text1"/>
                      <w:kern w:val="0"/>
                      <w:sz w:val="21"/>
                      <w:szCs w:val="21"/>
                      <w:highlight w:val="none"/>
                      <w14:textFill>
                        <w14:solidFill>
                          <w14:schemeClr w14:val="tx1"/>
                        </w14:solidFill>
                      </w14:textFill>
                    </w:rPr>
                    <w:t>项目情况</w:t>
                  </w:r>
                </w:p>
              </w:tc>
              <w:tc>
                <w:tcPr>
                  <w:tcW w:w="950" w:type="dxa"/>
                  <w:tcBorders>
                    <w:tl2br w:val="nil"/>
                    <w:tr2bl w:val="nil"/>
                  </w:tcBorders>
                  <w:noWrap w:val="0"/>
                  <w:vAlign w:val="center"/>
                </w:tcPr>
                <w:p>
                  <w:pPr>
                    <w:autoSpaceDE w:val="0"/>
                    <w:autoSpaceDN w:val="0"/>
                    <w:jc w:val="center"/>
                    <w:rPr>
                      <w:b/>
                      <w:color w:val="000000" w:themeColor="text1"/>
                      <w:kern w:val="0"/>
                      <w:sz w:val="21"/>
                      <w:szCs w:val="21"/>
                      <w:highlight w:val="none"/>
                      <w14:textFill>
                        <w14:solidFill>
                          <w14:schemeClr w14:val="tx1"/>
                        </w14:solidFill>
                      </w14:textFill>
                    </w:rPr>
                  </w:pPr>
                  <w:r>
                    <w:rPr>
                      <w:rFonts w:hint="eastAsia"/>
                      <w:b/>
                      <w:color w:val="000000" w:themeColor="text1"/>
                      <w:kern w:val="0"/>
                      <w:sz w:val="21"/>
                      <w:szCs w:val="21"/>
                      <w:highlight w:val="none"/>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4834" w:type="dxa"/>
                  <w:tcBorders>
                    <w:tl2br w:val="nil"/>
                    <w:tr2bl w:val="nil"/>
                  </w:tcBorders>
                  <w:noWrap w:val="0"/>
                  <w:vAlign w:val="center"/>
                </w:tcPr>
                <w:p>
                  <w:pPr>
                    <w:autoSpaceDE w:val="0"/>
                    <w:autoSpaceDN w:val="0"/>
                    <w:jc w:val="left"/>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加强</w:t>
                  </w:r>
                  <w:bookmarkStart w:id="7" w:name="OLE_LINK1"/>
                  <w:r>
                    <w:rPr>
                      <w:color w:val="000000" w:themeColor="text1"/>
                      <w:kern w:val="0"/>
                      <w:sz w:val="21"/>
                      <w:szCs w:val="21"/>
                      <w:highlight w:val="none"/>
                      <w14:textFill>
                        <w14:solidFill>
                          <w14:schemeClr w14:val="tx1"/>
                        </w14:solidFill>
                      </w14:textFill>
                    </w:rPr>
                    <w:t>土壤污染重点监管单位</w:t>
                  </w:r>
                  <w:bookmarkEnd w:id="7"/>
                  <w:r>
                    <w:rPr>
                      <w:color w:val="000000" w:themeColor="text1"/>
                      <w:kern w:val="0"/>
                      <w:sz w:val="21"/>
                      <w:szCs w:val="21"/>
                      <w:highlight w:val="none"/>
                      <w14:textFill>
                        <w14:solidFill>
                          <w14:schemeClr w14:val="tx1"/>
                        </w14:solidFill>
                      </w14:textFill>
                    </w:rPr>
                    <w:t>环境监管</w:t>
                  </w:r>
                  <w:r>
                    <w:rPr>
                      <w:rFonts w:hint="eastAsia"/>
                      <w:color w:val="000000" w:themeColor="text1"/>
                      <w:kern w:val="0"/>
                      <w:sz w:val="21"/>
                      <w:szCs w:val="21"/>
                      <w:highlight w:val="none"/>
                      <w14:textFill>
                        <w14:solidFill>
                          <w14:schemeClr w14:val="tx1"/>
                        </w14:solidFill>
                      </w14:textFill>
                    </w:rPr>
                    <w:t>。</w:t>
                  </w:r>
                  <w:r>
                    <w:rPr>
                      <w:color w:val="000000" w:themeColor="text1"/>
                      <w:kern w:val="0"/>
                      <w:sz w:val="21"/>
                      <w:szCs w:val="21"/>
                      <w:highlight w:val="none"/>
                      <w14:textFill>
                        <w14:solidFill>
                          <w14:schemeClr w14:val="tx1"/>
                        </w14:solidFill>
                      </w14:textFill>
                    </w:rPr>
                    <w:t>土壤污染重点监管单位应制定、实施自行监测方案，将监测数据公开并报生态环境部门；严格控制有毒有害物质排放，并按年度向生态环境部门报告排放情况；法定义务在排污许可证发放和变更时应予以载明</w:t>
                  </w:r>
                </w:p>
              </w:tc>
              <w:tc>
                <w:tcPr>
                  <w:tcW w:w="1712" w:type="dxa"/>
                  <w:tcBorders>
                    <w:tl2br w:val="nil"/>
                    <w:tr2bl w:val="nil"/>
                  </w:tcBorders>
                  <w:noWrap w:val="0"/>
                  <w:vAlign w:val="center"/>
                </w:tcPr>
                <w:p>
                  <w:pPr>
                    <w:autoSpaceDE w:val="0"/>
                    <w:autoSpaceDN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企业依法申请了排污许可，按要求</w:t>
                  </w:r>
                  <w:r>
                    <w:rPr>
                      <w:color w:val="000000" w:themeColor="text1"/>
                      <w:kern w:val="0"/>
                      <w:sz w:val="21"/>
                      <w:szCs w:val="21"/>
                      <w:highlight w:val="none"/>
                      <w14:textFill>
                        <w14:solidFill>
                          <w14:schemeClr w14:val="tx1"/>
                        </w14:solidFill>
                      </w14:textFill>
                    </w:rPr>
                    <w:t>制定、实施自行监测方案，</w:t>
                  </w:r>
                  <w:r>
                    <w:rPr>
                      <w:rFonts w:hint="eastAsia"/>
                      <w:color w:val="000000" w:themeColor="text1"/>
                      <w:kern w:val="0"/>
                      <w:sz w:val="21"/>
                      <w:szCs w:val="21"/>
                      <w:highlight w:val="none"/>
                      <w:lang w:val="en-US" w:eastAsia="zh-CN"/>
                      <w14:textFill>
                        <w14:solidFill>
                          <w14:schemeClr w14:val="tx1"/>
                        </w14:solidFill>
                      </w14:textFill>
                    </w:rPr>
                    <w:t>并</w:t>
                  </w:r>
                  <w:r>
                    <w:rPr>
                      <w:color w:val="000000" w:themeColor="text1"/>
                      <w:kern w:val="0"/>
                      <w:sz w:val="21"/>
                      <w:szCs w:val="21"/>
                      <w:highlight w:val="none"/>
                      <w14:textFill>
                        <w14:solidFill>
                          <w14:schemeClr w14:val="tx1"/>
                        </w14:solidFill>
                      </w14:textFill>
                    </w:rPr>
                    <w:t>将监测数据公开并报生态环境部门</w:t>
                  </w:r>
                </w:p>
              </w:tc>
              <w:tc>
                <w:tcPr>
                  <w:tcW w:w="950" w:type="dxa"/>
                  <w:tcBorders>
                    <w:tl2br w:val="nil"/>
                    <w:tr2bl w:val="nil"/>
                  </w:tcBorders>
                  <w:noWrap w:val="0"/>
                  <w:vAlign w:val="center"/>
                </w:tcPr>
                <w:p>
                  <w:pPr>
                    <w:autoSpaceDE w:val="0"/>
                    <w:autoSpaceDN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34" w:type="dxa"/>
                  <w:tcBorders>
                    <w:tl2br w:val="nil"/>
                    <w:tr2bl w:val="nil"/>
                  </w:tcBorders>
                  <w:noWrap w:val="0"/>
                  <w:vAlign w:val="center"/>
                </w:tcPr>
                <w:p>
                  <w:pPr>
                    <w:autoSpaceDE w:val="0"/>
                    <w:autoSpaceDN w:val="0"/>
                    <w:jc w:val="left"/>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严格建设用地风险管控与修复。加强部门协同，畅通信息共享，完善建设用地风险信息互通机制。从严管控农药、化工等行业的重度污染地块规划用途，确需开发利用的，鼓励用于拓展生态空间。结合空间规划及地块出让条件，对依法应当开展土壤污染状况调查的地块，应当明确开发利用必须符合相关规划用途的土壤环境质量要求</w:t>
                  </w:r>
                </w:p>
              </w:tc>
              <w:tc>
                <w:tcPr>
                  <w:tcW w:w="1712" w:type="dxa"/>
                  <w:tcBorders>
                    <w:tl2br w:val="nil"/>
                    <w:tr2bl w:val="nil"/>
                  </w:tcBorders>
                  <w:noWrap w:val="0"/>
                  <w:vAlign w:val="center"/>
                </w:tcPr>
                <w:p>
                  <w:pPr>
                    <w:autoSpaceDE w:val="0"/>
                    <w:autoSpaceDN w:val="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本项目</w:t>
                  </w:r>
                  <w:r>
                    <w:rPr>
                      <w:rFonts w:hint="eastAsia"/>
                      <w:color w:val="000000" w:themeColor="text1"/>
                      <w:kern w:val="0"/>
                      <w:sz w:val="21"/>
                      <w:szCs w:val="21"/>
                      <w:highlight w:val="none"/>
                      <w:lang w:val="en-US" w:eastAsia="zh-CN"/>
                      <w14:textFill>
                        <w14:solidFill>
                          <w14:schemeClr w14:val="tx1"/>
                        </w14:solidFill>
                      </w14:textFill>
                    </w:rPr>
                    <w:t>位置不属于</w:t>
                  </w:r>
                  <w:r>
                    <w:rPr>
                      <w:rFonts w:hint="eastAsia"/>
                      <w:color w:val="000000" w:themeColor="text1"/>
                      <w:kern w:val="0"/>
                      <w:sz w:val="21"/>
                      <w:szCs w:val="21"/>
                      <w:highlight w:val="none"/>
                      <w14:textFill>
                        <w14:solidFill>
                          <w14:schemeClr w14:val="tx1"/>
                        </w14:solidFill>
                      </w14:textFill>
                    </w:rPr>
                    <w:t>重度污染地块</w:t>
                  </w:r>
                </w:p>
              </w:tc>
              <w:tc>
                <w:tcPr>
                  <w:tcW w:w="950" w:type="dxa"/>
                  <w:tcBorders>
                    <w:tl2br w:val="nil"/>
                    <w:tr2bl w:val="nil"/>
                  </w:tcBorders>
                  <w:noWrap w:val="0"/>
                  <w:vAlign w:val="center"/>
                </w:tcPr>
                <w:p>
                  <w:pPr>
                    <w:autoSpaceDE w:val="0"/>
                    <w:autoSpaceDN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34" w:type="dxa"/>
                  <w:tcBorders>
                    <w:tl2br w:val="nil"/>
                    <w:tr2bl w:val="nil"/>
                  </w:tcBorders>
                  <w:noWrap w:val="0"/>
                  <w:vAlign w:val="center"/>
                </w:tcPr>
                <w:p>
                  <w:pPr>
                    <w:autoSpaceDE w:val="0"/>
                    <w:autoSpaceDN w:val="0"/>
                    <w:jc w:val="left"/>
                    <w:rPr>
                      <w:rFonts w:hint="eastAsia"/>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总结威海市试点经验，选择1~3个试点城市深入开展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无废城市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建设。以赤泥、尾矿和共伴生矿、煤矸石、粉煤灰、建筑垃圾等为重点，推动大宗工业固体废物贮存处置总量趋零增长。推动赤泥在生产透水砖、砂石等方面的综合利用。加快黄金冶炼尾渣综合处理技术研发进程，以烟台等市为重点加强推广应用。开展非正规固体废物堆存场所排查整治。构建集污水、垃圾、固废、危废、医废处理处置设施和监测监管能力于一体的环本项目依托厂区现有危废暂存间，危险废物收集后委托有资质单位处理。境基础设施体系，形成由城市向建制镇和乡村延伸覆盖的环境基础设施网络。到2025年，试点城市建立起</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无废城市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建设综合管理制度和监管体系</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12" w:type="dxa"/>
                  <w:tcBorders>
                    <w:tl2br w:val="nil"/>
                    <w:tr2bl w:val="nil"/>
                  </w:tcBorders>
                  <w:noWrap w:val="0"/>
                  <w:vAlign w:val="center"/>
                </w:tcPr>
                <w:p>
                  <w:pPr>
                    <w:autoSpaceDE w:val="0"/>
                    <w:autoSpaceDN w:val="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一般固废</w:t>
                  </w:r>
                  <w:r>
                    <w:rPr>
                      <w:rFonts w:hint="eastAsia"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外售</w:t>
                  </w:r>
                  <w:r>
                    <w:rPr>
                      <w:rFonts w:hint="default" w:ascii="Times New Roman" w:hAnsi="Times New Roman" w:eastAsia="宋体"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综合利用，危废</w:t>
                  </w:r>
                  <w:r>
                    <w:rPr>
                      <w:rFonts w:hint="eastAsia"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焚烧</w:t>
                  </w:r>
                  <w:r>
                    <w:rPr>
                      <w:rFonts w:hint="default" w:ascii="Times New Roman" w:hAnsi="Times New Roman" w:eastAsia="宋体" w:cs="Times New Roman"/>
                      <w:caps w:val="0"/>
                      <w:smallCaps w:val="0"/>
                      <w:color w:val="000000" w:themeColor="text1"/>
                      <w:spacing w:val="0"/>
                      <w:w w:val="100"/>
                      <w:kern w:val="0"/>
                      <w:position w:val="0"/>
                      <w:sz w:val="21"/>
                      <w:szCs w:val="21"/>
                      <w:highlight w:val="none"/>
                      <w:lang w:val="en-US" w:eastAsia="zh-CN" w:bidi="ar-SA"/>
                      <w14:textFill>
                        <w14:solidFill>
                          <w14:schemeClr w14:val="tx1"/>
                        </w14:solidFill>
                      </w14:textFill>
                    </w:rPr>
                    <w:t>处理</w:t>
                  </w:r>
                </w:p>
              </w:tc>
              <w:tc>
                <w:tcPr>
                  <w:tcW w:w="950" w:type="dxa"/>
                  <w:tcBorders>
                    <w:tl2br w:val="nil"/>
                    <w:tr2bl w:val="nil"/>
                  </w:tcBorders>
                  <w:noWrap w:val="0"/>
                  <w:vAlign w:val="center"/>
                </w:tcPr>
                <w:p>
                  <w:pPr>
                    <w:autoSpaceDE w:val="0"/>
                    <w:autoSpaceDN w:val="0"/>
                    <w:jc w:val="center"/>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34" w:type="dxa"/>
                  <w:tcBorders>
                    <w:tl2br w:val="nil"/>
                    <w:tr2bl w:val="nil"/>
                  </w:tcBorders>
                  <w:noWrap w:val="0"/>
                  <w:vAlign w:val="center"/>
                </w:tcPr>
                <w:p>
                  <w:pPr>
                    <w:autoSpaceDE w:val="0"/>
                    <w:autoSpaceDN w:val="0"/>
                    <w:jc w:val="left"/>
                    <w:rPr>
                      <w:rFonts w:hint="eastAsia" w:eastAsia="宋体"/>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深入推进生活垃圾分类，建立有害垃圾收集转运体系。严格落实《山东省城市生活垃圾分类制度实施方案》，完善垃圾分类标识体系，健全垃圾分类奖励制度。2025年年底前，各市基本建成生活垃圾分类处理系统。推进生活垃圾焚烧处理等设施建设和改造提升，优化处理工艺，增强处理能力。城市生活垃圾日清运量超过300吨地区基本实现原生生活垃圾</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零填埋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。扩大农村生活垃圾分类收集试点</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12" w:type="dxa"/>
                  <w:tcBorders>
                    <w:tl2br w:val="nil"/>
                    <w:tr2bl w:val="nil"/>
                  </w:tcBorders>
                  <w:noWrap w:val="0"/>
                  <w:vAlign w:val="center"/>
                </w:tcPr>
                <w:p>
                  <w:pPr>
                    <w:autoSpaceDE w:val="0"/>
                    <w:autoSpaceDN w:val="0"/>
                    <w:jc w:val="center"/>
                    <w:rPr>
                      <w:rFonts w:hint="eastAsia"/>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本项目生活垃圾由环卫部门统一清运</w:t>
                  </w:r>
                </w:p>
              </w:tc>
              <w:tc>
                <w:tcPr>
                  <w:tcW w:w="950" w:type="dxa"/>
                  <w:tcBorders>
                    <w:tl2br w:val="nil"/>
                    <w:tr2bl w:val="nil"/>
                  </w:tcBorders>
                  <w:noWrap w:val="0"/>
                  <w:vAlign w:val="center"/>
                </w:tcPr>
                <w:p>
                  <w:pPr>
                    <w:autoSpaceDE w:val="0"/>
                    <w:autoSpaceDN w:val="0"/>
                    <w:jc w:val="center"/>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符合</w:t>
                  </w:r>
                </w:p>
              </w:tc>
            </w:tr>
          </w:tbl>
          <w:p>
            <w:pPr>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w:t>
            </w:r>
            <w:r>
              <w:rPr>
                <w:color w:val="000000" w:themeColor="text1"/>
                <w:sz w:val="24"/>
                <w:szCs w:val="24"/>
                <w:highlight w:val="none"/>
                <w14:textFill>
                  <w14:solidFill>
                    <w14:schemeClr w14:val="tx1"/>
                  </w14:solidFill>
                </w14:textFill>
              </w:rPr>
              <w:t>符合</w:t>
            </w:r>
            <w:r>
              <w:rPr>
                <w:rFonts w:hint="eastAsia"/>
                <w:color w:val="000000" w:themeColor="text1"/>
                <w:sz w:val="24"/>
                <w:szCs w:val="24"/>
                <w:highlight w:val="none"/>
                <w14:textFill>
                  <w14:solidFill>
                    <w14:schemeClr w14:val="tx1"/>
                  </w14:solidFill>
                </w14:textFill>
              </w:rPr>
              <w:t>《山东省深入打好净土保卫战行动计划（2021-2025年）》</w:t>
            </w:r>
            <w:r>
              <w:rPr>
                <w:color w:val="000000" w:themeColor="text1"/>
                <w:sz w:val="24"/>
                <w:szCs w:val="24"/>
                <w:highlight w:val="none"/>
                <w14:textFill>
                  <w14:solidFill>
                    <w14:schemeClr w14:val="tx1"/>
                  </w14:solidFill>
                </w14:textFill>
              </w:rPr>
              <w:t>要求。</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200"/>
              <w:jc w:val="left"/>
              <w:textAlignment w:val="auto"/>
              <w:rPr>
                <w:b/>
                <w:color w:val="000000" w:themeColor="text1"/>
                <w:kern w:val="0"/>
                <w:sz w:val="24"/>
                <w:highlight w:val="none"/>
                <w:lang w:bidi="ar"/>
                <w14:textFill>
                  <w14:solidFill>
                    <w14:schemeClr w14:val="tx1"/>
                  </w14:solidFill>
                </w14:textFill>
              </w:rPr>
            </w:pPr>
            <w:r>
              <w:rPr>
                <w:rFonts w:hint="eastAsia"/>
                <w:b/>
                <w:color w:val="000000" w:themeColor="text1"/>
                <w:kern w:val="0"/>
                <w:sz w:val="24"/>
                <w:highlight w:val="none"/>
                <w:lang w:val="en-US" w:eastAsia="zh-CN" w:bidi="ar"/>
                <w14:textFill>
                  <w14:solidFill>
                    <w14:schemeClr w14:val="tx1"/>
                  </w14:solidFill>
                </w14:textFill>
              </w:rPr>
              <w:t>14、</w:t>
            </w:r>
            <w:r>
              <w:rPr>
                <w:b/>
                <w:color w:val="000000" w:themeColor="text1"/>
                <w:kern w:val="0"/>
                <w:sz w:val="24"/>
                <w:highlight w:val="none"/>
                <w:lang w:bidi="ar"/>
                <w14:textFill>
                  <w14:solidFill>
                    <w14:schemeClr w14:val="tx1"/>
                  </w14:solidFill>
                </w14:textFill>
              </w:rPr>
              <w:t xml:space="preserve">与《济宁市“十四五”生态环境保护规划》符合性分析 </w:t>
            </w:r>
          </w:p>
          <w:p>
            <w:pPr>
              <w:keepNext w:val="0"/>
              <w:keepLines w:val="0"/>
              <w:pageBreakBefore w:val="0"/>
              <w:widowControl w:val="0"/>
              <w:kinsoku/>
              <w:wordWrap/>
              <w:overflowPunct/>
              <w:topLinePunct w:val="0"/>
              <w:autoSpaceDE/>
              <w:autoSpaceDN/>
              <w:bidi w:val="0"/>
              <w:adjustRightInd/>
              <w:snapToGrid/>
              <w:spacing w:line="360" w:lineRule="auto"/>
              <w:ind w:right="34"/>
              <w:jc w:val="center"/>
              <w:textAlignment w:val="auto"/>
              <w:rPr>
                <w:b/>
                <w:color w:val="000000" w:themeColor="text1"/>
                <w:ker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34"/>
              <w:jc w:val="center"/>
              <w:textAlignment w:val="auto"/>
              <w:rPr>
                <w:b/>
                <w:color w:val="000000" w:themeColor="text1"/>
                <w:kern w:val="0"/>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34"/>
              <w:jc w:val="center"/>
              <w:textAlignment w:val="auto"/>
              <w:rPr>
                <w:b/>
                <w:bCs/>
                <w:color w:val="000000" w:themeColor="text1"/>
                <w:sz w:val="24"/>
                <w:highlight w:val="none"/>
                <w14:textFill>
                  <w14:solidFill>
                    <w14:schemeClr w14:val="tx1"/>
                  </w14:solidFill>
                </w14:textFill>
              </w:rPr>
            </w:pPr>
            <w:r>
              <w:rPr>
                <w:b/>
                <w:color w:val="000000" w:themeColor="text1"/>
                <w:kern w:val="0"/>
                <w:sz w:val="24"/>
                <w:highlight w:val="none"/>
                <w14:textFill>
                  <w14:solidFill>
                    <w14:schemeClr w14:val="tx1"/>
                  </w14:solidFill>
                </w14:textFill>
              </w:rPr>
              <w:t>表1-</w:t>
            </w:r>
            <w:r>
              <w:rPr>
                <w:rFonts w:hint="eastAsia"/>
                <w:b/>
                <w:color w:val="000000" w:themeColor="text1"/>
                <w:kern w:val="0"/>
                <w:sz w:val="24"/>
                <w:highlight w:val="none"/>
                <w:lang w:val="en-US" w:eastAsia="zh-CN"/>
                <w14:textFill>
                  <w14:solidFill>
                    <w14:schemeClr w14:val="tx1"/>
                  </w14:solidFill>
                </w14:textFill>
              </w:rPr>
              <w:t>11</w:t>
            </w:r>
            <w:r>
              <w:rPr>
                <w:b/>
                <w:color w:val="000000" w:themeColor="text1"/>
                <w:kern w:val="0"/>
                <w:sz w:val="24"/>
                <w:highlight w:val="none"/>
                <w14:textFill>
                  <w14:solidFill>
                    <w14:schemeClr w14:val="tx1"/>
                  </w14:solidFill>
                </w14:textFill>
              </w:rPr>
              <w:t xml:space="preserve">  </w:t>
            </w:r>
            <w:r>
              <w:rPr>
                <w:b/>
                <w:color w:val="000000" w:themeColor="text1"/>
                <w:kern w:val="0"/>
                <w:sz w:val="24"/>
                <w:highlight w:val="none"/>
                <w:lang w:bidi="ar"/>
                <w14:textFill>
                  <w14:solidFill>
                    <w14:schemeClr w14:val="tx1"/>
                  </w14:solidFill>
                </w14:textFill>
              </w:rPr>
              <w:t>与《济宁市“十四五”生态环境保护规划》</w:t>
            </w:r>
            <w:r>
              <w:rPr>
                <w:b/>
                <w:bCs/>
                <w:color w:val="000000" w:themeColor="text1"/>
                <w:sz w:val="24"/>
                <w:highlight w:val="none"/>
                <w14:textFill>
                  <w14:solidFill>
                    <w14:schemeClr w14:val="tx1"/>
                  </w14:solidFill>
                </w14:textFill>
              </w:rPr>
              <w:t>符合性分析</w:t>
            </w:r>
          </w:p>
          <w:tbl>
            <w:tblPr>
              <w:tblStyle w:val="37"/>
              <w:tblW w:w="4997"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5281"/>
              <w:gridCol w:w="1332"/>
              <w:gridCol w:w="87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524"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文件要求</w:t>
                  </w:r>
                </w:p>
              </w:tc>
              <w:tc>
                <w:tcPr>
                  <w:tcW w:w="888"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本项目情况</w:t>
                  </w:r>
                </w:p>
              </w:tc>
              <w:tc>
                <w:tcPr>
                  <w:tcW w:w="586"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524" w:type="pct"/>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优化国土空间开发与保护格局。落实主体功能区战略，构建以生态保护红线、环境质量底线、资源利用上线和生态环境准入清单为核心的“三线一单”生态环境分区管控体系，建立更新调整和跟踪评估长效机制，推动“三线一单”数据的信息化和共建共享，加强“三线一单”在政策制定、环境准入、园区管理、执法监管等方面的应用。依据资源环境承载能力，将“三线一单”作为区域资源开发、布局优化、结构调整、城镇建设、重大项目选址和审批的重要依据，统筹安排城市建设、产业发展、生态涵养、基础设施和公共服务，优化国土空间开发布局和强度，规范国土空间开发行为，减少人类活动对自然生态空间的占用，推动形成合理有序的城市化地区、农产品主产区、生态功能区格局。</w:t>
                  </w:r>
                </w:p>
              </w:tc>
              <w:tc>
                <w:tcPr>
                  <w:tcW w:w="888" w:type="pct"/>
                  <w:vAlign w:val="center"/>
                </w:tcPr>
                <w:p>
                  <w:pPr>
                    <w:keepNext w:val="0"/>
                    <w:keepLines w:val="0"/>
                    <w:pageBreakBefore w:val="0"/>
                    <w:widowControl/>
                    <w:kinsoku/>
                    <w:wordWrap w:val="0"/>
                    <w:overflowPunct/>
                    <w:topLinePunct w:val="0"/>
                    <w:autoSpaceDE/>
                    <w:autoSpaceDN/>
                    <w:bidi w:val="0"/>
                    <w:snapToGrid w:val="0"/>
                    <w:spacing w:line="240" w:lineRule="auto"/>
                    <w:textAlignment w:val="auto"/>
                    <w:rPr>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项目符合“三线一单”生态环境分区管控要求。</w:t>
                  </w:r>
                </w:p>
              </w:tc>
              <w:tc>
                <w:tcPr>
                  <w:tcW w:w="586"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524" w:type="pct"/>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坚决遏制“两高”项目盲目发展。坚持环境质量“只能更好，不能变坏”的底线，严格落实污染物排放总量和产能总量控制刚性要求。实施“四上四压”，坚持“上新压旧”“上大压小”“上高压低”“上整压散”。“两高”项目确有必要建设的，须严格落实产能、煤耗、能耗、碳排放和污染物排放“五个减量替代”要求，新（改、扩）建项目要减量替代，已建项目要减量运行。依据国家相关产业政策，对焦化、煤电、水泥、轮胎、平板玻璃、煤化工、铁合金等重点行业严格执行产能置换要求，确保产能总量只减不增。原则上不再审批新建煤矿项目。严禁新增水泥熟料、粉磨产能。</w:t>
                  </w:r>
                </w:p>
              </w:tc>
              <w:tc>
                <w:tcPr>
                  <w:tcW w:w="888" w:type="pct"/>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本项目不属于“两高”项目。</w:t>
                  </w:r>
                </w:p>
              </w:tc>
              <w:tc>
                <w:tcPr>
                  <w:tcW w:w="586"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524" w:type="pct"/>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狠抓工业污染防治。严格控制缺水地区、水污染严重地区和敏感区域高耗水、高污染行业发展。严格执行南四湖流域水污染物综合排放标准，加强全盐量、硫酸盐、氟化物等特征污染物治理。推进化工等工业园区雨污分流改造和初期雨水收集处理。加大现有工业园区整治力度，全面推进工业园区污水处理设施建设和污水管网排查整治。鼓励有条件的园区实施化工企业废水“一企一管、明管输送、实时监测、统一调度”，实现园区集中污水处理设施第一时间锁定超标来水源头，及时有效处理处置。鼓励有条件的园区引进“环保管家”服务，提供定制化、全产业链的第三方环保服务，实现园区污水精细化、专业化管理。推动开展有毒有害以及难降解废水治理试点。</w:t>
                  </w:r>
                </w:p>
              </w:tc>
              <w:tc>
                <w:tcPr>
                  <w:tcW w:w="888" w:type="pct"/>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本项目用水主要为生活用水和实验室用水，项目不属于高耗水、高污染项目。</w:t>
                  </w:r>
                </w:p>
              </w:tc>
              <w:tc>
                <w:tcPr>
                  <w:tcW w:w="586"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524" w:type="pct"/>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落实污染物排放总量控制制度。围绕生态环境质量改善目标，实施排污总量控制。严格按照国家、省确定污染物减排框架体系，确定各县（市、区）重点减排工程，高质量完成“十四五”总量减排目标任务。落实国家建立非固定污染源减排管理体系的要求，实施非固定污染源全过程调度管理，强化统计、监管、评估。统筹推进多污染物协同减排，减污降碳协同增效，实施一批重点领域、重点行业协同减排工程。健全污染减排激励约束机制。</w:t>
                  </w:r>
                </w:p>
              </w:tc>
              <w:tc>
                <w:tcPr>
                  <w:tcW w:w="888" w:type="pct"/>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bCs/>
                      <w:color w:val="000000" w:themeColor="text1"/>
                      <w:spacing w:val="-6"/>
                      <w:szCs w:val="21"/>
                      <w:highlight w:val="none"/>
                      <w14:textFill>
                        <w14:solidFill>
                          <w14:schemeClr w14:val="tx1"/>
                        </w14:solidFill>
                      </w14:textFill>
                    </w:rPr>
                    <w:t>废气排放严格执行相应排放标准，申请主要污染物总量控制指标。</w:t>
                  </w:r>
                </w:p>
              </w:tc>
              <w:tc>
                <w:tcPr>
                  <w:tcW w:w="586"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bl>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b/>
                <w:bCs/>
                <w:snapToGrid w:val="0"/>
                <w:color w:val="000000" w:themeColor="text1"/>
                <w:kern w:val="0"/>
                <w:sz w:val="24"/>
                <w:szCs w:val="24"/>
                <w:highlight w:val="none"/>
                <w:lang w:val="en-US" w:eastAsia="zh-CN"/>
                <w14:textFill>
                  <w14:solidFill>
                    <w14:schemeClr w14:val="tx1"/>
                  </w14:solidFill>
                </w14:textFill>
              </w:rPr>
            </w:pPr>
            <w:r>
              <w:rPr>
                <w:rFonts w:hint="eastAsia" w:cs="Times New Roman"/>
                <w:b/>
                <w:bCs/>
                <w:snapToGrid w:val="0"/>
                <w:color w:val="000000" w:themeColor="text1"/>
                <w:kern w:val="0"/>
                <w:sz w:val="24"/>
                <w:szCs w:val="24"/>
                <w:highlight w:val="none"/>
                <w:lang w:val="en-US" w:eastAsia="zh-CN"/>
                <w14:textFill>
                  <w14:solidFill>
                    <w14:schemeClr w14:val="tx1"/>
                  </w14:solidFill>
                </w14:textFill>
              </w:rPr>
              <w:t>15、与山东省生态环境厅关于印发《</w:t>
            </w:r>
            <w:bookmarkStart w:id="8" w:name="OLE_LINK21"/>
            <w:r>
              <w:rPr>
                <w:rFonts w:hint="eastAsia" w:cs="Times New Roman"/>
                <w:b/>
                <w:bCs/>
                <w:snapToGrid w:val="0"/>
                <w:color w:val="000000" w:themeColor="text1"/>
                <w:kern w:val="0"/>
                <w:sz w:val="24"/>
                <w:szCs w:val="24"/>
                <w:highlight w:val="none"/>
                <w:lang w:val="en-US" w:eastAsia="zh-CN"/>
                <w14:textFill>
                  <w14:solidFill>
                    <w14:schemeClr w14:val="tx1"/>
                  </w14:solidFill>
                </w14:textFill>
              </w:rPr>
              <w:t>山东省涉挥发性有机物企业分行业治理指导意见</w:t>
            </w:r>
            <w:bookmarkEnd w:id="8"/>
            <w:r>
              <w:rPr>
                <w:rFonts w:hint="eastAsia" w:cs="Times New Roman"/>
                <w:b/>
                <w:bCs/>
                <w:snapToGrid w:val="0"/>
                <w:color w:val="000000" w:themeColor="text1"/>
                <w:kern w:val="0"/>
                <w:sz w:val="24"/>
                <w:szCs w:val="24"/>
                <w:highlight w:val="none"/>
                <w:lang w:val="en-US" w:eastAsia="zh-CN"/>
                <w14:textFill>
                  <w14:solidFill>
                    <w14:schemeClr w14:val="tx1"/>
                  </w14:solidFill>
                </w14:textFill>
              </w:rPr>
              <w:t>》（鲁环发[2019]146号）符合性分析</w:t>
            </w:r>
          </w:p>
          <w:p>
            <w:pPr>
              <w:pStyle w:val="35"/>
              <w:rPr>
                <w:rFonts w:hint="default" w:eastAsia="宋体"/>
                <w:color w:val="000000" w:themeColor="text1"/>
                <w:highlight w:val="none"/>
                <w:lang w:val="en-US" w:eastAsia="zh-CN"/>
                <w14:textFill>
                  <w14:solidFill>
                    <w14:schemeClr w14:val="tx1"/>
                  </w14:solidFill>
                </w14:textFill>
              </w:rPr>
            </w:pPr>
            <w:r>
              <w:rPr>
                <w:b/>
                <w:color w:val="000000" w:themeColor="text1"/>
                <w:kern w:val="0"/>
                <w:sz w:val="24"/>
                <w:highlight w:val="none"/>
                <w14:textFill>
                  <w14:solidFill>
                    <w14:schemeClr w14:val="tx1"/>
                  </w14:solidFill>
                </w14:textFill>
              </w:rPr>
              <w:t>表1-</w:t>
            </w:r>
            <w:r>
              <w:rPr>
                <w:rFonts w:hint="eastAsia"/>
                <w:b/>
                <w:color w:val="000000" w:themeColor="text1"/>
                <w:kern w:val="0"/>
                <w:sz w:val="24"/>
                <w:highlight w:val="none"/>
                <w:lang w:val="en-US" w:eastAsia="zh-CN"/>
                <w14:textFill>
                  <w14:solidFill>
                    <w14:schemeClr w14:val="tx1"/>
                  </w14:solidFill>
                </w14:textFill>
              </w:rPr>
              <w:t>12</w:t>
            </w:r>
            <w:r>
              <w:rPr>
                <w:b/>
                <w:color w:val="000000" w:themeColor="text1"/>
                <w:kern w:val="0"/>
                <w:sz w:val="24"/>
                <w:highlight w:val="none"/>
                <w14:textFill>
                  <w14:solidFill>
                    <w14:schemeClr w14:val="tx1"/>
                  </w14:solidFill>
                </w14:textFill>
              </w:rPr>
              <w:t xml:space="preserve">  </w:t>
            </w:r>
            <w:r>
              <w:rPr>
                <w:b/>
                <w:color w:val="000000" w:themeColor="text1"/>
                <w:kern w:val="0"/>
                <w:sz w:val="24"/>
                <w:highlight w:val="none"/>
                <w:lang w:bidi="ar"/>
                <w14:textFill>
                  <w14:solidFill>
                    <w14:schemeClr w14:val="tx1"/>
                  </w14:solidFill>
                </w14:textFill>
              </w:rPr>
              <w:t>与</w:t>
            </w:r>
            <w:r>
              <w:rPr>
                <w:rFonts w:hint="eastAsia"/>
                <w:b/>
                <w:color w:val="000000" w:themeColor="text1"/>
                <w:kern w:val="0"/>
                <w:sz w:val="24"/>
                <w:highlight w:val="none"/>
                <w:lang w:bidi="ar"/>
                <w14:textFill>
                  <w14:solidFill>
                    <w14:schemeClr w14:val="tx1"/>
                  </w14:solidFill>
                </w14:textFill>
              </w:rPr>
              <w:t>鲁环发[2019]146号</w:t>
            </w:r>
            <w:r>
              <w:rPr>
                <w:rFonts w:hint="eastAsia"/>
                <w:b/>
                <w:color w:val="000000" w:themeColor="text1"/>
                <w:kern w:val="0"/>
                <w:sz w:val="24"/>
                <w:highlight w:val="none"/>
                <w:lang w:val="en-US" w:eastAsia="zh-CN" w:bidi="ar"/>
                <w14:textFill>
                  <w14:solidFill>
                    <w14:schemeClr w14:val="tx1"/>
                  </w14:solidFill>
                </w14:textFill>
              </w:rPr>
              <w:t>文件符合性分析</w:t>
            </w:r>
          </w:p>
          <w:tbl>
            <w:tblPr>
              <w:tblStyle w:val="37"/>
              <w:tblW w:w="4997"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5065"/>
              <w:gridCol w:w="1548"/>
              <w:gridCol w:w="87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380"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文件要求</w:t>
                  </w:r>
                </w:p>
              </w:tc>
              <w:tc>
                <w:tcPr>
                  <w:tcW w:w="1033"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本项目情况</w:t>
                  </w:r>
                </w:p>
              </w:tc>
              <w:tc>
                <w:tcPr>
                  <w:tcW w:w="586"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380" w:type="pct"/>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加强无组织排放控制。重点对含VOCs物料（包括含VOCs原辅材料、含VOCs产品、含VOCs废料以及有机聚合物材料等）储存、转移和输送、设备与管线组件泄漏、敞开液面逸散、工艺过程等五类排放源实施管控，通过采取设备与场所密闭、工艺改进、废气有效收集等措施，削减VOCs无组织排放。</w:t>
                  </w:r>
                </w:p>
              </w:tc>
              <w:tc>
                <w:tcPr>
                  <w:tcW w:w="1033" w:type="pct"/>
                  <w:vMerge w:val="restart"/>
                  <w:vAlign w:val="center"/>
                </w:tcPr>
                <w:p>
                  <w:pPr>
                    <w:keepNext w:val="0"/>
                    <w:keepLines w:val="0"/>
                    <w:pageBreakBefore w:val="0"/>
                    <w:widowControl/>
                    <w:kinsoku/>
                    <w:wordWrap w:val="0"/>
                    <w:overflowPunct/>
                    <w:topLinePunct w:val="0"/>
                    <w:autoSpaceDE/>
                    <w:autoSpaceDN/>
                    <w:bidi w:val="0"/>
                    <w:snapToGrid w:val="0"/>
                    <w:spacing w:line="240" w:lineRule="auto"/>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实验室化验和研发小试</w:t>
                  </w:r>
                  <w:r>
                    <w:rPr>
                      <w:rFonts w:hint="eastAsia"/>
                      <w:color w:val="000000" w:themeColor="text1"/>
                      <w:szCs w:val="21"/>
                      <w:highlight w:val="none"/>
                      <w14:textFill>
                        <w14:solidFill>
                          <w14:schemeClr w14:val="tx1"/>
                        </w14:solidFill>
                      </w14:textFill>
                    </w:rPr>
                    <w:t>过程产生的VOCs收集后经活性炭吸附装置处理</w:t>
                  </w:r>
                  <w:r>
                    <w:rPr>
                      <w:rFonts w:hint="eastAsia"/>
                      <w:color w:val="000000" w:themeColor="text1"/>
                      <w:szCs w:val="21"/>
                      <w:highlight w:val="none"/>
                      <w:lang w:val="en-US" w:eastAsia="zh-CN"/>
                      <w14:textFill>
                        <w14:solidFill>
                          <w14:schemeClr w14:val="tx1"/>
                        </w14:solidFill>
                      </w14:textFill>
                    </w:rPr>
                    <w:t>后达标</w:t>
                  </w:r>
                  <w:r>
                    <w:rPr>
                      <w:rFonts w:hint="eastAsia"/>
                      <w:color w:val="000000" w:themeColor="text1"/>
                      <w:szCs w:val="21"/>
                      <w:highlight w:val="none"/>
                      <w14:textFill>
                        <w14:solidFill>
                          <w14:schemeClr w14:val="tx1"/>
                        </w14:solidFill>
                      </w14:textFill>
                    </w:rPr>
                    <w:t>排放</w:t>
                  </w:r>
                </w:p>
              </w:tc>
              <w:tc>
                <w:tcPr>
                  <w:tcW w:w="586"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eastAsia="宋体"/>
                      <w:color w:val="000000" w:themeColor="text1"/>
                      <w:szCs w:val="21"/>
                      <w:highlight w:val="none"/>
                      <w:lang w:val="en-US" w:eastAsia="zh-CN"/>
                      <w14:textFill>
                        <w14:solidFill>
                          <w14:schemeClr w14:val="tx1"/>
                        </w14:solidFill>
                      </w14:textFill>
                    </w:rPr>
                  </w:pPr>
                  <w:bookmarkStart w:id="9" w:name="OLE_LINK22"/>
                  <w:r>
                    <w:rPr>
                      <w:rFonts w:hint="eastAsia"/>
                      <w:color w:val="000000" w:themeColor="text1"/>
                      <w:szCs w:val="21"/>
                      <w:highlight w:val="none"/>
                      <w:lang w:val="en-US" w:eastAsia="zh-CN"/>
                      <w14:textFill>
                        <w14:solidFill>
                          <w14:schemeClr w14:val="tx1"/>
                        </w14:solidFill>
                      </w14:textFill>
                    </w:rPr>
                    <w:t>符合</w:t>
                  </w:r>
                  <w:bookmarkEnd w:id="9"/>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380" w:type="pct"/>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033" w:type="pct"/>
                  <w:vMerge w:val="continue"/>
                  <w:vAlign w:val="center"/>
                </w:tcPr>
                <w:p>
                  <w:pPr>
                    <w:keepNext w:val="0"/>
                    <w:keepLines w:val="0"/>
                    <w:pageBreakBefore w:val="0"/>
                    <w:kinsoku/>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p>
              </w:tc>
              <w:tc>
                <w:tcPr>
                  <w:tcW w:w="586" w:type="pct"/>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符合</w:t>
                  </w:r>
                </w:p>
              </w:tc>
            </w:tr>
          </w:tbl>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b/>
                <w:bCs/>
                <w:snapToGrid w:val="0"/>
                <w:color w:val="000000" w:themeColor="text1"/>
                <w:kern w:val="0"/>
                <w:sz w:val="24"/>
                <w:szCs w:val="24"/>
                <w:highlight w:val="none"/>
                <w:lang w:val="en-US" w:eastAsia="zh-CN"/>
                <w14:textFill>
                  <w14:solidFill>
                    <w14:schemeClr w14:val="tx1"/>
                  </w14:solidFill>
                </w14:textFill>
              </w:rPr>
            </w:pPr>
            <w:r>
              <w:rPr>
                <w:rFonts w:hint="eastAsia" w:cs="Times New Roman"/>
                <w:b/>
                <w:bCs/>
                <w:snapToGrid w:val="0"/>
                <w:color w:val="000000" w:themeColor="text1"/>
                <w:kern w:val="0"/>
                <w:sz w:val="24"/>
                <w:szCs w:val="24"/>
                <w:highlight w:val="none"/>
                <w:lang w:val="en-US" w:eastAsia="zh-CN"/>
                <w14:textFill>
                  <w14:solidFill>
                    <w14:schemeClr w14:val="tx1"/>
                  </w14:solidFill>
                </w14:textFill>
              </w:rPr>
              <w:t>16、与《国务院安委会办公室生态环境部应急管理部关于进一步加强环保设备设施安全生产工作的通知》安委办明电〔2022〕17号文符合性分析</w:t>
            </w:r>
          </w:p>
          <w:p>
            <w:pPr>
              <w:spacing w:line="240" w:lineRule="auto"/>
              <w:ind w:firstLine="482" w:firstLineChars="200"/>
              <w:jc w:val="cente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13</w:t>
            </w:r>
            <w:r>
              <w:rPr>
                <w:rFonts w:hint="eastAsia"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与</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安委办明电〔2022〕17号文</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的符合性</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4438"/>
              <w:gridCol w:w="1461"/>
              <w:gridCol w:w="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要求</w:t>
                  </w:r>
                </w:p>
              </w:tc>
              <w:tc>
                <w:tcPr>
                  <w:tcW w:w="44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具体要求</w:t>
                  </w:r>
                </w:p>
              </w:tc>
              <w:tc>
                <w:tcPr>
                  <w:tcW w:w="14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该工程情况</w:t>
                  </w:r>
                </w:p>
              </w:tc>
              <w:tc>
                <w:tcPr>
                  <w:tcW w:w="8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l2br w:val="nil"/>
                    <w:tr2bl w:val="nil"/>
                  </w:tcBorders>
                  <w:noWrap w:val="0"/>
                  <w:vAlign w:val="center"/>
                </w:tcPr>
                <w:p>
                  <w:pPr>
                    <w:pStyle w:val="9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一、进一步落实属地责任</w:t>
                  </w:r>
                </w:p>
              </w:tc>
              <w:tc>
                <w:tcPr>
                  <w:tcW w:w="44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各地区要切实提高政治站位，认真学习领会习近平总书记关于加强环保设备设施安全生产工作重要指示精神，坚持人民至上、生命至上，统筹发展和安全，深入贯彻落实国务院安委会安全生产十五条硬措施，严格落实《地方党政领导干部安全生产责任制规定》，综合运用巡查督查、考核考察、激励惩戒等措施，及时研究解决环保设备设施安全生产工作中的突出问题和新风险，按照</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谁主管谁牵头、谁为主谁牵头、谁靠近谁牵头的原则，依据法律法规和部门</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三定规定，明确负责监督管理环境污染第三方治理企业安全生产工作的部门，落实安全生产各项责任措施，有效防范遏制环保设备设施生产安全事故发生</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1461" w:type="dxa"/>
                  <w:tcBorders>
                    <w:tl2br w:val="nil"/>
                    <w:tr2bl w:val="nil"/>
                  </w:tcBorders>
                  <w:noWrap w:val="0"/>
                  <w:vAlign w:val="center"/>
                </w:tcPr>
                <w:p>
                  <w:pPr>
                    <w:pStyle w:val="90"/>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企业</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落实</w:t>
                  </w:r>
                  <w:r>
                    <w:rPr>
                      <w:rFonts w:hint="eastAsia" w:cs="Times New Roman"/>
                      <w:color w:val="000000" w:themeColor="text1"/>
                      <w:kern w:val="0"/>
                      <w:sz w:val="21"/>
                      <w:szCs w:val="21"/>
                      <w:highlight w:val="none"/>
                      <w:lang w:val="en-US" w:eastAsia="zh-CN" w:bidi="ar"/>
                      <w14:textFill>
                        <w14:solidFill>
                          <w14:schemeClr w14:val="tx1"/>
                        </w14:solidFill>
                      </w14:textFill>
                    </w:rPr>
                    <w:t>环保设备</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安全生产各项措施</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，积极配合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地方党政领导干部巡查督查、考核考察</w:t>
                  </w:r>
                  <w:r>
                    <w:rPr>
                      <w:rFonts w:hint="eastAsia" w:cs="Times New Roman"/>
                      <w:color w:val="000000" w:themeColor="text1"/>
                      <w:kern w:val="0"/>
                      <w:sz w:val="21"/>
                      <w:szCs w:val="21"/>
                      <w:highlight w:val="none"/>
                      <w:lang w:val="en-US" w:eastAsia="zh-CN" w:bidi="ar"/>
                      <w14:textFill>
                        <w14:solidFill>
                          <w14:schemeClr w14:val="tx1"/>
                        </w14:solidFill>
                      </w14:textFill>
                    </w:rPr>
                    <w:t>。</w:t>
                  </w:r>
                </w:p>
              </w:tc>
              <w:tc>
                <w:tcPr>
                  <w:tcW w:w="89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二、进一步落实部门监管指导责任</w:t>
                  </w:r>
                </w:p>
              </w:tc>
              <w:tc>
                <w:tcPr>
                  <w:tcW w:w="4438" w:type="dxa"/>
                  <w:tcBorders>
                    <w:tl2br w:val="nil"/>
                    <w:tr2bl w:val="nil"/>
                  </w:tcBorders>
                  <w:noWrap w:val="0"/>
                  <w:vAlign w:val="center"/>
                </w:tcPr>
                <w:p>
                  <w:pPr>
                    <w:pStyle w:val="9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各有关部门要按照</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管行业必须管安全、管业务必须管安全、管生产经营必须管安全</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和谁主管谁负责的原则，靠前一步，主动作为，将环保设备设施安全作为行业领域安全工作的重要内容，切实承担起安全监督管理和指导责任。要高度关注新增环保设备设施带来的安全问题，提出推广环保新工艺、新技术、新产品的同时要充分考虑安全因素，及时组织相关标委会制修订相应的标准规范。在制修订涉及环保设备设施工程项目、工艺设计、产品技术、控制技术和运行管理的标准规范时，要提出明确具体的安全要求，采用成熟安全可靠的工艺和技术。要紧盯具有脱硫脱硝、挥发性有机物回收、污水处理、粉尘治理、蓄热式焚烧炉5类重点环保设备设施的企业，指导督促企业按照相关法律法规和技术标准规范要求，开展环保设备设施安全凤险辨识评估和隐患排查治理，落实安全生产各项责任措施。要进一步强化服务意识，既严格执法又热情服务，充分发挥专家作用，及时帮助企业解决环保设备设施安全方面存在的问题和困难。</w:t>
                  </w:r>
                </w:p>
              </w:tc>
              <w:tc>
                <w:tcPr>
                  <w:tcW w:w="1461" w:type="dxa"/>
                  <w:tcBorders>
                    <w:tl2br w:val="nil"/>
                    <w:tr2bl w:val="nil"/>
                  </w:tcBorders>
                  <w:noWrap w:val="0"/>
                  <w:vAlign w:val="center"/>
                </w:tcPr>
                <w:p>
                  <w:pPr>
                    <w:pStyle w:val="90"/>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企业按照相关法律法规和技术标准规范要求，开展环保设备设施安全</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风险</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辨识评估和隐患排查治理，落实安全生产各项责任措施</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积极配合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部门监管指导</w:t>
                  </w:r>
                  <w:r>
                    <w:rPr>
                      <w:rFonts w:hint="eastAsia" w:cs="Times New Roman"/>
                      <w:color w:val="000000" w:themeColor="text1"/>
                      <w:kern w:val="0"/>
                      <w:sz w:val="21"/>
                      <w:szCs w:val="21"/>
                      <w:highlight w:val="none"/>
                      <w:lang w:val="en-US" w:eastAsia="zh-CN" w:bidi="ar"/>
                      <w14:textFill>
                        <w14:solidFill>
                          <w14:schemeClr w14:val="tx1"/>
                        </w14:solidFill>
                      </w14:textFill>
                    </w:rPr>
                    <w:t>。</w:t>
                  </w:r>
                </w:p>
              </w:tc>
              <w:tc>
                <w:tcPr>
                  <w:tcW w:w="89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三、进一步建立健全联动机制</w:t>
                  </w:r>
                </w:p>
              </w:tc>
              <w:tc>
                <w:tcPr>
                  <w:tcW w:w="44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地方各级生态环境、应急管理等部门要探索建立健全协调联动机制。要加强信息共享，组织梳理、共享已建成的重点环保设备设施信息，并及时通报新改扩建重点环保设备设施信息。要加强会商研判，建立定期会商制度，研判安全风险形势，互相及时通报日常监管中发现的生产安全和环境安全等隐患问题。要加强协同治理，强化配合，发挥部门优势，共同推动企业提升重点环保设备设施管理水平，发现安全、环保等有关要求不一致的，及时研究解决。要加强联合执法，联合制定督导检查计划，明确检查重点，开展联合执法，共同筑牢安全防线</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1461" w:type="dxa"/>
                  <w:tcBorders>
                    <w:tl2br w:val="nil"/>
                    <w:tr2bl w:val="nil"/>
                  </w:tcBorders>
                  <w:noWrap w:val="0"/>
                  <w:vAlign w:val="center"/>
                </w:tcPr>
                <w:p>
                  <w:pPr>
                    <w:pStyle w:val="90"/>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企业承诺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安全、环保等有关要求</w:t>
                  </w:r>
                  <w:r>
                    <w:rPr>
                      <w:rFonts w:hint="eastAsia" w:cs="Times New Roman"/>
                      <w:color w:val="000000" w:themeColor="text1"/>
                      <w:kern w:val="0"/>
                      <w:sz w:val="21"/>
                      <w:szCs w:val="21"/>
                      <w:highlight w:val="none"/>
                      <w:lang w:val="en-US" w:eastAsia="zh-CN" w:bidi="ar"/>
                      <w14:textFill>
                        <w14:solidFill>
                          <w14:schemeClr w14:val="tx1"/>
                        </w14:solidFill>
                      </w14:textFill>
                    </w:rPr>
                    <w:t>进行环保设备的安装管理，积极配合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督导检查</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89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四、进一步落实企业主体责任</w:t>
                  </w:r>
                </w:p>
              </w:tc>
              <w:tc>
                <w:tcPr>
                  <w:tcW w:w="44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推动企业主要负责人严格履行第一责任人责任，将环保设备设施安全作为企业安全管理的重要组成部分，全面负责落实本单位的环保设备设施安全生产工作。严格落实涉环保设备设施新、改、扩建项目环保和安全三同时有关要求，委托有资质的设计单位进行正规设计，在选用污染防治技术时要充分考虑安全因素；在环保设备设施改造中必须依法开展安全风险评估，按要求设置安全监测监控系统和联锁保护装置，做好安全防范。对涉环保设备设施相关岗位人员进行操作规程、风险管控、应急处置、典型事故警示等专项安全培训教育。开展环保设备设施安全风险辨识评估，系统排查隐患，依法建立隐患整改台账，明确整改责任人、措施、资金、时限和应急救援预案，及时消除隐患。认真落实相关技术标准规范，严格执行吊装、动火、高处等危险作业审批制度，加强有限空间、检维修作业安全管理，采取有效隔离措施，实施现场安全监护和科学施救。对受委托开展环保设备设施建设、运营和检维修第三方的安全生产工作进行统一协调、管理，定期进行安全检查，发现安全问题的，及时督促整改，不得一包了之，不管不问。</w:t>
                  </w:r>
                </w:p>
              </w:tc>
              <w:tc>
                <w:tcPr>
                  <w:tcW w:w="1461" w:type="dxa"/>
                  <w:tcBorders>
                    <w:tl2br w:val="nil"/>
                    <w:tr2bl w:val="nil"/>
                  </w:tcBorders>
                  <w:noWrap w:val="0"/>
                  <w:vAlign w:val="center"/>
                </w:tcPr>
                <w:p>
                  <w:pPr>
                    <w:pStyle w:val="90"/>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企业承诺本项目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环保设备设施</w:t>
                  </w:r>
                  <w:r>
                    <w:rPr>
                      <w:rFonts w:hint="eastAsia" w:cs="Times New Roman"/>
                      <w:color w:val="000000" w:themeColor="text1"/>
                      <w:kern w:val="0"/>
                      <w:sz w:val="21"/>
                      <w:szCs w:val="21"/>
                      <w:highlight w:val="none"/>
                      <w:lang w:val="en-US" w:eastAsia="zh-CN" w:bidi="ar"/>
                      <w14:textFill>
                        <w14:solidFill>
                          <w14:schemeClr w14:val="tx1"/>
                        </w14:solidFill>
                      </w14:textFill>
                    </w:rPr>
                    <w:t>按照</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环保和安全三同时有关要求</w:t>
                  </w:r>
                  <w:r>
                    <w:rPr>
                      <w:rFonts w:hint="eastAsia" w:cs="Times New Roman"/>
                      <w:color w:val="000000" w:themeColor="text1"/>
                      <w:kern w:val="0"/>
                      <w:sz w:val="21"/>
                      <w:szCs w:val="21"/>
                      <w:highlight w:val="none"/>
                      <w:lang w:val="en-US" w:eastAsia="zh-CN" w:bidi="ar"/>
                      <w14:textFill>
                        <w14:solidFill>
                          <w14:schemeClr w14:val="tx1"/>
                        </w14:solidFill>
                      </w14:textFill>
                    </w:rPr>
                    <w:t>建设</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并</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做好安全防范</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对涉环保设备设施相关岗位人员进行操作规程、应急处置专项安全培训教育</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开展环保设备设施安全风险辨识评估，系统排查隐患，明确整改责任人、措施、时限和应急救援预案，及时消除隐患。</w:t>
                  </w:r>
                </w:p>
              </w:tc>
              <w:tc>
                <w:tcPr>
                  <w:tcW w:w="89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符合</w:t>
                  </w:r>
                </w:p>
              </w:tc>
            </w:tr>
          </w:tbl>
          <w:p>
            <w:pPr>
              <w:widowControl/>
              <w:snapToGrid w:val="0"/>
              <w:spacing w:line="360" w:lineRule="auto"/>
              <w:ind w:firstLine="480" w:firstLineChars="200"/>
              <w:jc w:val="left"/>
              <w:rPr>
                <w:rFonts w:hint="default" w:ascii="Times New Roman" w:hAnsi="Times New Roman" w:cs="Times New Roman"/>
                <w:b/>
                <w:bCs/>
                <w:color w:val="000000" w:themeColor="text1"/>
                <w:kern w:val="0"/>
                <w:sz w:val="24"/>
                <w:highlight w:val="none"/>
                <w:lang w:bidi="ar"/>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由上表可知，</w:t>
            </w:r>
            <w:r>
              <w:rPr>
                <w:rFonts w:hint="eastAsia" w:cs="Times New Roman"/>
                <w:color w:val="000000" w:themeColor="text1"/>
                <w:sz w:val="24"/>
                <w:highlight w:val="none"/>
                <w:lang w:eastAsia="zh-CN"/>
                <w14:textFill>
                  <w14:solidFill>
                    <w14:schemeClr w14:val="tx1"/>
                  </w14:solidFill>
                </w14:textFill>
              </w:rPr>
              <w:t>项目</w:t>
            </w:r>
            <w:r>
              <w:rPr>
                <w:rFonts w:hint="default" w:ascii="Times New Roman" w:hAnsi="Times New Roman" w:cs="Times New Roman"/>
                <w:color w:val="000000" w:themeColor="text1"/>
                <w:sz w:val="24"/>
                <w:highlight w:val="none"/>
                <w14:textFill>
                  <w14:solidFill>
                    <w14:schemeClr w14:val="tx1"/>
                  </w14:solidFill>
                </w14:textFill>
              </w:rPr>
              <w:t>符合《国务院安委会办公室生态环境部应急管理部关于进一步加强环保设备设施安全生产工作的通知》安委办明电〔2022〕17号文要求</w:t>
            </w:r>
            <w:r>
              <w:rPr>
                <w:rFonts w:hint="eastAsia"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17</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、与《山东省南水北调工程沿线区域水污染防治条例》符合性分析</w:t>
            </w:r>
          </w:p>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表1-</w:t>
            </w:r>
            <w:r>
              <w:rPr>
                <w:rFonts w:hint="eastAsia" w:cs="Times New Roman"/>
                <w:b/>
                <w:bCs/>
                <w:color w:val="000000" w:themeColor="text1"/>
                <w:sz w:val="24"/>
                <w:highlight w:val="none"/>
                <w:lang w:val="en-US" w:eastAsia="zh-CN"/>
                <w14:textFill>
                  <w14:solidFill>
                    <w14:schemeClr w14:val="tx1"/>
                  </w14:solidFill>
                </w14:textFill>
              </w:rPr>
              <w:t>14</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  与山东省南水北调工程沿线区域水污染防治条例符合性</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76"/>
              <w:gridCol w:w="2041"/>
              <w:gridCol w:w="1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文件要求</w:t>
                  </w:r>
                </w:p>
              </w:tc>
              <w:tc>
                <w:tcPr>
                  <w:tcW w:w="1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本项目情况</w:t>
                  </w:r>
                </w:p>
              </w:tc>
              <w:tc>
                <w:tcPr>
                  <w:tcW w:w="9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2"/>
                      <w:sz w:val="21"/>
                      <w:szCs w:val="21"/>
                      <w:highlight w:val="none"/>
                      <w14:textFill>
                        <w14:solidFill>
                          <w14:schemeClr w14:val="tx1"/>
                        </w14:solidFill>
                      </w14:textFill>
                    </w:rPr>
                    <w:t>第</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十四条实行沿线区域分级保护制度。</w:t>
                  </w:r>
                  <w:r>
                    <w:rPr>
                      <w:rFonts w:hint="default" w:ascii="Times New Roman" w:hAnsi="Times New Roman" w:eastAsia="宋体" w:cs="Times New Roman"/>
                      <w:color w:val="000000" w:themeColor="text1"/>
                      <w:spacing w:val="16"/>
                      <w:sz w:val="21"/>
                      <w:szCs w:val="21"/>
                      <w:highlight w:val="none"/>
                      <w14:textFill>
                        <w14:solidFill>
                          <w14:schemeClr w14:val="tx1"/>
                        </w14:solidFill>
                      </w14:textFill>
                    </w:rPr>
                    <w:t>根</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据南水北调工程调水水质的要求，将</w:t>
                  </w:r>
                  <w:r>
                    <w:rPr>
                      <w:rFonts w:hint="default" w:ascii="Times New Roman" w:hAnsi="Times New Roman" w:eastAsia="宋体" w:cs="Times New Roman"/>
                      <w:color w:val="000000" w:themeColor="text1"/>
                      <w:spacing w:val="16"/>
                      <w:sz w:val="21"/>
                      <w:szCs w:val="21"/>
                      <w:highlight w:val="none"/>
                      <w14:textFill>
                        <w14:solidFill>
                          <w14:schemeClr w14:val="tx1"/>
                        </w14:solidFill>
                      </w14:textFill>
                    </w:rPr>
                    <w:t>沿</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线区域划分为三级保护区：核心保护</w:t>
                  </w:r>
                  <w:r>
                    <w:rPr>
                      <w:rFonts w:hint="default" w:ascii="Times New Roman" w:hAnsi="Times New Roman" w:eastAsia="宋体" w:cs="Times New Roman"/>
                      <w:color w:val="000000" w:themeColor="text1"/>
                      <w:spacing w:val="16"/>
                      <w:sz w:val="21"/>
                      <w:szCs w:val="21"/>
                      <w:highlight w:val="none"/>
                      <w14:textFill>
                        <w14:solidFill>
                          <w14:schemeClr w14:val="tx1"/>
                        </w14:solidFill>
                      </w14:textFill>
                    </w:rPr>
                    <w:t>区</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、重点保护区和一般保护区。</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核心保护区是指输水</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干线大堤或者设计洪</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水位淹没线以内的区域</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5"/>
                      <w:sz w:val="21"/>
                      <w:szCs w:val="21"/>
                      <w:highlight w:val="none"/>
                      <w14:textFill>
                        <w14:solidFill>
                          <w14:schemeClr w14:val="tx1"/>
                        </w14:solidFill>
                      </w14:textFill>
                    </w:rPr>
                    <w:t>重</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点保护区是指核心保护区向外延伸十</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五</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公里的汇水区域。</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3"/>
                      <w:sz w:val="21"/>
                      <w:szCs w:val="21"/>
                      <w:highlight w:val="none"/>
                      <w14:textFill>
                        <w14:solidFill>
                          <w14:schemeClr w14:val="tx1"/>
                        </w14:solidFill>
                      </w14:textFill>
                    </w:rPr>
                    <w:t>一</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般保护区是指除核心保护区和重点保</w:t>
                  </w: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护</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区以外的其他汇水区域。</w:t>
                  </w:r>
                </w:p>
              </w:tc>
              <w:tc>
                <w:tcPr>
                  <w:tcW w:w="1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本</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项目距离南水北</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调工程</w:t>
                  </w: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京杭运河</w:t>
                  </w:r>
                  <w:r>
                    <w:rPr>
                      <w:rFonts w:hint="eastAsia" w:cs="Times New Roman"/>
                      <w:color w:val="000000" w:themeColor="text1"/>
                      <w:spacing w:val="-1"/>
                      <w:position w:val="2"/>
                      <w:sz w:val="21"/>
                      <w:szCs w:val="21"/>
                      <w:highlight w:val="none"/>
                      <w:lang w:val="en-US" w:eastAsia="zh-CN"/>
                      <w14:textFill>
                        <w14:solidFill>
                          <w14:schemeClr w14:val="tx1"/>
                        </w14:solidFill>
                      </w14:textFill>
                    </w:rPr>
                    <w:t>21.4</w:t>
                  </w:r>
                  <w:r>
                    <w:rPr>
                      <w:rFonts w:hint="default" w:ascii="Times New Roman" w:hAnsi="Times New Roman" w:eastAsia="Times New Roman" w:cs="Times New Roman"/>
                      <w:color w:val="000000" w:themeColor="text1"/>
                      <w:position w:val="2"/>
                      <w:sz w:val="21"/>
                      <w:szCs w:val="21"/>
                      <w:highlight w:val="none"/>
                      <w14:textFill>
                        <w14:solidFill>
                          <w14:schemeClr w14:val="tx1"/>
                        </w14:solidFill>
                      </w14:textFill>
                    </w:rPr>
                    <w:t>km</w:t>
                  </w:r>
                  <w:r>
                    <w:rPr>
                      <w:rFonts w:hint="eastAsia" w:eastAsia="宋体" w:cs="Times New Roman"/>
                      <w:color w:val="000000" w:themeColor="text1"/>
                      <w:position w:val="2"/>
                      <w:sz w:val="21"/>
                      <w:szCs w:val="21"/>
                      <w:highlight w:val="none"/>
                      <w:lang w:eastAsia="zh-CN"/>
                      <w14:textFill>
                        <w14:solidFill>
                          <w14:schemeClr w14:val="tx1"/>
                        </w14:solidFill>
                      </w14:textFill>
                    </w:rPr>
                    <w:t>（</w:t>
                  </w:r>
                  <w:r>
                    <w:rPr>
                      <w:rFonts w:hint="eastAsia" w:eastAsia="宋体" w:cs="Times New Roman"/>
                      <w:color w:val="000000" w:themeColor="text1"/>
                      <w:position w:val="2"/>
                      <w:sz w:val="21"/>
                      <w:szCs w:val="21"/>
                      <w:highlight w:val="none"/>
                      <w:lang w:val="en-US" w:eastAsia="zh-CN"/>
                      <w14:textFill>
                        <w14:solidFill>
                          <w14:schemeClr w14:val="tx1"/>
                        </w14:solidFill>
                      </w14:textFill>
                    </w:rPr>
                    <w:t>见</w:t>
                  </w:r>
                  <w:r>
                    <w:rPr>
                      <w:rFonts w:hint="eastAsia" w:eastAsia="宋体" w:cs="Times New Roman"/>
                      <w:b/>
                      <w:bCs/>
                      <w:i/>
                      <w:iCs/>
                      <w:color w:val="000000" w:themeColor="text1"/>
                      <w:position w:val="2"/>
                      <w:sz w:val="21"/>
                      <w:szCs w:val="21"/>
                      <w:highlight w:val="none"/>
                      <w:lang w:val="en-US" w:eastAsia="zh-CN"/>
                      <w14:textFill>
                        <w14:solidFill>
                          <w14:schemeClr w14:val="tx1"/>
                        </w14:solidFill>
                      </w14:textFill>
                    </w:rPr>
                    <w:t>附图</w:t>
                  </w:r>
                  <w:r>
                    <w:rPr>
                      <w:rFonts w:hint="eastAsia" w:cs="Times New Roman"/>
                      <w:b/>
                      <w:bCs/>
                      <w:i/>
                      <w:iCs/>
                      <w:color w:val="000000" w:themeColor="text1"/>
                      <w:position w:val="2"/>
                      <w:sz w:val="21"/>
                      <w:szCs w:val="21"/>
                      <w:highlight w:val="none"/>
                      <w:lang w:val="en-US" w:eastAsia="zh-CN"/>
                      <w14:textFill>
                        <w14:solidFill>
                          <w14:schemeClr w14:val="tx1"/>
                        </w14:solidFill>
                      </w14:textFill>
                    </w:rPr>
                    <w:t>1-5</w:t>
                  </w:r>
                  <w:r>
                    <w:rPr>
                      <w:rFonts w:hint="eastAsia" w:eastAsia="宋体" w:cs="Times New Roman"/>
                      <w:color w:val="000000" w:themeColor="text1"/>
                      <w:positio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position w:val="2"/>
                      <w:sz w:val="21"/>
                      <w:szCs w:val="21"/>
                      <w:highlight w:val="none"/>
                      <w14:textFill>
                        <w14:solidFill>
                          <w14:schemeClr w14:val="tx1"/>
                        </w14:solidFill>
                      </w14:textFill>
                    </w:rPr>
                    <w:t>，属</w:t>
                  </w: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于</w:t>
                  </w:r>
                  <w:r>
                    <w:rPr>
                      <w:rFonts w:hint="default" w:ascii="Times New Roman" w:hAnsi="Times New Roman" w:eastAsia="宋体" w:cs="Times New Roman"/>
                      <w:color w:val="000000" w:themeColor="text1"/>
                      <w:position w:val="2"/>
                      <w:sz w:val="21"/>
                      <w:szCs w:val="21"/>
                      <w:highlight w:val="none"/>
                      <w:lang w:val="en-US" w:eastAsia="zh-CN"/>
                      <w14:textFill>
                        <w14:solidFill>
                          <w14:schemeClr w14:val="tx1"/>
                        </w14:solidFill>
                      </w14:textFill>
                    </w:rPr>
                    <w:t>重点</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保护区</w:t>
                  </w:r>
                  <w:r>
                    <w:rPr>
                      <w:rFonts w:hint="eastAsia" w:ascii="Times New Roman" w:hAnsi="Times New Roman" w:eastAsia="宋体" w:cs="Times New Roman"/>
                      <w:color w:val="000000" w:themeColor="text1"/>
                      <w:spacing w:val="7"/>
                      <w:sz w:val="21"/>
                      <w:szCs w:val="21"/>
                      <w:highlight w:val="none"/>
                      <w:lang w:eastAsia="zh-CN"/>
                      <w14:textFill>
                        <w14:solidFill>
                          <w14:schemeClr w14:val="tx1"/>
                        </w14:solidFill>
                      </w14:textFill>
                    </w:rPr>
                    <w:t>。</w:t>
                  </w:r>
                </w:p>
              </w:tc>
              <w:tc>
                <w:tcPr>
                  <w:tcW w:w="9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第</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十五条实行水污染物排放总量控制</w:t>
                  </w:r>
                  <w:r>
                    <w:rPr>
                      <w:rFonts w:hint="default" w:ascii="Times New Roman" w:hAnsi="Times New Roman" w:eastAsia="宋体" w:cs="Times New Roman"/>
                      <w:color w:val="000000" w:themeColor="text1"/>
                      <w:spacing w:val="16"/>
                      <w:sz w:val="21"/>
                      <w:szCs w:val="21"/>
                      <w:highlight w:val="none"/>
                      <w14:textFill>
                        <w14:solidFill>
                          <w14:schemeClr w14:val="tx1"/>
                        </w14:solidFill>
                      </w14:textFill>
                    </w:rPr>
                    <w:t>制</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度。沿线区域内主要水污染物的排放</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总量、需要削减的排污量以及削减时限</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6"/>
                      <w:sz w:val="21"/>
                      <w:szCs w:val="21"/>
                      <w:highlight w:val="none"/>
                      <w14:textFill>
                        <w14:solidFill>
                          <w14:schemeClr w14:val="tx1"/>
                        </w14:solidFill>
                      </w14:textFill>
                    </w:rPr>
                    <w:t>应</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当</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符合水污染防治规划的要求。</w:t>
                  </w:r>
                </w:p>
              </w:tc>
              <w:tc>
                <w:tcPr>
                  <w:tcW w:w="1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本</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项目申请水污</w:t>
                  </w: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染</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物排放总量</w:t>
                  </w:r>
                  <w:r>
                    <w:rPr>
                      <w:rFonts w:hint="default"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管理指标</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w:t>
                  </w:r>
                </w:p>
              </w:tc>
              <w:tc>
                <w:tcPr>
                  <w:tcW w:w="9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第</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二十条城镇污水管网覆盖范围内产</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生的污水，应当全部排入城镇污水</w:t>
                  </w:r>
                  <w:r>
                    <w:rPr>
                      <w:rFonts w:hint="default" w:ascii="Times New Roman" w:hAnsi="Times New Roman" w:eastAsia="宋体" w:cs="Times New Roman"/>
                      <w:color w:val="000000" w:themeColor="text1"/>
                      <w:sz w:val="21"/>
                      <w:szCs w:val="21"/>
                      <w:highlight w:val="none"/>
                      <w14:textFill>
                        <w14:solidFill>
                          <w14:schemeClr w14:val="tx1"/>
                        </w14:solidFill>
                      </w14:textFill>
                    </w:rPr>
                    <w:t>管网；</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排</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污单位应当对产生的污水进行预处</w:t>
                  </w:r>
                  <w:r>
                    <w:rPr>
                      <w:rFonts w:hint="default" w:ascii="Times New Roman" w:hAnsi="Times New Roman" w:eastAsia="宋体" w:cs="Times New Roman"/>
                      <w:color w:val="000000" w:themeColor="text1"/>
                      <w:spacing w:val="16"/>
                      <w:sz w:val="21"/>
                      <w:szCs w:val="21"/>
                      <w:highlight w:val="none"/>
                      <w14:textFill>
                        <w14:solidFill>
                          <w14:schemeClr w14:val="tx1"/>
                        </w14:solidFill>
                      </w14:textFill>
                    </w:rPr>
                    <w:t>理</w:t>
                  </w:r>
                  <w:r>
                    <w:rPr>
                      <w:rFonts w:hint="default" w:ascii="Times New Roman" w:hAnsi="Times New Roman" w:eastAsia="宋体" w:cs="Times New Roman"/>
                      <w:color w:val="000000" w:themeColor="text1"/>
                      <w:spacing w:val="12"/>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达标后方可排入城镇污水管网。</w:t>
                  </w:r>
                </w:p>
              </w:tc>
              <w:tc>
                <w:tcPr>
                  <w:tcW w:w="1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产生的生活污水及生产废水</w:t>
                  </w:r>
                  <w:r>
                    <w:rPr>
                      <w:rFonts w:hint="default" w:ascii="Times New Roman" w:hAnsi="Times New Roman" w:cs="Times New Roman"/>
                      <w:bCs/>
                      <w:color w:val="000000" w:themeColor="text1"/>
                      <w:sz w:val="21"/>
                      <w:szCs w:val="21"/>
                      <w:highlight w:val="none"/>
                      <w14:textFill>
                        <w14:solidFill>
                          <w14:schemeClr w14:val="tx1"/>
                        </w14:solidFill>
                      </w14:textFill>
                    </w:rPr>
                    <w:t>经厂区污水</w:t>
                  </w:r>
                  <w:r>
                    <w:rPr>
                      <w:rFonts w:hint="eastAsia" w:cs="Times New Roman"/>
                      <w:bCs/>
                      <w:color w:val="000000" w:themeColor="text1"/>
                      <w:sz w:val="21"/>
                      <w:szCs w:val="21"/>
                      <w:highlight w:val="none"/>
                      <w:lang w:val="en-US" w:eastAsia="zh-CN"/>
                      <w14:textFill>
                        <w14:solidFill>
                          <w14:schemeClr w14:val="tx1"/>
                        </w14:solidFill>
                      </w14:textFill>
                    </w:rPr>
                    <w:t>处理站处理后进入园区污水处理厂进一步处理</w:t>
                  </w:r>
                </w:p>
              </w:tc>
              <w:tc>
                <w:tcPr>
                  <w:tcW w:w="9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6"/>
                      <w:sz w:val="21"/>
                      <w:szCs w:val="21"/>
                      <w:highlight w:val="none"/>
                      <w14:textFill>
                        <w14:solidFill>
                          <w14:schemeClr w14:val="tx1"/>
                        </w14:solidFill>
                      </w14:textFill>
                    </w:rPr>
                    <w:t>第</w:t>
                  </w:r>
                  <w:r>
                    <w:rPr>
                      <w:rFonts w:hint="default" w:ascii="Times New Roman" w:hAnsi="Times New Roman" w:eastAsia="宋体" w:cs="Times New Roman"/>
                      <w:color w:val="000000" w:themeColor="text1"/>
                      <w:spacing w:val="19"/>
                      <w:sz w:val="21"/>
                      <w:szCs w:val="21"/>
                      <w:highlight w:val="none"/>
                      <w14:textFill>
                        <w14:solidFill>
                          <w14:schemeClr w14:val="tx1"/>
                        </w14:solidFill>
                      </w14:textFill>
                    </w:rPr>
                    <w:t>二十七条重点保护区内不能做到稳</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定</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达标排放的污染严重的企业或者生产</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线</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，应当依法予以关闭、搬迁或者停止</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运行。</w:t>
                  </w:r>
                </w:p>
              </w:tc>
              <w:tc>
                <w:tcPr>
                  <w:tcW w:w="1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本</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项目污染物经处理后均可达标</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稳定排放</w:t>
                  </w:r>
                  <w:r>
                    <w:rPr>
                      <w:rFonts w:hint="eastAsia" w:ascii="Times New Roman" w:hAnsi="Times New Roman" w:eastAsia="宋体" w:cs="Times New Roman"/>
                      <w:color w:val="000000" w:themeColor="text1"/>
                      <w:spacing w:val="7"/>
                      <w:sz w:val="21"/>
                      <w:szCs w:val="21"/>
                      <w:highlight w:val="none"/>
                      <w:lang w:eastAsia="zh-CN"/>
                      <w14:textFill>
                        <w14:solidFill>
                          <w14:schemeClr w14:val="tx1"/>
                        </w14:solidFill>
                      </w14:textFill>
                    </w:rPr>
                    <w:t>，不属于污染严重的企业或者生产线。</w:t>
                  </w:r>
                </w:p>
              </w:tc>
              <w:tc>
                <w:tcPr>
                  <w:tcW w:w="9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bl>
          <w:p>
            <w:pPr>
              <w:pStyle w:val="7"/>
              <w:snapToGrid w:val="0"/>
              <w:spacing w:line="360" w:lineRule="auto"/>
              <w:ind w:firstLine="482"/>
              <w:rPr>
                <w:rFonts w:hint="default" w:ascii="Times New Roman" w:hAnsi="Times New Roman" w:eastAsia="宋体" w:cs="Times New Roman"/>
                <w:color w:val="000000" w:themeColor="text1"/>
                <w:spacing w:val="9"/>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6"/>
                <w:sz w:val="24"/>
                <w:szCs w:val="24"/>
                <w:highlight w:val="none"/>
                <w14:textFill>
                  <w14:solidFill>
                    <w14:schemeClr w14:val="tx1"/>
                  </w14:solidFill>
                </w14:textFill>
              </w:rPr>
              <w:t>由</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上</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表可知，本项目的建设总体符合《山东省南水北调工</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程沿线区域水污染防治条例》的各项要求。</w:t>
            </w:r>
          </w:p>
          <w:p>
            <w:pPr>
              <w:pStyle w:val="7"/>
              <w:numPr>
                <w:ilvl w:val="0"/>
                <w:numId w:val="0"/>
              </w:numPr>
              <w:snapToGrid w:val="0"/>
              <w:spacing w:line="360" w:lineRule="auto"/>
              <w:ind w:firstLine="518" w:firstLineChars="200"/>
              <w:rPr>
                <w:rFonts w:hint="eastAsia" w:ascii="Times New Roman" w:hAnsi="Times New Roman" w:cs="Times New Roman"/>
                <w:b/>
                <w:bCs/>
                <w:color w:val="000000" w:themeColor="text1"/>
                <w:spacing w:val="9"/>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9"/>
                <w:sz w:val="24"/>
                <w:szCs w:val="24"/>
                <w:highlight w:val="none"/>
                <w:lang w:val="en-US" w:eastAsia="zh-CN"/>
                <w14:textFill>
                  <w14:solidFill>
                    <w14:schemeClr w14:val="tx1"/>
                  </w14:solidFill>
                </w14:textFill>
              </w:rPr>
              <w:t>17、项目水源保护区的关系</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baseline"/>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水源地基本情况</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baseline"/>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嘉祥县境内共有7处水源地，共41眼井。</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baseline"/>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①满硐镇阿城水源地4眼井，供水规模365万m³/年；②纸坊镇青山水源地2眼井，供水规模140万m³/年；③万张街道东诚水源地2眼井，供水规模140万m³/年；④大张楼镇矿柱林水源地9眼井，供水规模365万m³/年；⑤大张楼镇曙光水源地12眼井，供水规模460万m³/年；⑥梁宝寺镇向阳村水源地3眼井，供水规模210万m³/年；⑦梁宝寺镇坑塘水源地9眼井，供水规模547.5万m³/年。</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baseline"/>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(2)水源地保护范围</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baseline"/>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单个饮用水源地保护范围为：以各水井为圆心，半径35米的圆形区域为一级保护区，不划定二级保护区。</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baseline"/>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本项目位于嘉祥化工产业园</w:t>
            </w:r>
            <w:r>
              <w:rPr>
                <w:rFonts w:hint="eastAsia"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内，明德路西侧，发展路北侧，山东祺添新材料有限公司二期厂区内，</w:t>
            </w:r>
            <w:r>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距离最近的嘉祥县纸坊镇青山水源地约3.</w:t>
            </w:r>
            <w:r>
              <w:rPr>
                <w:rFonts w:hint="eastAsia"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km(见</w:t>
            </w:r>
            <w:r>
              <w:rPr>
                <w:rFonts w:hint="default" w:ascii="Times New Roman" w:hAnsi="Times New Roman" w:eastAsia="宋体" w:cs="Times New Roman"/>
                <w:b/>
                <w:bCs/>
                <w:i/>
                <w:iCs/>
                <w:snapToGrid w:val="0"/>
                <w:color w:val="000000" w:themeColor="text1"/>
                <w:spacing w:val="0"/>
                <w:sz w:val="24"/>
                <w:szCs w:val="24"/>
                <w:highlight w:val="none"/>
                <w:lang w:val="en-US" w:eastAsia="zh-CN"/>
                <w14:textFill>
                  <w14:solidFill>
                    <w14:schemeClr w14:val="tx1"/>
                  </w14:solidFill>
                </w14:textFill>
              </w:rPr>
              <w:t>附图</w:t>
            </w:r>
            <w:r>
              <w:rPr>
                <w:rFonts w:hint="eastAsia" w:ascii="Times New Roman" w:hAnsi="Times New Roman" w:cs="Times New Roman"/>
                <w:b/>
                <w:bCs/>
                <w:i/>
                <w:iCs/>
                <w:snapToGrid w:val="0"/>
                <w:color w:val="000000" w:themeColor="text1"/>
                <w:spacing w:val="0"/>
                <w:sz w:val="24"/>
                <w:szCs w:val="24"/>
                <w:highlight w:val="none"/>
                <w:lang w:val="en-US" w:eastAsia="zh-CN"/>
                <w14:textFill>
                  <w14:solidFill>
                    <w14:schemeClr w14:val="tx1"/>
                  </w14:solidFill>
                </w14:textFill>
              </w:rPr>
              <w:t>1-6</w:t>
            </w:r>
            <w:r>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snapToGrid w:val="0"/>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pacing w:val="0"/>
                <w:sz w:val="24"/>
                <w:szCs w:val="24"/>
                <w:highlight w:val="none"/>
                <w:lang w:val="en-US" w:eastAsia="zh-CN"/>
                <w14:textFill>
                  <w14:solidFill>
                    <w14:schemeClr w14:val="tx1"/>
                  </w14:solidFill>
                </w14:textFill>
              </w:rPr>
              <w:t>项目生产区、仓库、危废库等采取严格的防渗措施后，基本不会对其产生影响。</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b/>
                <w:bCs/>
                <w:color w:val="000000" w:themeColor="text1"/>
                <w:kern w:val="0"/>
                <w:sz w:val="24"/>
                <w:szCs w:val="24"/>
                <w:highlight w:val="none"/>
                <w:lang w:val="en-US" w:eastAsia="zh-CN" w:bidi="ar"/>
                <w14:textFill>
                  <w14:solidFill>
                    <w14:schemeClr w14:val="tx1"/>
                  </w14:solidFill>
                </w14:textFill>
              </w:rPr>
              <w:t>18</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、与环发[2012]77号文符合性</w:t>
            </w:r>
          </w:p>
          <w:p>
            <w:pPr>
              <w:pStyle w:val="7"/>
              <w:snapToGrid w:val="0"/>
              <w:spacing w:line="360" w:lineRule="auto"/>
              <w:ind w:firstLine="482"/>
              <w:rPr>
                <w:rFonts w:hint="default" w:ascii="Times New Roman" w:hAnsi="Times New Roman" w:eastAsia="宋体" w:cs="Times New Roman"/>
                <w:color w:val="000000" w:themeColor="text1"/>
                <w:spacing w:val="9"/>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按照《建设项目环境风险评价技术导则》（HJ169-2018）和《</w:t>
            </w:r>
            <w:bookmarkStart w:id="10" w:name="OLE_LINK8"/>
            <w:r>
              <w:rPr>
                <w:rFonts w:hint="default" w:ascii="Times New Roman" w:hAnsi="Times New Roman" w:eastAsia="宋体" w:cs="Times New Roman"/>
                <w:color w:val="000000" w:themeColor="text1"/>
                <w:sz w:val="24"/>
                <w:szCs w:val="24"/>
                <w:highlight w:val="none"/>
                <w14:textFill>
                  <w14:solidFill>
                    <w14:schemeClr w14:val="tx1"/>
                  </w14:solidFill>
                </w14:textFill>
              </w:rPr>
              <w:t>关于进一步加强环境影响评价管理防范环境风险的通知</w:t>
            </w:r>
            <w:bookmarkEnd w:id="10"/>
            <w:r>
              <w:rPr>
                <w:rFonts w:hint="default" w:ascii="Times New Roman" w:hAnsi="Times New Roman" w:eastAsia="宋体" w:cs="Times New Roman"/>
                <w:color w:val="000000" w:themeColor="text1"/>
                <w:sz w:val="24"/>
                <w:szCs w:val="24"/>
                <w:highlight w:val="none"/>
                <w14:textFill>
                  <w14:solidFill>
                    <w14:schemeClr w14:val="tx1"/>
                  </w14:solidFill>
                </w14:textFill>
              </w:rPr>
              <w:t>》（环发[2012]77号）的规定，对本项目的环境风险源识别、环境风险预测、选址及敏感目标、防范措施等做出评价。本建设项目在运营过程中，不存在重大的环境风险。其建设满足《关于进一步加强环境影响评价管理防范环境风险的通知》（环发[2012]77号）关于环境风险评价的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textAlignment w:val="auto"/>
              <w:rPr>
                <w:b/>
                <w:color w:val="000000" w:themeColor="text1"/>
                <w:sz w:val="24"/>
                <w:szCs w:val="21"/>
                <w:highlight w:val="none"/>
                <w14:textFill>
                  <w14:solidFill>
                    <w14:schemeClr w14:val="tx1"/>
                  </w14:solidFill>
                </w14:textFill>
              </w:rPr>
            </w:pPr>
            <w:r>
              <w:rPr>
                <w:rFonts w:hint="eastAsia"/>
                <w:b/>
                <w:color w:val="000000" w:themeColor="text1"/>
                <w:sz w:val="24"/>
                <w:szCs w:val="21"/>
                <w:highlight w:val="none"/>
                <w:lang w:val="en-US" w:eastAsia="zh-CN"/>
                <w14:textFill>
                  <w14:solidFill>
                    <w14:schemeClr w14:val="tx1"/>
                  </w14:solidFill>
                </w14:textFill>
              </w:rPr>
              <w:t>19、</w:t>
            </w:r>
            <w:r>
              <w:rPr>
                <w:b/>
                <w:color w:val="000000" w:themeColor="text1"/>
                <w:sz w:val="24"/>
                <w:szCs w:val="21"/>
                <w:highlight w:val="none"/>
                <w14:textFill>
                  <w14:solidFill>
                    <w14:schemeClr w14:val="tx1"/>
                  </w14:solidFill>
                </w14:textFill>
              </w:rPr>
              <w:t>与《检验检测实验室设计与建设技术要求》（GB T32146-2015）符合性分析</w:t>
            </w:r>
          </w:p>
          <w:p>
            <w:pPr>
              <w:spacing w:line="360" w:lineRule="auto"/>
              <w:ind w:firstLine="482" w:firstLineChars="200"/>
              <w:contextualSpacing/>
              <w:jc w:val="center"/>
              <w:rPr>
                <w:b/>
                <w:color w:val="000000" w:themeColor="text1"/>
                <w:sz w:val="24"/>
                <w:szCs w:val="21"/>
                <w:highlight w:val="none"/>
                <w14:textFill>
                  <w14:solidFill>
                    <w14:schemeClr w14:val="tx1"/>
                  </w14:solidFill>
                </w14:textFill>
              </w:rPr>
            </w:pPr>
            <w:r>
              <w:rPr>
                <w:b/>
                <w:color w:val="000000" w:themeColor="text1"/>
                <w:kern w:val="0"/>
                <w:sz w:val="24"/>
                <w:highlight w:val="none"/>
                <w14:textFill>
                  <w14:solidFill>
                    <w14:schemeClr w14:val="tx1"/>
                  </w14:solidFill>
                </w14:textFill>
              </w:rPr>
              <w:t>表1-</w:t>
            </w:r>
            <w:r>
              <w:rPr>
                <w:rFonts w:hint="eastAsia"/>
                <w:b/>
                <w:color w:val="000000" w:themeColor="text1"/>
                <w:kern w:val="0"/>
                <w:sz w:val="24"/>
                <w:highlight w:val="none"/>
                <w:lang w:val="en-US" w:eastAsia="zh-CN"/>
                <w14:textFill>
                  <w14:solidFill>
                    <w14:schemeClr w14:val="tx1"/>
                  </w14:solidFill>
                </w14:textFill>
              </w:rPr>
              <w:t>15</w:t>
            </w:r>
            <w:r>
              <w:rPr>
                <w:b/>
                <w:color w:val="000000" w:themeColor="text1"/>
                <w:kern w:val="0"/>
                <w:sz w:val="24"/>
                <w:highlight w:val="none"/>
                <w14:textFill>
                  <w14:solidFill>
                    <w14:schemeClr w14:val="tx1"/>
                  </w14:solidFill>
                </w14:textFill>
              </w:rPr>
              <w:t xml:space="preserve">  </w:t>
            </w:r>
            <w:r>
              <w:rPr>
                <w:b/>
                <w:color w:val="000000" w:themeColor="text1"/>
                <w:sz w:val="24"/>
                <w:szCs w:val="21"/>
                <w:highlight w:val="none"/>
                <w14:textFill>
                  <w14:solidFill>
                    <w14:schemeClr w14:val="tx1"/>
                  </w14:solidFill>
                </w14:textFill>
              </w:rPr>
              <w:t>与《检验检测实验室设计与建设技术要求 第一部分：通用要求》符合性分析</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474"/>
              <w:gridCol w:w="2109"/>
              <w:gridCol w:w="910"/>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文件要求</w:t>
                  </w:r>
                </w:p>
              </w:tc>
              <w:tc>
                <w:tcPr>
                  <w:tcW w:w="1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本项目情况</w:t>
                  </w:r>
                </w:p>
              </w:tc>
              <w:tc>
                <w:tcPr>
                  <w:tcW w:w="6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2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在符合国家法律法规的前提下，实验室选址宜优先考虑基础设施完善、交通便利、通讯良好的地区，并满足发展用地的需求。同时根据实验室的功能，避开化学、生物、噪声、振动、强电磁场等易对检测结果造成影响的污染源及易燃易爆场所。对于在检验检测过程中，易对外界环境造成影响的实验室，在选址时考虑减少公害，如布置在下风方向及下游地段，并采取绿化隔离、远离人群等措施。</w:t>
                  </w:r>
                </w:p>
              </w:tc>
              <w:tc>
                <w:tcPr>
                  <w:tcW w:w="1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本项目位于</w:t>
                  </w:r>
                  <w:r>
                    <w:rPr>
                      <w:rFonts w:hint="eastAsia"/>
                      <w:color w:val="000000" w:themeColor="text1"/>
                      <w:szCs w:val="21"/>
                      <w:highlight w:val="none"/>
                      <w14:textFill>
                        <w14:solidFill>
                          <w14:schemeClr w14:val="tx1"/>
                        </w14:solidFill>
                      </w14:textFill>
                    </w:rPr>
                    <w:t>山东省济宁市嘉祥化工产业园内，明德路西侧，发展路北侧，山东祺添新材料有限公司二期厂区内</w:t>
                  </w:r>
                  <w:r>
                    <w:rPr>
                      <w:color w:val="000000" w:themeColor="text1"/>
                      <w:szCs w:val="21"/>
                      <w:highlight w:val="none"/>
                      <w14:textFill>
                        <w14:solidFill>
                          <w14:schemeClr w14:val="tx1"/>
                        </w14:solidFill>
                      </w14:textFill>
                    </w:rPr>
                    <w:t>，周边基础设施完善、交通便利、通讯良好，本项目对外界造成的影响较小。</w:t>
                  </w:r>
                </w:p>
              </w:tc>
              <w:tc>
                <w:tcPr>
                  <w:tcW w:w="6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当不设置空气调节时，常规实验室的室内净高不宜低于2.8m；设置空气调节时，不宜低于2.4m。</w:t>
                  </w:r>
                </w:p>
              </w:tc>
              <w:tc>
                <w:tcPr>
                  <w:tcW w:w="1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本项目实验室设置空调调节，净高3</w:t>
                  </w:r>
                  <w:r>
                    <w:rPr>
                      <w:rFonts w:hint="eastAsia"/>
                      <w:color w:val="000000" w:themeColor="text1"/>
                      <w:szCs w:val="21"/>
                      <w:highlight w:val="none"/>
                      <w:lang w:val="en-US" w:eastAsia="zh-CN"/>
                      <w14:textFill>
                        <w14:solidFill>
                          <w14:schemeClr w14:val="tx1"/>
                        </w14:solidFill>
                      </w14:textFill>
                    </w:rPr>
                    <w:t>.6</w:t>
                  </w:r>
                  <w:r>
                    <w:rPr>
                      <w:color w:val="000000" w:themeColor="text1"/>
                      <w:szCs w:val="21"/>
                      <w:highlight w:val="none"/>
                      <w14:textFill>
                        <w14:solidFill>
                          <w14:schemeClr w14:val="tx1"/>
                        </w14:solidFill>
                      </w14:textFill>
                    </w:rPr>
                    <w:t>m。</w:t>
                  </w:r>
                </w:p>
              </w:tc>
              <w:tc>
                <w:tcPr>
                  <w:tcW w:w="6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实验室废气主要为两大类，酸雾和有机气体。产生两类污染的操作宜在不同的通风柜中进行</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处理后的实验室废气应符合GB16297、GB14554等国家相关的规定。</w:t>
                  </w:r>
                </w:p>
              </w:tc>
              <w:tc>
                <w:tcPr>
                  <w:tcW w:w="1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主要操作过程在通风橱内进行，</w:t>
                  </w:r>
                  <w:r>
                    <w:rPr>
                      <w:color w:val="000000" w:themeColor="text1"/>
                      <w:szCs w:val="21"/>
                      <w:highlight w:val="none"/>
                      <w14:textFill>
                        <w14:solidFill>
                          <w14:schemeClr w14:val="tx1"/>
                        </w14:solidFill>
                      </w14:textFill>
                    </w:rPr>
                    <w:t>产生的废气主要是</w:t>
                  </w:r>
                  <w:r>
                    <w:rPr>
                      <w:rFonts w:hint="eastAsia"/>
                      <w:color w:val="000000" w:themeColor="text1"/>
                      <w:szCs w:val="21"/>
                      <w:highlight w:val="none"/>
                      <w:lang w:val="en-US" w:eastAsia="zh-CN"/>
                      <w14:textFill>
                        <w14:solidFill>
                          <w14:schemeClr w14:val="tx1"/>
                        </w14:solidFill>
                      </w14:textFill>
                    </w:rPr>
                    <w:t>有机废气</w:t>
                  </w:r>
                  <w:r>
                    <w:rPr>
                      <w:color w:val="000000" w:themeColor="text1"/>
                      <w:szCs w:val="21"/>
                      <w:highlight w:val="none"/>
                      <w14:textFill>
                        <w14:solidFill>
                          <w14:schemeClr w14:val="tx1"/>
                        </w14:solidFill>
                      </w14:textFill>
                    </w:rPr>
                    <w:t>，收集后采用</w:t>
                  </w:r>
                  <w:r>
                    <w:rPr>
                      <w:rFonts w:hint="eastAsia"/>
                      <w:color w:val="000000" w:themeColor="text1"/>
                      <w:szCs w:val="21"/>
                      <w:highlight w:val="none"/>
                      <w:lang w:val="en-US" w:eastAsia="zh-CN"/>
                      <w14:textFill>
                        <w14:solidFill>
                          <w14:schemeClr w14:val="tx1"/>
                        </w14:solidFill>
                      </w14:textFill>
                    </w:rPr>
                    <w:t>活性炭吸附装置</w:t>
                  </w:r>
                  <w:r>
                    <w:rPr>
                      <w:color w:val="000000" w:themeColor="text1"/>
                      <w:szCs w:val="21"/>
                      <w:highlight w:val="none"/>
                      <w14:textFill>
                        <w14:solidFill>
                          <w14:schemeClr w14:val="tx1"/>
                        </w14:solidFill>
                      </w14:textFill>
                    </w:rPr>
                    <w:t>处理</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通过排气筒排放。</w:t>
                  </w:r>
                </w:p>
              </w:tc>
              <w:tc>
                <w:tcPr>
                  <w:tcW w:w="6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对于高毒性的可溶性固废，实验室应设专门容器分别加以收集,严禁埋入地下，污染地面水体。其他固废可按照国家相关法律法规进行处理。具体应符合GB18599等国家相关的规定。</w:t>
                  </w:r>
                </w:p>
              </w:tc>
              <w:tc>
                <w:tcPr>
                  <w:tcW w:w="1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本项目不产生高毒性的可溶性固废，其他固废可按照国家相关法律法规进行处理。</w:t>
                  </w:r>
                </w:p>
              </w:tc>
              <w:tc>
                <w:tcPr>
                  <w:tcW w:w="6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实验室废液的处理按其性质、成分等采取不同的方式。如回收利用、直接排放、处理后排放等。实验室废液按废液性质、成分及污染的程度应进行不同的处理，污水排</w:t>
                  </w:r>
                  <w:r>
                    <w:rPr>
                      <w:rFonts w:hint="eastAsia"/>
                      <w:color w:val="000000" w:themeColor="text1"/>
                      <w:szCs w:val="21"/>
                      <w:highlight w:val="none"/>
                      <w:lang w:val="en-US" w:eastAsia="zh-CN"/>
                      <w14:textFill>
                        <w14:solidFill>
                          <w14:schemeClr w14:val="tx1"/>
                        </w14:solidFill>
                      </w14:textFill>
                    </w:rPr>
                    <w:t>入</w:t>
                  </w:r>
                  <w:r>
                    <w:rPr>
                      <w:color w:val="000000" w:themeColor="text1"/>
                      <w:szCs w:val="21"/>
                      <w:highlight w:val="none"/>
                      <w14:textFill>
                        <w14:solidFill>
                          <w14:schemeClr w14:val="tx1"/>
                        </w14:solidFill>
                      </w14:textFill>
                    </w:rPr>
                    <w:t>地面水体或城市排水系统时,应符合GB50015-2003第4章、GB8978、GB 20425中的规定。生物安全实验室废液还应符合 GB 50346和GB19489中的规定。含有放射性核素的废液处理，还应符合GB18871的有关规定。对地表有腐蚀性影响的废液防渗处理应执行国家相关规范。</w:t>
                  </w:r>
                </w:p>
              </w:tc>
              <w:tc>
                <w:tcPr>
                  <w:tcW w:w="1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本项目产生的</w:t>
                  </w:r>
                  <w:r>
                    <w:rPr>
                      <w:rFonts w:hint="eastAsia"/>
                      <w:color w:val="000000" w:themeColor="text1"/>
                      <w:szCs w:val="21"/>
                      <w:highlight w:val="none"/>
                      <w:lang w:val="en-US" w:eastAsia="zh-CN"/>
                      <w14:textFill>
                        <w14:solidFill>
                          <w14:schemeClr w14:val="tx1"/>
                        </w14:solidFill>
                      </w14:textFill>
                    </w:rPr>
                    <w:t>废液收集后焚烧处置，项目产生的废水经厂区污水处理站处理后进入园区污水处理厂进一步处理</w:t>
                  </w:r>
                </w:p>
              </w:tc>
              <w:tc>
                <w:tcPr>
                  <w:tcW w:w="6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bl>
          <w:p>
            <w:pPr>
              <w:pStyle w:val="7"/>
              <w:numPr>
                <w:ilvl w:val="0"/>
                <w:numId w:val="0"/>
              </w:numPr>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w:t>
            </w:r>
            <w:r>
              <w:rPr>
                <w:rFonts w:hint="eastAsia" w:ascii="Times New Roman" w:hAnsi="Times New Roman" w:cs="Times New Roman"/>
                <w:color w:val="000000" w:themeColor="text1"/>
                <w:sz w:val="24"/>
                <w:szCs w:val="24"/>
                <w:highlight w:val="none"/>
                <w:lang w:eastAsia="zh-CN"/>
                <w14:textFill>
                  <w14:solidFill>
                    <w14:schemeClr w14:val="tx1"/>
                  </w14:solidFill>
                </w14:textFill>
              </w:rPr>
              <w:t>利用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二期厂区</w:t>
            </w:r>
            <w:r>
              <w:rPr>
                <w:rFonts w:hint="eastAsia" w:ascii="Times New Roman" w:hAnsi="Times New Roman" w:cs="Times New Roman"/>
                <w:color w:val="000000" w:themeColor="text1"/>
                <w:sz w:val="24"/>
                <w:szCs w:val="24"/>
                <w:highlight w:val="none"/>
                <w:lang w:eastAsia="zh-CN"/>
                <w14:textFill>
                  <w14:solidFill>
                    <w14:schemeClr w14:val="tx1"/>
                  </w14:solidFill>
                </w14:textFill>
              </w:rPr>
              <w:t>办公楼五楼和六楼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建设</w:t>
            </w:r>
            <w:r>
              <w:rPr>
                <w:rFonts w:hint="default" w:ascii="Times New Roman" w:hAnsi="Times New Roman" w:cs="Times New Roman"/>
                <w:color w:val="000000" w:themeColor="text1"/>
                <w:sz w:val="24"/>
                <w:szCs w:val="24"/>
                <w:highlight w:val="none"/>
                <w14:textFill>
                  <w14:solidFill>
                    <w14:schemeClr w14:val="tx1"/>
                  </w14:solidFill>
                </w14:textFill>
              </w:rPr>
              <w:t>山东祺添新材料有限公司二期厂区实验室建设项目</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本项目实验室主要</w:t>
            </w:r>
            <w:r>
              <w:rPr>
                <w:rFonts w:hint="eastAsia" w:ascii="Times New Roman" w:hAnsi="Times New Roman" w:cs="Times New Roman"/>
                <w:color w:val="000000" w:themeColor="text1"/>
                <w:sz w:val="24"/>
                <w:szCs w:val="24"/>
                <w:highlight w:val="none"/>
                <w:lang w:eastAsia="zh-CN"/>
                <w14:textFill>
                  <w14:solidFill>
                    <w14:schemeClr w14:val="tx1"/>
                  </w14:solidFill>
                </w14:textFill>
              </w:rPr>
              <w:t>用于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企业原料、产品的</w:t>
            </w:r>
            <w:r>
              <w:rPr>
                <w:rFonts w:hint="eastAsia" w:ascii="Times New Roman" w:hAnsi="Times New Roman" w:cs="Times New Roman"/>
                <w:color w:val="000000" w:themeColor="text1"/>
                <w:sz w:val="24"/>
                <w:szCs w:val="24"/>
                <w:highlight w:val="none"/>
                <w:lang w:eastAsia="zh-CN"/>
                <w14:textFill>
                  <w14:solidFill>
                    <w14:schemeClr w14:val="tx1"/>
                  </w14:solidFill>
                </w14:textFill>
              </w:rPr>
              <w:t>测试分析</w:t>
            </w:r>
            <w:r>
              <w:rPr>
                <w:rFonts w:hint="eastAsia"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产品</w:t>
            </w:r>
            <w:r>
              <w:rPr>
                <w:rFonts w:hint="eastAsia" w:ascii="Times New Roman" w:hAnsi="Times New Roman" w:cs="Times New Roman"/>
                <w:color w:val="000000" w:themeColor="text1"/>
                <w:sz w:val="24"/>
                <w:szCs w:val="24"/>
                <w:highlight w:val="none"/>
                <w:lang w:eastAsia="zh-CN"/>
                <w14:textFill>
                  <w14:solidFill>
                    <w14:schemeClr w14:val="tx1"/>
                  </w14:solidFill>
                </w14:textFill>
              </w:rPr>
              <w:t>研发</w:t>
            </w:r>
            <w:r>
              <w:rPr>
                <w:rFonts w:hint="eastAsia" w:cs="Times New Roman"/>
                <w:color w:val="000000" w:themeColor="text1"/>
                <w:sz w:val="24"/>
                <w:szCs w:val="24"/>
                <w:highlight w:val="none"/>
                <w:lang w:val="en-US" w:eastAsia="zh-CN"/>
                <w14:textFill>
                  <w14:solidFill>
                    <w14:schemeClr w14:val="tx1"/>
                  </w14:solidFill>
                </w14:textFill>
              </w:rPr>
              <w:t>小试及工艺优化小试</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实验</w:t>
            </w:r>
            <w:r>
              <w:rPr>
                <w:rFonts w:hint="eastAsia" w:ascii="Times New Roman" w:hAnsi="Times New Roman" w:cs="Times New Roman"/>
                <w:color w:val="000000" w:themeColor="text1"/>
                <w:sz w:val="24"/>
                <w:highlight w:val="none"/>
                <w:lang w:val="en-US" w:eastAsia="zh-CN"/>
                <w14:textFill>
                  <w14:solidFill>
                    <w14:schemeClr w14:val="tx1"/>
                  </w14:solidFill>
                </w14:textFill>
              </w:rPr>
              <w:t>室</w:t>
            </w:r>
            <w:r>
              <w:rPr>
                <w:rFonts w:hint="default" w:ascii="Times New Roman" w:hAnsi="Times New Roman" w:cs="Times New Roman"/>
                <w:color w:val="000000" w:themeColor="text1"/>
                <w:sz w:val="24"/>
                <w:highlight w:val="none"/>
                <w14:textFill>
                  <w14:solidFill>
                    <w14:schemeClr w14:val="tx1"/>
                  </w14:solidFill>
                </w14:textFill>
              </w:rPr>
              <w:t>的建设符合《检验检测实验室设计与建设技术要求 第1部分：通用要求》（GBT32146-2015）。</w:t>
            </w:r>
          </w:p>
          <w:p>
            <w:pPr>
              <w:spacing w:line="360" w:lineRule="auto"/>
              <w:rPr>
                <w:rFonts w:hint="eastAsia" w:eastAsia="宋体"/>
                <w:color w:val="000000" w:themeColor="text1"/>
                <w:sz w:val="24"/>
                <w:highlight w:val="none"/>
                <w:lang w:val="en-US" w:eastAsia="zh-CN"/>
                <w14:textFill>
                  <w14:solidFill>
                    <w14:schemeClr w14:val="tx1"/>
                  </w14:solidFill>
                </w14:textFill>
              </w:rPr>
            </w:pPr>
          </w:p>
        </w:tc>
      </w:tr>
    </w:tbl>
    <w:p>
      <w:pPr>
        <w:spacing w:line="360" w:lineRule="auto"/>
        <w:outlineLvl w:val="0"/>
        <w:rPr>
          <w:color w:val="000000" w:themeColor="text1"/>
          <w:sz w:val="30"/>
          <w:highlight w:val="none"/>
          <w14:textFill>
            <w14:solidFill>
              <w14:schemeClr w14:val="tx1"/>
            </w14:solidFill>
          </w14:textFill>
        </w:rPr>
        <w:sectPr>
          <w:footerReference r:id="rId7" w:type="first"/>
          <w:footerReference r:id="rId6" w:type="default"/>
          <w:pgSz w:w="11906" w:h="16838"/>
          <w:pgMar w:top="1701" w:right="1531" w:bottom="1417" w:left="1531" w:header="851" w:footer="1077" w:gutter="0"/>
          <w:pgBorders>
            <w:top w:val="none" w:sz="0" w:space="0"/>
            <w:left w:val="none" w:sz="0" w:space="0"/>
            <w:bottom w:val="none" w:sz="0" w:space="0"/>
            <w:right w:val="none" w:sz="0" w:space="0"/>
          </w:pgBorders>
          <w:pgNumType w:start="1"/>
          <w:cols w:space="720" w:num="1"/>
          <w:titlePg/>
          <w:docGrid w:linePitch="312" w:charSpace="0"/>
        </w:sectPr>
      </w:pPr>
    </w:p>
    <w:p>
      <w:pPr>
        <w:pStyle w:val="32"/>
        <w:jc w:val="center"/>
        <w:outlineLvl w:val="0"/>
        <w:rPr>
          <w:rFonts w:hint="eastAsia" w:ascii="Times New Roman" w:hAnsi="Times New Roman" w:eastAsia="黑体"/>
          <w:snapToGrid w:val="0"/>
          <w:color w:val="000000" w:themeColor="text1"/>
          <w:sz w:val="30"/>
          <w:szCs w:val="30"/>
          <w:highlight w:val="none"/>
          <w:lang w:val="en-US" w:eastAsia="zh-CN"/>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二、建设项目工程分析</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6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8" w:hRule="atLeast"/>
          <w:jc w:val="center"/>
        </w:trPr>
        <w:tc>
          <w:tcPr>
            <w:tcW w:w="449" w:type="dxa"/>
            <w:vAlign w:val="center"/>
          </w:tcPr>
          <w:p>
            <w:pPr>
              <w:pStyle w:val="32"/>
              <w:adjustRightInd w:val="0"/>
              <w:snapToGrid w:val="0"/>
              <w:spacing w:before="0" w:beforeAutospacing="0" w:after="0" w:afterAutospacing="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建设内容</w:t>
            </w:r>
          </w:p>
        </w:tc>
        <w:tc>
          <w:tcPr>
            <w:tcW w:w="8611" w:type="dxa"/>
            <w:vAlign w:val="top"/>
          </w:tcPr>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建设项目基本情况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jc w:val="both"/>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山东祺添新材料有限公司成立于2017年，其前身为山东灏镒新材料有限公司，企业位于嘉祥化工产业园，现有新民路1号厂区及二期厂区（明德路西侧，发展路北侧）</w:t>
            </w:r>
            <w:r>
              <w:rPr>
                <w:rFonts w:hint="eastAsia" w:cs="Times New Roman"/>
                <w:b w:val="0"/>
                <w:bCs w:val="0"/>
                <w:color w:val="000000" w:themeColor="text1"/>
                <w:sz w:val="24"/>
                <w:highlight w:val="none"/>
                <w:lang w:val="en-US" w:eastAsia="zh-CN"/>
                <w14:textFill>
                  <w14:solidFill>
                    <w14:schemeClr w14:val="tx1"/>
                  </w14:solidFill>
                </w14:textFill>
              </w:rPr>
              <w:t>两处厂区</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。本次企业拟利用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二期厂区</w:t>
            </w:r>
            <w:r>
              <w:rPr>
                <w:rFonts w:hint="eastAsia" w:ascii="Times New Roman" w:hAnsi="Times New Roman" w:cs="Times New Roman"/>
                <w:color w:val="000000" w:themeColor="text1"/>
                <w:sz w:val="24"/>
                <w:szCs w:val="24"/>
                <w:highlight w:val="none"/>
                <w:lang w:eastAsia="zh-CN"/>
                <w14:textFill>
                  <w14:solidFill>
                    <w14:schemeClr w14:val="tx1"/>
                  </w14:solidFill>
                </w14:textFill>
              </w:rPr>
              <w:t>办公楼五楼和六楼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建设</w:t>
            </w:r>
            <w:r>
              <w:rPr>
                <w:rFonts w:hint="default" w:ascii="Times New Roman" w:hAnsi="Times New Roman" w:cs="Times New Roman"/>
                <w:color w:val="000000" w:themeColor="text1"/>
                <w:sz w:val="24"/>
                <w:szCs w:val="24"/>
                <w:highlight w:val="none"/>
                <w14:textFill>
                  <w14:solidFill>
                    <w14:schemeClr w14:val="tx1"/>
                  </w14:solidFill>
                </w14:textFill>
              </w:rPr>
              <w:t>山东祺添新材料有限公司二期厂区实验室建设项目</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本项目实验室主要</w:t>
            </w:r>
            <w:r>
              <w:rPr>
                <w:rFonts w:hint="eastAsia" w:ascii="Times New Roman" w:hAnsi="Times New Roman" w:cs="Times New Roman"/>
                <w:color w:val="000000" w:themeColor="text1"/>
                <w:sz w:val="24"/>
                <w:szCs w:val="24"/>
                <w:highlight w:val="none"/>
                <w:lang w:eastAsia="zh-CN"/>
                <w14:textFill>
                  <w14:solidFill>
                    <w14:schemeClr w14:val="tx1"/>
                  </w14:solidFill>
                </w14:textFill>
              </w:rPr>
              <w:t>用于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企业原料、产品的</w:t>
            </w:r>
            <w:r>
              <w:rPr>
                <w:rFonts w:hint="eastAsia" w:ascii="Times New Roman" w:hAnsi="Times New Roman" w:cs="Times New Roman"/>
                <w:color w:val="000000" w:themeColor="text1"/>
                <w:sz w:val="24"/>
                <w:szCs w:val="24"/>
                <w:highlight w:val="none"/>
                <w:lang w:eastAsia="zh-CN"/>
                <w14:textFill>
                  <w14:solidFill>
                    <w14:schemeClr w14:val="tx1"/>
                  </w14:solidFill>
                </w14:textFill>
              </w:rPr>
              <w:t>测试分析</w:t>
            </w:r>
            <w:r>
              <w:rPr>
                <w:rFonts w:hint="eastAsia"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产品</w:t>
            </w:r>
            <w:r>
              <w:rPr>
                <w:rFonts w:hint="eastAsia" w:ascii="Times New Roman" w:hAnsi="Times New Roman" w:cs="Times New Roman"/>
                <w:color w:val="000000" w:themeColor="text1"/>
                <w:sz w:val="24"/>
                <w:szCs w:val="24"/>
                <w:highlight w:val="none"/>
                <w:lang w:eastAsia="zh-CN"/>
                <w14:textFill>
                  <w14:solidFill>
                    <w14:schemeClr w14:val="tx1"/>
                  </w14:solidFill>
                </w14:textFill>
              </w:rPr>
              <w:t>研发</w:t>
            </w:r>
            <w:r>
              <w:rPr>
                <w:rFonts w:hint="eastAsia" w:cs="Times New Roman"/>
                <w:color w:val="000000" w:themeColor="text1"/>
                <w:sz w:val="24"/>
                <w:szCs w:val="24"/>
                <w:highlight w:val="none"/>
                <w:lang w:val="en-US" w:eastAsia="zh-CN"/>
                <w14:textFill>
                  <w14:solidFill>
                    <w14:schemeClr w14:val="tx1"/>
                  </w14:solidFill>
                </w14:textFill>
              </w:rPr>
              <w:t>小试及工艺优化</w:t>
            </w:r>
            <w:r>
              <w:rPr>
                <w:rFonts w:hint="eastAsia" w:cs="Times New Roman"/>
                <w:b w:val="0"/>
                <w:bCs w:val="0"/>
                <w:color w:val="000000" w:themeColor="text1"/>
                <w:sz w:val="24"/>
                <w:highlight w:val="none"/>
                <w:lang w:val="en-US" w:eastAsia="zh-CN"/>
                <w14:textFill>
                  <w14:solidFill>
                    <w14:schemeClr w14:val="tx1"/>
                  </w14:solidFill>
                </w14:textFill>
              </w:rPr>
              <w:t>，项目地理位置图见</w:t>
            </w:r>
            <w:r>
              <w:rPr>
                <w:rFonts w:hint="eastAsia" w:cs="Times New Roman"/>
                <w:b/>
                <w:bCs/>
                <w:i/>
                <w:iCs/>
                <w:color w:val="000000" w:themeColor="text1"/>
                <w:sz w:val="24"/>
                <w:highlight w:val="none"/>
                <w:lang w:val="en-US" w:eastAsia="zh-CN"/>
                <w14:textFill>
                  <w14:solidFill>
                    <w14:schemeClr w14:val="tx1"/>
                  </w14:solidFill>
                </w14:textFill>
              </w:rPr>
              <w:t>图2-1</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default" w:ascii="Times New Roman" w:hAnsi="Times New Roman" w:cs="Times New Roman"/>
                <w:color w:val="000000" w:themeColor="text1"/>
                <w:sz w:val="24"/>
                <w:highlight w:val="none"/>
                <w:lang w:val="en-US"/>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2、项目组成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本项目利用二期厂区内办公楼五楼和六楼进行建设，具体项目组成见下表</w:t>
            </w:r>
            <w:r>
              <w:rPr>
                <w:rFonts w:hint="eastAsia" w:cs="Times New Roman"/>
                <w:b w:val="0"/>
                <w:bCs w:val="0"/>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2-1</w:t>
            </w:r>
            <w:r>
              <w:rPr>
                <w:rFonts w:hint="default" w:ascii="Times New Roman" w:hAnsi="Times New Roman" w:cs="Times New Roman"/>
                <w:b/>
                <w:bCs/>
                <w:color w:val="000000" w:themeColor="text1"/>
                <w:sz w:val="24"/>
                <w:highlight w:val="none"/>
                <w14:textFill>
                  <w14:solidFill>
                    <w14:schemeClr w14:val="tx1"/>
                  </w14:solidFill>
                </w14:textFill>
              </w:rPr>
              <w:t xml:space="preserve">  </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项目组成</w:t>
            </w:r>
            <w:r>
              <w:rPr>
                <w:rFonts w:hint="default" w:ascii="Times New Roman" w:hAnsi="Times New Roman" w:cs="Times New Roman"/>
                <w:b/>
                <w:bCs/>
                <w:color w:val="000000" w:themeColor="text1"/>
                <w:sz w:val="24"/>
                <w:highlight w:val="none"/>
                <w14:textFill>
                  <w14:solidFill>
                    <w14:schemeClr w14:val="tx1"/>
                  </w14:solidFill>
                </w14:textFill>
              </w:rPr>
              <w:t>一览表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11"/>
              <w:gridCol w:w="916"/>
              <w:gridCol w:w="997"/>
              <w:gridCol w:w="4715"/>
              <w:gridCol w:w="9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61"/>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工程组成</w:t>
                  </w: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61"/>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名称</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61"/>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建设内容</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61"/>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主体工程</w:t>
                  </w:r>
                </w:p>
              </w:tc>
              <w:tc>
                <w:tcPr>
                  <w:tcW w:w="91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办公楼五楼化验室</w:t>
                  </w: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位于五楼，</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88.44m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，设置气相</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色谱仪、液相系统</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等设备，主要进行纯度等指标检测。</w:t>
                  </w:r>
                </w:p>
              </w:tc>
              <w:tc>
                <w:tcPr>
                  <w:tcW w:w="92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利用现有办公楼五楼、六楼，新增设备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ICP</w:t>
                  </w:r>
                  <w:r>
                    <w:rPr>
                      <w:rStyle w:val="162"/>
                      <w:rFonts w:hint="eastAsia" w:cs="Times New Roman"/>
                      <w:color w:val="000000" w:themeColor="text1"/>
                      <w:sz w:val="21"/>
                      <w:szCs w:val="21"/>
                      <w:highlight w:val="none"/>
                      <w:lang w:val="en-US" w:eastAsia="zh-CN" w:bidi="ar"/>
                      <w14:textFill>
                        <w14:solidFill>
                          <w14:schemeClr w14:val="tx1"/>
                        </w14:solidFill>
                      </w14:textFill>
                    </w:rPr>
                    <w:t>光谱</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位于五楼，</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25.08m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，设置电感耦合等离子体发射光谱设备，主要进行金属离子指标检测。</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化学分析室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位于五楼，</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间，建筑面积</w:t>
                  </w:r>
                  <w:r>
                    <w:rPr>
                      <w:rStyle w:val="162"/>
                      <w:rFonts w:hint="eastAsia" w:cs="Times New Roman"/>
                      <w:color w:val="000000" w:themeColor="text1"/>
                      <w:sz w:val="21"/>
                      <w:szCs w:val="21"/>
                      <w:highlight w:val="none"/>
                      <w:lang w:val="en-US" w:eastAsia="zh-CN" w:bidi="ar"/>
                      <w14:textFill>
                        <w14:solidFill>
                          <w14:schemeClr w14:val="tx1"/>
                        </w14:solidFill>
                      </w14:textFill>
                    </w:rPr>
                    <w:t>88.44</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，设置电位滴定分析仪、连华多参数水质仪、电导率仪等设备，主要进行游离氯、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COD</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、氨氮、电导率等指标检测。</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手套箱室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位于五楼，1间，建筑面积</w:t>
                  </w:r>
                  <w:r>
                    <w:rPr>
                      <w:rFonts w:hint="eastAsia" w:cs="Times New Roman"/>
                      <w:i w:val="0"/>
                      <w:iCs w:val="0"/>
                      <w:color w:val="000000" w:themeColor="text1"/>
                      <w:sz w:val="21"/>
                      <w:szCs w:val="21"/>
                      <w:highlight w:val="none"/>
                      <w:u w:val="none"/>
                      <w:lang w:val="en-US" w:eastAsia="zh-CN"/>
                      <w14:textFill>
                        <w14:solidFill>
                          <w14:schemeClr w14:val="tx1"/>
                        </w14:solidFill>
                      </w14:textFill>
                    </w:rPr>
                    <w:t>46.20</w:t>
                  </w: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m</w:t>
                  </w:r>
                  <w:r>
                    <w:rPr>
                      <w:rFonts w:hint="eastAsia" w:cs="Times New Roman"/>
                      <w:i w:val="0"/>
                      <w:iCs w:val="0"/>
                      <w:color w:val="000000" w:themeColor="text1"/>
                      <w:sz w:val="21"/>
                      <w:szCs w:val="21"/>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，高3.6m，</w:t>
                  </w:r>
                  <w:r>
                    <w:rPr>
                      <w:rFonts w:hint="eastAsia" w:cs="Times New Roman"/>
                      <w:i w:val="0"/>
                      <w:iCs w:val="0"/>
                      <w:color w:val="000000" w:themeColor="text1"/>
                      <w:sz w:val="21"/>
                      <w:szCs w:val="21"/>
                      <w:highlight w:val="none"/>
                      <w:u w:val="none"/>
                      <w:lang w:eastAsia="zh-CN"/>
                      <w14:textFill>
                        <w14:solidFill>
                          <w14:schemeClr w14:val="tx1"/>
                        </w14:solidFill>
                      </w14:textFill>
                    </w:rPr>
                    <w:t>混凝土结构</w:t>
                  </w: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，设置手套箱、烘箱等，主要进行水</w:t>
                  </w:r>
                  <w:r>
                    <w:rPr>
                      <w:rFonts w:hint="eastAsia" w:cs="Times New Roman"/>
                      <w:i w:val="0"/>
                      <w:iCs w:val="0"/>
                      <w:color w:val="000000" w:themeColor="text1"/>
                      <w:sz w:val="21"/>
                      <w:szCs w:val="21"/>
                      <w:highlight w:val="none"/>
                      <w:u w:val="none"/>
                      <w:lang w:val="en-US" w:eastAsia="zh-CN"/>
                      <w14:textFill>
                        <w14:solidFill>
                          <w14:schemeClr w14:val="tx1"/>
                        </w14:solidFill>
                      </w14:textFill>
                    </w:rPr>
                    <w:t>份</w:t>
                  </w: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指标检测。</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办公楼六楼研发室</w:t>
                  </w: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位于六楼，共</w:t>
                  </w:r>
                  <w:r>
                    <w:rPr>
                      <w:rStyle w:val="162"/>
                      <w:rFonts w:hint="eastAsia" w:cs="Times New Roman"/>
                      <w:color w:val="000000" w:themeColor="text1"/>
                      <w:sz w:val="21"/>
                      <w:szCs w:val="21"/>
                      <w:highlight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间，建筑面积合计</w:t>
                  </w:r>
                  <w:r>
                    <w:rPr>
                      <w:rStyle w:val="162"/>
                      <w:rFonts w:hint="eastAsia" w:cs="Times New Roman"/>
                      <w:color w:val="000000" w:themeColor="text1"/>
                      <w:sz w:val="21"/>
                      <w:szCs w:val="21"/>
                      <w:highlight w:val="none"/>
                      <w:lang w:val="en-US" w:eastAsia="zh-CN" w:bidi="ar"/>
                      <w14:textFill>
                        <w14:solidFill>
                          <w14:schemeClr w14:val="tx1"/>
                        </w14:solidFill>
                      </w14:textFill>
                    </w:rPr>
                    <w:t>225.72</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，设置旋转蒸发器</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循环水式多用真空泵</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水浴锅等设备，主要进行产品创新研发小试及工艺优化</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小试</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力学实验室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位于六楼，建筑面积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68.64m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，设置万能拉力机等，主要进行力学实验</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储运工程</w:t>
                  </w:r>
                </w:p>
              </w:tc>
              <w:tc>
                <w:tcPr>
                  <w:tcW w:w="91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64"/>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五楼化验室</w:t>
                  </w: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原料留样间</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位于五楼，建筑面积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23.12m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，设置原料存放柜，用于储存留样原料。</w:t>
                  </w:r>
                </w:p>
              </w:tc>
              <w:tc>
                <w:tcPr>
                  <w:tcW w:w="92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利用现有办公楼五楼、六楼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成品留样间</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位于五楼，建筑面积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23.12m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，设置成品样存放柜，用于储存留样成品。</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化学药品间</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位于五楼，建筑面积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23.12m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，设置药品存放柜，用于储存化学药品。</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化学药品间</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位于五楼，建筑面积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23.12m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，设置药品存放柜，用于储存化学药品。</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备件库</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位于五楼，建筑面积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23.12m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，设置药品存放柜，用于储存化学药品。</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六楼研发室</w:t>
                  </w: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试剂间</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位于六楼，建筑面积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23.4m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混凝土结构</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，用于试剂样品的储存</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备件室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位于六楼，</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建筑面积</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均为</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62"/>
                      <w:rFonts w:hint="eastAsia" w:cs="Times New Roman"/>
                      <w:color w:val="000000" w:themeColor="text1"/>
                      <w:sz w:val="21"/>
                      <w:szCs w:val="21"/>
                      <w:highlight w:val="none"/>
                      <w:lang w:val="en-US" w:eastAsia="zh-CN" w:bidi="ar"/>
                      <w14:textFill>
                        <w14:solidFill>
                          <w14:schemeClr w14:val="tx1"/>
                        </w14:solidFill>
                      </w14:textFill>
                    </w:rPr>
                    <w:t>1</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.12m</w:t>
                  </w:r>
                  <w:r>
                    <w:rPr>
                      <w:rStyle w:val="165"/>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66"/>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，高</w:t>
                  </w:r>
                  <w:r>
                    <w:rPr>
                      <w:rStyle w:val="167"/>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Style w:val="166"/>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w:t>
                  </w:r>
                  <w:r>
                    <w:rPr>
                      <w:rStyle w:val="166"/>
                      <w:rFonts w:hint="eastAsia" w:cs="Times New Roman"/>
                      <w:color w:val="000000" w:themeColor="text1"/>
                      <w:sz w:val="21"/>
                      <w:szCs w:val="21"/>
                      <w:highlight w:val="none"/>
                      <w:lang w:val="en-US" w:eastAsia="zh-CN" w:bidi="ar"/>
                      <w14:textFill>
                        <w14:solidFill>
                          <w14:schemeClr w14:val="tx1"/>
                        </w14:solidFill>
                      </w14:textFill>
                    </w:rPr>
                    <w:t>混凝土结构</w:t>
                  </w:r>
                  <w:r>
                    <w:rPr>
                      <w:rStyle w:val="166"/>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，设置货架，用于储存耗材和设备。</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玻璃仪器室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位于六楼，建筑面积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62"/>
                      <w:rFonts w:hint="eastAsia" w:cs="Times New Roman"/>
                      <w:color w:val="000000" w:themeColor="text1"/>
                      <w:sz w:val="21"/>
                      <w:szCs w:val="21"/>
                      <w:highlight w:val="none"/>
                      <w:lang w:val="en-US" w:eastAsia="zh-CN" w:bidi="ar"/>
                      <w14:textFill>
                        <w14:solidFill>
                          <w14:schemeClr w14:val="tx1"/>
                        </w14:solidFill>
                      </w14:textFill>
                    </w:rPr>
                    <w:t>1</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.12m</w:t>
                  </w:r>
                  <w:r>
                    <w:rPr>
                      <w:rStyle w:val="165"/>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66"/>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，高</w:t>
                  </w:r>
                  <w:r>
                    <w:rPr>
                      <w:rStyle w:val="167"/>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3.6m</w:t>
                  </w:r>
                  <w:r>
                    <w:rPr>
                      <w:rStyle w:val="166"/>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w:t>
                  </w:r>
                  <w:r>
                    <w:rPr>
                      <w:rStyle w:val="166"/>
                      <w:rFonts w:hint="eastAsia" w:cs="Times New Roman"/>
                      <w:color w:val="000000" w:themeColor="text1"/>
                      <w:sz w:val="21"/>
                      <w:szCs w:val="21"/>
                      <w:highlight w:val="none"/>
                      <w:lang w:val="en-US" w:eastAsia="zh-CN" w:bidi="ar"/>
                      <w14:textFill>
                        <w14:solidFill>
                          <w14:schemeClr w14:val="tx1"/>
                        </w14:solidFill>
                      </w14:textFill>
                    </w:rPr>
                    <w:t>混凝土结构</w:t>
                  </w:r>
                  <w:r>
                    <w:rPr>
                      <w:rStyle w:val="166"/>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，设置玻璃仪器柜，用于储存玻璃仪器。</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辅助工程</w:t>
                  </w: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办公室</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更衣室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五楼</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间办公室</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（办公室1间、档案室1间、经理室1间）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合计</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85.8m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间更衣室</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21.12m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；六楼</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间办公室</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（办公室、经理室）</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合计</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87.12m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Style w:val="162"/>
                      <w:rFonts w:hint="eastAsia"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间更衣室合计</w:t>
                  </w:r>
                  <w:r>
                    <w:rPr>
                      <w:rStyle w:val="162"/>
                      <w:rFonts w:hint="eastAsia" w:cs="Times New Roman"/>
                      <w:color w:val="000000" w:themeColor="text1"/>
                      <w:sz w:val="21"/>
                      <w:szCs w:val="21"/>
                      <w:highlight w:val="none"/>
                      <w:lang w:val="en-US" w:eastAsia="zh-CN" w:bidi="ar"/>
                      <w14:textFill>
                        <w14:solidFill>
                          <w14:schemeClr w14:val="tx1"/>
                        </w14:solidFill>
                      </w14:textFill>
                    </w:rPr>
                    <w:t>25.08</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会议室</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六楼，</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间会议室，建筑面积</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21.12m</w:t>
                  </w:r>
                  <w:r>
                    <w:rPr>
                      <w:rStyle w:val="16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，用于办公会议</w:t>
                  </w:r>
                </w:p>
              </w:tc>
              <w:tc>
                <w:tcPr>
                  <w:tcW w:w="92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公用工程</w:t>
                  </w: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供水</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本项目所用水由厂区现有供水管网提供，</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纯水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依托厂区现有纯水制备系统</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能够满足项目用水需要</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排水</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厂区雨污分流，</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实验室</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废水、生活污水等排入厂区污水站处理后排入嘉祥阳光水务有限公司进一步处理</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供电</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项目用电由园区供电系统引入，厂区设置变配电室，能够满足生产、生活需要。</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供热</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实验用热采用电加热，办公室采用空调供热，不需要使用蒸汽。</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环保工程</w:t>
                  </w: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废气治理</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五楼化验室及六楼研发室涉及使用试剂工序全部在通风橱</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或集气罩</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内</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进</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行，通风橱</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、集气罩</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使用密闭管道与活性炭吸附装置连通，废气全部经活炭吸附装置处理后经排气筒有组织排放。</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五楼化验室（</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气相室</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ICP</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光谱室、化学分析室</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、手套箱室</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）废气经负压收集后进入活性炭吸附处理（风机风量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22000m³/h</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29.</w:t>
                  </w:r>
                  <w:r>
                    <w:rPr>
                      <w:rStyle w:val="162"/>
                      <w:rFonts w:hint="eastAsia" w:cs="Times New Roman"/>
                      <w:color w:val="000000" w:themeColor="text1"/>
                      <w:sz w:val="21"/>
                      <w:szCs w:val="21"/>
                      <w:highlight w:val="none"/>
                      <w:lang w:val="en-US" w:eastAsia="zh-CN" w:bidi="ar"/>
                      <w14:textFill>
                        <w14:solidFill>
                          <w14:schemeClr w14:val="tx1"/>
                        </w14:solidFill>
                      </w14:textFill>
                    </w:rPr>
                    <w:t>5</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、内径</w:t>
                  </w:r>
                  <w:r>
                    <w:rPr>
                      <w:rStyle w:val="162"/>
                      <w:rFonts w:hint="eastAsia" w:cs="Times New Roman"/>
                      <w:color w:val="000000" w:themeColor="text1"/>
                      <w:sz w:val="21"/>
                      <w:szCs w:val="21"/>
                      <w:highlight w:val="none"/>
                      <w:lang w:val="en-US" w:eastAsia="zh-CN" w:bidi="ar"/>
                      <w14:textFill>
                        <w14:solidFill>
                          <w14:schemeClr w14:val="tx1"/>
                        </w14:solidFill>
                      </w14:textFill>
                    </w:rPr>
                    <w:t>0.63</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的排气筒（</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P9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）排放。六楼研发室（实验室、力学实验室）废气经负压收集后进入活性炭吸附处理（风机风量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30000m³/h</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根高</w:t>
                  </w:r>
                  <w:r>
                    <w:rPr>
                      <w:rStyle w:val="162"/>
                      <w:rFonts w:hint="eastAsia" w:cs="Times New Roman"/>
                      <w:color w:val="000000" w:themeColor="text1"/>
                      <w:sz w:val="21"/>
                      <w:szCs w:val="21"/>
                      <w:highlight w:val="none"/>
                      <w:lang w:val="en-US" w:eastAsia="zh-CN" w:bidi="ar"/>
                      <w14:textFill>
                        <w14:solidFill>
                          <w14:schemeClr w14:val="tx1"/>
                        </w14:solidFill>
                      </w14:textFill>
                    </w:rPr>
                    <w:t>29.5</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、内径</w:t>
                  </w:r>
                  <w:r>
                    <w:rPr>
                      <w:rStyle w:val="162"/>
                      <w:rFonts w:hint="eastAsia" w:cs="Times New Roman"/>
                      <w:color w:val="000000" w:themeColor="text1"/>
                      <w:sz w:val="21"/>
                      <w:szCs w:val="21"/>
                      <w:highlight w:val="none"/>
                      <w:lang w:val="en-US" w:eastAsia="zh-CN" w:bidi="ar"/>
                      <w14:textFill>
                        <w14:solidFill>
                          <w14:schemeClr w14:val="tx1"/>
                        </w14:solidFill>
                      </w14:textFill>
                    </w:rPr>
                    <w:t>0.9</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的排气筒（</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P10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w:t>
                  </w:r>
                  <w:bookmarkStart w:id="11" w:name="OLE_LINK26"/>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五楼留样间、药品间废气</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及</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六楼研发室试剂间废气经负压收集后进入活性炭吸附处理（风机风量</w:t>
                  </w:r>
                  <w:r>
                    <w:rPr>
                      <w:rStyle w:val="162"/>
                      <w:rFonts w:hint="eastAsia" w:cs="Times New Roman"/>
                      <w:color w:val="000000" w:themeColor="text1"/>
                      <w:sz w:val="21"/>
                      <w:szCs w:val="21"/>
                      <w:highlight w:val="none"/>
                      <w:lang w:val="en-US" w:eastAsia="zh-CN" w:bidi="ar"/>
                      <w14:textFill>
                        <w14:solidFill>
                          <w14:schemeClr w14:val="tx1"/>
                        </w14:solidFill>
                      </w14:textFill>
                    </w:rPr>
                    <w:t>12000</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m³/h</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根高</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29.5</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、内径</w:t>
                  </w:r>
                  <w:r>
                    <w:rPr>
                      <w:rStyle w:val="162"/>
                      <w:rFonts w:hint="eastAsia" w:cs="Times New Roman"/>
                      <w:color w:val="000000" w:themeColor="text1"/>
                      <w:sz w:val="21"/>
                      <w:szCs w:val="21"/>
                      <w:highlight w:val="none"/>
                      <w:lang w:val="en-US" w:eastAsia="zh-CN" w:bidi="ar"/>
                      <w14:textFill>
                        <w14:solidFill>
                          <w14:schemeClr w14:val="tx1"/>
                        </w14:solidFill>
                      </w14:textFill>
                    </w:rPr>
                    <w:t>0.55</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的排气筒（</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P11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w:t>
                  </w:r>
                  <w:bookmarkEnd w:id="11"/>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废水治理</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生活污水、</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地面清洗废水、实验仪器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清洗废水</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、纯水制备废水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经厂区污水站处理后排入嘉祥阳光水务有限公司进一步处理</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依托厂区污水处理站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噪声治理</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采取隔声设施，设置隔声门窗等。</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13" w:type="dxa"/>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固废处置</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生活垃圾每日集中收集后交由环卫部门统一处理。</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13" w:type="dxa"/>
                  <w:gridSpan w:val="2"/>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废包装材料收集后外售物资回收部门。废试剂、实验废液、废渣、实验仪器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第一步清洗废液</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废气处理产生的废活性炭</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实验室废化学试剂容器、</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废耗材、</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沾染化学试剂的</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废</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劳保用品暂存危废库内，</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依托厂区危废焚烧炉焚烧</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处理。</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依托现有危废库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13"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环境风险</w:t>
                  </w:r>
                </w:p>
              </w:tc>
              <w:tc>
                <w:tcPr>
                  <w:tcW w:w="47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配备灭火器等消防器材及消防工具，配备专人保管，定期检查。制定严格的操作规程，相关操作人员进行必要的安全培训后方可上岗。</w:t>
                  </w:r>
                </w:p>
              </w:tc>
              <w:tc>
                <w:tcPr>
                  <w:tcW w:w="9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bl>
          <w:p>
            <w:pPr>
              <w:keepNext w:val="0"/>
              <w:keepLines w:val="0"/>
              <w:pageBreakBefore w:val="0"/>
              <w:widowControl/>
              <w:suppressLineNumbers w:val="0"/>
              <w:kinsoku/>
              <w:wordWrap/>
              <w:overflowPunct/>
              <w:topLinePunct w:val="0"/>
              <w:autoSpaceDE/>
              <w:autoSpaceDN/>
              <w:bidi w:val="0"/>
              <w:snapToGrid w:val="0"/>
              <w:spacing w:line="360" w:lineRule="auto"/>
              <w:ind w:firstLine="482"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3、主要实验分析及研发内容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jc w:val="both"/>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bookmarkStart w:id="12" w:name="OLE_LINK12"/>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w:t>
            </w:r>
            <w:r>
              <w:rPr>
                <w:rFonts w:hint="eastAsia" w:ascii="Times New Roman" w:hAnsi="Times New Roman" w:cs="Times New Roman"/>
                <w:color w:val="000000" w:themeColor="text1"/>
                <w:sz w:val="24"/>
                <w:szCs w:val="24"/>
                <w:highlight w:val="none"/>
                <w:lang w:eastAsia="zh-CN"/>
                <w14:textFill>
                  <w14:solidFill>
                    <w14:schemeClr w14:val="tx1"/>
                  </w14:solidFill>
                </w14:textFill>
              </w:rPr>
              <w:t>利用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二期厂区</w:t>
            </w:r>
            <w:r>
              <w:rPr>
                <w:rFonts w:hint="eastAsia" w:ascii="Times New Roman" w:hAnsi="Times New Roman" w:cs="Times New Roman"/>
                <w:color w:val="000000" w:themeColor="text1"/>
                <w:sz w:val="24"/>
                <w:szCs w:val="24"/>
                <w:highlight w:val="none"/>
                <w:lang w:eastAsia="zh-CN"/>
                <w14:textFill>
                  <w14:solidFill>
                    <w14:schemeClr w14:val="tx1"/>
                  </w14:solidFill>
                </w14:textFill>
              </w:rPr>
              <w:t>办公楼五楼和六楼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建设</w:t>
            </w:r>
            <w:r>
              <w:rPr>
                <w:rFonts w:hint="eastAsia" w:cs="Times New Roman"/>
                <w:color w:val="000000" w:themeColor="text1"/>
                <w:sz w:val="24"/>
                <w:szCs w:val="24"/>
                <w:highlight w:val="none"/>
                <w:lang w:val="en-US" w:eastAsia="zh-CN"/>
                <w14:textFill>
                  <w14:solidFill>
                    <w14:schemeClr w14:val="tx1"/>
                  </w14:solidFill>
                </w14:textFill>
              </w:rPr>
              <w:t>实验室。</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办公楼的五楼为化验室，</w:t>
            </w:r>
            <w:r>
              <w:rPr>
                <w:rFonts w:hint="eastAsia" w:ascii="Times New Roman" w:hAnsi="Times New Roman" w:cs="Times New Roman"/>
                <w:color w:val="000000" w:themeColor="text1"/>
                <w:sz w:val="24"/>
                <w:szCs w:val="24"/>
                <w:highlight w:val="none"/>
                <w:lang w:eastAsia="zh-CN"/>
                <w14:textFill>
                  <w14:solidFill>
                    <w14:schemeClr w14:val="tx1"/>
                  </w14:solidFill>
                </w14:textFill>
              </w:rPr>
              <w:t>主要用于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企业原料、产品的</w:t>
            </w:r>
            <w:r>
              <w:rPr>
                <w:rFonts w:hint="eastAsia" w:ascii="Times New Roman" w:hAnsi="Times New Roman" w:cs="Times New Roman"/>
                <w:color w:val="000000" w:themeColor="text1"/>
                <w:sz w:val="24"/>
                <w:szCs w:val="24"/>
                <w:highlight w:val="none"/>
                <w:lang w:eastAsia="zh-CN"/>
                <w14:textFill>
                  <w14:solidFill>
                    <w14:schemeClr w14:val="tx1"/>
                  </w14:solidFill>
                </w14:textFill>
              </w:rPr>
              <w:t>测试分析，</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仅服务企业内部</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；办公楼的六楼为研发室，主要进行锂电池电解液添加剂和功能有机硅材料产品创新研发</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小试</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及工艺优化</w:t>
            </w:r>
            <w:r>
              <w:rPr>
                <w:rFonts w:hint="eastAsia" w:cs="Times New Roman"/>
                <w:b w:val="0"/>
                <w:bCs w:val="0"/>
                <w:color w:val="000000" w:themeColor="text1"/>
                <w:sz w:val="24"/>
                <w:highlight w:val="none"/>
                <w:lang w:val="en-US" w:eastAsia="zh-CN"/>
                <w14:textFill>
                  <w14:solidFill>
                    <w14:schemeClr w14:val="tx1"/>
                  </w14:solidFill>
                </w14:textFill>
              </w:rPr>
              <w:t>小试（优化物料配比、温度等）</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bookmarkEnd w:id="12"/>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jc w:val="both"/>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本项目为非生产性建设项目，不属于研发中试项目；项目不涉及实质性产品生产，无最终商业产品对外销售。</w:t>
            </w:r>
          </w:p>
          <w:p>
            <w:pPr>
              <w:spacing w:line="360" w:lineRule="auto"/>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表2-</w:t>
            </w:r>
            <w:r>
              <w:rPr>
                <w:rFonts w:hint="eastAsia"/>
                <w:b/>
                <w:bCs/>
                <w:color w:val="000000" w:themeColor="text1"/>
                <w:sz w:val="24"/>
                <w:highlight w:val="none"/>
                <w:lang w:val="en-US" w:eastAsia="zh-CN"/>
                <w14:textFill>
                  <w14:solidFill>
                    <w14:schemeClr w14:val="tx1"/>
                  </w14:solidFill>
                </w14:textFill>
              </w:rPr>
              <w:t>2</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1</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 xml:space="preserve">  本项目检测内容一览表</w:t>
            </w: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554"/>
              <w:gridCol w:w="1701"/>
              <w:gridCol w:w="40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8" w:type="dxa"/>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序号</w:t>
                  </w:r>
                </w:p>
              </w:tc>
              <w:tc>
                <w:tcPr>
                  <w:tcW w:w="1554" w:type="dxa"/>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主要样品名称</w:t>
                  </w:r>
                </w:p>
              </w:tc>
              <w:tc>
                <w:tcPr>
                  <w:tcW w:w="1701" w:type="dxa"/>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年样品量（次）</w:t>
                  </w:r>
                </w:p>
              </w:tc>
              <w:tc>
                <w:tcPr>
                  <w:tcW w:w="4047" w:type="dxa"/>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监测项目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8" w:type="dxa"/>
                  <w:vAlign w:val="center"/>
                </w:tcPr>
                <w:p>
                  <w:pPr>
                    <w:jc w:val="center"/>
                    <w:rPr>
                      <w:color w:val="000000" w:themeColor="text1"/>
                      <w:szCs w:val="21"/>
                      <w:highlight w:val="none"/>
                      <w14:textFill>
                        <w14:solidFill>
                          <w14:schemeClr w14:val="tx1"/>
                        </w14:solidFill>
                      </w14:textFill>
                    </w:rPr>
                  </w:pPr>
                  <w:bookmarkStart w:id="13" w:name="OLE_LINK2" w:colFirst="1" w:colLast="2"/>
                  <w:r>
                    <w:rPr>
                      <w:color w:val="000000" w:themeColor="text1"/>
                      <w:szCs w:val="21"/>
                      <w:highlight w:val="none"/>
                      <w14:textFill>
                        <w14:solidFill>
                          <w14:schemeClr w14:val="tx1"/>
                        </w14:solidFill>
                      </w14:textFill>
                    </w:rPr>
                    <w:t>1</w:t>
                  </w:r>
                </w:p>
              </w:tc>
              <w:tc>
                <w:tcPr>
                  <w:tcW w:w="1554" w:type="dxa"/>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厂区产品样</w:t>
                  </w:r>
                </w:p>
              </w:tc>
              <w:tc>
                <w:tcPr>
                  <w:tcW w:w="1701" w:type="dxa"/>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约600</w:t>
                  </w:r>
                </w:p>
              </w:tc>
              <w:tc>
                <w:tcPr>
                  <w:tcW w:w="4047" w:type="dxa"/>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纯度、水份、色度、浊度、酸值、挥发分、折射率、不溶物、粘度、氯离子</w:t>
                  </w:r>
                </w:p>
              </w:tc>
            </w:tr>
            <w:bookmarkEnd w:id="1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8" w:type="dxa"/>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1554" w:type="dxa"/>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原料样</w:t>
                  </w:r>
                </w:p>
              </w:tc>
              <w:tc>
                <w:tcPr>
                  <w:tcW w:w="1701" w:type="dxa"/>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约500</w:t>
                  </w:r>
                </w:p>
              </w:tc>
              <w:tc>
                <w:tcPr>
                  <w:tcW w:w="4047" w:type="dxa"/>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纯度、水份、色度、浊度、酸值</w:t>
                  </w:r>
                </w:p>
              </w:tc>
            </w:tr>
          </w:tbl>
          <w:p>
            <w:pPr>
              <w:spacing w:before="120" w:beforeLines="50" w:line="360" w:lineRule="auto"/>
              <w:jc w:val="center"/>
              <w:rPr>
                <w:color w:val="000000" w:themeColor="text1"/>
                <w:highlight w:val="none"/>
                <w14:textFill>
                  <w14:solidFill>
                    <w14:schemeClr w14:val="tx1"/>
                  </w14:solidFill>
                </w14:textFill>
              </w:rPr>
            </w:pPr>
            <w:r>
              <w:rPr>
                <w:b/>
                <w:bCs/>
                <w:color w:val="000000" w:themeColor="text1"/>
                <w:sz w:val="24"/>
                <w:highlight w:val="none"/>
                <w14:textFill>
                  <w14:solidFill>
                    <w14:schemeClr w14:val="tx1"/>
                  </w14:solidFill>
                </w14:textFill>
              </w:rPr>
              <w:t>表2-</w:t>
            </w:r>
            <w:r>
              <w:rPr>
                <w:rFonts w:hint="eastAsia"/>
                <w:b/>
                <w:bCs/>
                <w:color w:val="000000" w:themeColor="text1"/>
                <w:sz w:val="24"/>
                <w:highlight w:val="none"/>
                <w:lang w:val="en-US" w:eastAsia="zh-CN"/>
                <w14:textFill>
                  <w14:solidFill>
                    <w14:schemeClr w14:val="tx1"/>
                  </w14:solidFill>
                </w14:textFill>
              </w:rPr>
              <w:t>2（2）</w:t>
            </w:r>
            <w:r>
              <w:rPr>
                <w:b/>
                <w:bCs/>
                <w:color w:val="000000" w:themeColor="text1"/>
                <w:sz w:val="24"/>
                <w:highlight w:val="none"/>
                <w14:textFill>
                  <w14:solidFill>
                    <w14:schemeClr w14:val="tx1"/>
                  </w14:solidFill>
                </w14:textFill>
              </w:rPr>
              <w:t xml:space="preserve">  </w:t>
            </w:r>
            <w:r>
              <w:rPr>
                <w:rFonts w:hint="eastAsia"/>
                <w:b/>
                <w:color w:val="000000" w:themeColor="text1"/>
                <w:sz w:val="24"/>
                <w:highlight w:val="none"/>
                <w14:textFill>
                  <w14:solidFill>
                    <w14:schemeClr w14:val="tx1"/>
                  </w14:solidFill>
                </w14:textFill>
              </w:rPr>
              <w:t>样品指标</w:t>
            </w:r>
            <w:r>
              <w:rPr>
                <w:rFonts w:hint="eastAsia"/>
                <w:b/>
                <w:color w:val="000000" w:themeColor="text1"/>
                <w:sz w:val="24"/>
                <w:highlight w:val="none"/>
                <w:lang w:val="en-US" w:eastAsia="zh-CN"/>
                <w14:textFill>
                  <w14:solidFill>
                    <w14:schemeClr w14:val="tx1"/>
                  </w14:solidFill>
                </w14:textFill>
              </w:rPr>
              <w:t>测试</w:t>
            </w:r>
            <w:r>
              <w:rPr>
                <w:rFonts w:hint="eastAsia"/>
                <w:b/>
                <w:color w:val="000000" w:themeColor="text1"/>
                <w:sz w:val="24"/>
                <w:highlight w:val="none"/>
                <w14:textFill>
                  <w14:solidFill>
                    <w14:schemeClr w14:val="tx1"/>
                  </w14:solidFill>
                </w14:textFill>
              </w:rPr>
              <w:t>方法</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956"/>
              <w:gridCol w:w="2982"/>
              <w:gridCol w:w="2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43" w:type="pct"/>
                  <w:vAlign w:val="center"/>
                </w:tcPr>
                <w:p>
                  <w:pPr>
                    <w:spacing w:before="120" w:beforeLines="5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样品</w:t>
                  </w:r>
                </w:p>
              </w:tc>
              <w:tc>
                <w:tcPr>
                  <w:tcW w:w="1169" w:type="pct"/>
                  <w:vAlign w:val="center"/>
                </w:tcPr>
                <w:p>
                  <w:pPr>
                    <w:spacing w:before="120" w:beforeLines="5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检验项目</w:t>
                  </w:r>
                </w:p>
              </w:tc>
              <w:tc>
                <w:tcPr>
                  <w:tcW w:w="1782" w:type="pct"/>
                  <w:vAlign w:val="center"/>
                </w:tcPr>
                <w:p>
                  <w:pPr>
                    <w:spacing w:before="120" w:beforeLines="5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测试</w:t>
                  </w:r>
                  <w:r>
                    <w:rPr>
                      <w:rFonts w:hint="eastAsia"/>
                      <w:b/>
                      <w:bCs/>
                      <w:color w:val="000000" w:themeColor="text1"/>
                      <w:sz w:val="21"/>
                      <w:szCs w:val="21"/>
                      <w:highlight w:val="none"/>
                      <w14:textFill>
                        <w14:solidFill>
                          <w14:schemeClr w14:val="tx1"/>
                        </w14:solidFill>
                      </w14:textFill>
                    </w:rPr>
                    <w:t>方法</w:t>
                  </w:r>
                </w:p>
              </w:tc>
              <w:tc>
                <w:tcPr>
                  <w:tcW w:w="1504" w:type="pct"/>
                  <w:vAlign w:val="center"/>
                </w:tcPr>
                <w:p>
                  <w:pPr>
                    <w:spacing w:before="120" w:beforeLines="5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依据标准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pPr>
                    <w:spacing w:before="120" w:beforeLines="5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产品</w:t>
                  </w:r>
                </w:p>
              </w:tc>
              <w:tc>
                <w:tcPr>
                  <w:tcW w:w="1169"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纯度测试</w:t>
                  </w:r>
                </w:p>
              </w:tc>
              <w:tc>
                <w:tcPr>
                  <w:tcW w:w="1782" w:type="pct"/>
                  <w:vAlign w:val="center"/>
                </w:tcPr>
                <w:p>
                  <w:pPr>
                    <w:spacing w:before="120" w:beforeLines="5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μL</w:t>
                  </w:r>
                  <w:r>
                    <w:rPr>
                      <w:rFonts w:hint="eastAsia"/>
                      <w:color w:val="000000" w:themeColor="text1"/>
                      <w:sz w:val="21"/>
                      <w:szCs w:val="21"/>
                      <w:highlight w:val="none"/>
                      <w:lang w:val="en-US" w:eastAsia="zh-CN"/>
                      <w14:textFill>
                        <w14:solidFill>
                          <w14:schemeClr w14:val="tx1"/>
                        </w14:solidFill>
                      </w14:textFill>
                    </w:rPr>
                    <w:t>，GC</w:t>
                  </w:r>
                </w:p>
              </w:tc>
              <w:tc>
                <w:tcPr>
                  <w:tcW w:w="1504" w:type="pct"/>
                  <w:vAlign w:val="center"/>
                </w:tcPr>
                <w:p>
                  <w:pPr>
                    <w:spacing w:before="120" w:beforeLine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成品检验技术指标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水份测试</w:t>
                  </w:r>
                </w:p>
              </w:tc>
              <w:tc>
                <w:tcPr>
                  <w:tcW w:w="1782" w:type="pct"/>
                  <w:vAlign w:val="center"/>
                </w:tcPr>
                <w:p>
                  <w:pPr>
                    <w:spacing w:before="120" w:beforeLines="5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0.2g，水分仪</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GB/T 606-2003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色度测试</w:t>
                  </w:r>
                </w:p>
              </w:tc>
              <w:tc>
                <w:tcPr>
                  <w:tcW w:w="1782" w:type="pct"/>
                  <w:vAlign w:val="center"/>
                </w:tcPr>
                <w:p>
                  <w:pPr>
                    <w:spacing w:before="120" w:beforeLines="5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成品:DMC=1:3，色度仪</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GB/T6324.6-2014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浊度测试</w:t>
                  </w:r>
                </w:p>
              </w:tc>
              <w:tc>
                <w:tcPr>
                  <w:tcW w:w="1782"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成品:DMC=1:3，浊度仪</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成品检验技术指标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酸值测试</w:t>
                  </w:r>
                </w:p>
              </w:tc>
              <w:tc>
                <w:tcPr>
                  <w:tcW w:w="1782"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5g，滴定</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成品检验技术指标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挥发分测试</w:t>
                  </w:r>
                </w:p>
              </w:tc>
              <w:tc>
                <w:tcPr>
                  <w:tcW w:w="1782" w:type="pct"/>
                  <w:vAlign w:val="center"/>
                </w:tcPr>
                <w:p>
                  <w:pPr>
                    <w:spacing w:before="120" w:beforeLines="5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3g，烘箱</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成品检验技术指标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折射率测试</w:t>
                  </w:r>
                </w:p>
              </w:tc>
              <w:tc>
                <w:tcPr>
                  <w:tcW w:w="1782"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0.1g，折射率仪</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GB/T 6488-2022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不溶物测试</w:t>
                  </w:r>
                </w:p>
              </w:tc>
              <w:tc>
                <w:tcPr>
                  <w:tcW w:w="1782" w:type="pct"/>
                  <w:vAlign w:val="center"/>
                </w:tcPr>
                <w:p>
                  <w:pPr>
                    <w:spacing w:before="120" w:beforeLines="5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10g搅拌1h，烘箱</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成品检验技术指标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粘度测试</w:t>
                  </w:r>
                </w:p>
              </w:tc>
              <w:tc>
                <w:tcPr>
                  <w:tcW w:w="1782" w:type="pct"/>
                  <w:vAlign w:val="center"/>
                </w:tcPr>
                <w:p>
                  <w:pPr>
                    <w:spacing w:before="120" w:beforeLines="5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20g，粘度计</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GB/T 22235-2008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氯离子测试</w:t>
                  </w:r>
                </w:p>
              </w:tc>
              <w:tc>
                <w:tcPr>
                  <w:tcW w:w="1782" w:type="pct"/>
                  <w:vAlign w:val="center"/>
                </w:tcPr>
                <w:p>
                  <w:pPr>
                    <w:spacing w:before="120" w:beforeLines="5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5g，电位滴定仪</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GB/T 6324.9-2016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pPr>
                    <w:spacing w:before="120" w:beforeLines="5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原料</w:t>
                  </w:r>
                </w:p>
              </w:tc>
              <w:tc>
                <w:tcPr>
                  <w:tcW w:w="1169"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纯度测试</w:t>
                  </w:r>
                </w:p>
              </w:tc>
              <w:tc>
                <w:tcPr>
                  <w:tcW w:w="1782"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μL</w:t>
                  </w:r>
                  <w:r>
                    <w:rPr>
                      <w:rFonts w:hint="eastAsia"/>
                      <w:color w:val="000000" w:themeColor="text1"/>
                      <w:sz w:val="21"/>
                      <w:szCs w:val="21"/>
                      <w:highlight w:val="none"/>
                      <w:lang w:val="en-US" w:eastAsia="zh-CN"/>
                      <w14:textFill>
                        <w14:solidFill>
                          <w14:schemeClr w14:val="tx1"/>
                        </w14:solidFill>
                      </w14:textFill>
                    </w:rPr>
                    <w:t>，GC</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原料检验技术指标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水份测试</w:t>
                  </w:r>
                </w:p>
              </w:tc>
              <w:tc>
                <w:tcPr>
                  <w:tcW w:w="1782"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0.2g，水分仪</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GB/T 606-2003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色度测试</w:t>
                  </w:r>
                </w:p>
              </w:tc>
              <w:tc>
                <w:tcPr>
                  <w:tcW w:w="1782"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50g，比色管</w:t>
                  </w:r>
                </w:p>
              </w:tc>
              <w:tc>
                <w:tcPr>
                  <w:tcW w:w="1504" w:type="pct"/>
                  <w:vAlign w:val="center"/>
                </w:tcPr>
                <w:p>
                  <w:pPr>
                    <w:spacing w:before="120" w:beforeLines="5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GB/T6324.6-2014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浊度测试</w:t>
                  </w:r>
                </w:p>
              </w:tc>
              <w:tc>
                <w:tcPr>
                  <w:tcW w:w="1782"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30g，浊度瓶</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原料检验技术指标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pPr>
                    <w:spacing w:before="120" w:beforeLines="50"/>
                    <w:jc w:val="center"/>
                    <w:rPr>
                      <w:rFonts w:hint="eastAsia"/>
                      <w:color w:val="000000" w:themeColor="text1"/>
                      <w:sz w:val="21"/>
                      <w:szCs w:val="21"/>
                      <w:highlight w:val="none"/>
                      <w14:textFill>
                        <w14:solidFill>
                          <w14:schemeClr w14:val="tx1"/>
                        </w14:solidFill>
                      </w14:textFill>
                    </w:rPr>
                  </w:pPr>
                </w:p>
              </w:tc>
              <w:tc>
                <w:tcPr>
                  <w:tcW w:w="1169"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酸值测试</w:t>
                  </w:r>
                </w:p>
              </w:tc>
              <w:tc>
                <w:tcPr>
                  <w:tcW w:w="1782" w:type="pct"/>
                  <w:vAlign w:val="center"/>
                </w:tcPr>
                <w:p>
                  <w:pPr>
                    <w:spacing w:before="120" w:beforeLines="5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0.2g，滴定</w:t>
                  </w:r>
                </w:p>
              </w:tc>
              <w:tc>
                <w:tcPr>
                  <w:tcW w:w="1504" w:type="pct"/>
                  <w:vAlign w:val="center"/>
                </w:tcPr>
                <w:p>
                  <w:pPr>
                    <w:spacing w:before="120" w:beforeLines="5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原料检验技术指标</w:t>
                  </w:r>
                </w:p>
              </w:tc>
            </w:tr>
          </w:tbl>
          <w:p>
            <w:pPr>
              <w:adjustRightInd w:val="0"/>
              <w:snapToGrid w:val="0"/>
              <w:spacing w:line="360" w:lineRule="auto"/>
              <w:ind w:firstLine="482" w:firstLineChars="200"/>
              <w:jc w:val="left"/>
              <w:rPr>
                <w:rFonts w:hint="default" w:ascii="Times New Roman" w:hAnsi="Times New Roman" w:cs="Times New Roman"/>
                <w:b/>
                <w:color w:val="000000" w:themeColor="text1"/>
                <w:sz w:val="24"/>
                <w:szCs w:val="20"/>
                <w:highlight w:val="none"/>
                <w14:textFill>
                  <w14:solidFill>
                    <w14:schemeClr w14:val="tx1"/>
                  </w14:solidFill>
                </w14:textFill>
              </w:rPr>
            </w:pPr>
            <w:r>
              <w:rPr>
                <w:rFonts w:hint="default" w:ascii="Times New Roman" w:hAnsi="Times New Roman" w:cs="Times New Roman"/>
                <w:b/>
                <w:color w:val="000000" w:themeColor="text1"/>
                <w:sz w:val="24"/>
                <w:szCs w:val="20"/>
                <w:highlight w:val="none"/>
                <w:lang w:val="en-US" w:eastAsia="zh-CN"/>
                <w14:textFill>
                  <w14:solidFill>
                    <w14:schemeClr w14:val="tx1"/>
                  </w14:solidFill>
                </w14:textFill>
              </w:rPr>
              <w:t>4</w:t>
            </w:r>
            <w:r>
              <w:rPr>
                <w:rFonts w:hint="default" w:ascii="Times New Roman" w:hAnsi="Times New Roman" w:cs="Times New Roman"/>
                <w:b/>
                <w:color w:val="000000" w:themeColor="text1"/>
                <w:sz w:val="24"/>
                <w:szCs w:val="20"/>
                <w:highlight w:val="none"/>
                <w14:textFill>
                  <w14:solidFill>
                    <w14:schemeClr w14:val="tx1"/>
                  </w14:solidFill>
                </w14:textFill>
              </w:rPr>
              <w:t>、项目主要设备</w:t>
            </w:r>
          </w:p>
          <w:p>
            <w:pPr>
              <w:adjustRightInd w:val="0"/>
              <w:snapToGrid w:val="0"/>
              <w:spacing w:line="360" w:lineRule="auto"/>
              <w:ind w:firstLine="480" w:firstLineChars="200"/>
              <w:jc w:val="left"/>
              <w:rPr>
                <w:rFonts w:hint="default" w:ascii="Times New Roman" w:hAnsi="Times New Roman" w:cs="Times New Roman"/>
                <w:color w:val="000000" w:themeColor="text1"/>
                <w:sz w:val="24"/>
                <w:szCs w:val="20"/>
                <w:highlight w:val="none"/>
                <w14:textFill>
                  <w14:solidFill>
                    <w14:schemeClr w14:val="tx1"/>
                  </w14:solidFill>
                </w14:textFill>
              </w:rPr>
            </w:pPr>
            <w:r>
              <w:rPr>
                <w:rFonts w:hint="default" w:ascii="Times New Roman" w:hAnsi="Times New Roman" w:cs="Times New Roman"/>
                <w:color w:val="000000" w:themeColor="text1"/>
                <w:sz w:val="24"/>
                <w:szCs w:val="20"/>
                <w:highlight w:val="none"/>
                <w:lang w:eastAsia="zh-CN"/>
                <w14:textFill>
                  <w14:solidFill>
                    <w14:schemeClr w14:val="tx1"/>
                  </w14:solidFill>
                </w14:textFill>
              </w:rPr>
              <w:t>本次</w:t>
            </w:r>
            <w:r>
              <w:rPr>
                <w:rFonts w:hint="default" w:ascii="Times New Roman" w:hAnsi="Times New Roman" w:cs="Times New Roman"/>
                <w:color w:val="000000" w:themeColor="text1"/>
                <w:sz w:val="24"/>
                <w:szCs w:val="20"/>
                <w:highlight w:val="none"/>
                <w14:textFill>
                  <w14:solidFill>
                    <w14:schemeClr w14:val="tx1"/>
                  </w14:solidFill>
                </w14:textFill>
              </w:rPr>
              <w:t>项目</w:t>
            </w:r>
            <w:r>
              <w:rPr>
                <w:rFonts w:hint="default" w:ascii="Times New Roman" w:hAnsi="Times New Roman" w:cs="Times New Roman"/>
                <w:color w:val="000000" w:themeColor="text1"/>
                <w:sz w:val="24"/>
                <w:szCs w:val="20"/>
                <w:highlight w:val="none"/>
                <w:lang w:val="en-US" w:eastAsia="zh-CN"/>
                <w14:textFill>
                  <w14:solidFill>
                    <w14:schemeClr w14:val="tx1"/>
                  </w14:solidFill>
                </w14:textFill>
              </w:rPr>
              <w:t>使用</w:t>
            </w:r>
            <w:r>
              <w:rPr>
                <w:rFonts w:hint="default" w:ascii="Times New Roman" w:hAnsi="Times New Roman" w:cs="Times New Roman"/>
                <w:color w:val="000000" w:themeColor="text1"/>
                <w:sz w:val="24"/>
                <w:szCs w:val="20"/>
                <w:highlight w:val="none"/>
                <w:lang w:eastAsia="zh-CN"/>
                <w14:textFill>
                  <w14:solidFill>
                    <w14:schemeClr w14:val="tx1"/>
                  </w14:solidFill>
                </w14:textFill>
              </w:rPr>
              <w:t>的</w:t>
            </w:r>
            <w:r>
              <w:rPr>
                <w:rFonts w:hint="default" w:ascii="Times New Roman" w:hAnsi="Times New Roman" w:cs="Times New Roman"/>
                <w:color w:val="000000" w:themeColor="text1"/>
                <w:sz w:val="24"/>
                <w:szCs w:val="20"/>
                <w:highlight w:val="none"/>
                <w14:textFill>
                  <w14:solidFill>
                    <w14:schemeClr w14:val="tx1"/>
                  </w14:solidFill>
                </w14:textFill>
              </w:rPr>
              <w:t>设备见下表。</w:t>
            </w:r>
          </w:p>
          <w:p>
            <w:pPr>
              <w:spacing w:line="360" w:lineRule="auto"/>
              <w:jc w:val="center"/>
              <w:rPr>
                <w:rFonts w:hint="default" w:ascii="Times New Roman" w:hAnsi="Times New Roman" w:cs="Times New Roman"/>
                <w:b/>
                <w:bCs/>
                <w:color w:val="000000" w:themeColor="text1"/>
                <w:sz w:val="24"/>
                <w:szCs w:val="20"/>
                <w:highlight w:val="none"/>
                <w14:textFill>
                  <w14:solidFill>
                    <w14:schemeClr w14:val="tx1"/>
                  </w14:solidFill>
                </w14:textFill>
              </w:rPr>
            </w:pPr>
            <w:r>
              <w:rPr>
                <w:rFonts w:hint="default" w:ascii="Times New Roman" w:hAnsi="Times New Roman" w:cs="Times New Roman"/>
                <w:b/>
                <w:bCs/>
                <w:color w:val="000000" w:themeColor="text1"/>
                <w:sz w:val="24"/>
                <w:szCs w:val="20"/>
                <w:highlight w:val="none"/>
                <w14:textFill>
                  <w14:solidFill>
                    <w14:schemeClr w14:val="tx1"/>
                  </w14:solidFill>
                </w14:textFill>
              </w:rPr>
              <w:t>表</w:t>
            </w:r>
            <w:r>
              <w:rPr>
                <w:rFonts w:hint="default" w:ascii="Times New Roman" w:hAnsi="Times New Roman" w:cs="Times New Roman"/>
                <w:b/>
                <w:bCs/>
                <w:color w:val="000000" w:themeColor="text1"/>
                <w:sz w:val="24"/>
                <w:szCs w:val="20"/>
                <w:highlight w:val="none"/>
                <w:lang w:val="en-US" w:eastAsia="zh-CN"/>
                <w14:textFill>
                  <w14:solidFill>
                    <w14:schemeClr w14:val="tx1"/>
                  </w14:solidFill>
                </w14:textFill>
              </w:rPr>
              <w:t>2-</w:t>
            </w:r>
            <w:r>
              <w:rPr>
                <w:rFonts w:hint="eastAsia" w:cs="Times New Roman"/>
                <w:b/>
                <w:bCs/>
                <w:color w:val="000000" w:themeColor="text1"/>
                <w:sz w:val="24"/>
                <w:szCs w:val="20"/>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0"/>
                <w:highlight w:val="none"/>
                <w14:textFill>
                  <w14:solidFill>
                    <w14:schemeClr w14:val="tx1"/>
                  </w14:solidFill>
                </w14:textFill>
              </w:rPr>
              <w:t xml:space="preserve">  主要设备</w:t>
            </w:r>
            <w:r>
              <w:rPr>
                <w:rFonts w:hint="default" w:ascii="Times New Roman" w:hAnsi="Times New Roman" w:cs="Times New Roman"/>
                <w:b/>
                <w:bCs/>
                <w:color w:val="000000" w:themeColor="text1"/>
                <w:sz w:val="24"/>
                <w:szCs w:val="20"/>
                <w:highlight w:val="none"/>
                <w:lang w:val="en-US" w:eastAsia="zh-CN"/>
                <w14:textFill>
                  <w14:solidFill>
                    <w14:schemeClr w14:val="tx1"/>
                  </w14:solidFill>
                </w14:textFill>
              </w:rPr>
              <w:t>一览</w:t>
            </w:r>
            <w:r>
              <w:rPr>
                <w:rFonts w:hint="default" w:ascii="Times New Roman" w:hAnsi="Times New Roman" w:cs="Times New Roman"/>
                <w:b/>
                <w:bCs/>
                <w:color w:val="000000" w:themeColor="text1"/>
                <w:sz w:val="24"/>
                <w:szCs w:val="20"/>
                <w:highlight w:val="none"/>
                <w14:textFill>
                  <w14:solidFill>
                    <w14:schemeClr w14:val="tx1"/>
                  </w14:solidFill>
                </w14:textFill>
              </w:rPr>
              <w:t>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82"/>
              <w:gridCol w:w="1616"/>
              <w:gridCol w:w="1040"/>
              <w:gridCol w:w="1805"/>
              <w:gridCol w:w="1262"/>
              <w:gridCol w:w="21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blHeader/>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设备名称</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数量</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（台/套）</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型号</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备注</w:t>
                  </w:r>
                </w:p>
              </w:tc>
              <w:tc>
                <w:tcPr>
                  <w:tcW w:w="21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放置地点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5" w:type="dxa"/>
                  <w:gridSpan w:val="6"/>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68"/>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五楼化验室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6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气相色谱仪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GC-2014C</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6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气相色谱仪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SP-7890Plius</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6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气相色谱仪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8860</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离子色谱仪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930</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(100-240)V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等离子发射光谱仪（ICP）</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5800</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(220-240)V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ICP室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液相GPC系统</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LC-20ADXP</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(100-240)V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液相紫外系统</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LC-20</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(220-240)V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自动电位滴定仪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G10S</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化学分析室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分</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仪（日本三菱）</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A-310</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手套箱室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水分仪（中惠）</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型号：ZHS1003</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手套箱室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水分仪（安亭）</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ZSD-2J</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手套箱室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卡式炉（日本三菱）</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(220-240)V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手套箱室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天平</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MA204/A</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手套箱室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天平</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FA6103C</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(100-240)V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手套箱室/化学分析室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电热鼓风干燥箱</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CGZX-9070MBE</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手套箱室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pH计</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PHS-25</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化学分析室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电导率仪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DDS-11A</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化学分析室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多参数水质仪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LH-T600</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化学分析室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浊度计</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WGZ-200</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化学分析室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色度仪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PFX-i series</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化学分析室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箱式电阻炉</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SX2-4-10Z</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手套箱室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激光粒度仪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LS-POP(9)</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阿贝折射仪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WYA-2WAJ</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化学分析室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硫氯仪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WKL-3000B</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热值分析仪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SDCE3000</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卤素分析仪</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SDXS01</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气相室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石油产品运动粘度</w:t>
                  </w:r>
                </w:p>
              </w:tc>
              <w:tc>
                <w:tcPr>
                  <w:tcW w:w="10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SYD-265C</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化学分析室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365" w:type="dxa"/>
                  <w:gridSpan w:val="6"/>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68"/>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六楼研发室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智能数显恒温水浴锅</w:t>
                  </w:r>
                </w:p>
              </w:tc>
              <w:tc>
                <w:tcPr>
                  <w:tcW w:w="104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80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w:t>
                  </w:r>
                </w:p>
              </w:tc>
              <w:tc>
                <w:tcPr>
                  <w:tcW w:w="12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备件室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循环水式多用真空泵</w:t>
                  </w:r>
                </w:p>
              </w:tc>
              <w:tc>
                <w:tcPr>
                  <w:tcW w:w="104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80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SHZ-D(四氟）</w:t>
                  </w:r>
                </w:p>
              </w:tc>
              <w:tc>
                <w:tcPr>
                  <w:tcW w:w="126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低温冷却液循环泵</w:t>
                  </w:r>
                </w:p>
              </w:tc>
              <w:tc>
                <w:tcPr>
                  <w:tcW w:w="104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80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LC-LTC-10/20</w:t>
                  </w:r>
                </w:p>
              </w:tc>
              <w:tc>
                <w:tcPr>
                  <w:tcW w:w="126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低温冷却液循环泵</w:t>
                  </w:r>
                </w:p>
              </w:tc>
              <w:tc>
                <w:tcPr>
                  <w:tcW w:w="104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LC-LTC-30/20</w:t>
                  </w:r>
                </w:p>
              </w:tc>
              <w:tc>
                <w:tcPr>
                  <w:tcW w:w="126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备件室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旋转蒸发器</w:t>
                  </w:r>
                </w:p>
              </w:tc>
              <w:tc>
                <w:tcPr>
                  <w:tcW w:w="104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80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LC-RE-52AA</w:t>
                  </w:r>
                </w:p>
              </w:tc>
              <w:tc>
                <w:tcPr>
                  <w:tcW w:w="126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集热式磁力搅拌器</w:t>
                  </w:r>
                </w:p>
              </w:tc>
              <w:tc>
                <w:tcPr>
                  <w:tcW w:w="104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80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LC-OB-2L</w:t>
                  </w:r>
                </w:p>
              </w:tc>
              <w:tc>
                <w:tcPr>
                  <w:tcW w:w="126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真空泵</w:t>
                  </w:r>
                </w:p>
              </w:tc>
              <w:tc>
                <w:tcPr>
                  <w:tcW w:w="104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80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VRD-8</w:t>
                  </w:r>
                </w:p>
              </w:tc>
              <w:tc>
                <w:tcPr>
                  <w:tcW w:w="126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220V</w:t>
                  </w:r>
                </w:p>
              </w:tc>
              <w:tc>
                <w:tcPr>
                  <w:tcW w:w="21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16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真空泵</w:t>
                  </w:r>
                </w:p>
              </w:tc>
              <w:tc>
                <w:tcPr>
                  <w:tcW w:w="104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80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VRD-16</w:t>
                  </w:r>
                </w:p>
              </w:tc>
              <w:tc>
                <w:tcPr>
                  <w:tcW w:w="126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220~240V</w:t>
                  </w:r>
                </w:p>
              </w:tc>
              <w:tc>
                <w:tcPr>
                  <w:tcW w:w="21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实验室</w:t>
                  </w:r>
                </w:p>
              </w:tc>
            </w:tr>
          </w:tbl>
          <w:p>
            <w:pPr>
              <w:spacing w:line="360" w:lineRule="auto"/>
              <w:ind w:firstLine="590" w:firstLineChars="245"/>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5</w:t>
            </w:r>
            <w:r>
              <w:rPr>
                <w:rFonts w:hint="default" w:ascii="Times New Roman" w:hAnsi="Times New Roman" w:cs="Times New Roman"/>
                <w:b/>
                <w:color w:val="000000" w:themeColor="text1"/>
                <w:sz w:val="24"/>
                <w:highlight w:val="none"/>
                <w14:textFill>
                  <w14:solidFill>
                    <w14:schemeClr w14:val="tx1"/>
                  </w14:solidFill>
                </w14:textFill>
              </w:rPr>
              <w:t>、主要原</w:t>
            </w:r>
            <w:r>
              <w:rPr>
                <w:rFonts w:hint="default" w:ascii="Times New Roman" w:hAnsi="Times New Roman" w:cs="Times New Roman"/>
                <w:b/>
                <w:color w:val="000000" w:themeColor="text1"/>
                <w:sz w:val="24"/>
                <w:highlight w:val="none"/>
                <w:lang w:val="en-US" w:eastAsia="zh-CN"/>
                <w14:textFill>
                  <w14:solidFill>
                    <w14:schemeClr w14:val="tx1"/>
                  </w14:solidFill>
                </w14:textFill>
              </w:rPr>
              <w:t>辅</w:t>
            </w:r>
            <w:r>
              <w:rPr>
                <w:rFonts w:hint="default" w:ascii="Times New Roman" w:hAnsi="Times New Roman" w:cs="Times New Roman"/>
                <w:b/>
                <w:color w:val="000000" w:themeColor="text1"/>
                <w:sz w:val="24"/>
                <w:highlight w:val="none"/>
                <w14:textFill>
                  <w14:solidFill>
                    <w14:schemeClr w14:val="tx1"/>
                  </w14:solidFill>
                </w14:textFill>
              </w:rPr>
              <w:t>材料</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项</w:t>
            </w:r>
            <w:r>
              <w:rPr>
                <w:rFonts w:hint="default" w:ascii="Times New Roman" w:hAnsi="Times New Roman" w:cs="Times New Roman"/>
                <w:color w:val="000000" w:themeColor="text1"/>
                <w:sz w:val="24"/>
                <w:highlight w:val="none"/>
                <w14:textFill>
                  <w14:solidFill>
                    <w14:schemeClr w14:val="tx1"/>
                  </w14:solidFill>
                </w14:textFill>
              </w:rPr>
              <w:t>目所用原辅材料用量如下。</w:t>
            </w:r>
          </w:p>
          <w:p>
            <w:pPr>
              <w:spacing w:line="360" w:lineRule="auto"/>
              <w:jc w:val="center"/>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2-</w:t>
            </w:r>
            <w:r>
              <w:rPr>
                <w:rFonts w:hint="eastAsia"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highlight w:val="none"/>
                <w14:textFill>
                  <w14:solidFill>
                    <w14:schemeClr w14:val="tx1"/>
                  </w14:solidFill>
                </w14:textFill>
              </w:rPr>
              <w:t xml:space="preserve"> </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highlight w:val="none"/>
                <w14:textFill>
                  <w14:solidFill>
                    <w14:schemeClr w14:val="tx1"/>
                  </w14:solidFill>
                </w14:textFill>
              </w:rPr>
              <w:t>主要原辅材料消耗情况一览表</w:t>
            </w:r>
          </w:p>
          <w:tbl>
            <w:tblPr>
              <w:tblStyle w:val="36"/>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0"/>
              <w:gridCol w:w="1116"/>
              <w:gridCol w:w="958"/>
              <w:gridCol w:w="764"/>
              <w:gridCol w:w="1023"/>
              <w:gridCol w:w="1159"/>
              <w:gridCol w:w="1077"/>
              <w:gridCol w:w="873"/>
              <w:gridCol w:w="10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12"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序号</w:t>
                  </w:r>
                </w:p>
              </w:tc>
              <w:tc>
                <w:tcPr>
                  <w:tcW w:w="1116"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名称</w:t>
                  </w:r>
                </w:p>
              </w:tc>
              <w:tc>
                <w:tcPr>
                  <w:tcW w:w="958"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年耗用量</w:t>
                  </w:r>
                </w:p>
              </w:tc>
              <w:tc>
                <w:tcPr>
                  <w:tcW w:w="764"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状态及性质</w:t>
                  </w:r>
                </w:p>
              </w:tc>
              <w:tc>
                <w:tcPr>
                  <w:tcW w:w="1023"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包装规格</w:t>
                  </w:r>
                </w:p>
              </w:tc>
              <w:tc>
                <w:tcPr>
                  <w:tcW w:w="1159"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来源/主要成分</w:t>
                  </w:r>
                </w:p>
              </w:tc>
              <w:tc>
                <w:tcPr>
                  <w:tcW w:w="1077"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储存位置</w:t>
                  </w:r>
                </w:p>
              </w:tc>
              <w:tc>
                <w:tcPr>
                  <w:tcW w:w="873"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最大存储量</w:t>
                  </w:r>
                </w:p>
              </w:tc>
              <w:tc>
                <w:tcPr>
                  <w:tcW w:w="1028" w:type="dxa"/>
                  <w:tcBorders>
                    <w:top w:val="single" w:color="000000" w:sz="12"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是否在通风橱内操作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98" w:type="dxa"/>
                  <w:gridSpan w:val="9"/>
                  <w:tcBorders>
                    <w:top w:val="single" w:color="000000" w:sz="8" w:space="0"/>
                    <w:left w:val="single" w:color="000000" w:sz="12" w:space="0"/>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五楼化验室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乙腈</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外购/乙腈</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甲醇</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外购/甲醇</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3</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乙醇</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240kg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外购/乙醇</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4</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异丙醇</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397.6kg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外购/异丙醇</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碳酸丙烯酯</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291.6kg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外购/碳酸丙烯酯</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6</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吡啶</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122kg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外购/吡啶</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7</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二正丁胺</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6kg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外购/二正丁胺</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8</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卡尔费休试剂</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120kg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外购/卡尔费休试剂</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9</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碳酸乙烯酯</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144kg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外购/碳酸乙烯酯</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碳酸二乙酯</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22.5kg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外购/碳酸二乙酯</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11</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乙二醇二甲醚</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324kg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外购/乙二醇二甲醚</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12</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碳酸二甲酯</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367.8kg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外购/碳酸二甲酯</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13</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N,N二甲基甲酰胺</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140kg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外购/N,N二甲基甲酰胺</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药品柜/留样间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14</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硫酸</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外购/硫酸</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药品柜/药品间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15</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盐酸</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外购/盐酸</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药品柜/药品间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16</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硝酸</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外购/硝酸</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药品柜/药品间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17</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甲苯</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外购/甲苯</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药品柜/药品间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18</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丙酮</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外购/丙酮</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药品柜/药品间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19</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三氯甲烷</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70kg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外购/三氯甲烷</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药品柜/药品间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20</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乙酸酐</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外购/乙酸酐</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药品柜/药品间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21</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高锰酸钾</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固体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250g/瓶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外购/高锰酸钾</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药品柜/药品间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2.5kg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498" w:type="dxa"/>
                  <w:gridSpan w:val="9"/>
                  <w:tcBorders>
                    <w:top w:val="single" w:color="000000" w:sz="8" w:space="0"/>
                    <w:left w:val="single" w:color="000000" w:sz="12" w:space="0"/>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lang w:val="en-US" w:eastAsia="zh-CN" w:bidi="ar"/>
                      <w14:textFill>
                        <w14:solidFill>
                          <w14:schemeClr w14:val="tx1"/>
                        </w14:solidFill>
                      </w14:textFill>
                    </w:rPr>
                    <w:t>六楼研发室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二氯甲烷</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296.7kg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外购/二氯甲烷</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1,2-丙二醇</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7kg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外购/1,2-丙二醇</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7kg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3</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氯化亚砜</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外购/氯化亚砜</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4</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三氟乙醇</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外购/三氟乙醇</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六甲基二硅氮烷</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30kg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外购/六甲基二硅氮烷</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6</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六甲基二硅氧烷</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外购/六甲基二硅氧烷</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7</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甲基三甲氧基硅烷</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外购/甲基三甲氧基硅烷</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8</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四甲基二硅氧烷</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30kg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外购/四甲基二硅氧烷</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9</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三甲基氯硅烷</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外购/三甲基氯硅烷</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w:t>
                  </w:r>
                </w:p>
              </w:tc>
              <w:tc>
                <w:tcPr>
                  <w:tcW w:w="1116"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bookmarkStart w:id="14" w:name="OLE_LINK3"/>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八甲基环四硅氧烷</w:t>
                  </w:r>
                  <w:bookmarkEnd w:id="14"/>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外购/八甲基环四硅氧烷</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11</w:t>
                  </w:r>
                </w:p>
              </w:tc>
              <w:tc>
                <w:tcPr>
                  <w:tcW w:w="1116"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六亚甲基二异氰酸酯</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6kg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外购/六亚甲基二异氰酸酯</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6kg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12</w:t>
                  </w:r>
                </w:p>
              </w:tc>
              <w:tc>
                <w:tcPr>
                  <w:tcW w:w="1116"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甲基异丁基甲酮</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14kg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外购/甲基异丁基甲酮</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13</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次氯酸钠</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外购/次氯酸钠</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14</w:t>
                  </w:r>
                </w:p>
              </w:tc>
              <w:tc>
                <w:tcPr>
                  <w:tcW w:w="11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1,2-二氯乙烷</w:t>
                  </w:r>
                </w:p>
              </w:tc>
              <w:tc>
                <w:tcPr>
                  <w:tcW w:w="9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20kg</w:t>
                  </w:r>
                </w:p>
              </w:tc>
              <w:tc>
                <w:tcPr>
                  <w:tcW w:w="76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外购/1,2-二氯乙烷</w:t>
                  </w:r>
                </w:p>
              </w:tc>
              <w:tc>
                <w:tcPr>
                  <w:tcW w:w="107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5kg</w:t>
                  </w:r>
                </w:p>
              </w:tc>
              <w:tc>
                <w:tcPr>
                  <w:tcW w:w="1028"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00" w:type="dxa"/>
                  <w:tcBorders>
                    <w:top w:val="single" w:color="000000" w:sz="8" w:space="0"/>
                    <w:left w:val="single" w:color="000000" w:sz="12" w:space="0"/>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lang w:val="en-US" w:eastAsia="zh-CN" w:bidi="ar"/>
                      <w14:textFill>
                        <w14:solidFill>
                          <w14:schemeClr w14:val="tx1"/>
                        </w14:solidFill>
                      </w14:textFill>
                    </w:rPr>
                    <w:t>15</w:t>
                  </w:r>
                </w:p>
              </w:tc>
              <w:tc>
                <w:tcPr>
                  <w:tcW w:w="1116"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lang w:val="en-US" w:eastAsia="zh-CN" w:bidi="ar"/>
                      <w14:textFill>
                        <w14:solidFill>
                          <w14:schemeClr w14:val="tx1"/>
                        </w14:solidFill>
                      </w14:textFill>
                    </w:rPr>
                    <w:t>氨水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lang w:eastAsia="zh-CN"/>
                      <w14:textFill>
                        <w14:solidFill>
                          <w14:schemeClr w14:val="tx1"/>
                        </w14:solidFill>
                      </w14:textFill>
                    </w:rPr>
                    <w:t>）</w:t>
                  </w:r>
                </w:p>
              </w:tc>
              <w:tc>
                <w:tcPr>
                  <w:tcW w:w="958"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lang w:val="en-US" w:eastAsia="zh-CN" w:bidi="ar"/>
                      <w14:textFill>
                        <w14:solidFill>
                          <w14:schemeClr w14:val="tx1"/>
                        </w14:solidFill>
                      </w14:textFill>
                    </w:rPr>
                    <w:t>10kg</w:t>
                  </w:r>
                </w:p>
              </w:tc>
              <w:tc>
                <w:tcPr>
                  <w:tcW w:w="764"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lang w:val="en-US" w:eastAsia="zh-CN" w:bidi="ar"/>
                      <w14:textFill>
                        <w14:solidFill>
                          <w14:schemeClr w14:val="tx1"/>
                        </w14:solidFill>
                      </w14:textFill>
                    </w:rPr>
                    <w:t>液体</w:t>
                  </w:r>
                </w:p>
              </w:tc>
              <w:tc>
                <w:tcPr>
                  <w:tcW w:w="1023"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500</w:t>
                  </w:r>
                  <w:r>
                    <w:rPr>
                      <w:rFonts w:hint="default" w:ascii="Times New Roman" w:hAnsi="Times New Roman" w:cs="Times New Roman"/>
                      <w:i w:val="0"/>
                      <w:iCs w:val="0"/>
                      <w:color w:val="000000" w:themeColor="text1"/>
                      <w:kern w:val="0"/>
                      <w:sz w:val="21"/>
                      <w:szCs w:val="21"/>
                      <w:highlight w:val="none"/>
                      <w:lang w:val="en-US" w:eastAsia="zh-CN" w:bidi="ar"/>
                      <w14:textFill>
                        <w14:solidFill>
                          <w14:schemeClr w14:val="tx1"/>
                        </w14:solidFill>
                      </w14:textFill>
                    </w:rPr>
                    <w:t>mL</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/瓶</w:t>
                  </w:r>
                </w:p>
              </w:tc>
              <w:tc>
                <w:tcPr>
                  <w:tcW w:w="1159"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lang w:val="en-US" w:eastAsia="zh-CN" w:bidi="ar"/>
                      <w14:textFill>
                        <w14:solidFill>
                          <w14:schemeClr w14:val="tx1"/>
                        </w14:solidFill>
                      </w14:textFill>
                    </w:rPr>
                    <w:t>外购</w:t>
                  </w:r>
                </w:p>
              </w:tc>
              <w:tc>
                <w:tcPr>
                  <w:tcW w:w="1077"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药品柜/</w:t>
                  </w:r>
                  <w:r>
                    <w:rPr>
                      <w:rFonts w:hint="eastAsia" w:cs="Times New Roman"/>
                      <w:i w:val="0"/>
                      <w:iCs w:val="0"/>
                      <w:color w:val="000000" w:themeColor="text1"/>
                      <w:kern w:val="0"/>
                      <w:sz w:val="21"/>
                      <w:szCs w:val="21"/>
                      <w:highlight w:val="none"/>
                      <w:lang w:val="en-US" w:eastAsia="zh-CN" w:bidi="ar"/>
                      <w14:textFill>
                        <w14:solidFill>
                          <w14:schemeClr w14:val="tx1"/>
                        </w14:solidFill>
                      </w14:textFill>
                    </w:rPr>
                    <w:t>试剂</w:t>
                  </w: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间</w:t>
                  </w:r>
                </w:p>
              </w:tc>
              <w:tc>
                <w:tcPr>
                  <w:tcW w:w="873"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lang w:val="en-US" w:eastAsia="zh-CN" w:bidi="ar"/>
                      <w14:textFill>
                        <w14:solidFill>
                          <w14:schemeClr w14:val="tx1"/>
                        </w14:solidFill>
                      </w14:textFill>
                    </w:rPr>
                    <w:t>3kg</w:t>
                  </w:r>
                </w:p>
              </w:tc>
              <w:tc>
                <w:tcPr>
                  <w:tcW w:w="1028" w:type="dxa"/>
                  <w:tcBorders>
                    <w:top w:val="single" w:color="000000" w:sz="8" w:space="0"/>
                    <w:left w:val="nil"/>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bidi="ar"/>
                      <w14:textFill>
                        <w14:solidFill>
                          <w14:schemeClr w14:val="tx1"/>
                        </w14:solidFill>
                      </w14:textFill>
                    </w:rPr>
                    <w:t>是</w:t>
                  </w:r>
                </w:p>
              </w:tc>
            </w:tr>
          </w:tbl>
          <w:p>
            <w:pPr>
              <w:autoSpaceDE w:val="0"/>
              <w:autoSpaceDN w:val="0"/>
              <w:adjustRightInd w:val="0"/>
              <w:snapToGrid w:val="0"/>
              <w:spacing w:line="360" w:lineRule="auto"/>
              <w:ind w:firstLine="482" w:firstLineChars="200"/>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24"/>
                <w:highlight w:val="none"/>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公用工程</w:t>
            </w:r>
          </w:p>
          <w:p>
            <w:pPr>
              <w:spacing w:line="360" w:lineRule="auto"/>
              <w:ind w:firstLine="482" w:firstLineChars="200"/>
              <w:jc w:val="left"/>
              <w:rPr>
                <w:rFonts w:hint="default" w:ascii="Times New Roman" w:hAnsi="Times New Roman" w:cs="Times New Roman"/>
                <w:b/>
                <w:bCs/>
                <w:color w:val="000000" w:themeColor="text1"/>
                <w:sz w:val="24"/>
                <w:szCs w:val="20"/>
                <w:highlight w:val="none"/>
                <w14:textFill>
                  <w14:solidFill>
                    <w14:schemeClr w14:val="tx1"/>
                  </w14:solidFill>
                </w14:textFill>
              </w:rPr>
            </w:pPr>
            <w:r>
              <w:rPr>
                <w:rFonts w:hint="default" w:ascii="Times New Roman" w:hAnsi="Times New Roman" w:cs="Times New Roman"/>
                <w:b/>
                <w:bCs/>
                <w:color w:val="000000" w:themeColor="text1"/>
                <w:sz w:val="24"/>
                <w:szCs w:val="20"/>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0"/>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szCs w:val="20"/>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0"/>
                <w:highlight w:val="none"/>
                <w14:textFill>
                  <w14:solidFill>
                    <w14:schemeClr w14:val="tx1"/>
                  </w14:solidFill>
                </w14:textFill>
              </w:rPr>
              <w:t>给排水</w:t>
            </w:r>
          </w:p>
          <w:p>
            <w:pPr>
              <w:keepNext w:val="0"/>
              <w:keepLines w:val="0"/>
              <w:pageBreakBefore w:val="0"/>
              <w:widowControl w:val="0"/>
              <w:kinsoku/>
              <w:wordWrap/>
              <w:overflowPunct/>
              <w:topLinePunct w:val="0"/>
              <w:autoSpaceDE/>
              <w:autoSpaceDN/>
              <w:bidi w:val="0"/>
              <w:adjustRightInd/>
              <w:snapToGrid w:val="0"/>
              <w:spacing w:line="360" w:lineRule="auto"/>
              <w:ind w:firstLine="598" w:firstLineChars="248"/>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给水：</w:t>
            </w:r>
            <w:r>
              <w:rPr>
                <w:rFonts w:hint="default" w:ascii="Times New Roman" w:hAnsi="Times New Roman" w:cs="Times New Roman"/>
                <w:color w:val="000000" w:themeColor="text1"/>
                <w:sz w:val="24"/>
                <w:highlight w:val="none"/>
                <w14:textFill>
                  <w14:solidFill>
                    <w14:schemeClr w14:val="tx1"/>
                  </w14:solidFill>
                </w14:textFill>
              </w:rPr>
              <w:t>项目给水系统</w:t>
            </w:r>
            <w:r>
              <w:rPr>
                <w:rFonts w:hint="default" w:ascii="Times New Roman" w:hAnsi="Times New Roman" w:cs="Times New Roman"/>
                <w:color w:val="000000" w:themeColor="text1"/>
                <w:sz w:val="24"/>
                <w:highlight w:val="none"/>
                <w:lang w:eastAsia="zh-CN"/>
                <w14:textFill>
                  <w14:solidFill>
                    <w14:schemeClr w14:val="tx1"/>
                  </w14:solidFill>
                </w14:textFill>
              </w:rPr>
              <w:t>依托</w:t>
            </w:r>
            <w:r>
              <w:rPr>
                <w:rFonts w:hint="default" w:ascii="Times New Roman" w:hAnsi="Times New Roman" w:cs="Times New Roman"/>
                <w:color w:val="000000" w:themeColor="text1"/>
                <w:sz w:val="24"/>
                <w:highlight w:val="none"/>
                <w:lang w:val="en-US" w:eastAsia="zh-CN"/>
                <w14:textFill>
                  <w14:solidFill>
                    <w14:schemeClr w14:val="tx1"/>
                  </w14:solidFill>
                </w14:textFill>
              </w:rPr>
              <w:t>厂区现有</w:t>
            </w:r>
            <w:r>
              <w:rPr>
                <w:rFonts w:hint="default" w:ascii="Times New Roman" w:hAnsi="Times New Roman" w:cs="Times New Roman"/>
                <w:color w:val="000000" w:themeColor="text1"/>
                <w:sz w:val="24"/>
                <w:highlight w:val="none"/>
                <w14:textFill>
                  <w14:solidFill>
                    <w14:schemeClr w14:val="tx1"/>
                  </w14:solidFill>
                </w14:textFill>
              </w:rPr>
              <w:t>供水管网。本项目</w:t>
            </w:r>
            <w:r>
              <w:rPr>
                <w:rFonts w:hint="default" w:ascii="Times New Roman" w:hAnsi="Times New Roman" w:cs="Times New Roman"/>
                <w:color w:val="000000" w:themeColor="text1"/>
                <w:sz w:val="24"/>
                <w:highlight w:val="none"/>
                <w:lang w:val="en-US" w:eastAsia="zh-CN"/>
                <w14:textFill>
                  <w14:solidFill>
                    <w14:schemeClr w14:val="tx1"/>
                  </w14:solidFill>
                </w14:textFill>
              </w:rPr>
              <w:t>新增劳动定员26人</w:t>
            </w:r>
            <w:r>
              <w:rPr>
                <w:rFonts w:hint="default" w:ascii="Times New Roman" w:hAnsi="Times New Roman" w:cs="Times New Roman"/>
                <w:color w:val="000000" w:themeColor="text1"/>
                <w:sz w:val="24"/>
                <w:highlight w:val="none"/>
                <w:lang w:eastAsia="zh-CN"/>
                <w14:textFill>
                  <w14:solidFill>
                    <w14:schemeClr w14:val="tx1"/>
                  </w14:solidFill>
                </w14:textFill>
              </w:rPr>
              <w:t>，本项目用水主要为员工生活用水和</w:t>
            </w:r>
            <w:r>
              <w:rPr>
                <w:rFonts w:hint="default" w:ascii="Times New Roman" w:hAnsi="Times New Roman" w:cs="Times New Roman"/>
                <w:color w:val="000000" w:themeColor="text1"/>
                <w:sz w:val="24"/>
                <w:highlight w:val="none"/>
                <w:lang w:val="en-US" w:eastAsia="zh-CN"/>
                <w14:textFill>
                  <w14:solidFill>
                    <w14:schemeClr w14:val="tx1"/>
                  </w14:solidFill>
                </w14:textFill>
              </w:rPr>
              <w:t>实验室</w:t>
            </w:r>
            <w:r>
              <w:rPr>
                <w:rFonts w:hint="default" w:ascii="Times New Roman" w:hAnsi="Times New Roman" w:cs="Times New Roman"/>
                <w:color w:val="000000" w:themeColor="text1"/>
                <w:sz w:val="24"/>
                <w:highlight w:val="none"/>
                <w:lang w:eastAsia="zh-CN"/>
                <w14:textFill>
                  <w14:solidFill>
                    <w14:schemeClr w14:val="tx1"/>
                  </w14:solidFill>
                </w14:textFill>
              </w:rPr>
              <w:t>用水。</w:t>
            </w:r>
          </w:p>
          <w:p>
            <w:pPr>
              <w:keepNext w:val="0"/>
              <w:keepLines w:val="0"/>
              <w:pageBreakBefore w:val="0"/>
              <w:widowControl w:val="0"/>
              <w:kinsoku/>
              <w:wordWrap/>
              <w:overflowPunct/>
              <w:topLinePunct w:val="0"/>
              <w:autoSpaceDE/>
              <w:autoSpaceDN/>
              <w:bidi w:val="0"/>
              <w:adjustRightInd/>
              <w:snapToGrid w:val="0"/>
              <w:spacing w:line="360" w:lineRule="auto"/>
              <w:ind w:firstLine="595" w:firstLineChars="248"/>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1）生活用水</w:t>
            </w:r>
          </w:p>
          <w:p>
            <w:pPr>
              <w:keepNext w:val="0"/>
              <w:keepLines w:val="0"/>
              <w:pageBreakBefore w:val="0"/>
              <w:widowControl w:val="0"/>
              <w:kinsoku/>
              <w:wordWrap/>
              <w:overflowPunct/>
              <w:topLinePunct w:val="0"/>
              <w:autoSpaceDE/>
              <w:autoSpaceDN/>
              <w:bidi w:val="0"/>
              <w:adjustRightInd/>
              <w:snapToGrid w:val="0"/>
              <w:spacing w:line="360" w:lineRule="auto"/>
              <w:ind w:firstLine="595" w:firstLineChars="248"/>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w:t>
            </w:r>
            <w:r>
              <w:rPr>
                <w:rFonts w:hint="default" w:ascii="Times New Roman" w:hAnsi="Times New Roman" w:cs="Times New Roman"/>
                <w:color w:val="000000" w:themeColor="text1"/>
                <w:sz w:val="24"/>
                <w:highlight w:val="none"/>
                <w:lang w:val="en-US" w:eastAsia="zh-CN"/>
                <w14:textFill>
                  <w14:solidFill>
                    <w14:schemeClr w14:val="tx1"/>
                  </w14:solidFill>
                </w14:textFill>
              </w:rPr>
              <w:t>新增劳动定员26人</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参考《建筑给水排水设计</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标准</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GB50015-2019</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要求，</w:t>
            </w:r>
            <w:r>
              <w:rPr>
                <w:rFonts w:hint="default" w:ascii="Times New Roman" w:hAnsi="Times New Roman" w:cs="Times New Roman"/>
                <w:color w:val="000000" w:themeColor="text1"/>
                <w:sz w:val="24"/>
                <w:highlight w:val="none"/>
                <w:lang w:eastAsia="zh-CN"/>
                <w14:textFill>
                  <w14:solidFill>
                    <w14:schemeClr w14:val="tx1"/>
                  </w14:solidFill>
                </w14:textFill>
              </w:rPr>
              <w:t>本项目职工生活用水量按50L/人•天计算，年工作3</w:t>
            </w:r>
            <w:r>
              <w:rPr>
                <w:rFonts w:hint="default" w:ascii="Times New Roman" w:hAnsi="Times New Roman" w:cs="Times New Roman"/>
                <w:color w:val="000000" w:themeColor="text1"/>
                <w:sz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highlight w:val="none"/>
                <w:lang w:eastAsia="zh-CN"/>
                <w14:textFill>
                  <w14:solidFill>
                    <w14:schemeClr w14:val="tx1"/>
                  </w14:solidFill>
                </w14:textFill>
              </w:rPr>
              <w:t>0天，则生活用水量</w:t>
            </w:r>
            <w:r>
              <w:rPr>
                <w:rFonts w:hint="default" w:ascii="Times New Roman" w:hAnsi="Times New Roman" w:cs="Times New Roman"/>
                <w:color w:val="000000" w:themeColor="text1"/>
                <w:sz w:val="24"/>
                <w:highlight w:val="none"/>
                <w:lang w:val="en-US" w:eastAsia="zh-CN"/>
                <w14:textFill>
                  <w14:solidFill>
                    <w14:schemeClr w14:val="tx1"/>
                  </w14:solidFill>
                </w14:textFill>
              </w:rPr>
              <w:t>1.3</w:t>
            </w:r>
            <w:r>
              <w:rPr>
                <w:rFonts w:hint="default" w:ascii="Times New Roman" w:hAnsi="Times New Roman" w:cs="Times New Roman"/>
                <w:color w:val="000000" w:themeColor="text1"/>
                <w:sz w:val="24"/>
                <w:highlight w:val="none"/>
                <w:lang w:eastAsia="zh-CN"/>
                <w14:textFill>
                  <w14:solidFill>
                    <w14:schemeClr w14:val="tx1"/>
                  </w14:solidFill>
                </w14:textFill>
              </w:rPr>
              <w:t>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/d，</w:t>
            </w:r>
            <w:r>
              <w:rPr>
                <w:rFonts w:hint="default" w:ascii="Times New Roman" w:hAnsi="Times New Roman" w:cs="Times New Roman"/>
                <w:color w:val="000000" w:themeColor="text1"/>
                <w:sz w:val="24"/>
                <w:highlight w:val="none"/>
                <w:lang w:val="en-US" w:eastAsia="zh-CN"/>
                <w14:textFill>
                  <w14:solidFill>
                    <w14:schemeClr w14:val="tx1"/>
                  </w14:solidFill>
                </w14:textFill>
              </w:rPr>
              <w:t>390</w:t>
            </w:r>
            <w:r>
              <w:rPr>
                <w:rFonts w:hint="default" w:ascii="Times New Roman" w:hAnsi="Times New Roman" w:cs="Times New Roman"/>
                <w:color w:val="000000" w:themeColor="text1"/>
                <w:sz w:val="24"/>
                <w:highlight w:val="none"/>
                <w:lang w:eastAsia="zh-CN"/>
                <w14:textFill>
                  <w14:solidFill>
                    <w14:schemeClr w14:val="tx1"/>
                  </w14:solidFill>
                </w14:textFill>
              </w:rPr>
              <w:t>m</w:t>
            </w:r>
            <w:r>
              <w:rPr>
                <w:rFonts w:hint="default" w:ascii="Times New Roman" w:hAnsi="Times New Roman" w:cs="Times New Roman"/>
                <w:color w:val="000000" w:themeColor="text1"/>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snapToGrid w:val="0"/>
              <w:spacing w:line="360" w:lineRule="auto"/>
              <w:ind w:firstLine="595" w:firstLineChars="248"/>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实验室</w:t>
            </w:r>
            <w:r>
              <w:rPr>
                <w:rFonts w:hint="default" w:ascii="Times New Roman" w:hAnsi="Times New Roman" w:cs="Times New Roman"/>
                <w:color w:val="000000" w:themeColor="text1"/>
                <w:sz w:val="24"/>
                <w:highlight w:val="none"/>
                <w:lang w:eastAsia="zh-CN"/>
                <w14:textFill>
                  <w14:solidFill>
                    <w14:schemeClr w14:val="tx1"/>
                  </w14:solidFill>
                </w14:textFill>
              </w:rPr>
              <w:t>用水</w:t>
            </w:r>
          </w:p>
          <w:p>
            <w:pPr>
              <w:keepNext w:val="0"/>
              <w:keepLines w:val="0"/>
              <w:pageBreakBefore w:val="0"/>
              <w:widowControl w:val="0"/>
              <w:kinsoku/>
              <w:wordWrap/>
              <w:overflowPunct/>
              <w:topLinePunct w:val="0"/>
              <w:autoSpaceDE/>
              <w:autoSpaceDN/>
              <w:bidi w:val="0"/>
              <w:adjustRightInd/>
              <w:snapToGrid w:val="0"/>
              <w:spacing w:line="360" w:lineRule="auto"/>
              <w:ind w:firstLine="595" w:firstLineChars="248"/>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本项目实验</w:t>
            </w:r>
            <w:r>
              <w:rPr>
                <w:rFonts w:hint="default" w:ascii="Times New Roman" w:hAnsi="Times New Roman" w:cs="Times New Roman"/>
                <w:color w:val="000000" w:themeColor="text1"/>
                <w:sz w:val="24"/>
                <w:highlight w:val="none"/>
                <w:lang w:eastAsia="zh-CN"/>
                <w14:textFill>
                  <w14:solidFill>
                    <w14:schemeClr w14:val="tx1"/>
                  </w14:solidFill>
                </w14:textFill>
              </w:rPr>
              <w:t>室</w:t>
            </w:r>
            <w:r>
              <w:rPr>
                <w:rFonts w:hint="default" w:ascii="Times New Roman" w:hAnsi="Times New Roman" w:cs="Times New Roman"/>
                <w:color w:val="000000" w:themeColor="text1"/>
                <w:sz w:val="24"/>
                <w:highlight w:val="none"/>
                <w:lang w:val="en-US" w:eastAsia="zh-CN"/>
                <w14:textFill>
                  <w14:solidFill>
                    <w14:schemeClr w14:val="tx1"/>
                  </w14:solidFill>
                </w14:textFill>
              </w:rPr>
              <w:t>用水</w:t>
            </w:r>
            <w:r>
              <w:rPr>
                <w:rFonts w:hint="default" w:ascii="Times New Roman" w:hAnsi="Times New Roman" w:cs="Times New Roman"/>
                <w:color w:val="000000" w:themeColor="text1"/>
                <w:sz w:val="24"/>
                <w:highlight w:val="none"/>
                <w:lang w:eastAsia="zh-CN"/>
                <w14:textFill>
                  <w14:solidFill>
                    <w14:schemeClr w14:val="tx1"/>
                  </w14:solidFill>
                </w14:textFill>
              </w:rPr>
              <w:t>主要为试剂配制用水、</w:t>
            </w:r>
            <w:r>
              <w:rPr>
                <w:rFonts w:hint="eastAsia" w:cs="Times New Roman"/>
                <w:color w:val="000000" w:themeColor="text1"/>
                <w:sz w:val="24"/>
                <w:highlight w:val="none"/>
                <w:lang w:val="en-US" w:eastAsia="zh-CN"/>
                <w14:textFill>
                  <w14:solidFill>
                    <w14:schemeClr w14:val="tx1"/>
                  </w14:solidFill>
                </w14:textFill>
              </w:rPr>
              <w:t>实验仪器</w:t>
            </w:r>
            <w:r>
              <w:rPr>
                <w:rFonts w:hint="default" w:ascii="Times New Roman" w:hAnsi="Times New Roman" w:cs="Times New Roman"/>
                <w:color w:val="000000" w:themeColor="text1"/>
                <w:sz w:val="24"/>
                <w:highlight w:val="none"/>
                <w:lang w:eastAsia="zh-CN"/>
                <w14:textFill>
                  <w14:solidFill>
                    <w14:schemeClr w14:val="tx1"/>
                  </w14:solidFill>
                </w14:textFill>
              </w:rPr>
              <w:t>的清洗用水、</w:t>
            </w:r>
            <w:r>
              <w:rPr>
                <w:rFonts w:hint="default" w:ascii="Times New Roman" w:hAnsi="Times New Roman" w:cs="Times New Roman"/>
                <w:color w:val="000000" w:themeColor="text1"/>
                <w:sz w:val="24"/>
                <w:highlight w:val="none"/>
                <w:lang w:val="en-US" w:eastAsia="zh-CN"/>
                <w14:textFill>
                  <w14:solidFill>
                    <w14:schemeClr w14:val="tx1"/>
                  </w14:solidFill>
                </w14:textFill>
              </w:rPr>
              <w:t>地面清洁用水</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①</w:t>
            </w:r>
            <w:r>
              <w:rPr>
                <w:rFonts w:hint="default" w:ascii="Times New Roman" w:hAnsi="Times New Roman" w:cs="Times New Roman"/>
                <w:color w:val="000000" w:themeColor="text1"/>
                <w:sz w:val="24"/>
                <w:highlight w:val="none"/>
                <w14:textFill>
                  <w14:solidFill>
                    <w14:schemeClr w14:val="tx1"/>
                  </w14:solidFill>
                </w14:textFill>
              </w:rPr>
              <w:t>试剂配制用水</w:t>
            </w:r>
          </w:p>
          <w:p>
            <w:pPr>
              <w:adjustRightInd w:val="0"/>
              <w:spacing w:line="360" w:lineRule="auto"/>
              <w:ind w:firstLine="480" w:firstLineChars="200"/>
              <w:contextualSpacing/>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根据建设单位提供资料，</w:t>
            </w:r>
            <w:r>
              <w:rPr>
                <w:rFonts w:hint="default" w:ascii="Times New Roman" w:hAnsi="Times New Roman" w:cs="Times New Roman"/>
                <w:color w:val="000000" w:themeColor="text1"/>
                <w:sz w:val="24"/>
                <w:highlight w:val="none"/>
                <w:lang w:val="en-US" w:eastAsia="zh-CN"/>
                <w14:textFill>
                  <w14:solidFill>
                    <w14:schemeClr w14:val="tx1"/>
                  </w14:solidFill>
                </w14:textFill>
              </w:rPr>
              <w:t>实验用试剂配制</w:t>
            </w:r>
            <w:r>
              <w:rPr>
                <w:rFonts w:hint="default" w:ascii="Times New Roman" w:hAnsi="Times New Roman" w:cs="Times New Roman"/>
                <w:color w:val="000000" w:themeColor="text1"/>
                <w:sz w:val="24"/>
                <w:highlight w:val="none"/>
                <w14:textFill>
                  <w14:solidFill>
                    <w14:schemeClr w14:val="tx1"/>
                  </w14:solidFill>
                </w14:textFill>
              </w:rPr>
              <w:t>过程中用水为</w:t>
            </w:r>
            <w:r>
              <w:rPr>
                <w:rFonts w:hint="default" w:ascii="Times New Roman" w:hAnsi="Times New Roman" w:cs="Times New Roman"/>
                <w:color w:val="000000" w:themeColor="text1"/>
                <w:sz w:val="24"/>
                <w:highlight w:val="none"/>
                <w:lang w:eastAsia="zh-CN"/>
                <w14:textFill>
                  <w14:solidFill>
                    <w14:schemeClr w14:val="tx1"/>
                  </w14:solidFill>
                </w14:textFill>
              </w:rPr>
              <w:t>纯水</w:t>
            </w:r>
            <w:r>
              <w:rPr>
                <w:rFonts w:hint="default" w:ascii="Times New Roman" w:hAnsi="Times New Roman" w:cs="Times New Roman"/>
                <w:color w:val="000000" w:themeColor="text1"/>
                <w:sz w:val="24"/>
                <w:highlight w:val="none"/>
                <w14:textFill>
                  <w14:solidFill>
                    <w14:schemeClr w14:val="tx1"/>
                  </w14:solidFill>
                </w14:textFill>
              </w:rPr>
              <w:t>，纯水</w:t>
            </w:r>
            <w:r>
              <w:rPr>
                <w:rFonts w:hint="default" w:ascii="Times New Roman" w:hAnsi="Times New Roman" w:cs="Times New Roman"/>
                <w:color w:val="000000" w:themeColor="text1"/>
                <w:sz w:val="24"/>
                <w:highlight w:val="none"/>
                <w:lang w:val="en-US" w:eastAsia="zh-CN"/>
                <w14:textFill>
                  <w14:solidFill>
                    <w14:schemeClr w14:val="tx1"/>
                  </w14:solidFill>
                </w14:textFill>
              </w:rPr>
              <w:t>用</w:t>
            </w:r>
            <w:r>
              <w:rPr>
                <w:rFonts w:hint="default" w:ascii="Times New Roman" w:hAnsi="Times New Roman" w:cs="Times New Roman"/>
                <w:color w:val="000000" w:themeColor="text1"/>
                <w:sz w:val="24"/>
                <w:highlight w:val="none"/>
                <w14:textFill>
                  <w14:solidFill>
                    <w14:schemeClr w14:val="tx1"/>
                  </w14:solidFill>
                </w14:textFill>
              </w:rPr>
              <w:t>量为</w:t>
            </w:r>
            <w:r>
              <w:rPr>
                <w:rFonts w:hint="default" w:ascii="Times New Roman" w:hAnsi="Times New Roman" w:cs="Times New Roman"/>
                <w:color w:val="000000" w:themeColor="text1"/>
                <w:sz w:val="24"/>
                <w:highlight w:val="none"/>
                <w:lang w:val="en-US" w:eastAsia="zh-CN"/>
                <w14:textFill>
                  <w14:solidFill>
                    <w14:schemeClr w14:val="tx1"/>
                  </w14:solidFill>
                </w14:textFill>
              </w:rPr>
              <w:t>30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/a，0.1</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595" w:firstLineChars="248"/>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w:t>
            </w:r>
            <w:r>
              <w:rPr>
                <w:rFonts w:hint="eastAsia" w:cs="Times New Roman"/>
                <w:color w:val="000000" w:themeColor="text1"/>
                <w:sz w:val="24"/>
                <w:highlight w:val="none"/>
                <w:lang w:val="en-US" w:eastAsia="zh-CN"/>
                <w14:textFill>
                  <w14:solidFill>
                    <w14:schemeClr w14:val="tx1"/>
                  </w14:solidFill>
                </w14:textFill>
              </w:rPr>
              <w:t>实验仪器</w:t>
            </w:r>
            <w:r>
              <w:rPr>
                <w:rFonts w:hint="default" w:ascii="Times New Roman" w:hAnsi="Times New Roman" w:cs="Times New Roman"/>
                <w:color w:val="000000" w:themeColor="text1"/>
                <w:sz w:val="24"/>
                <w:highlight w:val="none"/>
                <w:lang w:eastAsia="zh-CN"/>
                <w14:textFill>
                  <w14:solidFill>
                    <w14:schemeClr w14:val="tx1"/>
                  </w14:solidFill>
                </w14:textFill>
              </w:rPr>
              <w:t>清洗</w:t>
            </w:r>
            <w:r>
              <w:rPr>
                <w:rFonts w:hint="default" w:ascii="Times New Roman" w:hAnsi="Times New Roman" w:cs="Times New Roman"/>
                <w:color w:val="000000" w:themeColor="text1"/>
                <w:sz w:val="24"/>
                <w:highlight w:val="none"/>
                <w:lang w:val="en-US" w:eastAsia="zh-CN"/>
                <w14:textFill>
                  <w14:solidFill>
                    <w14:schemeClr w14:val="tx1"/>
                  </w14:solidFill>
                </w14:textFill>
              </w:rPr>
              <w:t>用水</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根据建设单位提供资料，</w:t>
            </w:r>
            <w:r>
              <w:rPr>
                <w:rFonts w:hint="eastAsia" w:cs="Times New Roman"/>
                <w:color w:val="000000" w:themeColor="text1"/>
                <w:sz w:val="24"/>
                <w:highlight w:val="none"/>
                <w:lang w:val="en-US" w:eastAsia="zh-CN"/>
                <w14:textFill>
                  <w14:solidFill>
                    <w14:schemeClr w14:val="tx1"/>
                  </w14:solidFill>
                </w14:textFill>
              </w:rPr>
              <w:t>实验仪器</w:t>
            </w:r>
            <w:r>
              <w:rPr>
                <w:rFonts w:hint="default" w:ascii="Times New Roman" w:hAnsi="Times New Roman" w:cs="Times New Roman"/>
                <w:color w:val="000000" w:themeColor="text1"/>
                <w:sz w:val="24"/>
                <w:highlight w:val="none"/>
                <w:lang w:val="en-US" w:eastAsia="zh-CN"/>
                <w14:textFill>
                  <w14:solidFill>
                    <w14:schemeClr w14:val="tx1"/>
                  </w14:solidFill>
                </w14:textFill>
              </w:rPr>
              <w:t>分两步清洗。第一步</w:t>
            </w:r>
            <w:r>
              <w:rPr>
                <w:rFonts w:hint="default" w:ascii="Times New Roman" w:hAnsi="Times New Roman" w:cs="Times New Roman"/>
                <w:color w:val="000000" w:themeColor="text1"/>
                <w:sz w:val="24"/>
                <w:highlight w:val="none"/>
                <w14:textFill>
                  <w14:solidFill>
                    <w14:schemeClr w14:val="tx1"/>
                  </w14:solidFill>
                </w14:textFill>
              </w:rPr>
              <w:t>利用新鲜水</w:t>
            </w:r>
            <w:r>
              <w:rPr>
                <w:rFonts w:hint="default" w:ascii="Times New Roman" w:hAnsi="Times New Roman" w:cs="Times New Roman"/>
                <w:color w:val="000000" w:themeColor="text1"/>
                <w:sz w:val="24"/>
                <w:highlight w:val="none"/>
                <w:lang w:eastAsia="zh-CN"/>
                <w14:textFill>
                  <w14:solidFill>
                    <w14:schemeClr w14:val="tx1"/>
                  </w14:solidFill>
                </w14:textFill>
              </w:rPr>
              <w:t>将</w:t>
            </w:r>
            <w:r>
              <w:rPr>
                <w:rFonts w:hint="eastAsia" w:cs="Times New Roman"/>
                <w:color w:val="000000" w:themeColor="text1"/>
                <w:sz w:val="24"/>
                <w:highlight w:val="none"/>
                <w:lang w:val="en-US" w:eastAsia="zh-CN"/>
                <w14:textFill>
                  <w14:solidFill>
                    <w14:schemeClr w14:val="tx1"/>
                  </w14:solidFill>
                </w14:textFill>
              </w:rPr>
              <w:t>实验仪器</w:t>
            </w:r>
            <w:r>
              <w:rPr>
                <w:rFonts w:hint="default" w:ascii="Times New Roman" w:hAnsi="Times New Roman" w:cs="Times New Roman"/>
                <w:color w:val="000000" w:themeColor="text1"/>
                <w:sz w:val="24"/>
                <w:highlight w:val="none"/>
                <w:lang w:eastAsia="zh-CN"/>
                <w14:textFill>
                  <w14:solidFill>
                    <w14:schemeClr w14:val="tx1"/>
                  </w14:solidFill>
                </w14:textFill>
              </w:rPr>
              <w:t>附着物清洗干净，</w:t>
            </w:r>
            <w:r>
              <w:rPr>
                <w:rFonts w:hint="default" w:ascii="Times New Roman" w:hAnsi="Times New Roman" w:cs="Times New Roman"/>
                <w:color w:val="000000" w:themeColor="text1"/>
                <w:sz w:val="24"/>
                <w:highlight w:val="none"/>
                <w14:textFill>
                  <w14:solidFill>
                    <w14:schemeClr w14:val="tx1"/>
                  </w14:solidFill>
                </w14:textFill>
              </w:rPr>
              <w:t>用水量约</w:t>
            </w:r>
            <w:r>
              <w:rPr>
                <w:rFonts w:hint="default" w:ascii="Times New Roman" w:hAnsi="Times New Roman" w:cs="Times New Roman"/>
                <w:color w:val="000000" w:themeColor="text1"/>
                <w:sz w:val="24"/>
                <w:highlight w:val="none"/>
                <w:lang w:val="en-US" w:eastAsia="zh-CN"/>
                <w14:textFill>
                  <w14:solidFill>
                    <w14:schemeClr w14:val="tx1"/>
                  </w14:solidFill>
                </w14:textFill>
              </w:rPr>
              <w:t>0.02</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w:t>
            </w:r>
            <w:r>
              <w:rPr>
                <w:rFonts w:hint="default" w:ascii="Times New Roman" w:hAnsi="Times New Roman"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/a。</w:t>
            </w:r>
            <w:r>
              <w:rPr>
                <w:rFonts w:hint="default" w:ascii="Times New Roman" w:hAnsi="Times New Roman" w:cs="Times New Roman"/>
                <w:color w:val="000000" w:themeColor="text1"/>
                <w:sz w:val="24"/>
                <w:highlight w:val="none"/>
                <w:lang w:eastAsia="zh-CN"/>
                <w14:textFill>
                  <w14:solidFill>
                    <w14:schemeClr w14:val="tx1"/>
                  </w14:solidFill>
                </w14:textFill>
              </w:rPr>
              <w:t>第二步采用纯水清洗，纯水用水量约0.</w:t>
            </w:r>
            <w:r>
              <w:rPr>
                <w:rFonts w:hint="default" w:ascii="Times New Roman" w:hAnsi="Times New Roman" w:cs="Times New Roman"/>
                <w:color w:val="000000" w:themeColor="text1"/>
                <w:sz w:val="24"/>
                <w:highlight w:val="none"/>
                <w:lang w:val="en-US" w:eastAsia="zh-CN"/>
                <w14:textFill>
                  <w14:solidFill>
                    <w14:schemeClr w14:val="tx1"/>
                  </w14:solidFill>
                </w14:textFill>
              </w:rPr>
              <w:t>01</w:t>
            </w:r>
            <w:r>
              <w:rPr>
                <w:rFonts w:hint="default" w:ascii="Times New Roman" w:hAnsi="Times New Roman" w:cs="Times New Roman"/>
                <w:color w:val="000000" w:themeColor="text1"/>
                <w:sz w:val="24"/>
                <w:highlight w:val="none"/>
                <w:lang w:eastAsia="zh-CN"/>
                <w14:textFill>
                  <w14:solidFill>
                    <w14:schemeClr w14:val="tx1"/>
                  </w14:solidFill>
                </w14:textFill>
              </w:rPr>
              <w:t>m³/</w:t>
            </w:r>
            <w:r>
              <w:rPr>
                <w:rFonts w:hint="default" w:ascii="Times New Roman" w:hAnsi="Times New Roman" w:cs="Times New Roman"/>
                <w:color w:val="000000" w:themeColor="text1"/>
                <w:sz w:val="24"/>
                <w:highlight w:val="none"/>
                <w:lang w:val="en-US" w:eastAsia="zh-CN"/>
                <w14:textFill>
                  <w14:solidFill>
                    <w14:schemeClr w14:val="tx1"/>
                  </w14:solidFill>
                </w14:textFill>
              </w:rPr>
              <w:t>d</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/a</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③地面清洁用水</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根据建设单位提供资料，项目地面清洁用水约0.</w:t>
            </w: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w:t>
            </w:r>
            <w:r>
              <w:rPr>
                <w:rFonts w:hint="default" w:ascii="Times New Roman" w:hAnsi="Times New Roman" w:cs="Times New Roman"/>
                <w:color w:val="000000" w:themeColor="text1"/>
                <w:sz w:val="24"/>
                <w:highlight w:val="none"/>
                <w:lang w:val="en-US" w:eastAsia="zh-CN"/>
                <w14:textFill>
                  <w14:solidFill>
                    <w14:schemeClr w14:val="tx1"/>
                  </w14:solidFill>
                </w14:textFill>
              </w:rPr>
              <w:t>60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/a。</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纯水制备</w:t>
            </w:r>
            <w:r>
              <w:rPr>
                <w:rFonts w:hint="default" w:ascii="Times New Roman" w:hAnsi="Times New Roman" w:cs="Times New Roman"/>
                <w:color w:val="000000" w:themeColor="text1"/>
                <w:sz w:val="24"/>
                <w:highlight w:val="none"/>
                <w14:textFill>
                  <w14:solidFill>
                    <w14:schemeClr w14:val="tx1"/>
                  </w14:solidFill>
                </w14:textFill>
              </w:rPr>
              <w:t>用水</w:t>
            </w:r>
          </w:p>
          <w:p>
            <w:pPr>
              <w:numPr>
                <w:ilvl w:val="0"/>
                <w:numId w:val="0"/>
              </w:numPr>
              <w:snapToGrid w:val="0"/>
              <w:spacing w:line="360" w:lineRule="auto"/>
              <w:ind w:firstLine="512" w:firstLineChars="200"/>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t>本项目生产过程使用纯水，</w:t>
            </w:r>
            <w:bookmarkStart w:id="15" w:name="OLE_LINK13"/>
            <w:r>
              <w:rPr>
                <w:rFonts w:hint="eastAsia" w:ascii="Times New Roman" w:hAnsi="Times New Roman" w:eastAsia="宋体" w:cs="Times New Roman"/>
                <w:color w:val="000000" w:themeColor="text1"/>
                <w:spacing w:val="8"/>
                <w:sz w:val="24"/>
                <w:highlight w:val="none"/>
                <w:lang w:val="en-US" w:eastAsia="zh-CN"/>
                <w14:textFill>
                  <w14:solidFill>
                    <w14:schemeClr w14:val="tx1"/>
                  </w14:solidFill>
                </w14:textFill>
              </w:rPr>
              <w:t>依托厂区现有</w:t>
            </w:r>
            <w:r>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t>一套纯水制备系统</w:t>
            </w:r>
            <w:bookmarkEnd w:id="15"/>
            <w:r>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t>，系统产水量为10m</w:t>
            </w:r>
            <w:r>
              <w:rPr>
                <w:rFonts w:hint="default" w:ascii="Times New Roman" w:hAnsi="Times New Roman" w:eastAsia="宋体" w:cs="Times New Roman"/>
                <w:color w:val="000000" w:themeColor="text1"/>
                <w:spacing w:val="8"/>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t>/h，纯水制备效率为75%。纯水制备系统采用“石英砂过滤器+活性碳吸附过滤器+一级RO反渗透+二级RO反渗透”工艺，流程为：原水→原水箱→原水泵→石英砂过滤器→活性炭过滤器→精密过滤器→高压泵→一级反渗透→中间水箱→二级反渗透→二级中间水箱→</w:t>
            </w:r>
            <w:r>
              <w:rPr>
                <w:rFonts w:hint="default" w:ascii="Times New Roman" w:hAnsi="Times New Roman" w:cs="Times New Roman"/>
                <w:color w:val="000000" w:themeColor="text1"/>
                <w:spacing w:val="8"/>
                <w:sz w:val="24"/>
                <w:highlight w:val="none"/>
                <w:lang w:val="en-US" w:eastAsia="zh-CN"/>
                <w14:textFill>
                  <w14:solidFill>
                    <w14:schemeClr w14:val="tx1"/>
                  </w14:solidFill>
                </w14:textFill>
              </w:rPr>
              <w:t>EDI</w:t>
            </w:r>
            <w:r>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t>→纯水水箱→输水泵→用水点。</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本项目纯水使用量为</w:t>
            </w:r>
            <w:r>
              <w:rPr>
                <w:rFonts w:hint="eastAsia" w:cs="Times New Roman"/>
                <w:color w:val="000000" w:themeColor="text1"/>
                <w:sz w:val="24"/>
                <w:highlight w:val="none"/>
                <w:lang w:val="en-US" w:eastAsia="zh-CN"/>
                <w14:textFill>
                  <w14:solidFill>
                    <w14:schemeClr w14:val="tx1"/>
                  </w14:solidFill>
                </w14:textFill>
              </w:rPr>
              <w:t>33m³</w:t>
            </w:r>
            <w:r>
              <w:rPr>
                <w:rFonts w:hint="default" w:ascii="Times New Roman" w:hAnsi="Times New Roman" w:cs="Times New Roman"/>
                <w:color w:val="000000" w:themeColor="text1"/>
                <w:sz w:val="24"/>
                <w:highlight w:val="none"/>
                <w14:textFill>
                  <w14:solidFill>
                    <w14:schemeClr w14:val="tx1"/>
                  </w14:solidFill>
                </w14:textFill>
              </w:rPr>
              <w:t>/a。制备纯水所用的新鲜水量为</w:t>
            </w:r>
            <w:r>
              <w:rPr>
                <w:rFonts w:hint="eastAsia" w:cs="Times New Roman"/>
                <w:color w:val="000000" w:themeColor="text1"/>
                <w:sz w:val="24"/>
                <w:highlight w:val="none"/>
                <w:lang w:val="en-US" w:eastAsia="zh-CN"/>
                <w14:textFill>
                  <w14:solidFill>
                    <w14:schemeClr w14:val="tx1"/>
                  </w14:solidFill>
                </w14:textFill>
              </w:rPr>
              <w:t>44m³</w:t>
            </w:r>
            <w:r>
              <w:rPr>
                <w:rFonts w:hint="default" w:ascii="Times New Roman" w:hAnsi="Times New Roman" w:cs="Times New Roman"/>
                <w:color w:val="000000" w:themeColor="text1"/>
                <w:sz w:val="24"/>
                <w:highlight w:val="none"/>
                <w14:textFill>
                  <w14:solidFill>
                    <w14:schemeClr w14:val="tx1"/>
                  </w14:solidFill>
                </w14:textFill>
              </w:rPr>
              <w:t>/a。</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综上，本项目新鲜水用量为</w:t>
            </w:r>
            <w:r>
              <w:rPr>
                <w:rFonts w:hint="eastAsia" w:cs="Times New Roman"/>
                <w:color w:val="000000" w:themeColor="text1"/>
                <w:sz w:val="24"/>
                <w:highlight w:val="none"/>
                <w:lang w:val="en-US" w:eastAsia="zh-CN"/>
                <w14:textFill>
                  <w14:solidFill>
                    <w14:schemeClr w14:val="tx1"/>
                  </w14:solidFill>
                </w14:textFill>
              </w:rPr>
              <w:t>500</w:t>
            </w:r>
            <w:r>
              <w:rPr>
                <w:rFonts w:hint="default" w:ascii="Times New Roman" w:hAnsi="Times New Roman" w:cs="Times New Roman"/>
                <w:color w:val="000000" w:themeColor="text1"/>
                <w:sz w:val="24"/>
                <w:highlight w:val="none"/>
                <w14:textFill>
                  <w14:solidFill>
                    <w14:schemeClr w14:val="tx1"/>
                  </w14:solidFill>
                </w14:textFill>
              </w:rPr>
              <w:t>m³/a，纯</w:t>
            </w:r>
            <w:r>
              <w:rPr>
                <w:rFonts w:hint="default" w:ascii="Times New Roman" w:hAnsi="Times New Roman" w:cs="Times New Roman"/>
                <w:color w:val="000000" w:themeColor="text1"/>
                <w:sz w:val="24"/>
                <w:highlight w:val="none"/>
                <w:lang w:val="en-US" w:eastAsia="zh-CN"/>
                <w14:textFill>
                  <w14:solidFill>
                    <w14:schemeClr w14:val="tx1"/>
                  </w14:solidFill>
                </w14:textFill>
              </w:rPr>
              <w:t>化</w:t>
            </w:r>
            <w:r>
              <w:rPr>
                <w:rFonts w:hint="default" w:ascii="Times New Roman" w:hAnsi="Times New Roman" w:cs="Times New Roman"/>
                <w:color w:val="000000" w:themeColor="text1"/>
                <w:sz w:val="24"/>
                <w:highlight w:val="none"/>
                <w14:textFill>
                  <w14:solidFill>
                    <w14:schemeClr w14:val="tx1"/>
                  </w14:solidFill>
                </w14:textFill>
              </w:rPr>
              <w:t>水量</w:t>
            </w:r>
            <w:r>
              <w:rPr>
                <w:rFonts w:hint="default" w:ascii="Times New Roman" w:hAnsi="Times New Roman" w:cs="Times New Roman"/>
                <w:color w:val="000000" w:themeColor="text1"/>
                <w:sz w:val="24"/>
                <w:highlight w:val="none"/>
                <w:lang w:val="en-US" w:eastAsia="zh-CN"/>
                <w14:textFill>
                  <w14:solidFill>
                    <w14:schemeClr w14:val="tx1"/>
                  </w14:solidFill>
                </w14:textFill>
              </w:rPr>
              <w:t>33</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contextualSpacing/>
              <w:jc w:val="center"/>
              <w:textAlignment w:val="auto"/>
              <w:rPr>
                <w:rFonts w:hint="default" w:ascii="Times New Roman" w:hAnsi="Times New Roman" w:cs="Times New Roman"/>
                <w:b/>
                <w:bCs w:val="0"/>
                <w:color w:val="000000" w:themeColor="text1"/>
                <w:sz w:val="24"/>
                <w:highlight w:val="none"/>
                <w14:textFill>
                  <w14:solidFill>
                    <w14:schemeClr w14:val="tx1"/>
                  </w14:solidFill>
                </w14:textFill>
              </w:rPr>
            </w:pPr>
            <w:r>
              <w:rPr>
                <w:rFonts w:hint="default" w:ascii="Times New Roman" w:hAnsi="Times New Roman" w:cs="Times New Roman"/>
                <w:b/>
                <w:bCs w:val="0"/>
                <w:color w:val="000000" w:themeColor="text1"/>
                <w:sz w:val="24"/>
                <w:highlight w:val="none"/>
                <w14:textFill>
                  <w14:solidFill>
                    <w14:schemeClr w14:val="tx1"/>
                  </w14:solidFill>
                </w14:textFill>
              </w:rPr>
              <w:t>表2-</w:t>
            </w:r>
            <w:r>
              <w:rPr>
                <w:rFonts w:hint="eastAsia" w:cs="Times New Roman"/>
                <w:b/>
                <w:bCs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b/>
                <w:bCs w:val="0"/>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4"/>
                <w:highlight w:val="none"/>
                <w14:textFill>
                  <w14:solidFill>
                    <w14:schemeClr w14:val="tx1"/>
                  </w14:solidFill>
                </w14:textFill>
              </w:rPr>
              <w:t>本项目用水情况一览表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308"/>
              <w:gridCol w:w="1316"/>
              <w:gridCol w:w="1131"/>
              <w:gridCol w:w="1053"/>
              <w:gridCol w:w="25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362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用水环节</w:t>
                  </w:r>
                </w:p>
              </w:tc>
              <w:tc>
                <w:tcPr>
                  <w:tcW w:w="113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水质类型</w:t>
                  </w:r>
                </w:p>
              </w:tc>
              <w:tc>
                <w:tcPr>
                  <w:tcW w:w="10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用水量（m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/a）</w:t>
                  </w:r>
                </w:p>
              </w:tc>
              <w:tc>
                <w:tcPr>
                  <w:tcW w:w="25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供应途径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362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生活用水</w:t>
                  </w:r>
                </w:p>
              </w:tc>
              <w:tc>
                <w:tcPr>
                  <w:tcW w:w="113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新鲜水</w:t>
                  </w:r>
                </w:p>
              </w:tc>
              <w:tc>
                <w:tcPr>
                  <w:tcW w:w="10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390</w:t>
                  </w:r>
                </w:p>
              </w:tc>
              <w:tc>
                <w:tcPr>
                  <w:tcW w:w="25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依托现有供水管网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2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试剂配制</w:t>
                  </w:r>
                </w:p>
              </w:tc>
              <w:tc>
                <w:tcPr>
                  <w:tcW w:w="113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纯化水</w:t>
                  </w:r>
                </w:p>
              </w:tc>
              <w:tc>
                <w:tcPr>
                  <w:tcW w:w="10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25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依托现有纯水制备系统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30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实验仪器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清洗</w:t>
                  </w:r>
                </w:p>
              </w:tc>
              <w:tc>
                <w:tcPr>
                  <w:tcW w:w="131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第一步清洗</w:t>
                  </w:r>
                </w:p>
              </w:tc>
              <w:tc>
                <w:tcPr>
                  <w:tcW w:w="113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新鲜水</w:t>
                  </w:r>
                </w:p>
              </w:tc>
              <w:tc>
                <w:tcPr>
                  <w:tcW w:w="10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25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依托现有供水管网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30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31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第二步清洗</w:t>
                  </w:r>
                </w:p>
              </w:tc>
              <w:tc>
                <w:tcPr>
                  <w:tcW w:w="113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纯化水</w:t>
                  </w:r>
                </w:p>
              </w:tc>
              <w:tc>
                <w:tcPr>
                  <w:tcW w:w="10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25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依托现有纯水制备系统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2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地面清洁用水</w:t>
                  </w:r>
                </w:p>
              </w:tc>
              <w:tc>
                <w:tcPr>
                  <w:tcW w:w="113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新鲜水</w:t>
                  </w:r>
                </w:p>
              </w:tc>
              <w:tc>
                <w:tcPr>
                  <w:tcW w:w="10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25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依托现有供水管网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2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纯水制备用水</w:t>
                  </w:r>
                </w:p>
              </w:tc>
              <w:tc>
                <w:tcPr>
                  <w:tcW w:w="113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新鲜水</w:t>
                  </w:r>
                </w:p>
              </w:tc>
              <w:tc>
                <w:tcPr>
                  <w:tcW w:w="10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44</w:t>
                  </w:r>
                </w:p>
              </w:tc>
              <w:tc>
                <w:tcPr>
                  <w:tcW w:w="25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依托现有供水管网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24"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合计</w:t>
                  </w:r>
                </w:p>
              </w:tc>
              <w:tc>
                <w:tcPr>
                  <w:tcW w:w="113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新鲜水</w:t>
                  </w:r>
                </w:p>
              </w:tc>
              <w:tc>
                <w:tcPr>
                  <w:tcW w:w="10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500</w:t>
                  </w:r>
                </w:p>
              </w:tc>
              <w:tc>
                <w:tcPr>
                  <w:tcW w:w="25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依托现有供水管网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24" w:type="dxa"/>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13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纯化水</w:t>
                  </w:r>
                </w:p>
              </w:tc>
              <w:tc>
                <w:tcPr>
                  <w:tcW w:w="105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33</w:t>
                  </w:r>
                </w:p>
              </w:tc>
              <w:tc>
                <w:tcPr>
                  <w:tcW w:w="255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依托现有纯水制备系统</w:t>
                  </w:r>
                </w:p>
              </w:tc>
            </w:tr>
          </w:tbl>
          <w:p>
            <w:pPr>
              <w:spacing w:line="360" w:lineRule="auto"/>
              <w:ind w:firstLine="482"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排</w:t>
            </w:r>
            <w:r>
              <w:rPr>
                <w:rFonts w:hint="default" w:ascii="Times New Roman" w:hAnsi="Times New Roman" w:cs="Times New Roman"/>
                <w:b/>
                <w:bCs/>
                <w:color w:val="000000" w:themeColor="text1"/>
                <w:sz w:val="24"/>
                <w:highlight w:val="none"/>
                <w14:textFill>
                  <w14:solidFill>
                    <w14:schemeClr w14:val="tx1"/>
                  </w14:solidFill>
                </w14:textFill>
              </w:rPr>
              <w:t>水：</w:t>
            </w:r>
            <w:r>
              <w:rPr>
                <w:rFonts w:hint="default" w:ascii="Times New Roman" w:hAnsi="Times New Roman" w:cs="Times New Roman"/>
                <w:color w:val="000000" w:themeColor="text1"/>
                <w:sz w:val="24"/>
                <w:highlight w:val="none"/>
                <w14:textFill>
                  <w14:solidFill>
                    <w14:schemeClr w14:val="tx1"/>
                  </w14:solidFill>
                </w14:textFill>
              </w:rPr>
              <w:t>本项目排水系统采用清污分流、雨污分流的排放体系。</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1）生活污水</w:t>
            </w:r>
          </w:p>
          <w:p>
            <w:pPr>
              <w:spacing w:line="360" w:lineRule="auto"/>
              <w:ind w:firstLine="512" w:firstLineChars="200"/>
              <w:rPr>
                <w:rFonts w:hint="default" w:ascii="Times New Roman" w:hAnsi="Times New Roman" w:cs="Times New Roman"/>
                <w:color w:val="000000" w:themeColor="text1"/>
                <w:spacing w:val="8"/>
                <w:sz w:val="24"/>
                <w:highlight w:val="none"/>
                <w14:textFill>
                  <w14:solidFill>
                    <w14:schemeClr w14:val="tx1"/>
                  </w14:solidFill>
                </w14:textFill>
              </w:rPr>
            </w:pPr>
            <w:r>
              <w:rPr>
                <w:rFonts w:hint="default" w:ascii="Times New Roman" w:hAnsi="Times New Roman" w:cs="Times New Roman"/>
                <w:color w:val="000000" w:themeColor="text1"/>
                <w:spacing w:val="8"/>
                <w:sz w:val="24"/>
                <w:highlight w:val="none"/>
                <w14:textFill>
                  <w14:solidFill>
                    <w14:schemeClr w14:val="tx1"/>
                  </w14:solidFill>
                </w14:textFill>
              </w:rPr>
              <w:t>拟建项目生活污水按用水量的80%计算，</w:t>
            </w:r>
            <w:r>
              <w:rPr>
                <w:rFonts w:hint="default" w:ascii="Times New Roman" w:hAnsi="Times New Roman" w:cs="Times New Roman"/>
                <w:color w:val="000000" w:themeColor="text1"/>
                <w:spacing w:val="8"/>
                <w:sz w:val="24"/>
                <w:highlight w:val="none"/>
                <w:lang w:val="en-US" w:eastAsia="zh-CN"/>
                <w14:textFill>
                  <w14:solidFill>
                    <w14:schemeClr w14:val="tx1"/>
                  </w14:solidFill>
                </w14:textFill>
              </w:rPr>
              <w:t>则生活污水产生量为312m³/a，</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pacing w:val="8"/>
                <w:sz w:val="24"/>
                <w:highlight w:val="none"/>
                <w:lang w:val="en-US" w:eastAsia="zh-CN"/>
                <w14:textFill>
                  <w14:solidFill>
                    <w14:schemeClr w14:val="tx1"/>
                  </w14:solidFill>
                </w14:textFill>
              </w:rPr>
              <w:t>1.04</w:t>
            </w:r>
            <w:r>
              <w:rPr>
                <w:rFonts w:hint="default" w:ascii="Times New Roman" w:hAnsi="Times New Roman" w:cs="Times New Roman"/>
                <w:color w:val="000000" w:themeColor="text1"/>
                <w:spacing w:val="8"/>
                <w:sz w:val="24"/>
                <w:highlight w:val="none"/>
                <w14:textFill>
                  <w14:solidFill>
                    <w14:schemeClr w14:val="tx1"/>
                  </w14:solidFill>
                </w14:textFill>
              </w:rPr>
              <w:t>m</w:t>
            </w:r>
            <w:r>
              <w:rPr>
                <w:rFonts w:hint="default" w:ascii="Times New Roman" w:hAnsi="Times New Roman" w:cs="Times New Roman"/>
                <w:color w:val="000000" w:themeColor="text1"/>
                <w:spacing w:val="8"/>
                <w:sz w:val="24"/>
                <w:highlight w:val="none"/>
                <w:vertAlign w:val="superscript"/>
                <w14:textFill>
                  <w14:solidFill>
                    <w14:schemeClr w14:val="tx1"/>
                  </w14:solidFill>
                </w14:textFill>
              </w:rPr>
              <w:t>3</w:t>
            </w:r>
            <w:r>
              <w:rPr>
                <w:rFonts w:hint="default" w:ascii="Times New Roman" w:hAnsi="Times New Roman" w:cs="Times New Roman"/>
                <w:color w:val="000000" w:themeColor="text1"/>
                <w:spacing w:val="8"/>
                <w:sz w:val="24"/>
                <w:highlight w:val="none"/>
                <w14:textFill>
                  <w14:solidFill>
                    <w14:schemeClr w14:val="tx1"/>
                  </w14:solidFill>
                </w14:textFill>
              </w:rPr>
              <w:t>/d</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pacing w:val="8"/>
                <w:sz w:val="24"/>
                <w:highlight w:val="none"/>
                <w14:textFill>
                  <w14:solidFill>
                    <w14:schemeClr w14:val="tx1"/>
                  </w14:solidFill>
                </w14:textFill>
              </w:rPr>
              <w:t>，产生的污水水质简单，主要含有CODcr、BOD</w:t>
            </w:r>
            <w:r>
              <w:rPr>
                <w:rFonts w:hint="default" w:ascii="Times New Roman" w:hAnsi="Times New Roman" w:cs="Times New Roman"/>
                <w:color w:val="000000" w:themeColor="text1"/>
                <w:spacing w:val="8"/>
                <w:sz w:val="24"/>
                <w:highlight w:val="none"/>
                <w:vertAlign w:val="subscript"/>
                <w14:textFill>
                  <w14:solidFill>
                    <w14:schemeClr w14:val="tx1"/>
                  </w14:solidFill>
                </w14:textFill>
              </w:rPr>
              <w:t>5</w:t>
            </w:r>
            <w:r>
              <w:rPr>
                <w:rFonts w:hint="default" w:ascii="Times New Roman" w:hAnsi="Times New Roman" w:cs="Times New Roman"/>
                <w:color w:val="000000" w:themeColor="text1"/>
                <w:spacing w:val="8"/>
                <w:sz w:val="24"/>
                <w:highlight w:val="none"/>
                <w14:textFill>
                  <w14:solidFill>
                    <w14:schemeClr w14:val="tx1"/>
                  </w14:solidFill>
                </w14:textFill>
              </w:rPr>
              <w:t>、SS、氨氮</w:t>
            </w:r>
            <w:r>
              <w:rPr>
                <w:rFonts w:hint="default" w:ascii="Times New Roman" w:hAnsi="Times New Roman" w:cs="Times New Roman"/>
                <w:color w:val="000000" w:themeColor="text1"/>
                <w:spacing w:val="8"/>
                <w:sz w:val="24"/>
                <w:highlight w:val="none"/>
                <w:lang w:eastAsia="zh-CN"/>
                <w14:textFill>
                  <w14:solidFill>
                    <w14:schemeClr w14:val="tx1"/>
                  </w14:solidFill>
                </w14:textFill>
              </w:rPr>
              <w:t>、</w:t>
            </w:r>
            <w:r>
              <w:rPr>
                <w:rFonts w:hint="default" w:ascii="Times New Roman" w:hAnsi="Times New Roman" w:cs="Times New Roman"/>
                <w:color w:val="000000" w:themeColor="text1"/>
                <w:spacing w:val="8"/>
                <w:sz w:val="24"/>
                <w:highlight w:val="none"/>
                <w14:textFill>
                  <w14:solidFill>
                    <w14:schemeClr w14:val="tx1"/>
                  </w14:solidFill>
                </w14:textFill>
              </w:rPr>
              <w:t>等，产生的生活污水经厂区污水处理站预处理后排入园区污水管网送园区污水处理厂做深度处理。</w:t>
            </w:r>
          </w:p>
          <w:p>
            <w:pPr>
              <w:numPr>
                <w:ilvl w:val="0"/>
                <w:numId w:val="0"/>
              </w:num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实验室</w:t>
            </w:r>
            <w:r>
              <w:rPr>
                <w:rFonts w:hint="default" w:ascii="Times New Roman" w:hAnsi="Times New Roman" w:cs="Times New Roman"/>
                <w:color w:val="000000" w:themeColor="text1"/>
                <w:sz w:val="24"/>
                <w:highlight w:val="none"/>
                <w14:textFill>
                  <w14:solidFill>
                    <w14:schemeClr w14:val="tx1"/>
                  </w14:solidFill>
                </w14:textFill>
              </w:rPr>
              <w:t>废水</w:t>
            </w:r>
          </w:p>
          <w:p>
            <w:pPr>
              <w:numPr>
                <w:ilvl w:val="0"/>
                <w:numId w:val="0"/>
              </w:num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本项目实验室废水包括</w:t>
            </w:r>
            <w:r>
              <w:rPr>
                <w:rFonts w:hint="eastAsia" w:cs="Times New Roman"/>
                <w:color w:val="000000" w:themeColor="text1"/>
                <w:sz w:val="24"/>
                <w:highlight w:val="none"/>
                <w:lang w:val="en-US" w:eastAsia="zh-CN"/>
                <w14:textFill>
                  <w14:solidFill>
                    <w14:schemeClr w14:val="tx1"/>
                  </w14:solidFill>
                </w14:textFill>
              </w:rPr>
              <w:t>实验仪器</w:t>
            </w:r>
            <w:r>
              <w:rPr>
                <w:rFonts w:hint="default" w:ascii="Times New Roman" w:hAnsi="Times New Roman" w:cs="Times New Roman"/>
                <w:color w:val="000000" w:themeColor="text1"/>
                <w:sz w:val="24"/>
                <w:highlight w:val="none"/>
                <w14:textFill>
                  <w14:solidFill>
                    <w14:schemeClr w14:val="tx1"/>
                  </w14:solidFill>
                </w14:textFill>
              </w:rPr>
              <w:t>清洗废水、地面清洁废水。</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①试剂配制纯水进入配制溶液中，试验完毕后，实验废液(含水</w:t>
            </w:r>
            <w:r>
              <w:rPr>
                <w:rFonts w:hint="default" w:ascii="Times New Roman" w:hAnsi="Times New Roman" w:cs="Times New Roman"/>
                <w:color w:val="000000" w:themeColor="text1"/>
                <w:sz w:val="24"/>
                <w:highlight w:val="none"/>
                <w:lang w:val="en-US" w:eastAsia="zh-CN"/>
                <w14:textFill>
                  <w14:solidFill>
                    <w14:schemeClr w14:val="tx1"/>
                  </w14:solidFill>
                </w14:textFill>
              </w:rPr>
              <w:t>30</w:t>
            </w:r>
            <w:r>
              <w:rPr>
                <w:rFonts w:hint="default" w:ascii="Times New Roman" w:hAnsi="Times New Roman" w:cs="Times New Roman"/>
                <w:color w:val="000000" w:themeColor="text1"/>
                <w:sz w:val="24"/>
                <w:highlight w:val="none"/>
                <w14:textFill>
                  <w14:solidFill>
                    <w14:schemeClr w14:val="tx1"/>
                  </w14:solidFill>
                </w14:textFill>
              </w:rPr>
              <w:t>t/a)全部作为危废处理。</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w:t>
            </w:r>
            <w:r>
              <w:rPr>
                <w:rFonts w:hint="eastAsia" w:cs="Times New Roman"/>
                <w:color w:val="000000" w:themeColor="text1"/>
                <w:sz w:val="24"/>
                <w:highlight w:val="none"/>
                <w:lang w:val="en-US" w:eastAsia="zh-CN"/>
                <w14:textFill>
                  <w14:solidFill>
                    <w14:schemeClr w14:val="tx1"/>
                  </w14:solidFill>
                </w14:textFill>
              </w:rPr>
              <w:t>实验仪器</w:t>
            </w:r>
            <w:r>
              <w:rPr>
                <w:rFonts w:hint="default" w:ascii="Times New Roman" w:hAnsi="Times New Roman" w:cs="Times New Roman"/>
                <w:color w:val="000000" w:themeColor="text1"/>
                <w:sz w:val="24"/>
                <w:highlight w:val="none"/>
                <w14:textFill>
                  <w14:solidFill>
                    <w14:schemeClr w14:val="tx1"/>
                  </w14:solidFill>
                </w14:textFill>
              </w:rPr>
              <w:t>第一步清洗废液产生量按照用水量的</w:t>
            </w:r>
            <w:r>
              <w:rPr>
                <w:rFonts w:hint="default" w:ascii="Times New Roman" w:hAnsi="Times New Roman" w:cs="Times New Roman"/>
                <w:color w:val="000000" w:themeColor="text1"/>
                <w:sz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highlight w:val="none"/>
                <w14:textFill>
                  <w14:solidFill>
                    <w14:schemeClr w14:val="tx1"/>
                  </w14:solidFill>
                </w14:textFill>
              </w:rPr>
              <w:t>0%计，为</w:t>
            </w:r>
            <w:r>
              <w:rPr>
                <w:rFonts w:hint="default" w:ascii="Times New Roman" w:hAnsi="Times New Roman" w:cs="Times New Roman"/>
                <w:color w:val="000000" w:themeColor="text1"/>
                <w:sz w:val="24"/>
                <w:highlight w:val="none"/>
                <w:lang w:val="en-US" w:eastAsia="zh-CN"/>
                <w14:textFill>
                  <w14:solidFill>
                    <w14:schemeClr w14:val="tx1"/>
                  </w14:solidFill>
                </w14:textFill>
              </w:rPr>
              <w:t>4.86</w:t>
            </w:r>
            <w:r>
              <w:rPr>
                <w:rFonts w:hint="default" w:ascii="Times New Roman" w:hAnsi="Times New Roman" w:cs="Times New Roman"/>
                <w:color w:val="000000" w:themeColor="text1"/>
                <w:sz w:val="24"/>
                <w:highlight w:val="none"/>
                <w14:textFill>
                  <w14:solidFill>
                    <w14:schemeClr w14:val="tx1"/>
                  </w14:solidFill>
                </w14:textFill>
              </w:rPr>
              <w:t>t/a，该部分废液作为危废处理。</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③</w:t>
            </w:r>
            <w:r>
              <w:rPr>
                <w:rFonts w:hint="default" w:ascii="Times New Roman" w:hAnsi="Times New Roman" w:cs="Times New Roman"/>
                <w:color w:val="000000" w:themeColor="text1"/>
                <w:sz w:val="24"/>
                <w:highlight w:val="none"/>
                <w:lang w:val="en-US" w:eastAsia="zh-CN"/>
                <w14:textFill>
                  <w14:solidFill>
                    <w14:schemeClr w14:val="tx1"/>
                  </w14:solidFill>
                </w14:textFill>
              </w:rPr>
              <w:t>五楼</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六楼实验室</w:t>
            </w:r>
            <w:r>
              <w:rPr>
                <w:rFonts w:hint="eastAsia" w:cs="Times New Roman"/>
                <w:color w:val="000000" w:themeColor="text1"/>
                <w:sz w:val="24"/>
                <w:highlight w:val="none"/>
                <w:lang w:val="en-US" w:eastAsia="zh-CN"/>
                <w14:textFill>
                  <w14:solidFill>
                    <w14:schemeClr w14:val="tx1"/>
                  </w14:solidFill>
                </w14:textFill>
              </w:rPr>
              <w:t>仪器</w:t>
            </w:r>
            <w:r>
              <w:rPr>
                <w:rFonts w:hint="default" w:ascii="Times New Roman" w:hAnsi="Times New Roman" w:cs="Times New Roman"/>
                <w:color w:val="000000" w:themeColor="text1"/>
                <w:sz w:val="24"/>
                <w:highlight w:val="none"/>
                <w14:textFill>
                  <w14:solidFill>
                    <w14:schemeClr w14:val="tx1"/>
                  </w14:solidFill>
                </w14:textFill>
              </w:rPr>
              <w:t>第二步清洗废水产生量为</w:t>
            </w:r>
            <w:r>
              <w:rPr>
                <w:rFonts w:hint="default" w:ascii="Times New Roman" w:hAnsi="Times New Roman" w:cs="Times New Roman"/>
                <w:color w:val="000000" w:themeColor="text1"/>
                <w:sz w:val="24"/>
                <w:highlight w:val="none"/>
                <w:lang w:val="en-US" w:eastAsia="zh-CN"/>
                <w14:textFill>
                  <w14:solidFill>
                    <w14:schemeClr w14:val="tx1"/>
                  </w14:solidFill>
                </w14:textFill>
              </w:rPr>
              <w:t>3.186m³</w:t>
            </w:r>
            <w:r>
              <w:rPr>
                <w:rFonts w:hint="default" w:ascii="Times New Roman" w:hAnsi="Times New Roman" w:cs="Times New Roman"/>
                <w:color w:val="000000" w:themeColor="text1"/>
                <w:sz w:val="24"/>
                <w:highlight w:val="none"/>
                <w14:textFill>
                  <w14:solidFill>
                    <w14:schemeClr w14:val="tx1"/>
                  </w14:solidFill>
                </w14:textFill>
              </w:rPr>
              <w:t>/a，第二步清洗废水经污水管道输送至本厂区污水处理站预处理，然后再排入园区污水处理厂进行深度处理。</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④地面清洁废水</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地面清洁废水产生量按用水量的</w:t>
            </w:r>
            <w:r>
              <w:rPr>
                <w:rFonts w:hint="default" w:ascii="Times New Roman" w:hAnsi="Times New Roman" w:cs="Times New Roman"/>
                <w:color w:val="000000" w:themeColor="text1"/>
                <w:sz w:val="24"/>
                <w:highlight w:val="none"/>
                <w:lang w:val="en-US" w:eastAsia="zh-CN"/>
                <w14:textFill>
                  <w14:solidFill>
                    <w14:schemeClr w14:val="tx1"/>
                  </w14:solidFill>
                </w14:textFill>
              </w:rPr>
              <w:t>80%</w:t>
            </w:r>
            <w:r>
              <w:rPr>
                <w:rFonts w:hint="default" w:ascii="Times New Roman" w:hAnsi="Times New Roman" w:cs="Times New Roman"/>
                <w:color w:val="000000" w:themeColor="text1"/>
                <w:sz w:val="24"/>
                <w:highlight w:val="none"/>
                <w14:textFill>
                  <w14:solidFill>
                    <w14:schemeClr w14:val="tx1"/>
                  </w14:solidFill>
                </w14:textFill>
              </w:rPr>
              <w:t>计，则地面清洁废水总量为</w:t>
            </w:r>
            <w:r>
              <w:rPr>
                <w:rFonts w:hint="default" w:ascii="Times New Roman" w:hAnsi="Times New Roman" w:cs="Times New Roman"/>
                <w:color w:val="000000" w:themeColor="text1"/>
                <w:sz w:val="24"/>
                <w:highlight w:val="none"/>
                <w:lang w:val="en-US" w:eastAsia="zh-CN"/>
                <w14:textFill>
                  <w14:solidFill>
                    <w14:schemeClr w14:val="tx1"/>
                  </w14:solidFill>
                </w14:textFill>
              </w:rPr>
              <w:t>48</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/a。</w:t>
            </w:r>
          </w:p>
          <w:p>
            <w:pPr>
              <w:numPr>
                <w:ilvl w:val="0"/>
                <w:numId w:val="0"/>
              </w:numPr>
              <w:snapToGrid w:val="0"/>
              <w:spacing w:line="360" w:lineRule="auto"/>
              <w:ind w:firstLine="480" w:firstLineChars="200"/>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3）纯水制备</w:t>
            </w:r>
            <w:r>
              <w:rPr>
                <w:rFonts w:hint="default" w:ascii="Times New Roman" w:hAnsi="Times New Roman" w:cs="Times New Roman"/>
                <w:color w:val="000000" w:themeColor="text1"/>
                <w:sz w:val="24"/>
                <w:highlight w:val="none"/>
                <w14:textFill>
                  <w14:solidFill>
                    <w14:schemeClr w14:val="tx1"/>
                  </w14:solidFill>
                </w14:textFill>
              </w:rPr>
              <w:t>废水：</w:t>
            </w:r>
          </w:p>
          <w:p>
            <w:pPr>
              <w:numPr>
                <w:ilvl w:val="0"/>
                <w:numId w:val="0"/>
              </w:numPr>
              <w:snapToGrid w:val="0"/>
              <w:spacing w:line="360" w:lineRule="auto"/>
              <w:ind w:firstLine="512" w:firstLineChars="200"/>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t>本项目生产过程使用纯水，纯水使用量为</w:t>
            </w:r>
            <w:r>
              <w:rPr>
                <w:rFonts w:hint="eastAsia" w:ascii="Times New Roman" w:hAnsi="Times New Roman" w:eastAsia="宋体" w:cs="Times New Roman"/>
                <w:color w:val="000000" w:themeColor="text1"/>
                <w:spacing w:val="8"/>
                <w:sz w:val="24"/>
                <w:highlight w:val="none"/>
                <w:lang w:val="en-US" w:eastAsia="zh-CN"/>
                <w14:textFill>
                  <w14:solidFill>
                    <w14:schemeClr w14:val="tx1"/>
                  </w14:solidFill>
                </w14:textFill>
              </w:rPr>
              <w:t>33m³</w:t>
            </w:r>
            <w:r>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t>/a，本项目纯水制备效率为75%，因此会产生纯水制备废水</w:t>
            </w:r>
            <w:r>
              <w:rPr>
                <w:rFonts w:hint="eastAsia" w:ascii="Times New Roman" w:hAnsi="Times New Roman" w:eastAsia="宋体" w:cs="Times New Roman"/>
                <w:color w:val="000000" w:themeColor="text1"/>
                <w:spacing w:val="8"/>
                <w:sz w:val="24"/>
                <w:highlight w:val="none"/>
                <w:lang w:val="en-US" w:eastAsia="zh-CN"/>
                <w14:textFill>
                  <w14:solidFill>
                    <w14:schemeClr w14:val="tx1"/>
                  </w14:solidFill>
                </w14:textFill>
              </w:rPr>
              <w:t>11m³</w:t>
            </w:r>
            <w:r>
              <w:rPr>
                <w:rFonts w:hint="default" w:ascii="Times New Roman" w:hAnsi="Times New Roman" w:eastAsia="宋体" w:cs="Times New Roman"/>
                <w:color w:val="000000" w:themeColor="text1"/>
                <w:spacing w:val="8"/>
                <w:sz w:val="24"/>
                <w:highlight w:val="none"/>
                <w:lang w:val="en-US" w:eastAsia="zh-CN"/>
                <w14:textFill>
                  <w14:solidFill>
                    <w14:schemeClr w14:val="tx1"/>
                  </w14:solidFill>
                </w14:textFill>
              </w:rPr>
              <w:t>/a。</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本项目水平衡图见下图。</w:t>
            </w:r>
          </w:p>
          <w:p>
            <w:pPr>
              <w:pStyle w:val="35"/>
              <w:ind w:left="0" w:leftChars="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object>
                <v:shape id="_x0000_i1025" o:spt="75" type="#_x0000_t75" style="height:253.55pt;width:433.6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pPr>
              <w:keepLines/>
              <w:spacing w:line="360" w:lineRule="auto"/>
              <w:jc w:val="center"/>
              <w:rPr>
                <w:rFonts w:hint="default" w:ascii="Times New Roman" w:hAnsi="Times New Roman" w:eastAsia="宋体" w:cs="Times New Roman"/>
                <w:b/>
                <w:color w:val="000000" w:themeColor="text1"/>
                <w:kern w:val="0"/>
                <w:sz w:val="24"/>
                <w:highlight w:val="none"/>
                <w:lang w:eastAsia="zh-CN"/>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图</w:t>
            </w: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2-</w:t>
            </w:r>
            <w:r>
              <w:rPr>
                <w:rFonts w:hint="eastAsia" w:cs="Times New Roman"/>
                <w:b/>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b/>
                <w:color w:val="000000" w:themeColor="text1"/>
                <w:kern w:val="0"/>
                <w:sz w:val="24"/>
                <w:highlight w:val="none"/>
                <w14:textFill>
                  <w14:solidFill>
                    <w14:schemeClr w14:val="tx1"/>
                  </w14:solidFill>
                </w14:textFill>
              </w:rPr>
              <w:t xml:space="preserve">  项目水量平衡图    单位：</w:t>
            </w:r>
            <w:r>
              <w:rPr>
                <w:rFonts w:hint="default" w:ascii="Times New Roman" w:hAnsi="Times New Roman" w:cs="Times New Roman"/>
                <w:b/>
                <w:color w:val="000000" w:themeColor="text1"/>
                <w:spacing w:val="-14"/>
                <w:sz w:val="24"/>
                <w:highlight w:val="none"/>
                <w14:textFill>
                  <w14:solidFill>
                    <w14:schemeClr w14:val="tx1"/>
                  </w14:solidFill>
                </w14:textFill>
              </w:rPr>
              <w:t>m</w:t>
            </w:r>
            <w:r>
              <w:rPr>
                <w:rFonts w:hint="default" w:ascii="Times New Roman" w:hAnsi="Times New Roman" w:cs="Times New Roman"/>
                <w:b/>
                <w:color w:val="000000" w:themeColor="text1"/>
                <w:spacing w:val="-14"/>
                <w:sz w:val="24"/>
                <w:highlight w:val="none"/>
                <w:vertAlign w:val="superscript"/>
                <w14:textFill>
                  <w14:solidFill>
                    <w14:schemeClr w14:val="tx1"/>
                  </w14:solidFill>
                </w14:textFill>
              </w:rPr>
              <w:t>3</w:t>
            </w:r>
            <w:r>
              <w:rPr>
                <w:rFonts w:hint="default" w:ascii="Times New Roman" w:hAnsi="Times New Roman" w:cs="Times New Roman"/>
                <w:b/>
                <w:color w:val="000000" w:themeColor="text1"/>
                <w:spacing w:val="-14"/>
                <w:sz w:val="24"/>
                <w:highlight w:val="none"/>
                <w14:textFill>
                  <w14:solidFill>
                    <w14:schemeClr w14:val="tx1"/>
                  </w14:solidFill>
                </w14:textFill>
              </w:rPr>
              <w:t>/</w:t>
            </w:r>
            <w:r>
              <w:rPr>
                <w:rFonts w:hint="default" w:ascii="Times New Roman" w:hAnsi="Times New Roman" w:cs="Times New Roman"/>
                <w:b/>
                <w:color w:val="000000" w:themeColor="text1"/>
                <w:spacing w:val="-14"/>
                <w:sz w:val="24"/>
                <w:highlight w:val="none"/>
                <w:lang w:val="en-US" w:eastAsia="zh-CN"/>
                <w14:textFill>
                  <w14:solidFill>
                    <w14:schemeClr w14:val="tx1"/>
                  </w14:solidFill>
                </w14:textFill>
              </w:rPr>
              <w:t>a</w:t>
            </w:r>
          </w:p>
          <w:p>
            <w:pPr>
              <w:spacing w:line="360" w:lineRule="auto"/>
              <w:ind w:firstLine="482"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用电</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项目用电由园区供电系统引入，厂区设置变配电室，能够满足生产、生活需要。</w:t>
            </w:r>
          </w:p>
          <w:p>
            <w:pPr>
              <w:snapToGrid w:val="0"/>
              <w:spacing w:line="360" w:lineRule="auto"/>
              <w:ind w:firstLine="48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供热</w:t>
            </w:r>
          </w:p>
          <w:p>
            <w:pPr>
              <w:snapToGrid w:val="0"/>
              <w:spacing w:line="360" w:lineRule="auto"/>
              <w:ind w:left="94" w:leftChars="45" w:firstLine="393" w:firstLineChars="164"/>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项目不设锅炉，</w:t>
            </w:r>
            <w:r>
              <w:rPr>
                <w:rFonts w:hint="eastAsia" w:ascii="Times New Roman" w:hAnsi="Times New Roman" w:cs="Times New Roman"/>
                <w:color w:val="000000" w:themeColor="text1"/>
                <w:sz w:val="24"/>
                <w:highlight w:val="none"/>
                <w:lang w:val="en-US" w:eastAsia="zh-CN"/>
                <w14:textFill>
                  <w14:solidFill>
                    <w14:schemeClr w14:val="tx1"/>
                  </w14:solidFill>
                </w14:textFill>
              </w:rPr>
              <w:t>实验室用电</w:t>
            </w:r>
            <w:r>
              <w:rPr>
                <w:rFonts w:hint="default" w:ascii="Times New Roman" w:hAnsi="Times New Roman" w:cs="Times New Roman"/>
                <w:color w:val="000000" w:themeColor="text1"/>
                <w:sz w:val="24"/>
                <w:highlight w:val="none"/>
                <w:lang w:val="en-US" w:eastAsia="zh-CN"/>
                <w14:textFill>
                  <w14:solidFill>
                    <w14:schemeClr w14:val="tx1"/>
                  </w14:solidFill>
                </w14:textFill>
              </w:rPr>
              <w:t>采用电加热，</w:t>
            </w:r>
            <w:r>
              <w:rPr>
                <w:rFonts w:hint="default" w:ascii="Times New Roman" w:hAnsi="Times New Roman" w:cs="Times New Roman"/>
                <w:color w:val="000000" w:themeColor="text1"/>
                <w:sz w:val="24"/>
                <w:highlight w:val="none"/>
                <w14:textFill>
                  <w14:solidFill>
                    <w14:schemeClr w14:val="tx1"/>
                  </w14:solidFill>
                </w14:textFill>
              </w:rPr>
              <w:t>职工采暖</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制冷</w:t>
            </w:r>
            <w:r>
              <w:rPr>
                <w:rFonts w:hint="default" w:ascii="Times New Roman" w:hAnsi="Times New Roman" w:cs="Times New Roman"/>
                <w:color w:val="000000" w:themeColor="text1"/>
                <w:sz w:val="24"/>
                <w:highlight w:val="none"/>
                <w14:textFill>
                  <w14:solidFill>
                    <w14:schemeClr w14:val="tx1"/>
                  </w14:solidFill>
                </w14:textFill>
              </w:rPr>
              <w:t>采用</w:t>
            </w:r>
            <w:r>
              <w:rPr>
                <w:rFonts w:hint="eastAsia" w:ascii="Times New Roman" w:hAnsi="Times New Roman" w:cs="Times New Roman"/>
                <w:color w:val="000000" w:themeColor="text1"/>
                <w:sz w:val="24"/>
                <w:highlight w:val="none"/>
                <w:lang w:val="en-US" w:eastAsia="zh-CN"/>
                <w14:textFill>
                  <w14:solidFill>
                    <w14:schemeClr w14:val="tx1"/>
                  </w14:solidFill>
                </w14:textFill>
              </w:rPr>
              <w:t>电</w:t>
            </w:r>
            <w:r>
              <w:rPr>
                <w:rFonts w:hint="default" w:ascii="Times New Roman" w:hAnsi="Times New Roman" w:cs="Times New Roman"/>
                <w:color w:val="000000" w:themeColor="text1"/>
                <w:sz w:val="24"/>
                <w:highlight w:val="none"/>
                <w14:textFill>
                  <w14:solidFill>
                    <w14:schemeClr w14:val="tx1"/>
                  </w14:solidFill>
                </w14:textFill>
              </w:rPr>
              <w:t>空调。</w:t>
            </w:r>
          </w:p>
          <w:p>
            <w:pPr>
              <w:pStyle w:val="7"/>
              <w:keepNext w:val="0"/>
              <w:keepLines w:val="0"/>
              <w:pageBreakBefore w:val="0"/>
              <w:kinsoku/>
              <w:wordWrap/>
              <w:overflowPunct/>
              <w:topLinePunct w:val="0"/>
              <w:autoSpaceDE/>
              <w:autoSpaceDN/>
              <w:bidi w:val="0"/>
              <w:snapToGrid w:val="0"/>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highlight w:val="none"/>
                <w14:textFill>
                  <w14:solidFill>
                    <w14:schemeClr w14:val="tx1"/>
                  </w14:solidFill>
                </w14:textFill>
              </w:rPr>
              <w:t>、劳动定员及工作制度</w:t>
            </w:r>
          </w:p>
          <w:p>
            <w:pPr>
              <w:pStyle w:val="7"/>
              <w:keepNext w:val="0"/>
              <w:keepLines w:val="0"/>
              <w:pageBreakBefore w:val="0"/>
              <w:kinsoku/>
              <w:wordWrap/>
              <w:overflowPunct/>
              <w:topLinePunct w:val="0"/>
              <w:autoSpaceDE/>
              <w:autoSpaceDN/>
              <w:bidi w:val="0"/>
              <w:snapToGrid w:val="0"/>
              <w:spacing w:line="360" w:lineRule="auto"/>
              <w:ind w:firstLine="48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项目新增劳动定员约26人。年生产天数为300天，采取四班三运转，8小时/班工作制，全年工作7200小时。</w:t>
            </w:r>
          </w:p>
          <w:p>
            <w:pPr>
              <w:keepNext w:val="0"/>
              <w:keepLines w:val="0"/>
              <w:pageBreakBefore w:val="0"/>
              <w:widowControl/>
              <w:kinsoku/>
              <w:wordWrap/>
              <w:overflowPunct/>
              <w:topLinePunct w:val="0"/>
              <w:autoSpaceDE/>
              <w:autoSpaceDN/>
              <w:bidi w:val="0"/>
              <w:snapToGrid w:val="0"/>
              <w:spacing w:line="360" w:lineRule="auto"/>
              <w:ind w:firstLine="482" w:firstLineChars="200"/>
              <w:jc w:val="left"/>
              <w:outlineLvl w:val="2"/>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8</w:t>
            </w:r>
            <w:r>
              <w:rPr>
                <w:rFonts w:hint="default" w:ascii="Times New Roman" w:hAnsi="Times New Roman" w:cs="Times New Roman"/>
                <w:b/>
                <w:bCs/>
                <w:color w:val="000000" w:themeColor="text1"/>
                <w:sz w:val="24"/>
                <w:highlight w:val="none"/>
                <w14:textFill>
                  <w14:solidFill>
                    <w14:schemeClr w14:val="tx1"/>
                  </w14:solidFill>
                </w14:textFill>
              </w:rPr>
              <w:t>、施工进度</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在嘉祥化工产业园山东祺添新材料有限公司二期厂区内</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已建成的</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办公楼五楼和六楼</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进行建设</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，进行内部施工装修</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及</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设备安装，</w:t>
            </w:r>
            <w:r>
              <w:rPr>
                <w:rFonts w:hint="default" w:ascii="Times New Roman" w:hAnsi="Times New Roman" w:cs="Times New Roman"/>
                <w:color w:val="000000" w:themeColor="text1"/>
                <w:sz w:val="24"/>
                <w:highlight w:val="none"/>
                <w:lang w:val="en-US" w:eastAsia="zh-CN"/>
                <w14:textFill>
                  <w14:solidFill>
                    <w14:schemeClr w14:val="tx1"/>
                  </w14:solidFill>
                </w14:textFill>
              </w:rPr>
              <w:t>项目</w:t>
            </w:r>
            <w:r>
              <w:rPr>
                <w:rFonts w:hint="default" w:ascii="Times New Roman" w:hAnsi="Times New Roman" w:cs="Times New Roman"/>
                <w:color w:val="000000" w:themeColor="text1"/>
                <w:sz w:val="24"/>
                <w:highlight w:val="none"/>
                <w14:textFill>
                  <w14:solidFill>
                    <w14:schemeClr w14:val="tx1"/>
                  </w14:solidFill>
                </w14:textFill>
              </w:rPr>
              <w:t>预计于202</w:t>
            </w:r>
            <w:r>
              <w:rPr>
                <w:rFonts w:hint="eastAsia"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年</w:t>
            </w:r>
            <w:r>
              <w:rPr>
                <w:rFonts w:hint="eastAsia" w:ascii="Times New Roman" w:hAnsi="Times New Roman" w:cs="Times New Roman"/>
                <w:color w:val="000000" w:themeColor="text1"/>
                <w:sz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highlight w:val="none"/>
                <w14:textFill>
                  <w14:solidFill>
                    <w14:schemeClr w14:val="tx1"/>
                  </w14:solidFill>
                </w14:textFill>
              </w:rPr>
              <w:t>月投产。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2"/>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eastAsia="华文楷体" w:cs="Times New Roman"/>
                <w:b/>
                <w:bCs/>
                <w:color w:val="000000" w:themeColor="text1"/>
                <w:sz w:val="24"/>
                <w:highlight w:val="none"/>
                <w:lang w:val="en-US" w:eastAsia="zh-CN"/>
                <w14:textFill>
                  <w14:solidFill>
                    <w14:schemeClr w14:val="tx1"/>
                  </w14:solidFill>
                </w14:textFill>
              </w:rPr>
              <w:t>9</w:t>
            </w:r>
            <w:r>
              <w:rPr>
                <w:rFonts w:hint="default" w:ascii="Times New Roman" w:hAnsi="Times New Roman" w:eastAsia="华文楷体" w:cs="Times New Roman"/>
                <w:b/>
                <w:bCs/>
                <w:color w:val="000000" w:themeColor="text1"/>
                <w:sz w:val="24"/>
                <w:highlight w:val="none"/>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平面布置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36"/>
                <w:sz w:val="24"/>
                <w:szCs w:val="20"/>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该项目</w:t>
            </w:r>
            <w:r>
              <w:rPr>
                <w:rFonts w:hint="default" w:ascii="Times New Roman" w:hAnsi="Times New Roman" w:cs="Times New Roman"/>
                <w:bCs/>
                <w:color w:val="000000" w:themeColor="text1"/>
                <w:sz w:val="24"/>
                <w:highlight w:val="none"/>
                <w:lang w:val="en-US" w:eastAsia="zh-CN"/>
                <w14:textFill>
                  <w14:solidFill>
                    <w14:schemeClr w14:val="tx1"/>
                  </w14:solidFill>
                </w14:textFill>
              </w:rPr>
              <w:t>利用</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二期厂区内办公楼五楼和六楼，</w:t>
            </w:r>
            <w:r>
              <w:rPr>
                <w:rFonts w:hint="default" w:ascii="Times New Roman" w:hAnsi="Times New Roman" w:cs="Times New Roman"/>
                <w:color w:val="000000" w:themeColor="text1"/>
                <w:sz w:val="24"/>
                <w:highlight w:val="none"/>
                <w:lang w:val="en-US" w:eastAsia="zh-CN"/>
                <w14:textFill>
                  <w14:solidFill>
                    <w14:schemeClr w14:val="tx1"/>
                  </w14:solidFill>
                </w14:textFill>
              </w:rPr>
              <w:t>每层建筑面积826.88m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办公楼的五楼为化验室，设置气相室、ICP</w:t>
            </w:r>
            <w:r>
              <w:rPr>
                <w:rFonts w:hint="eastAsia" w:cs="Times New Roman"/>
                <w:b w:val="0"/>
                <w:bCs w:val="0"/>
                <w:color w:val="000000" w:themeColor="text1"/>
                <w:sz w:val="24"/>
                <w:highlight w:val="none"/>
                <w:lang w:val="en-US" w:eastAsia="zh-CN"/>
                <w14:textFill>
                  <w14:solidFill>
                    <w14:schemeClr w14:val="tx1"/>
                  </w14:solidFill>
                </w14:textFill>
              </w:rPr>
              <w:t>光谱</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室、化学分析室、</w:t>
            </w:r>
            <w:r>
              <w:rPr>
                <w:rFonts w:hint="eastAsia" w:cs="Times New Roman"/>
                <w:b w:val="0"/>
                <w:bCs w:val="0"/>
                <w:color w:val="000000" w:themeColor="text1"/>
                <w:sz w:val="24"/>
                <w:highlight w:val="none"/>
                <w:lang w:val="en-US" w:eastAsia="zh-CN"/>
                <w14:textFill>
                  <w14:solidFill>
                    <w14:schemeClr w14:val="tx1"/>
                  </w14:solidFill>
                </w14:textFill>
              </w:rPr>
              <w:t>手套箱室、</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留样间、药品间、备件库、办公室等，主要进行原料及产品的分析检验；办公楼的六楼为研发室，设置实验室、力学实验室、试剂间、备件室、玻璃仪器室、办公室等，主要进行锂电池电解液添加剂和功能有机硅材料产品创新研发</w:t>
            </w:r>
            <w:r>
              <w:rPr>
                <w:rFonts w:hint="eastAsia" w:cs="Times New Roman"/>
                <w:b w:val="0"/>
                <w:bCs w:val="0"/>
                <w:color w:val="000000" w:themeColor="text1"/>
                <w:sz w:val="24"/>
                <w:highlight w:val="none"/>
                <w:lang w:val="en-US" w:eastAsia="zh-CN"/>
                <w14:textFill>
                  <w14:solidFill>
                    <w14:schemeClr w14:val="tx1"/>
                  </w14:solidFill>
                </w14:textFill>
              </w:rPr>
              <w:t>小试</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及工艺优化</w:t>
            </w:r>
            <w:r>
              <w:rPr>
                <w:rFonts w:hint="eastAsia" w:cs="Times New Roman"/>
                <w:b w:val="0"/>
                <w:bCs w:val="0"/>
                <w:color w:val="000000" w:themeColor="text1"/>
                <w:sz w:val="24"/>
                <w:highlight w:val="none"/>
                <w:lang w:val="en-US" w:eastAsia="zh-CN"/>
                <w14:textFill>
                  <w14:solidFill>
                    <w14:schemeClr w14:val="tx1"/>
                  </w14:solidFill>
                </w14:textFill>
              </w:rPr>
              <w:t>小试</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本项目平面</w:t>
            </w:r>
            <w:r>
              <w:rPr>
                <w:rFonts w:hint="default" w:ascii="Times New Roman" w:hAnsi="Times New Roman" w:cs="Times New Roman"/>
                <w:bCs/>
                <w:color w:val="000000" w:themeColor="text1"/>
                <w:sz w:val="24"/>
                <w:highlight w:val="none"/>
                <w14:textFill>
                  <w14:solidFill>
                    <w14:schemeClr w14:val="tx1"/>
                  </w14:solidFill>
                </w14:textFill>
              </w:rPr>
              <w:t>布局</w:t>
            </w:r>
            <w:r>
              <w:rPr>
                <w:rFonts w:hint="default" w:ascii="Times New Roman" w:hAnsi="Times New Roman" w:cs="Times New Roman"/>
                <w:bCs/>
                <w:color w:val="000000" w:themeColor="text1"/>
                <w:sz w:val="24"/>
                <w:highlight w:val="none"/>
                <w:lang w:val="en-US" w:eastAsia="zh-CN"/>
                <w14:textFill>
                  <w14:solidFill>
                    <w14:schemeClr w14:val="tx1"/>
                  </w14:solidFill>
                </w14:textFill>
              </w:rPr>
              <w:t>满足</w:t>
            </w:r>
            <w:r>
              <w:rPr>
                <w:rFonts w:hint="default" w:ascii="Times New Roman" w:hAnsi="Times New Roman" w:cs="Times New Roman"/>
                <w:bCs/>
                <w:color w:val="000000" w:themeColor="text1"/>
                <w:sz w:val="24"/>
                <w:highlight w:val="none"/>
                <w14:textFill>
                  <w14:solidFill>
                    <w14:schemeClr w14:val="tx1"/>
                  </w14:solidFill>
                </w14:textFill>
              </w:rPr>
              <w:t>实验</w:t>
            </w:r>
            <w:r>
              <w:rPr>
                <w:rFonts w:hint="default" w:ascii="Times New Roman" w:hAnsi="Times New Roman" w:cs="Times New Roman"/>
                <w:bCs/>
                <w:color w:val="000000" w:themeColor="text1"/>
                <w:sz w:val="24"/>
                <w:highlight w:val="none"/>
                <w:lang w:val="en-US" w:eastAsia="zh-CN"/>
                <w14:textFill>
                  <w14:solidFill>
                    <w14:schemeClr w14:val="tx1"/>
                  </w14:solidFill>
                </w14:textFill>
              </w:rPr>
              <w:t>及研发</w:t>
            </w:r>
            <w:r>
              <w:rPr>
                <w:rFonts w:hint="default" w:ascii="Times New Roman" w:hAnsi="Times New Roman" w:cs="Times New Roman"/>
                <w:bCs/>
                <w:color w:val="000000" w:themeColor="text1"/>
                <w:sz w:val="24"/>
                <w:highlight w:val="none"/>
                <w14:textFill>
                  <w14:solidFill>
                    <w14:schemeClr w14:val="tx1"/>
                  </w14:solidFill>
                </w14:textFill>
              </w:rPr>
              <w:t>功能模块及放置设备的需要，</w:t>
            </w:r>
            <w:r>
              <w:rPr>
                <w:rFonts w:hint="default" w:ascii="Times New Roman" w:hAnsi="Times New Roman" w:cs="Times New Roman"/>
                <w:bCs/>
                <w:color w:val="000000" w:themeColor="text1"/>
                <w:sz w:val="24"/>
                <w:highlight w:val="none"/>
                <w:lang w:val="en-US" w:eastAsia="zh-CN"/>
                <w14:textFill>
                  <w14:solidFill>
                    <w14:schemeClr w14:val="tx1"/>
                  </w14:solidFill>
                </w14:textFill>
              </w:rPr>
              <w:t>并</w:t>
            </w:r>
            <w:r>
              <w:rPr>
                <w:rFonts w:hint="default" w:ascii="Times New Roman" w:hAnsi="Times New Roman" w:cs="Times New Roman"/>
                <w:bCs/>
                <w:color w:val="000000" w:themeColor="text1"/>
                <w:sz w:val="24"/>
                <w:highlight w:val="none"/>
                <w14:textFill>
                  <w14:solidFill>
                    <w14:schemeClr w14:val="tx1"/>
                  </w14:solidFill>
                </w14:textFill>
              </w:rPr>
              <w:t>考虑空间的合理化布局</w:t>
            </w:r>
            <w:r>
              <w:rPr>
                <w:rFonts w:hint="default" w:ascii="Times New Roman" w:hAnsi="Times New Roman" w:cs="Times New Roman"/>
                <w:bCs/>
                <w:color w:val="000000" w:themeColor="text1"/>
                <w:sz w:val="24"/>
                <w:highlight w:val="none"/>
                <w:lang w:val="en-US" w:eastAsia="zh-CN"/>
                <w14:textFill>
                  <w14:solidFill>
                    <w14:schemeClr w14:val="tx1"/>
                  </w14:solidFill>
                </w14:textFill>
              </w:rPr>
              <w:t>及工作人员的人身安全</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布置较为合理，能配备较为完善的供电、供水、排水等基础设施。项目具体平面布置见</w:t>
            </w:r>
            <w:r>
              <w:rPr>
                <w:rFonts w:hint="default" w:ascii="Times New Roman" w:hAnsi="Times New Roman" w:cs="Times New Roman"/>
                <w:b/>
                <w:bCs/>
                <w:i/>
                <w:color w:val="000000" w:themeColor="text1"/>
                <w:sz w:val="24"/>
                <w:highlight w:val="none"/>
                <w14:textFill>
                  <w14:solidFill>
                    <w14:schemeClr w14:val="tx1"/>
                  </w14:solidFill>
                </w14:textFill>
              </w:rPr>
              <w:t>图2-</w:t>
            </w:r>
            <w:r>
              <w:rPr>
                <w:rFonts w:hint="eastAsia" w:cs="Times New Roman"/>
                <w:b/>
                <w:bCs/>
                <w:i/>
                <w:color w:val="000000" w:themeColor="text1"/>
                <w:sz w:val="24"/>
                <w:highlight w:val="none"/>
                <w:lang w:val="en-US" w:eastAsia="zh-CN"/>
                <w14:textFill>
                  <w14:solidFill>
                    <w14:schemeClr w14:val="tx1"/>
                  </w14:solidFill>
                </w14:textFill>
              </w:rPr>
              <w:t>3</w:t>
            </w:r>
            <w:r>
              <w:rPr>
                <w:rFonts w:hint="eastAsia" w:cs="Times New Roman"/>
                <w:b/>
                <w:bCs/>
                <w:i/>
                <w:color w:val="000000" w:themeColor="text1"/>
                <w:sz w:val="24"/>
                <w:highlight w:val="none"/>
                <w:lang w:eastAsia="zh-CN"/>
                <w14:textFill>
                  <w14:solidFill>
                    <w14:schemeClr w14:val="tx1"/>
                  </w14:solidFill>
                </w14:textFill>
              </w:rPr>
              <w:t>（</w:t>
            </w:r>
            <w:r>
              <w:rPr>
                <w:rFonts w:hint="eastAsia" w:cs="Times New Roman"/>
                <w:b/>
                <w:bCs/>
                <w:i/>
                <w:color w:val="000000" w:themeColor="text1"/>
                <w:sz w:val="24"/>
                <w:highlight w:val="none"/>
                <w:lang w:val="en-US" w:eastAsia="zh-CN"/>
                <w14:textFill>
                  <w14:solidFill>
                    <w14:schemeClr w14:val="tx1"/>
                  </w14:solidFill>
                </w14:textFill>
              </w:rPr>
              <w:t>1</w:t>
            </w:r>
            <w:r>
              <w:rPr>
                <w:rFonts w:hint="eastAsia" w:cs="Times New Roman"/>
                <w:b/>
                <w:bCs/>
                <w:i/>
                <w:color w:val="000000" w:themeColor="text1"/>
                <w:sz w:val="24"/>
                <w:highlight w:val="none"/>
                <w:lang w:eastAsia="zh-CN"/>
                <w14:textFill>
                  <w14:solidFill>
                    <w14:schemeClr w14:val="tx1"/>
                  </w14:solidFill>
                </w14:textFill>
              </w:rPr>
              <w:t>）</w:t>
            </w:r>
            <w:r>
              <w:rPr>
                <w:rFonts w:hint="eastAsia" w:cs="Times New Roman"/>
                <w:b/>
                <w:bCs/>
                <w:i/>
                <w:color w:val="000000" w:themeColor="text1"/>
                <w:sz w:val="24"/>
                <w:highlight w:val="none"/>
                <w:lang w:val="en-US" w:eastAsia="zh-CN"/>
                <w14:textFill>
                  <w14:solidFill>
                    <w14:schemeClr w14:val="tx1"/>
                  </w14:solidFill>
                </w14:textFill>
              </w:rPr>
              <w:t>厂区</w:t>
            </w:r>
            <w:r>
              <w:rPr>
                <w:rFonts w:hint="default" w:ascii="Times New Roman" w:hAnsi="Times New Roman" w:cs="Times New Roman"/>
                <w:b/>
                <w:bCs/>
                <w:i/>
                <w:color w:val="000000" w:themeColor="text1"/>
                <w:sz w:val="24"/>
                <w:highlight w:val="none"/>
                <w14:textFill>
                  <w14:solidFill>
                    <w14:schemeClr w14:val="tx1"/>
                  </w14:solidFill>
                </w14:textFill>
              </w:rPr>
              <w:t>平面布置图</w:t>
            </w:r>
            <w:r>
              <w:rPr>
                <w:rFonts w:hint="eastAsia" w:cs="Times New Roman"/>
                <w:b/>
                <w:bCs/>
                <w:i/>
                <w:color w:val="000000" w:themeColor="text1"/>
                <w:sz w:val="24"/>
                <w:highlight w:val="none"/>
                <w:lang w:eastAsia="zh-CN"/>
                <w14:textFill>
                  <w14:solidFill>
                    <w14:schemeClr w14:val="tx1"/>
                  </w14:solidFill>
                </w14:textFill>
              </w:rPr>
              <w:t>、</w:t>
            </w:r>
            <w:r>
              <w:rPr>
                <w:rFonts w:hint="default" w:ascii="Times New Roman" w:hAnsi="Times New Roman" w:cs="Times New Roman"/>
                <w:b/>
                <w:bCs/>
                <w:i/>
                <w:color w:val="000000" w:themeColor="text1"/>
                <w:sz w:val="24"/>
                <w:highlight w:val="none"/>
                <w14:textFill>
                  <w14:solidFill>
                    <w14:schemeClr w14:val="tx1"/>
                  </w14:solidFill>
                </w14:textFill>
              </w:rPr>
              <w:t>图2-</w:t>
            </w:r>
            <w:r>
              <w:rPr>
                <w:rFonts w:hint="eastAsia" w:cs="Times New Roman"/>
                <w:b/>
                <w:bCs/>
                <w:i/>
                <w:color w:val="000000" w:themeColor="text1"/>
                <w:sz w:val="24"/>
                <w:highlight w:val="none"/>
                <w:lang w:val="en-US" w:eastAsia="zh-CN"/>
                <w14:textFill>
                  <w14:solidFill>
                    <w14:schemeClr w14:val="tx1"/>
                  </w14:solidFill>
                </w14:textFill>
              </w:rPr>
              <w:t>3</w:t>
            </w:r>
            <w:r>
              <w:rPr>
                <w:rFonts w:hint="eastAsia" w:cs="Times New Roman"/>
                <w:b/>
                <w:bCs/>
                <w:i/>
                <w:color w:val="000000" w:themeColor="text1"/>
                <w:sz w:val="24"/>
                <w:highlight w:val="none"/>
                <w:lang w:eastAsia="zh-CN"/>
                <w14:textFill>
                  <w14:solidFill>
                    <w14:schemeClr w14:val="tx1"/>
                  </w14:solidFill>
                </w14:textFill>
              </w:rPr>
              <w:t>（</w:t>
            </w:r>
            <w:r>
              <w:rPr>
                <w:rFonts w:hint="eastAsia" w:cs="Times New Roman"/>
                <w:b/>
                <w:bCs/>
                <w:i/>
                <w:color w:val="000000" w:themeColor="text1"/>
                <w:sz w:val="24"/>
                <w:highlight w:val="none"/>
                <w:lang w:val="en-US" w:eastAsia="zh-CN"/>
                <w14:textFill>
                  <w14:solidFill>
                    <w14:schemeClr w14:val="tx1"/>
                  </w14:solidFill>
                </w14:textFill>
              </w:rPr>
              <w:t>2</w:t>
            </w:r>
            <w:r>
              <w:rPr>
                <w:rFonts w:hint="eastAsia" w:cs="Times New Roman"/>
                <w:b/>
                <w:bCs/>
                <w:i/>
                <w:color w:val="000000" w:themeColor="text1"/>
                <w:sz w:val="24"/>
                <w:highlight w:val="none"/>
                <w:lang w:eastAsia="zh-CN"/>
                <w14:textFill>
                  <w14:solidFill>
                    <w14:schemeClr w14:val="tx1"/>
                  </w14:solidFill>
                </w14:textFill>
              </w:rPr>
              <w:t>）</w:t>
            </w:r>
            <w:r>
              <w:rPr>
                <w:rFonts w:hint="eastAsia" w:cs="Times New Roman"/>
                <w:b/>
                <w:bCs/>
                <w:i/>
                <w:color w:val="000000" w:themeColor="text1"/>
                <w:sz w:val="24"/>
                <w:highlight w:val="none"/>
                <w:lang w:val="en-US" w:eastAsia="zh-CN"/>
                <w14:textFill>
                  <w14:solidFill>
                    <w14:schemeClr w14:val="tx1"/>
                  </w14:solidFill>
                </w14:textFill>
              </w:rPr>
              <w:t>项目</w:t>
            </w:r>
            <w:r>
              <w:rPr>
                <w:rFonts w:hint="default" w:ascii="Times New Roman" w:hAnsi="Times New Roman" w:cs="Times New Roman"/>
                <w:b/>
                <w:bCs/>
                <w:i/>
                <w:color w:val="000000" w:themeColor="text1"/>
                <w:sz w:val="24"/>
                <w:highlight w:val="none"/>
                <w14:textFill>
                  <w14:solidFill>
                    <w14:schemeClr w14:val="tx1"/>
                  </w14:solidFill>
                </w14:textFill>
              </w:rPr>
              <w:t>平面布置图</w:t>
            </w:r>
            <w:r>
              <w:rPr>
                <w:rFonts w:hint="default" w:ascii="Times New Roman" w:hAnsi="Times New Roman" w:cs="Times New Roman"/>
                <w:bCs/>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449" w:type="dxa"/>
            <w:vAlign w:val="center"/>
          </w:tcPr>
          <w:p>
            <w:pPr>
              <w:pStyle w:val="32"/>
              <w:adjustRightInd w:val="0"/>
              <w:snapToGrid w:val="0"/>
              <w:spacing w:before="0" w:beforeAutospacing="0" w:after="0" w:afterAutospacing="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工艺流程和产排污环节</w:t>
            </w:r>
          </w:p>
        </w:tc>
        <w:tc>
          <w:tcPr>
            <w:tcW w:w="8611" w:type="dxa"/>
          </w:tcPr>
          <w:p>
            <w:pPr>
              <w:spacing w:line="360" w:lineRule="auto"/>
              <w:ind w:left="482"/>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一、施工期</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本项目利用</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山东祺添新材料有限公司二期厂区内</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已建成的</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办公楼五楼和六楼</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进行建设</w:t>
            </w:r>
            <w:r>
              <w:rPr>
                <w:rFonts w:hint="default" w:ascii="Times New Roman" w:hAnsi="Times New Roman" w:cs="Times New Roman"/>
                <w:color w:val="000000" w:themeColor="text1"/>
                <w:sz w:val="24"/>
                <w:highlight w:val="none"/>
                <w14:textFill>
                  <w14:solidFill>
                    <w14:schemeClr w14:val="tx1"/>
                  </w14:solidFill>
                </w14:textFill>
              </w:rPr>
              <w:t>。根据现场调查，</w:t>
            </w:r>
            <w:r>
              <w:rPr>
                <w:rFonts w:hint="eastAsia" w:ascii="Times New Roman" w:hAnsi="Times New Roman" w:cs="Times New Roman"/>
                <w:color w:val="000000" w:themeColor="text1"/>
                <w:sz w:val="24"/>
                <w:highlight w:val="none"/>
                <w:lang w:val="en-US" w:eastAsia="zh-CN"/>
                <w14:textFill>
                  <w14:solidFill>
                    <w14:schemeClr w14:val="tx1"/>
                  </w14:solidFill>
                </w14:textFill>
              </w:rPr>
              <w:t>办公楼已建成，本项目</w:t>
            </w:r>
            <w:r>
              <w:rPr>
                <w:rFonts w:hint="default" w:ascii="Times New Roman" w:hAnsi="Times New Roman" w:cs="Times New Roman"/>
                <w:color w:val="000000" w:themeColor="text1"/>
                <w:sz w:val="24"/>
                <w:highlight w:val="none"/>
                <w14:textFill>
                  <w14:solidFill>
                    <w14:schemeClr w14:val="tx1"/>
                  </w14:solidFill>
                </w14:textFill>
              </w:rPr>
              <w:t>只需要进行简单的装修和隔断及设备、环保设施的安装、调试，因此本项目施工期较短，对周围环境影响较小，施工期对周围环境产生的轻微影响将随着本项目施工期的结束而消失。</w:t>
            </w:r>
          </w:p>
          <w:p>
            <w:pPr>
              <w:pStyle w:val="156"/>
              <w:spacing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施工期主要产污环节：</w:t>
            </w:r>
          </w:p>
          <w:p>
            <w:pPr>
              <w:pStyle w:val="156"/>
              <w:spacing w:line="360" w:lineRule="auto"/>
              <w:ind w:firstLine="42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①施工废水：主要为施工人员产生的生活污水。</w:t>
            </w:r>
          </w:p>
          <w:p>
            <w:pPr>
              <w:pStyle w:val="156"/>
              <w:spacing w:line="360" w:lineRule="auto"/>
              <w:ind w:firstLine="42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②施工噪声：主要为施工机械作业噪声、车辆运输噪声、物料装卸碰撞噪声等。</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③施工固废：主要为施工过程中施工人员产生的生活垃圾、下脚料。</w:t>
            </w:r>
          </w:p>
          <w:p>
            <w:pPr>
              <w:spacing w:line="360" w:lineRule="auto"/>
              <w:ind w:left="482"/>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二、营运期</w:t>
            </w:r>
          </w:p>
          <w:p>
            <w:pPr>
              <w:spacing w:line="360" w:lineRule="auto"/>
              <w:ind w:left="482"/>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1、工艺流程</w:t>
            </w:r>
          </w:p>
          <w:p>
            <w:pPr>
              <w:spacing w:line="360" w:lineRule="auto"/>
              <w:ind w:left="482"/>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（1）</w:t>
            </w:r>
            <w:r>
              <w:rPr>
                <w:rFonts w:hint="eastAsia" w:cs="Times New Roman"/>
                <w:b/>
                <w:color w:val="000000" w:themeColor="text1"/>
                <w:sz w:val="24"/>
                <w:highlight w:val="none"/>
                <w:lang w:val="en-US" w:eastAsia="zh-CN"/>
                <w14:textFill>
                  <w14:solidFill>
                    <w14:schemeClr w14:val="tx1"/>
                  </w14:solidFill>
                </w14:textFill>
              </w:rPr>
              <w:t>五楼化验室</w:t>
            </w:r>
            <w:r>
              <w:rPr>
                <w:rFonts w:hint="default" w:ascii="Times New Roman" w:hAnsi="Times New Roman" w:cs="Times New Roman"/>
                <w:b/>
                <w:color w:val="000000" w:themeColor="text1"/>
                <w:sz w:val="24"/>
                <w:highlight w:val="none"/>
                <w14:textFill>
                  <w14:solidFill>
                    <w14:schemeClr w14:val="tx1"/>
                  </w14:solidFill>
                </w14:textFill>
              </w:rPr>
              <w:t>工艺流程</w:t>
            </w:r>
          </w:p>
          <w:p>
            <w:pPr>
              <w:spacing w:line="360" w:lineRule="auto"/>
              <w:ind w:firstLine="480" w:firstLineChars="200"/>
              <w:rPr>
                <w:rFonts w:hint="default" w:ascii="Times New Roman" w:hAnsi="Times New Roman" w:cs="Times New Roman"/>
                <w:color w:val="000000" w:themeColor="text1"/>
                <w:kern w:val="0"/>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办公楼五楼化验室</w:t>
            </w:r>
            <w:r>
              <w:rPr>
                <w:rFonts w:hint="default" w:ascii="Times New Roman" w:hAnsi="Times New Roman" w:cs="Times New Roman"/>
                <w:color w:val="000000" w:themeColor="text1"/>
                <w:sz w:val="24"/>
                <w:highlight w:val="none"/>
                <w14:textFill>
                  <w14:solidFill>
                    <w14:schemeClr w14:val="tx1"/>
                  </w14:solidFill>
                </w14:textFill>
              </w:rPr>
              <w:t>进行</w:t>
            </w:r>
            <w:r>
              <w:rPr>
                <w:rFonts w:hint="eastAsia" w:cs="Times New Roman"/>
                <w:color w:val="000000" w:themeColor="text1"/>
                <w:sz w:val="24"/>
                <w:highlight w:val="none"/>
                <w:lang w:val="en-US" w:eastAsia="zh-CN"/>
                <w14:textFill>
                  <w14:solidFill>
                    <w14:schemeClr w14:val="tx1"/>
                  </w14:solidFill>
                </w14:textFill>
              </w:rPr>
              <w:t>的</w:t>
            </w:r>
            <w:r>
              <w:rPr>
                <w:rFonts w:hint="default" w:ascii="Times New Roman" w:hAnsi="Times New Roman" w:cs="Times New Roman"/>
                <w:color w:val="000000" w:themeColor="text1"/>
                <w:sz w:val="24"/>
                <w:highlight w:val="none"/>
                <w14:textFill>
                  <w14:solidFill>
                    <w14:schemeClr w14:val="tx1"/>
                  </w14:solidFill>
                </w14:textFill>
              </w:rPr>
              <w:t>检测，包括</w:t>
            </w:r>
            <w:r>
              <w:rPr>
                <w:rFonts w:hint="eastAsia" w:cs="Times New Roman"/>
                <w:color w:val="000000" w:themeColor="text1"/>
                <w:sz w:val="24"/>
                <w:highlight w:val="none"/>
                <w:lang w:val="en-US" w:eastAsia="zh-CN"/>
                <w14:textFill>
                  <w14:solidFill>
                    <w14:schemeClr w14:val="tx1"/>
                  </w14:solidFill>
                </w14:textFill>
              </w:rPr>
              <w:t>纯度测试、水份测试、色度测试、浊度测试、酸值测试、挥发分测试、折射率测试、不溶物测试、粘度测试、氯离子测试等</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化验室</w:t>
            </w:r>
            <w:r>
              <w:rPr>
                <w:rFonts w:hint="default" w:ascii="Times New Roman" w:hAnsi="Times New Roman" w:cs="Times New Roman"/>
                <w:color w:val="000000" w:themeColor="text1"/>
                <w:sz w:val="24"/>
                <w:highlight w:val="none"/>
                <w14:textFill>
                  <w14:solidFill>
                    <w14:schemeClr w14:val="tx1"/>
                  </w14:solidFill>
                </w14:textFill>
              </w:rPr>
              <w:t>涉及使用试剂工序全部在通风橱内进行，通风橱使用密闭管道与活性炭吸附装置连通，通风橱废气经活性炭吸附装置处理后经排气筒有组织排放。本次环评选取具代表性的</w:t>
            </w:r>
            <w:r>
              <w:rPr>
                <w:rFonts w:hint="eastAsia" w:cs="Times New Roman"/>
                <w:color w:val="000000" w:themeColor="text1"/>
                <w:sz w:val="24"/>
                <w:highlight w:val="none"/>
                <w:lang w:val="en-US" w:eastAsia="zh-CN"/>
                <w14:textFill>
                  <w14:solidFill>
                    <w14:schemeClr w14:val="tx1"/>
                  </w14:solidFill>
                </w14:textFill>
              </w:rPr>
              <w:t>检测项目</w:t>
            </w:r>
            <w:r>
              <w:rPr>
                <w:rFonts w:hint="default" w:ascii="Times New Roman" w:hAnsi="Times New Roman" w:cs="Times New Roman"/>
                <w:color w:val="000000" w:themeColor="text1"/>
                <w:sz w:val="24"/>
                <w:highlight w:val="none"/>
                <w14:textFill>
                  <w14:solidFill>
                    <w14:schemeClr w14:val="tx1"/>
                  </w14:solidFill>
                </w14:textFill>
              </w:rPr>
              <w:t>进行重点分析。具体流程见图2-</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w:t>
            </w:r>
          </w:p>
        </w:tc>
      </w:tr>
    </w:tbl>
    <w:p>
      <w:pPr>
        <w:pStyle w:val="32"/>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bidi w:val="0"/>
        <w:jc w:val="center"/>
        <w:rPr>
          <w:rFonts w:ascii="Times New Roman" w:hAnsi="Times New Roman" w:eastAsia="黑体"/>
          <w:snapToGrid w:val="0"/>
          <w:color w:val="000000" w:themeColor="text1"/>
          <w:sz w:val="30"/>
          <w:szCs w:val="30"/>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object>
          <v:shape id="_x0000_i1026" o:spt="75" type="#_x0000_t75" style="height:997.35pt;width:635.7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pPr>
        <w:spacing w:line="360" w:lineRule="auto"/>
        <w:jc w:val="center"/>
        <w:rPr>
          <w:color w:val="000000" w:themeColor="text1"/>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图2-</w:t>
      </w:r>
      <w:r>
        <w:rPr>
          <w:rFonts w:hint="eastAsia" w:cs="Times New Roman"/>
          <w:b/>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b/>
          <w:color w:val="000000" w:themeColor="text1"/>
          <w:kern w:val="0"/>
          <w:sz w:val="24"/>
          <w:highlight w:val="none"/>
          <w14:textFill>
            <w14:solidFill>
              <w14:schemeClr w14:val="tx1"/>
            </w14:solidFill>
          </w14:textFill>
        </w:rPr>
        <w:t xml:space="preserve">  </w:t>
      </w:r>
      <w:r>
        <w:rPr>
          <w:rFonts w:hint="eastAsia" w:cs="Times New Roman"/>
          <w:b/>
          <w:color w:val="000000" w:themeColor="text1"/>
          <w:kern w:val="0"/>
          <w:sz w:val="24"/>
          <w:highlight w:val="none"/>
          <w:lang w:val="en-US" w:eastAsia="zh-CN"/>
          <w14:textFill>
            <w14:solidFill>
              <w14:schemeClr w14:val="tx1"/>
            </w14:solidFill>
          </w14:textFill>
        </w:rPr>
        <w:t>五楼化验室</w:t>
      </w:r>
      <w:r>
        <w:rPr>
          <w:rFonts w:hint="default" w:ascii="Times New Roman" w:hAnsi="Times New Roman" w:cs="Times New Roman"/>
          <w:b/>
          <w:color w:val="000000" w:themeColor="text1"/>
          <w:kern w:val="0"/>
          <w:sz w:val="24"/>
          <w:highlight w:val="none"/>
          <w14:textFill>
            <w14:solidFill>
              <w14:schemeClr w14:val="tx1"/>
            </w14:solidFill>
          </w14:textFill>
        </w:rPr>
        <w:t>样品</w:t>
      </w:r>
      <w:r>
        <w:rPr>
          <w:rFonts w:hint="eastAsia" w:cs="Times New Roman"/>
          <w:b/>
          <w:color w:val="000000" w:themeColor="text1"/>
          <w:kern w:val="0"/>
          <w:sz w:val="24"/>
          <w:highlight w:val="none"/>
          <w:lang w:val="en-US" w:eastAsia="zh-CN"/>
          <w14:textFill>
            <w14:solidFill>
              <w14:schemeClr w14:val="tx1"/>
            </w14:solidFill>
          </w14:textFill>
        </w:rPr>
        <w:t>测试分析</w:t>
      </w:r>
      <w:r>
        <w:rPr>
          <w:rFonts w:hint="default" w:ascii="Times New Roman" w:hAnsi="Times New Roman" w:cs="Times New Roman"/>
          <w:b/>
          <w:color w:val="000000" w:themeColor="text1"/>
          <w:kern w:val="0"/>
          <w:sz w:val="24"/>
          <w:highlight w:val="none"/>
          <w14:textFill>
            <w14:solidFill>
              <w14:schemeClr w14:val="tx1"/>
            </w14:solidFill>
          </w14:textFill>
        </w:rPr>
        <w:t>工艺流程图</w:t>
      </w:r>
    </w:p>
    <w:p>
      <w:pPr>
        <w:pStyle w:val="32"/>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6838" w:h="23811"/>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6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0" w:hRule="atLeast"/>
          <w:jc w:val="center"/>
        </w:trPr>
        <w:tc>
          <w:tcPr>
            <w:tcW w:w="449" w:type="dxa"/>
            <w:vAlign w:val="center"/>
          </w:tcPr>
          <w:p>
            <w:pPr>
              <w:pStyle w:val="32"/>
              <w:adjustRightInd w:val="0"/>
              <w:snapToGrid w:val="0"/>
              <w:spacing w:before="0" w:beforeAutospacing="0" w:after="0" w:afterAutospacing="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工艺流程和产排污环节</w:t>
            </w:r>
          </w:p>
        </w:tc>
        <w:tc>
          <w:tcPr>
            <w:tcW w:w="8611" w:type="dxa"/>
          </w:tcPr>
          <w:p>
            <w:pPr>
              <w:spacing w:line="360" w:lineRule="auto"/>
              <w:ind w:firstLine="482"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eastAsia" w:cs="Times New Roman"/>
                <w:b/>
                <w:color w:val="000000" w:themeColor="text1"/>
                <w:kern w:val="0"/>
                <w:sz w:val="24"/>
                <w:highlight w:val="none"/>
                <w:lang w:val="en-US" w:eastAsia="zh-CN"/>
                <w14:textFill>
                  <w14:solidFill>
                    <w14:schemeClr w14:val="tx1"/>
                  </w14:solidFill>
                </w14:textFill>
              </w:rPr>
              <w:t>五楼化验室</w:t>
            </w:r>
            <w:r>
              <w:rPr>
                <w:rFonts w:hint="default" w:ascii="Times New Roman" w:hAnsi="Times New Roman" w:cs="Times New Roman"/>
                <w:b/>
                <w:color w:val="000000" w:themeColor="text1"/>
                <w:kern w:val="0"/>
                <w:sz w:val="24"/>
                <w:highlight w:val="none"/>
                <w14:textFill>
                  <w14:solidFill>
                    <w14:schemeClr w14:val="tx1"/>
                  </w14:solidFill>
                </w14:textFill>
              </w:rPr>
              <w:t>样品</w:t>
            </w:r>
            <w:r>
              <w:rPr>
                <w:rFonts w:hint="eastAsia" w:cs="Times New Roman"/>
                <w:b/>
                <w:color w:val="000000" w:themeColor="text1"/>
                <w:kern w:val="0"/>
                <w:sz w:val="24"/>
                <w:highlight w:val="none"/>
                <w:lang w:val="en-US" w:eastAsia="zh-CN"/>
                <w14:textFill>
                  <w14:solidFill>
                    <w14:schemeClr w14:val="tx1"/>
                  </w14:solidFill>
                </w14:textFill>
              </w:rPr>
              <w:t>测试分析</w:t>
            </w:r>
            <w:r>
              <w:rPr>
                <w:rFonts w:hint="default" w:ascii="Times New Roman" w:hAnsi="Times New Roman" w:cs="Times New Roman"/>
                <w:b/>
                <w:color w:val="000000" w:themeColor="text1"/>
                <w:kern w:val="0"/>
                <w:sz w:val="24"/>
                <w:highlight w:val="none"/>
                <w14:textFill>
                  <w14:solidFill>
                    <w14:schemeClr w14:val="tx1"/>
                  </w14:solidFill>
                </w14:textFill>
              </w:rPr>
              <w:t>工艺</w:t>
            </w:r>
            <w:r>
              <w:rPr>
                <w:rFonts w:hint="eastAsia" w:cs="Times New Roman"/>
                <w:b/>
                <w:color w:val="000000" w:themeColor="text1"/>
                <w:kern w:val="0"/>
                <w:sz w:val="24"/>
                <w:highlight w:val="none"/>
                <w:lang w:val="en-US" w:eastAsia="zh-CN"/>
                <w14:textFill>
                  <w14:solidFill>
                    <w14:schemeClr w14:val="tx1"/>
                  </w14:solidFill>
                </w14:textFill>
              </w:rPr>
              <w:t>简述</w:t>
            </w:r>
            <w:r>
              <w:rPr>
                <w:rFonts w:hint="default" w:ascii="Times New Roman" w:hAnsi="Times New Roman" w:cs="Times New Roman"/>
                <w:color w:val="000000" w:themeColor="text1"/>
                <w:kern w:val="0"/>
                <w:sz w:val="24"/>
                <w:highlight w:val="none"/>
                <w14:textFill>
                  <w14:solidFill>
                    <w14:schemeClr w14:val="tx1"/>
                  </w14:solidFill>
                </w14:textFill>
              </w:rPr>
              <w:t>：</w:t>
            </w:r>
          </w:p>
          <w:p>
            <w:pPr>
              <w:pStyle w:val="16"/>
              <w:adjustRightIn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①</w:t>
            </w:r>
            <w:r>
              <w:rPr>
                <w:rFonts w:hint="default" w:ascii="Times New Roman" w:hAnsi="Times New Roman" w:cs="Times New Roman"/>
                <w:color w:val="000000" w:themeColor="text1"/>
                <w:sz w:val="24"/>
                <w:highlight w:val="none"/>
                <w:lang w:val="en-US" w:eastAsia="zh-CN"/>
                <w14:textFill>
                  <w14:solidFill>
                    <w14:schemeClr w14:val="tx1"/>
                  </w14:solidFill>
                </w14:textFill>
              </w:rPr>
              <w:t>纯度测试：</w:t>
            </w:r>
            <w:r>
              <w:rPr>
                <w:rFonts w:hint="eastAsia" w:ascii="Times New Roman" w:hAnsi="Times New Roman" w:cs="Times New Roman"/>
                <w:color w:val="000000" w:themeColor="text1"/>
                <w:sz w:val="24"/>
                <w:highlight w:val="none"/>
                <w:lang w:val="en-US" w:eastAsia="zh-CN"/>
                <w14:textFill>
                  <w14:solidFill>
                    <w14:schemeClr w14:val="tx1"/>
                  </w14:solidFill>
                </w14:textFill>
              </w:rPr>
              <w:t>原料、</w:t>
            </w:r>
            <w:r>
              <w:rPr>
                <w:rFonts w:hint="default" w:ascii="Times New Roman" w:hAnsi="Times New Roman" w:cs="Times New Roman"/>
                <w:color w:val="000000" w:themeColor="text1"/>
                <w:sz w:val="24"/>
                <w:highlight w:val="none"/>
                <w:lang w:val="en-US" w:eastAsia="zh-CN"/>
                <w14:textFill>
                  <w14:solidFill>
                    <w14:schemeClr w14:val="tx1"/>
                  </w14:solidFill>
                </w14:textFill>
              </w:rPr>
              <w:t>车间半成品、成品、发货成品的含量检测，</w:t>
            </w:r>
            <w:r>
              <w:rPr>
                <w:rFonts w:hint="eastAsia" w:ascii="Times New Roman" w:hAnsi="Times New Roman" w:cs="Times New Roman"/>
                <w:color w:val="000000" w:themeColor="text1"/>
                <w:sz w:val="24"/>
                <w:highlight w:val="none"/>
                <w:lang w:val="en-US" w:eastAsia="zh-CN"/>
                <w14:textFill>
                  <w14:solidFill>
                    <w14:schemeClr w14:val="tx1"/>
                  </w14:solidFill>
                </w14:textFill>
              </w:rPr>
              <w:t>用进样针</w:t>
            </w:r>
            <w:r>
              <w:rPr>
                <w:rFonts w:hint="default" w:ascii="Times New Roman" w:hAnsi="Times New Roman" w:cs="Times New Roman"/>
                <w:color w:val="000000" w:themeColor="text1"/>
                <w:sz w:val="24"/>
                <w:highlight w:val="none"/>
                <w:lang w:val="en-US" w:eastAsia="zh-CN"/>
                <w14:textFill>
                  <w14:solidFill>
                    <w14:schemeClr w14:val="tx1"/>
                  </w14:solidFill>
                </w14:textFill>
              </w:rPr>
              <w:t>量取0.2μL样品，</w:t>
            </w:r>
            <w:r>
              <w:rPr>
                <w:rFonts w:hint="eastAsia" w:ascii="Times New Roman" w:hAnsi="Times New Roman" w:cs="Times New Roman"/>
                <w:color w:val="000000" w:themeColor="text1"/>
                <w:sz w:val="24"/>
                <w:highlight w:val="none"/>
                <w:lang w:val="en-US" w:eastAsia="zh-CN"/>
                <w14:textFill>
                  <w14:solidFill>
                    <w14:schemeClr w14:val="tx1"/>
                  </w14:solidFill>
                </w14:textFill>
              </w:rPr>
              <w:t>气相色谱仪进样测试，记录</w:t>
            </w:r>
            <w:r>
              <w:rPr>
                <w:rFonts w:hint="default" w:ascii="Times New Roman" w:hAnsi="Times New Roman" w:cs="Times New Roman"/>
                <w:color w:val="000000" w:themeColor="text1"/>
                <w:sz w:val="24"/>
                <w:highlight w:val="none"/>
                <w:lang w:val="en-US" w:eastAsia="zh-CN"/>
                <w14:textFill>
                  <w14:solidFill>
                    <w14:schemeClr w14:val="tx1"/>
                  </w14:solidFill>
                </w14:textFill>
              </w:rPr>
              <w:t>检测数据</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计算</w:t>
            </w:r>
            <w:r>
              <w:rPr>
                <w:rFonts w:hint="eastAsia" w:ascii="Times New Roman" w:hAnsi="Times New Roman" w:cs="Times New Roman"/>
                <w:color w:val="000000" w:themeColor="text1"/>
                <w:sz w:val="24"/>
                <w:highlight w:val="none"/>
                <w:lang w:val="en-US" w:eastAsia="zh-CN"/>
                <w14:textFill>
                  <w14:solidFill>
                    <w14:schemeClr w14:val="tx1"/>
                  </w14:solidFill>
                </w14:textFill>
              </w:rPr>
              <w:t>样品纯度</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样品</w:t>
            </w:r>
            <w:r>
              <w:rPr>
                <w:rFonts w:hint="default" w:ascii="Times New Roman" w:hAnsi="Times New Roman" w:cs="Times New Roman"/>
                <w:color w:val="000000" w:themeColor="text1"/>
                <w:sz w:val="24"/>
                <w:highlight w:val="none"/>
                <w:lang w:val="en-US" w:eastAsia="zh-CN"/>
                <w14:textFill>
                  <w14:solidFill>
                    <w14:schemeClr w14:val="tx1"/>
                  </w14:solidFill>
                </w14:textFill>
              </w:rPr>
              <w:t>检测完成后</w:t>
            </w:r>
            <w:r>
              <w:rPr>
                <w:rFonts w:hint="eastAsia" w:ascii="Times New Roman" w:hAnsi="Times New Roman" w:cs="Times New Roman"/>
                <w:color w:val="000000" w:themeColor="text1"/>
                <w:sz w:val="24"/>
                <w:highlight w:val="none"/>
                <w:lang w:val="en-US" w:eastAsia="zh-CN"/>
                <w14:textFill>
                  <w14:solidFill>
                    <w14:schemeClr w14:val="tx1"/>
                  </w14:solidFill>
                </w14:textFill>
              </w:rPr>
              <w:t>产生实验废液。</w:t>
            </w:r>
          </w:p>
          <w:p>
            <w:pPr>
              <w:pStyle w:val="16"/>
              <w:adjustRightInd w:val="0"/>
              <w:spacing w:line="360" w:lineRule="auto"/>
              <w:ind w:firstLine="480" w:firstLineChars="200"/>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②水分测试：原料、</w:t>
            </w:r>
            <w:r>
              <w:rPr>
                <w:rFonts w:hint="default" w:ascii="Times New Roman" w:hAnsi="Times New Roman" w:cs="Times New Roman"/>
                <w:color w:val="000000" w:themeColor="text1"/>
                <w:sz w:val="24"/>
                <w:highlight w:val="none"/>
                <w:lang w:val="en-US" w:eastAsia="zh-CN"/>
                <w14:textFill>
                  <w14:solidFill>
                    <w14:schemeClr w14:val="tx1"/>
                  </w14:solidFill>
                </w14:textFill>
              </w:rPr>
              <w:t>车间半成品、成品、发货成品的</w:t>
            </w:r>
            <w:r>
              <w:rPr>
                <w:rFonts w:hint="eastAsia" w:ascii="Times New Roman" w:hAnsi="Times New Roman" w:cs="Times New Roman"/>
                <w:color w:val="000000" w:themeColor="text1"/>
                <w:sz w:val="24"/>
                <w:highlight w:val="none"/>
                <w:lang w:val="en-US" w:eastAsia="zh-CN"/>
                <w14:textFill>
                  <w14:solidFill>
                    <w14:schemeClr w14:val="tx1"/>
                  </w14:solidFill>
                </w14:textFill>
              </w:rPr>
              <w:t>水份</w:t>
            </w:r>
            <w:r>
              <w:rPr>
                <w:rFonts w:hint="default" w:ascii="Times New Roman" w:hAnsi="Times New Roman" w:cs="Times New Roman"/>
                <w:color w:val="000000" w:themeColor="text1"/>
                <w:sz w:val="24"/>
                <w:highlight w:val="none"/>
                <w:lang w:val="en-US" w:eastAsia="zh-CN"/>
                <w14:textFill>
                  <w14:solidFill>
                    <w14:schemeClr w14:val="tx1"/>
                  </w14:solidFill>
                </w14:textFill>
              </w:rPr>
              <w:t>检测，</w:t>
            </w:r>
            <w:r>
              <w:rPr>
                <w:rFonts w:hint="eastAsia" w:ascii="Times New Roman" w:hAnsi="Times New Roman" w:cs="Times New Roman"/>
                <w:color w:val="000000" w:themeColor="text1"/>
                <w:sz w:val="24"/>
                <w:highlight w:val="none"/>
                <w:lang w:val="en-US" w:eastAsia="zh-CN"/>
                <w14:textFill>
                  <w14:solidFill>
                    <w14:schemeClr w14:val="tx1"/>
                  </w14:solidFill>
                </w14:textFill>
              </w:rPr>
              <w:t>用注射器</w:t>
            </w:r>
            <w:r>
              <w:rPr>
                <w:rFonts w:hint="default" w:ascii="Times New Roman" w:hAnsi="Times New Roman" w:cs="Times New Roman"/>
                <w:color w:val="000000" w:themeColor="text1"/>
                <w:sz w:val="24"/>
                <w:highlight w:val="none"/>
                <w:lang w:val="en-US" w:eastAsia="zh-CN"/>
                <w14:textFill>
                  <w14:solidFill>
                    <w14:schemeClr w14:val="tx1"/>
                  </w14:solidFill>
                </w14:textFill>
              </w:rPr>
              <w:t>量取0.2</w:t>
            </w:r>
            <w:r>
              <w:rPr>
                <w:rFonts w:hint="eastAsia" w:ascii="Times New Roman" w:hAnsi="Times New Roman" w:cs="Times New Roman"/>
                <w:color w:val="000000" w:themeColor="text1"/>
                <w:sz w:val="24"/>
                <w:highlight w:val="none"/>
                <w:lang w:val="en-US" w:eastAsia="zh-CN"/>
                <w14:textFill>
                  <w14:solidFill>
                    <w14:schemeClr w14:val="tx1"/>
                  </w14:solidFill>
                </w14:textFill>
              </w:rPr>
              <w:t>g</w:t>
            </w:r>
            <w:r>
              <w:rPr>
                <w:rFonts w:hint="default" w:ascii="Times New Roman" w:hAnsi="Times New Roman" w:cs="Times New Roman"/>
                <w:color w:val="000000" w:themeColor="text1"/>
                <w:sz w:val="24"/>
                <w:highlight w:val="none"/>
                <w:lang w:val="en-US" w:eastAsia="zh-CN"/>
                <w14:textFill>
                  <w14:solidFill>
                    <w14:schemeClr w14:val="tx1"/>
                  </w14:solidFill>
                </w14:textFill>
              </w:rPr>
              <w:t>样品，</w:t>
            </w:r>
            <w:r>
              <w:rPr>
                <w:rFonts w:hint="eastAsia" w:ascii="Times New Roman" w:hAnsi="Times New Roman" w:cs="Times New Roman"/>
                <w:color w:val="000000" w:themeColor="text1"/>
                <w:sz w:val="24"/>
                <w:highlight w:val="none"/>
                <w:lang w:val="en-US" w:eastAsia="zh-CN"/>
                <w14:textFill>
                  <w14:solidFill>
                    <w14:schemeClr w14:val="tx1"/>
                  </w14:solidFill>
                </w14:textFill>
              </w:rPr>
              <w:t>水分仪进样测试，记录</w:t>
            </w:r>
            <w:r>
              <w:rPr>
                <w:rFonts w:hint="default" w:ascii="Times New Roman" w:hAnsi="Times New Roman" w:cs="Times New Roman"/>
                <w:color w:val="000000" w:themeColor="text1"/>
                <w:sz w:val="24"/>
                <w:highlight w:val="none"/>
                <w:lang w:val="en-US" w:eastAsia="zh-CN"/>
                <w14:textFill>
                  <w14:solidFill>
                    <w14:schemeClr w14:val="tx1"/>
                  </w14:solidFill>
                </w14:textFill>
              </w:rPr>
              <w:t>检测数据。</w:t>
            </w:r>
            <w:r>
              <w:rPr>
                <w:rFonts w:hint="eastAsia" w:ascii="Times New Roman" w:hAnsi="Times New Roman" w:cs="Times New Roman"/>
                <w:color w:val="000000" w:themeColor="text1"/>
                <w:sz w:val="24"/>
                <w:highlight w:val="none"/>
                <w:lang w:val="en-US" w:eastAsia="zh-CN"/>
                <w14:textFill>
                  <w14:solidFill>
                    <w14:schemeClr w14:val="tx1"/>
                  </w14:solidFill>
                </w14:textFill>
              </w:rPr>
              <w:t>样品</w:t>
            </w:r>
            <w:r>
              <w:rPr>
                <w:rFonts w:hint="default" w:ascii="Times New Roman" w:hAnsi="Times New Roman" w:cs="Times New Roman"/>
                <w:color w:val="000000" w:themeColor="text1"/>
                <w:sz w:val="24"/>
                <w:highlight w:val="none"/>
                <w:lang w:val="en-US" w:eastAsia="zh-CN"/>
                <w14:textFill>
                  <w14:solidFill>
                    <w14:schemeClr w14:val="tx1"/>
                  </w14:solidFill>
                </w14:textFill>
              </w:rPr>
              <w:t>检测完成后</w:t>
            </w:r>
            <w:r>
              <w:rPr>
                <w:rFonts w:hint="eastAsia" w:ascii="Times New Roman" w:hAnsi="Times New Roman" w:cs="Times New Roman"/>
                <w:color w:val="000000" w:themeColor="text1"/>
                <w:sz w:val="24"/>
                <w:highlight w:val="none"/>
                <w:lang w:val="en-US" w:eastAsia="zh-CN"/>
                <w14:textFill>
                  <w14:solidFill>
                    <w14:schemeClr w14:val="tx1"/>
                  </w14:solidFill>
                </w14:textFill>
              </w:rPr>
              <w:t>产生实验废液和固废（一次性注射器）。</w:t>
            </w:r>
          </w:p>
          <w:p>
            <w:pPr>
              <w:pStyle w:val="16"/>
              <w:adjustRightIn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③色度测试：原料、</w:t>
            </w:r>
            <w:r>
              <w:rPr>
                <w:rFonts w:hint="default" w:ascii="Times New Roman" w:hAnsi="Times New Roman" w:cs="Times New Roman"/>
                <w:color w:val="000000" w:themeColor="text1"/>
                <w:sz w:val="24"/>
                <w:highlight w:val="none"/>
                <w:lang w:val="en-US" w:eastAsia="zh-CN"/>
                <w14:textFill>
                  <w14:solidFill>
                    <w14:schemeClr w14:val="tx1"/>
                  </w14:solidFill>
                </w14:textFill>
              </w:rPr>
              <w:t>车间半成品、成品、发货成品的</w:t>
            </w:r>
            <w:r>
              <w:rPr>
                <w:rFonts w:hint="eastAsia" w:ascii="Times New Roman" w:hAnsi="Times New Roman" w:cs="Times New Roman"/>
                <w:color w:val="000000" w:themeColor="text1"/>
                <w:sz w:val="24"/>
                <w:highlight w:val="none"/>
                <w:lang w:val="en-US" w:eastAsia="zh-CN"/>
                <w14:textFill>
                  <w14:solidFill>
                    <w14:schemeClr w14:val="tx1"/>
                  </w14:solidFill>
                </w14:textFill>
              </w:rPr>
              <w:t>色度</w:t>
            </w:r>
            <w:r>
              <w:rPr>
                <w:rFonts w:hint="default" w:ascii="Times New Roman" w:hAnsi="Times New Roman" w:cs="Times New Roman"/>
                <w:color w:val="000000" w:themeColor="text1"/>
                <w:sz w:val="24"/>
                <w:highlight w:val="none"/>
                <w:lang w:val="en-US" w:eastAsia="zh-CN"/>
                <w14:textFill>
                  <w14:solidFill>
                    <w14:schemeClr w14:val="tx1"/>
                  </w14:solidFill>
                </w14:textFill>
              </w:rPr>
              <w:t>检测，</w:t>
            </w:r>
            <w:r>
              <w:rPr>
                <w:rFonts w:hint="eastAsia" w:ascii="Times New Roman" w:hAnsi="Times New Roman" w:cs="Times New Roman"/>
                <w:color w:val="000000" w:themeColor="text1"/>
                <w:sz w:val="24"/>
                <w:highlight w:val="none"/>
                <w:lang w:val="en-US" w:eastAsia="zh-CN"/>
                <w14:textFill>
                  <w14:solidFill>
                    <w14:schemeClr w14:val="tx1"/>
                  </w14:solidFill>
                </w14:textFill>
              </w:rPr>
              <w:t>滴管</w:t>
            </w:r>
            <w:r>
              <w:rPr>
                <w:rFonts w:hint="default" w:ascii="Times New Roman" w:hAnsi="Times New Roman" w:cs="Times New Roman"/>
                <w:color w:val="000000" w:themeColor="text1"/>
                <w:sz w:val="24"/>
                <w:highlight w:val="none"/>
                <w:lang w:val="en-US" w:eastAsia="zh-CN"/>
                <w14:textFill>
                  <w14:solidFill>
                    <w14:schemeClr w14:val="tx1"/>
                  </w14:solidFill>
                </w14:textFill>
              </w:rPr>
              <w:t>量取</w:t>
            </w:r>
            <w:r>
              <w:rPr>
                <w:rFonts w:hint="eastAsia" w:ascii="Times New Roman" w:hAnsi="Times New Roman" w:cs="Times New Roman"/>
                <w:color w:val="000000" w:themeColor="text1"/>
                <w:sz w:val="24"/>
                <w:highlight w:val="none"/>
                <w:lang w:val="en-US" w:eastAsia="zh-CN"/>
                <w14:textFill>
                  <w14:solidFill>
                    <w14:schemeClr w14:val="tx1"/>
                  </w14:solidFill>
                </w14:textFill>
              </w:rPr>
              <w:t>0.5g-10g</w:t>
            </w:r>
            <w:r>
              <w:rPr>
                <w:rFonts w:hint="default" w:ascii="Times New Roman" w:hAnsi="Times New Roman" w:cs="Times New Roman"/>
                <w:color w:val="000000" w:themeColor="text1"/>
                <w:sz w:val="24"/>
                <w:highlight w:val="none"/>
                <w:lang w:val="en-US" w:eastAsia="zh-CN"/>
                <w14:textFill>
                  <w14:solidFill>
                    <w14:schemeClr w14:val="tx1"/>
                  </w14:solidFill>
                </w14:textFill>
              </w:rPr>
              <w:t>样品，</w:t>
            </w:r>
            <w:r>
              <w:rPr>
                <w:rFonts w:hint="eastAsia" w:ascii="Times New Roman" w:hAnsi="Times New Roman" w:cs="Times New Roman"/>
                <w:color w:val="000000" w:themeColor="text1"/>
                <w:sz w:val="24"/>
                <w:highlight w:val="none"/>
                <w:lang w:val="en-US" w:eastAsia="zh-CN"/>
                <w14:textFill>
                  <w14:solidFill>
                    <w14:schemeClr w14:val="tx1"/>
                  </w14:solidFill>
                </w14:textFill>
              </w:rPr>
              <w:t>色度仪进样测试，记录</w:t>
            </w:r>
            <w:r>
              <w:rPr>
                <w:rFonts w:hint="default" w:ascii="Times New Roman" w:hAnsi="Times New Roman" w:cs="Times New Roman"/>
                <w:color w:val="000000" w:themeColor="text1"/>
                <w:sz w:val="24"/>
                <w:highlight w:val="none"/>
                <w:lang w:val="en-US" w:eastAsia="zh-CN"/>
                <w14:textFill>
                  <w14:solidFill>
                    <w14:schemeClr w14:val="tx1"/>
                  </w14:solidFill>
                </w14:textFill>
              </w:rPr>
              <w:t>检测数据。</w:t>
            </w:r>
            <w:r>
              <w:rPr>
                <w:rFonts w:hint="eastAsia" w:ascii="Times New Roman" w:hAnsi="Times New Roman" w:cs="Times New Roman"/>
                <w:color w:val="000000" w:themeColor="text1"/>
                <w:sz w:val="24"/>
                <w:highlight w:val="none"/>
                <w:lang w:val="en-US" w:eastAsia="zh-CN"/>
                <w14:textFill>
                  <w14:solidFill>
                    <w14:schemeClr w14:val="tx1"/>
                  </w14:solidFill>
                </w14:textFill>
              </w:rPr>
              <w:t>样品</w:t>
            </w:r>
            <w:r>
              <w:rPr>
                <w:rFonts w:hint="default" w:ascii="Times New Roman" w:hAnsi="Times New Roman" w:cs="Times New Roman"/>
                <w:color w:val="000000" w:themeColor="text1"/>
                <w:sz w:val="24"/>
                <w:highlight w:val="none"/>
                <w:lang w:val="en-US" w:eastAsia="zh-CN"/>
                <w14:textFill>
                  <w14:solidFill>
                    <w14:schemeClr w14:val="tx1"/>
                  </w14:solidFill>
                </w14:textFill>
              </w:rPr>
              <w:t>检测完成后</w:t>
            </w:r>
            <w:r>
              <w:rPr>
                <w:rFonts w:hint="eastAsia" w:ascii="Times New Roman" w:hAnsi="Times New Roman" w:cs="Times New Roman"/>
                <w:color w:val="000000" w:themeColor="text1"/>
                <w:sz w:val="24"/>
                <w:highlight w:val="none"/>
                <w:lang w:val="en-US" w:eastAsia="zh-CN"/>
                <w14:textFill>
                  <w14:solidFill>
                    <w14:schemeClr w14:val="tx1"/>
                  </w14:solidFill>
                </w14:textFill>
              </w:rPr>
              <w:t>产生实验废液和固废（一次性滴管）。</w:t>
            </w:r>
          </w:p>
          <w:p>
            <w:pPr>
              <w:pStyle w:val="16"/>
              <w:adjustRightIn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④浊度测试：原料、车间半成品、成品、发货成品的色度检测，滴管量取2g-10g样品，浊度仪进样测试，记录检测数据。样品检测完成后产生实验废液。</w:t>
            </w:r>
          </w:p>
          <w:p>
            <w:pPr>
              <w:pStyle w:val="16"/>
              <w:adjustRightIn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⑤酸值测试：原料、车间半成品、成品、发货成品的色度检测，滴管量取0.6g-5g样品，滴定测试，记录检测数据，计算样品酸值。样品检测完成后产生实验废液和固废</w:t>
            </w:r>
            <w:r>
              <w:rPr>
                <w:rFonts w:hint="eastAsia" w:ascii="Times New Roman" w:hAnsi="Times New Roman" w:cs="Times New Roman"/>
                <w:color w:val="000000" w:themeColor="text1"/>
                <w:sz w:val="24"/>
                <w:highlight w:val="none"/>
                <w:lang w:val="en-US" w:eastAsia="zh-CN"/>
                <w14:textFill>
                  <w14:solidFill>
                    <w14:schemeClr w14:val="tx1"/>
                  </w14:solidFill>
                </w14:textFill>
              </w:rPr>
              <w:t>（一次性滴管）</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pPr>
              <w:pStyle w:val="16"/>
              <w:adjustRightIn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⑥挥发分测试：车间半成品、成品、发货成品的挥发分检测，滴管量取3g-5g样品，电热鼓风干燥箱测试，记录检测数据，计算样品挥发分。样品检测完成后产生实验固废</w:t>
            </w:r>
            <w:r>
              <w:rPr>
                <w:rFonts w:hint="eastAsia" w:ascii="Times New Roman" w:hAnsi="Times New Roman" w:cs="Times New Roman"/>
                <w:color w:val="000000" w:themeColor="text1"/>
                <w:sz w:val="24"/>
                <w:highlight w:val="none"/>
                <w:lang w:val="en-US" w:eastAsia="zh-CN"/>
                <w14:textFill>
                  <w14:solidFill>
                    <w14:schemeClr w14:val="tx1"/>
                  </w14:solidFill>
                </w14:textFill>
              </w:rPr>
              <w:t>（一次性滴管）</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pPr>
              <w:pStyle w:val="16"/>
              <w:adjustRightIn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⑦折射率测试：车间半成品、成品、发货成品的折射率检测，滴管量取0.1g样品，折射率仪测试，记录检测数据。样品检测完成后产生实验实验废液和固废。</w:t>
            </w:r>
          </w:p>
          <w:p>
            <w:pPr>
              <w:pStyle w:val="16"/>
              <w:adjustRightIn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⑧不溶物测试：车间半成品、成品、发货成品的不溶物检测，滴管量取10g样品，量筒量取200ml的DME（乙二醇二甲醚）溶剂进行不溶物测试，记录检测数据，计算样品不溶物。样品检测完成后产生实验废液和固废。</w:t>
            </w:r>
          </w:p>
          <w:p>
            <w:pPr>
              <w:pStyle w:val="16"/>
              <w:adjustRightInd w:val="0"/>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⑨粘度测试：车间半成品、成品、发货成品的粘度检测，滴管量取20g样品，粘度测试，记录检测数据。样品检测完成后产生实验废液和固废。</w:t>
            </w:r>
          </w:p>
          <w:p>
            <w:pPr>
              <w:pStyle w:val="16"/>
              <w:adjustRightInd w:val="0"/>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⑩氯离子</w:t>
            </w:r>
            <w:r>
              <w:rPr>
                <w:rFonts w:hint="eastAsia" w:cs="Times New Roman"/>
                <w:color w:val="000000" w:themeColor="text1"/>
                <w:sz w:val="24"/>
                <w:highlight w:val="none"/>
                <w:lang w:val="en-US" w:eastAsia="zh-CN"/>
                <w14:textFill>
                  <w14:solidFill>
                    <w14:schemeClr w14:val="tx1"/>
                  </w14:solidFill>
                </w14:textFill>
              </w:rPr>
              <w:t>测试：</w:t>
            </w:r>
            <w:r>
              <w:rPr>
                <w:rFonts w:hint="default" w:ascii="Times New Roman" w:hAnsi="Times New Roman" w:cs="Times New Roman"/>
                <w:color w:val="000000" w:themeColor="text1"/>
                <w:sz w:val="24"/>
                <w:highlight w:val="none"/>
                <w:lang w:val="en-US" w:eastAsia="zh-CN"/>
                <w14:textFill>
                  <w14:solidFill>
                    <w14:schemeClr w14:val="tx1"/>
                  </w14:solidFill>
                </w14:textFill>
              </w:rPr>
              <w:t>车间半成品、成品、发货成品的</w:t>
            </w:r>
            <w:r>
              <w:rPr>
                <w:rFonts w:hint="eastAsia" w:cs="Times New Roman"/>
                <w:color w:val="000000" w:themeColor="text1"/>
                <w:sz w:val="24"/>
                <w:highlight w:val="none"/>
                <w:lang w:val="en-US" w:eastAsia="zh-CN"/>
                <w14:textFill>
                  <w14:solidFill>
                    <w14:schemeClr w14:val="tx1"/>
                  </w14:solidFill>
                </w14:textFill>
              </w:rPr>
              <w:t>氯离子</w:t>
            </w:r>
            <w:r>
              <w:rPr>
                <w:rFonts w:hint="default" w:ascii="Times New Roman" w:hAnsi="Times New Roman" w:cs="Times New Roman"/>
                <w:color w:val="000000" w:themeColor="text1"/>
                <w:sz w:val="24"/>
                <w:highlight w:val="none"/>
                <w:lang w:val="en-US" w:eastAsia="zh-CN"/>
                <w14:textFill>
                  <w14:solidFill>
                    <w14:schemeClr w14:val="tx1"/>
                  </w14:solidFill>
                </w14:textFill>
              </w:rPr>
              <w:t>检测，</w:t>
            </w:r>
            <w:r>
              <w:rPr>
                <w:rFonts w:hint="eastAsia" w:ascii="Times New Roman" w:hAnsi="Times New Roman" w:cs="Times New Roman"/>
                <w:color w:val="000000" w:themeColor="text1"/>
                <w:sz w:val="24"/>
                <w:highlight w:val="none"/>
                <w:lang w:val="en-US" w:eastAsia="zh-CN"/>
                <w14:textFill>
                  <w14:solidFill>
                    <w14:schemeClr w14:val="tx1"/>
                  </w14:solidFill>
                </w14:textFill>
              </w:rPr>
              <w:t>滴管</w:t>
            </w:r>
            <w:r>
              <w:rPr>
                <w:rFonts w:hint="default" w:ascii="Times New Roman" w:hAnsi="Times New Roman" w:cs="Times New Roman"/>
                <w:color w:val="000000" w:themeColor="text1"/>
                <w:sz w:val="24"/>
                <w:highlight w:val="none"/>
                <w:lang w:val="en-US" w:eastAsia="zh-CN"/>
                <w14:textFill>
                  <w14:solidFill>
                    <w14:schemeClr w14:val="tx1"/>
                  </w14:solidFill>
                </w14:textFill>
              </w:rPr>
              <w:t>量取</w:t>
            </w:r>
            <w:r>
              <w:rPr>
                <w:rFonts w:hint="eastAsia" w:ascii="Times New Roman" w:hAnsi="Times New Roman" w:cs="Times New Roman"/>
                <w:color w:val="000000" w:themeColor="text1"/>
                <w:sz w:val="24"/>
                <w:highlight w:val="none"/>
                <w:lang w:val="en-US" w:eastAsia="zh-CN"/>
                <w14:textFill>
                  <w14:solidFill>
                    <w14:schemeClr w14:val="tx1"/>
                  </w14:solidFill>
                </w14:textFill>
              </w:rPr>
              <w:t>5g</w:t>
            </w:r>
            <w:r>
              <w:rPr>
                <w:rFonts w:hint="default" w:ascii="Times New Roman" w:hAnsi="Times New Roman" w:cs="Times New Roman"/>
                <w:color w:val="000000" w:themeColor="text1"/>
                <w:sz w:val="24"/>
                <w:highlight w:val="none"/>
                <w:lang w:val="en-US" w:eastAsia="zh-CN"/>
                <w14:textFill>
                  <w14:solidFill>
                    <w14:schemeClr w14:val="tx1"/>
                  </w14:solidFill>
                </w14:textFill>
              </w:rPr>
              <w:t>样品，</w:t>
            </w:r>
            <w:r>
              <w:rPr>
                <w:rFonts w:hint="eastAsia" w:cs="Times New Roman"/>
                <w:color w:val="000000" w:themeColor="text1"/>
                <w:sz w:val="24"/>
                <w:highlight w:val="none"/>
                <w:lang w:val="en-US" w:eastAsia="zh-CN"/>
                <w14:textFill>
                  <w14:solidFill>
                    <w14:schemeClr w14:val="tx1"/>
                  </w14:solidFill>
                </w14:textFill>
              </w:rPr>
              <w:t>氯离子</w:t>
            </w:r>
            <w:r>
              <w:rPr>
                <w:rFonts w:hint="eastAsia" w:ascii="Times New Roman" w:hAnsi="Times New Roman" w:cs="Times New Roman"/>
                <w:color w:val="000000" w:themeColor="text1"/>
                <w:sz w:val="24"/>
                <w:highlight w:val="none"/>
                <w:lang w:val="en-US" w:eastAsia="zh-CN"/>
                <w14:textFill>
                  <w14:solidFill>
                    <w14:schemeClr w14:val="tx1"/>
                  </w14:solidFill>
                </w14:textFill>
              </w:rPr>
              <w:t>测试，记录</w:t>
            </w:r>
            <w:r>
              <w:rPr>
                <w:rFonts w:hint="default" w:ascii="Times New Roman" w:hAnsi="Times New Roman" w:cs="Times New Roman"/>
                <w:color w:val="000000" w:themeColor="text1"/>
                <w:sz w:val="24"/>
                <w:highlight w:val="none"/>
                <w:lang w:val="en-US" w:eastAsia="zh-CN"/>
                <w14:textFill>
                  <w14:solidFill>
                    <w14:schemeClr w14:val="tx1"/>
                  </w14:solidFill>
                </w14:textFill>
              </w:rPr>
              <w:t>检测数据。</w:t>
            </w:r>
            <w:r>
              <w:rPr>
                <w:rFonts w:hint="eastAsia" w:ascii="Times New Roman" w:hAnsi="Times New Roman" w:cs="Times New Roman"/>
                <w:color w:val="000000" w:themeColor="text1"/>
                <w:sz w:val="24"/>
                <w:highlight w:val="none"/>
                <w:lang w:val="en-US" w:eastAsia="zh-CN"/>
                <w14:textFill>
                  <w14:solidFill>
                    <w14:schemeClr w14:val="tx1"/>
                  </w14:solidFill>
                </w14:textFill>
              </w:rPr>
              <w:t>样品</w:t>
            </w:r>
            <w:r>
              <w:rPr>
                <w:rFonts w:hint="default" w:ascii="Times New Roman" w:hAnsi="Times New Roman" w:cs="Times New Roman"/>
                <w:color w:val="000000" w:themeColor="text1"/>
                <w:sz w:val="24"/>
                <w:highlight w:val="none"/>
                <w:lang w:val="en-US" w:eastAsia="zh-CN"/>
                <w14:textFill>
                  <w14:solidFill>
                    <w14:schemeClr w14:val="tx1"/>
                  </w14:solidFill>
                </w14:textFill>
              </w:rPr>
              <w:t>检测完成后</w:t>
            </w:r>
            <w:r>
              <w:rPr>
                <w:rFonts w:hint="eastAsia" w:ascii="Times New Roman" w:hAnsi="Times New Roman" w:cs="Times New Roman"/>
                <w:color w:val="000000" w:themeColor="text1"/>
                <w:sz w:val="24"/>
                <w:highlight w:val="none"/>
                <w:lang w:val="en-US" w:eastAsia="zh-CN"/>
                <w14:textFill>
                  <w14:solidFill>
                    <w14:schemeClr w14:val="tx1"/>
                  </w14:solidFill>
                </w14:textFill>
              </w:rPr>
              <w:t>产生实验废液和固废。</w:t>
            </w:r>
          </w:p>
          <w:p>
            <w:pPr>
              <w:numPr>
                <w:ilvl w:val="0"/>
                <w:numId w:val="0"/>
              </w:numPr>
              <w:spacing w:line="360" w:lineRule="auto"/>
              <w:ind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eastAsia" w:cs="Times New Roman"/>
                <w:b/>
                <w:color w:val="000000" w:themeColor="text1"/>
                <w:sz w:val="24"/>
                <w:highlight w:val="none"/>
                <w:lang w:val="en-US" w:eastAsia="zh-CN"/>
                <w14:textFill>
                  <w14:solidFill>
                    <w14:schemeClr w14:val="tx1"/>
                  </w14:solidFill>
                </w14:textFill>
              </w:rPr>
              <w:t>（2）六楼研发室</w:t>
            </w:r>
            <w:r>
              <w:rPr>
                <w:rFonts w:hint="default" w:ascii="Times New Roman" w:hAnsi="Times New Roman" w:cs="Times New Roman"/>
                <w:b/>
                <w:color w:val="000000" w:themeColor="text1"/>
                <w:sz w:val="24"/>
                <w:highlight w:val="none"/>
                <w14:textFill>
                  <w14:solidFill>
                    <w14:schemeClr w14:val="tx1"/>
                  </w14:solidFill>
                </w14:textFill>
              </w:rPr>
              <w:t>工艺流程</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办公楼的六楼研发室主要进行锂电池电解液添加剂和功能有机硅材料产品创新研发</w:t>
            </w:r>
            <w:r>
              <w:rPr>
                <w:rFonts w:hint="eastAsia" w:cs="Times New Roman"/>
                <w:b w:val="0"/>
                <w:bCs w:val="0"/>
                <w:color w:val="000000" w:themeColor="text1"/>
                <w:sz w:val="24"/>
                <w:highlight w:val="none"/>
                <w:lang w:val="en-US" w:eastAsia="zh-CN"/>
                <w14:textFill>
                  <w14:solidFill>
                    <w14:schemeClr w14:val="tx1"/>
                  </w14:solidFill>
                </w14:textFill>
              </w:rPr>
              <w:t>小试</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及工艺优化</w:t>
            </w:r>
            <w:r>
              <w:rPr>
                <w:rFonts w:hint="eastAsia" w:cs="Times New Roman"/>
                <w:b w:val="0"/>
                <w:bCs w:val="0"/>
                <w:color w:val="000000" w:themeColor="text1"/>
                <w:sz w:val="24"/>
                <w:highlight w:val="none"/>
                <w:lang w:val="en-US" w:eastAsia="zh-CN"/>
                <w14:textFill>
                  <w14:solidFill>
                    <w14:schemeClr w14:val="tx1"/>
                  </w14:solidFill>
                </w14:textFill>
              </w:rPr>
              <w:t>小试</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r>
              <w:rPr>
                <w:rFonts w:hint="eastAsia" w:cs="Times New Roman"/>
                <w:b w:val="0"/>
                <w:bCs w:val="0"/>
                <w:color w:val="000000" w:themeColor="text1"/>
                <w:sz w:val="24"/>
                <w:highlight w:val="none"/>
                <w:lang w:val="en-US" w:eastAsia="zh-CN"/>
                <w14:textFill>
                  <w14:solidFill>
                    <w14:schemeClr w14:val="tx1"/>
                  </w14:solidFill>
                </w14:textFill>
              </w:rPr>
              <w:t>六楼</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研发室涉及试剂挥发工序全部在通风橱内进行，通风橱使用密闭管道与活性炭吸附装置连通</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通风橱废气经活性炭吸附装置处理后经排气筒有组织排放。本次环评选取具代表性的</w:t>
            </w:r>
            <w:r>
              <w:rPr>
                <w:rFonts w:hint="eastAsia" w:cs="Times New Roman"/>
                <w:color w:val="000000" w:themeColor="text1"/>
                <w:sz w:val="24"/>
                <w:highlight w:val="none"/>
                <w:lang w:val="en-US" w:eastAsia="zh-CN"/>
                <w14:textFill>
                  <w14:solidFill>
                    <w14:schemeClr w14:val="tx1"/>
                  </w14:solidFill>
                </w14:textFill>
              </w:rPr>
              <w:t>研发产品</w:t>
            </w:r>
            <w:r>
              <w:rPr>
                <w:rFonts w:hint="default" w:ascii="Times New Roman" w:hAnsi="Times New Roman" w:cs="Times New Roman"/>
                <w:color w:val="000000" w:themeColor="text1"/>
                <w:sz w:val="24"/>
                <w:highlight w:val="none"/>
                <w14:textFill>
                  <w14:solidFill>
                    <w14:schemeClr w14:val="tx1"/>
                  </w14:solidFill>
                </w14:textFill>
              </w:rPr>
              <w:t>工艺进行重点分析。具体流程见图2-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w:t>
            </w:r>
          </w:p>
          <w:p>
            <w:pPr>
              <w:pStyle w:val="16"/>
              <w:adjustRightInd w:val="0"/>
              <w:spacing w:line="360"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①ML106</w:t>
            </w:r>
            <w:r>
              <w:rPr>
                <w:rFonts w:hint="eastAsia" w:ascii="Times New Roman" w:hAnsi="Times New Roman" w:cs="Times New Roman"/>
                <w:color w:val="000000" w:themeColor="text1"/>
                <w:sz w:val="24"/>
                <w:highlight w:val="none"/>
                <w:lang w:val="en-US" w:eastAsia="zh-CN"/>
                <w14:textFill>
                  <w14:solidFill>
                    <w14:schemeClr w14:val="tx1"/>
                  </w14:solidFill>
                </w14:textFill>
              </w:rPr>
              <w:t>（亚硫酸乙烯酯）</w:t>
            </w:r>
            <w:r>
              <w:rPr>
                <w:rFonts w:hint="default" w:ascii="Times New Roman" w:hAnsi="Times New Roman" w:cs="Times New Roman"/>
                <w:color w:val="000000" w:themeColor="text1"/>
                <w:sz w:val="24"/>
                <w:highlight w:val="none"/>
                <w:lang w:val="en-US" w:eastAsia="zh-CN"/>
                <w14:textFill>
                  <w14:solidFill>
                    <w14:schemeClr w14:val="tx1"/>
                  </w14:solidFill>
                </w14:textFill>
              </w:rPr>
              <w:t>研发工艺流</w:t>
            </w:r>
            <w:r>
              <w:rPr>
                <w:rFonts w:hint="eastAsia" w:ascii="Times New Roman" w:hAnsi="Times New Roman" w:cs="Times New Roman"/>
                <w:color w:val="000000" w:themeColor="text1"/>
                <w:sz w:val="24"/>
                <w:highlight w:val="none"/>
                <w:lang w:val="en-US" w:eastAsia="zh-CN"/>
                <w14:textFill>
                  <w14:solidFill>
                    <w14:schemeClr w14:val="tx1"/>
                  </w14:solidFill>
                </w14:textFill>
              </w:rPr>
              <w:t>程</w:t>
            </w:r>
          </w:p>
          <w:p>
            <w:pPr>
              <w:pStyle w:val="16"/>
              <w:adjustRightInd w:val="0"/>
              <w:spacing w:line="360" w:lineRule="auto"/>
              <w:jc w:val="center"/>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object>
                <v:shape id="_x0000_i1027" o:spt="75" type="#_x0000_t75" style="height:126pt;width:292.65pt;" o:ole="t" filled="f" o:preferrelative="t" stroked="f" coordsize="21600,21600">
                  <v:path/>
                  <v:fill on="f" focussize="0,0"/>
                  <v:stroke on="f"/>
                  <v:imagedata r:id="rId16" o:title=""/>
                  <o:lock v:ext="edit" aspectratio="f"/>
                  <w10:wrap type="none"/>
                  <w10:anchorlock/>
                </v:shape>
                <o:OLEObject Type="Embed" ProgID="Visio.Drawing.15" ShapeID="_x0000_i1027" DrawAspect="Content" ObjectID="_1468075727" r:id="rId15">
                  <o:LockedField>false</o:LockedField>
                </o:OLEObject>
              </w:object>
            </w:r>
          </w:p>
          <w:p>
            <w:pPr>
              <w:spacing w:line="360" w:lineRule="auto"/>
              <w:jc w:val="center"/>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图2-</w:t>
            </w:r>
            <w:r>
              <w:rPr>
                <w:rFonts w:hint="eastAsia" w:cs="Times New Roman"/>
                <w:b/>
                <w:color w:val="000000" w:themeColor="text1"/>
                <w:kern w:val="0"/>
                <w:sz w:val="24"/>
                <w:highlight w:val="none"/>
                <w:lang w:val="en-US" w:eastAsia="zh-CN"/>
                <w14:textFill>
                  <w14:solidFill>
                    <w14:schemeClr w14:val="tx1"/>
                  </w14:solidFill>
                </w14:textFill>
              </w:rPr>
              <w:t>5（1）</w:t>
            </w:r>
            <w:r>
              <w:rPr>
                <w:rFonts w:hint="default" w:ascii="Times New Roman" w:hAnsi="Times New Roman" w:cs="Times New Roman"/>
                <w:b/>
                <w:color w:val="000000" w:themeColor="text1"/>
                <w:kern w:val="0"/>
                <w:sz w:val="24"/>
                <w:highlight w:val="none"/>
                <w14:textFill>
                  <w14:solidFill>
                    <w14:schemeClr w14:val="tx1"/>
                  </w14:solidFill>
                </w14:textFill>
              </w:rPr>
              <w:t xml:space="preserve">  </w:t>
            </w:r>
            <w:r>
              <w:rPr>
                <w:rFonts w:hint="eastAsia" w:cs="Times New Roman"/>
                <w:b/>
                <w:color w:val="000000" w:themeColor="text1"/>
                <w:kern w:val="0"/>
                <w:sz w:val="24"/>
                <w:highlight w:val="none"/>
                <w:lang w:val="en-US" w:eastAsia="zh-CN"/>
                <w14:textFill>
                  <w14:solidFill>
                    <w14:schemeClr w14:val="tx1"/>
                  </w14:solidFill>
                </w14:textFill>
              </w:rPr>
              <w:t>六楼研发室（ML106）</w:t>
            </w:r>
            <w:r>
              <w:rPr>
                <w:rFonts w:hint="default" w:ascii="Times New Roman" w:hAnsi="Times New Roman" w:cs="Times New Roman"/>
                <w:b/>
                <w:color w:val="000000" w:themeColor="text1"/>
                <w:kern w:val="0"/>
                <w:sz w:val="24"/>
                <w:highlight w:val="none"/>
                <w14:textFill>
                  <w14:solidFill>
                    <w14:schemeClr w14:val="tx1"/>
                  </w14:solidFill>
                </w14:textFill>
              </w:rPr>
              <w:t>工艺流程图</w:t>
            </w:r>
          </w:p>
          <w:p>
            <w:pPr>
              <w:spacing w:line="360" w:lineRule="auto"/>
              <w:ind w:firstLine="482"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工艺</w:t>
            </w:r>
            <w:r>
              <w:rPr>
                <w:rFonts w:hint="eastAsia" w:cs="Times New Roman"/>
                <w:b/>
                <w:color w:val="000000" w:themeColor="text1"/>
                <w:kern w:val="0"/>
                <w:sz w:val="24"/>
                <w:highlight w:val="none"/>
                <w:lang w:val="en-US" w:eastAsia="zh-CN"/>
                <w14:textFill>
                  <w14:solidFill>
                    <w14:schemeClr w14:val="tx1"/>
                  </w14:solidFill>
                </w14:textFill>
              </w:rPr>
              <w:t>简述</w:t>
            </w:r>
            <w:r>
              <w:rPr>
                <w:rFonts w:hint="default" w:ascii="Times New Roman" w:hAnsi="Times New Roman" w:cs="Times New Roman"/>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jc w:val="both"/>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在低温搅拌下，向小试玻璃</w:t>
            </w:r>
            <w:r>
              <w:rPr>
                <w:rFonts w:hint="eastAsia" w:cs="Times New Roman"/>
                <w:b w:val="0"/>
                <w:bCs w:val="0"/>
                <w:color w:val="000000" w:themeColor="text1"/>
                <w:sz w:val="24"/>
                <w:highlight w:val="none"/>
                <w:lang w:val="en-US" w:eastAsia="zh-CN"/>
                <w14:textFill>
                  <w14:solidFill>
                    <w14:schemeClr w14:val="tx1"/>
                  </w14:solidFill>
                </w14:textFill>
              </w:rPr>
              <w:t>烧瓶</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内加入乙二醇，然后滴加氯化亚砜，产生的酸性气体用碱液吸收，反应完成后，升温，水泵减压，脱除酸性气体，然后</w:t>
            </w:r>
            <w:r>
              <w:rPr>
                <w:rFonts w:hint="eastAsia" w:cs="Times New Roman"/>
                <w:b w:val="0"/>
                <w:bCs w:val="0"/>
                <w:color w:val="000000" w:themeColor="text1"/>
                <w:sz w:val="24"/>
                <w:highlight w:val="none"/>
                <w:lang w:val="en-US" w:eastAsia="zh-CN"/>
                <w14:textFill>
                  <w14:solidFill>
                    <w14:schemeClr w14:val="tx1"/>
                  </w14:solidFill>
                </w14:textFill>
              </w:rPr>
              <w:t>旋转蒸发</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冷凝获得目标产物ML106；然后对目标产物ML106进行检测分析并记录研发过程中的工艺参数。最后目标产物及酸性气体</w:t>
            </w:r>
            <w:r>
              <w:rPr>
                <w:rFonts w:hint="eastAsia" w:cs="Times New Roman"/>
                <w:b w:val="0"/>
                <w:bCs w:val="0"/>
                <w:color w:val="000000" w:themeColor="text1"/>
                <w:sz w:val="24"/>
                <w:highlight w:val="none"/>
                <w:lang w:val="en-US" w:eastAsia="zh-CN"/>
                <w14:textFill>
                  <w14:solidFill>
                    <w14:schemeClr w14:val="tx1"/>
                  </w14:solidFill>
                </w14:textFill>
              </w:rPr>
              <w:t>经吸收处理</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后的碱液全部作为危废处理。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jc w:val="both"/>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②PL911</w:t>
            </w:r>
            <w:r>
              <w:rPr>
                <w:rFonts w:hint="eastAsia" w:cs="Times New Roman"/>
                <w:b w:val="0"/>
                <w:bCs w:val="0"/>
                <w:color w:val="000000" w:themeColor="text1"/>
                <w:sz w:val="24"/>
                <w:highlight w:val="none"/>
                <w:lang w:val="en-US" w:eastAsia="zh-CN"/>
                <w14:textFill>
                  <w14:solidFill>
                    <w14:schemeClr w14:val="tx1"/>
                  </w14:solidFill>
                </w14:textFill>
              </w:rPr>
              <w:t>（球形硅树脂）</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研发工艺流程</w:t>
            </w:r>
          </w:p>
          <w:p>
            <w:pPr>
              <w:pStyle w:val="35"/>
              <w:widowControl w:val="0"/>
              <w:numPr>
                <w:ilvl w:val="0"/>
                <w:numId w:val="0"/>
              </w:numPr>
              <w:spacing w:after="12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object>
                <v:shape id="_x0000_i1028" o:spt="75" type="#_x0000_t75" style="height:159.05pt;width:349.1pt;" o:ole="t" filled="f" o:preferrelative="t" stroked="f" coordsize="21600,21600">
                  <v:path/>
                  <v:fill on="f" focussize="0,0"/>
                  <v:stroke on="f"/>
                  <v:imagedata r:id="rId18" o:title=""/>
                  <o:lock v:ext="edit" aspectratio="f"/>
                  <w10:wrap type="none"/>
                  <w10:anchorlock/>
                </v:shape>
                <o:OLEObject Type="Embed" ProgID="Visio.Drawing.15" ShapeID="_x0000_i1028" DrawAspect="Content" ObjectID="_1468075728" r:id="rId17">
                  <o:LockedField>false</o:LockedField>
                </o:OLEObject>
              </w:object>
            </w:r>
          </w:p>
          <w:p>
            <w:pPr>
              <w:spacing w:line="360" w:lineRule="auto"/>
              <w:jc w:val="center"/>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图2-</w:t>
            </w:r>
            <w:r>
              <w:rPr>
                <w:rFonts w:hint="eastAsia" w:cs="Times New Roman"/>
                <w:b/>
                <w:color w:val="000000" w:themeColor="text1"/>
                <w:kern w:val="0"/>
                <w:sz w:val="24"/>
                <w:highlight w:val="none"/>
                <w:lang w:val="en-US" w:eastAsia="zh-CN"/>
                <w14:textFill>
                  <w14:solidFill>
                    <w14:schemeClr w14:val="tx1"/>
                  </w14:solidFill>
                </w14:textFill>
              </w:rPr>
              <w:t>5（2）</w:t>
            </w:r>
            <w:r>
              <w:rPr>
                <w:rFonts w:hint="default" w:ascii="Times New Roman" w:hAnsi="Times New Roman" w:cs="Times New Roman"/>
                <w:b/>
                <w:color w:val="000000" w:themeColor="text1"/>
                <w:kern w:val="0"/>
                <w:sz w:val="24"/>
                <w:highlight w:val="none"/>
                <w14:textFill>
                  <w14:solidFill>
                    <w14:schemeClr w14:val="tx1"/>
                  </w14:solidFill>
                </w14:textFill>
              </w:rPr>
              <w:t xml:space="preserve">  </w:t>
            </w:r>
            <w:r>
              <w:rPr>
                <w:rFonts w:hint="eastAsia" w:cs="Times New Roman"/>
                <w:b/>
                <w:color w:val="000000" w:themeColor="text1"/>
                <w:kern w:val="0"/>
                <w:sz w:val="24"/>
                <w:highlight w:val="none"/>
                <w:lang w:val="en-US" w:eastAsia="zh-CN"/>
                <w14:textFill>
                  <w14:solidFill>
                    <w14:schemeClr w14:val="tx1"/>
                  </w14:solidFill>
                </w14:textFill>
              </w:rPr>
              <w:t>六楼研发室（PL911）</w:t>
            </w:r>
            <w:r>
              <w:rPr>
                <w:rFonts w:hint="default" w:ascii="Times New Roman" w:hAnsi="Times New Roman" w:cs="Times New Roman"/>
                <w:b/>
                <w:color w:val="000000" w:themeColor="text1"/>
                <w:kern w:val="0"/>
                <w:sz w:val="24"/>
                <w:highlight w:val="none"/>
                <w14:textFill>
                  <w14:solidFill>
                    <w14:schemeClr w14:val="tx1"/>
                  </w14:solidFill>
                </w14:textFill>
              </w:rPr>
              <w:t>工艺流程图</w:t>
            </w:r>
          </w:p>
          <w:p>
            <w:pPr>
              <w:spacing w:line="360" w:lineRule="auto"/>
              <w:ind w:firstLine="482"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工艺</w:t>
            </w:r>
            <w:r>
              <w:rPr>
                <w:rFonts w:hint="eastAsia" w:cs="Times New Roman"/>
                <w:b/>
                <w:color w:val="000000" w:themeColor="text1"/>
                <w:kern w:val="0"/>
                <w:sz w:val="24"/>
                <w:highlight w:val="none"/>
                <w:lang w:val="en-US" w:eastAsia="zh-CN"/>
                <w14:textFill>
                  <w14:solidFill>
                    <w14:schemeClr w14:val="tx1"/>
                  </w14:solidFill>
                </w14:textFill>
              </w:rPr>
              <w:t>简述</w:t>
            </w:r>
            <w:r>
              <w:rPr>
                <w:rFonts w:hint="default" w:ascii="Times New Roman" w:hAnsi="Times New Roman" w:cs="Times New Roman"/>
                <w:color w:val="000000" w:themeColor="text1"/>
                <w:kern w:val="0"/>
                <w:sz w:val="24"/>
                <w:highlight w:val="none"/>
                <w14:textFill>
                  <w14:solidFill>
                    <w14:schemeClr w14:val="tx1"/>
                  </w14:solidFill>
                </w14:textFill>
              </w:rPr>
              <w:t>：向小试玻璃</w:t>
            </w:r>
            <w:r>
              <w:rPr>
                <w:rFonts w:hint="eastAsia" w:cs="Times New Roman"/>
                <w:color w:val="000000" w:themeColor="text1"/>
                <w:kern w:val="0"/>
                <w:sz w:val="24"/>
                <w:highlight w:val="none"/>
                <w:lang w:val="en-US" w:eastAsia="zh-CN"/>
                <w14:textFill>
                  <w14:solidFill>
                    <w14:schemeClr w14:val="tx1"/>
                  </w14:solidFill>
                </w14:textFill>
              </w:rPr>
              <w:t>烧瓶</w:t>
            </w:r>
            <w:r>
              <w:rPr>
                <w:rFonts w:hint="default" w:ascii="Times New Roman" w:hAnsi="Times New Roman" w:cs="Times New Roman"/>
                <w:color w:val="000000" w:themeColor="text1"/>
                <w:kern w:val="0"/>
                <w:sz w:val="24"/>
                <w:highlight w:val="none"/>
                <w14:textFill>
                  <w14:solidFill>
                    <w14:schemeClr w14:val="tx1"/>
                  </w14:solidFill>
                </w14:textFill>
              </w:rPr>
              <w:t>内加入甲基三甲氧基硅烷和纯水，升温，发生水解反应，生成硅醇和甲醇，然后</w:t>
            </w:r>
            <w:r>
              <w:rPr>
                <w:rFonts w:hint="default" w:ascii="Times New Roman" w:hAnsi="Times New Roman" w:eastAsia="宋体" w:cs="Times New Roman"/>
                <w:color w:val="000000" w:themeColor="text1"/>
                <w:kern w:val="0"/>
                <w:sz w:val="24"/>
                <w:highlight w:val="none"/>
                <w14:textFill>
                  <w14:solidFill>
                    <w14:schemeClr w14:val="tx1"/>
                  </w14:solidFill>
                </w14:textFill>
              </w:rPr>
              <w:t>加入</w:t>
            </w:r>
            <w:bookmarkStart w:id="16" w:name="OLE_LINK6"/>
            <w:r>
              <w:rPr>
                <w:rFonts w:hint="default" w:ascii="Times New Roman" w:hAnsi="Times New Roman" w:eastAsia="宋体" w:cs="Times New Roman"/>
                <w:color w:val="000000" w:themeColor="text1"/>
                <w:kern w:val="0"/>
                <w:sz w:val="24"/>
                <w:highlight w:val="none"/>
                <w14:textFill>
                  <w14:solidFill>
                    <w14:schemeClr w14:val="tx1"/>
                  </w14:solidFill>
                </w14:textFill>
              </w:rPr>
              <w:t>X011</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氨水</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bookmarkEnd w:id="16"/>
            <w:r>
              <w:rPr>
                <w:rFonts w:hint="default" w:ascii="Times New Roman" w:hAnsi="Times New Roman" w:eastAsia="宋体" w:cs="Times New Roman"/>
                <w:color w:val="000000" w:themeColor="text1"/>
                <w:kern w:val="0"/>
                <w:sz w:val="24"/>
                <w:highlight w:val="none"/>
                <w14:textFill>
                  <w14:solidFill>
                    <w14:schemeClr w14:val="tx1"/>
                  </w14:solidFill>
                </w14:textFill>
              </w:rPr>
              <w:t>后静置，然</w:t>
            </w:r>
            <w:r>
              <w:rPr>
                <w:rFonts w:hint="default" w:ascii="Times New Roman" w:hAnsi="Times New Roman" w:cs="Times New Roman"/>
                <w:color w:val="000000" w:themeColor="text1"/>
                <w:kern w:val="0"/>
                <w:sz w:val="24"/>
                <w:highlight w:val="none"/>
                <w14:textFill>
                  <w14:solidFill>
                    <w14:schemeClr w14:val="tx1"/>
                  </w14:solidFill>
                </w14:textFill>
              </w:rPr>
              <w:t>后过滤烘干得到目标产物PL911，然后对目标产物进行检测分析并记录研发过程中的工艺参数。最后目标产物及滤液全部作为危废处理。</w:t>
            </w:r>
          </w:p>
          <w:p>
            <w:pPr>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③SL745</w:t>
            </w:r>
            <w:r>
              <w:rPr>
                <w:rFonts w:hint="eastAsia" w:cs="Times New Roman"/>
                <w:color w:val="000000" w:themeColor="text1"/>
                <w:kern w:val="0"/>
                <w:sz w:val="24"/>
                <w:highlight w:val="none"/>
                <w:lang w:eastAsia="zh-CN"/>
                <w14:textFill>
                  <w14:solidFill>
                    <w14:schemeClr w14:val="tx1"/>
                  </w14:solidFill>
                </w14:textFill>
              </w:rPr>
              <w:t>（双（3-氨基丙基）封端聚二甲基硅氧烷）</w:t>
            </w:r>
            <w:r>
              <w:rPr>
                <w:rFonts w:hint="default" w:ascii="Times New Roman" w:hAnsi="Times New Roman" w:cs="Times New Roman"/>
                <w:color w:val="000000" w:themeColor="text1"/>
                <w:kern w:val="0"/>
                <w:sz w:val="24"/>
                <w:highlight w:val="none"/>
                <w14:textFill>
                  <w14:solidFill>
                    <w14:schemeClr w14:val="tx1"/>
                  </w14:solidFill>
                </w14:textFill>
              </w:rPr>
              <w:t>研发工艺流程</w:t>
            </w:r>
          </w:p>
          <w:p>
            <w:pPr>
              <w:pStyle w:val="35"/>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object>
                <v:shape id="_x0000_i1029" o:spt="75" type="#_x0000_t75" style="height:139.7pt;width:291.1pt;" o:ole="t" filled="f" o:preferrelative="t" stroked="f" coordsize="21600,21600">
                  <v:path/>
                  <v:fill on="f" focussize="0,0"/>
                  <v:stroke on="f"/>
                  <v:imagedata r:id="rId20" o:title=""/>
                  <o:lock v:ext="edit" aspectratio="f"/>
                  <w10:wrap type="none"/>
                  <w10:anchorlock/>
                </v:shape>
                <o:OLEObject Type="Embed" ProgID="Visio.Drawing.15" ShapeID="_x0000_i1029" DrawAspect="Content" ObjectID="_1468075729" r:id="rId19">
                  <o:LockedField>false</o:LockedField>
                </o:OLEObject>
              </w:object>
            </w:r>
          </w:p>
          <w:p>
            <w:pPr>
              <w:spacing w:line="360" w:lineRule="auto"/>
              <w:jc w:val="center"/>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图2-</w:t>
            </w:r>
            <w:r>
              <w:rPr>
                <w:rFonts w:hint="eastAsia" w:cs="Times New Roman"/>
                <w:b/>
                <w:color w:val="000000" w:themeColor="text1"/>
                <w:kern w:val="0"/>
                <w:sz w:val="24"/>
                <w:highlight w:val="none"/>
                <w:lang w:val="en-US" w:eastAsia="zh-CN"/>
                <w14:textFill>
                  <w14:solidFill>
                    <w14:schemeClr w14:val="tx1"/>
                  </w14:solidFill>
                </w14:textFill>
              </w:rPr>
              <w:t>5（3）</w:t>
            </w:r>
            <w:r>
              <w:rPr>
                <w:rFonts w:hint="default" w:ascii="Times New Roman" w:hAnsi="Times New Roman" w:cs="Times New Roman"/>
                <w:b/>
                <w:color w:val="000000" w:themeColor="text1"/>
                <w:kern w:val="0"/>
                <w:sz w:val="24"/>
                <w:highlight w:val="none"/>
                <w14:textFill>
                  <w14:solidFill>
                    <w14:schemeClr w14:val="tx1"/>
                  </w14:solidFill>
                </w14:textFill>
              </w:rPr>
              <w:t xml:space="preserve">  </w:t>
            </w:r>
            <w:r>
              <w:rPr>
                <w:rFonts w:hint="eastAsia" w:cs="Times New Roman"/>
                <w:b/>
                <w:color w:val="000000" w:themeColor="text1"/>
                <w:kern w:val="0"/>
                <w:sz w:val="24"/>
                <w:highlight w:val="none"/>
                <w:lang w:val="en-US" w:eastAsia="zh-CN"/>
                <w14:textFill>
                  <w14:solidFill>
                    <w14:schemeClr w14:val="tx1"/>
                  </w14:solidFill>
                </w14:textFill>
              </w:rPr>
              <w:t>六楼研发室（SL745）</w:t>
            </w:r>
            <w:r>
              <w:rPr>
                <w:rFonts w:hint="default" w:ascii="Times New Roman" w:hAnsi="Times New Roman" w:cs="Times New Roman"/>
                <w:b/>
                <w:color w:val="000000" w:themeColor="text1"/>
                <w:kern w:val="0"/>
                <w:sz w:val="24"/>
                <w:highlight w:val="none"/>
                <w14:textFill>
                  <w14:solidFill>
                    <w14:schemeClr w14:val="tx1"/>
                  </w14:solidFill>
                </w14:textFill>
              </w:rPr>
              <w:t>工艺流程图</w:t>
            </w:r>
          </w:p>
          <w:p>
            <w:pPr>
              <w:pStyle w:val="35"/>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工艺</w:t>
            </w:r>
            <w:r>
              <w:rPr>
                <w:rFonts w:hint="eastAsia" w:cs="Times New Roman"/>
                <w:b/>
                <w:color w:val="000000" w:themeColor="text1"/>
                <w:kern w:val="0"/>
                <w:sz w:val="24"/>
                <w:highlight w:val="none"/>
                <w:lang w:val="en-US" w:eastAsia="zh-CN"/>
                <w14:textFill>
                  <w14:solidFill>
                    <w14:schemeClr w14:val="tx1"/>
                  </w14:solidFill>
                </w14:textFill>
              </w:rPr>
              <w:t>简述</w:t>
            </w:r>
            <w:r>
              <w:rPr>
                <w:rFonts w:hint="default" w:ascii="Times New Roman" w:hAnsi="Times New Roman" w:cs="Times New Roman"/>
                <w:color w:val="000000" w:themeColor="text1"/>
                <w:kern w:val="0"/>
                <w:sz w:val="24"/>
                <w:highlight w:val="none"/>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向小试玻璃</w:t>
            </w: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烧瓶</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内加入</w:t>
            </w: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D</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4</w:t>
            </w:r>
            <w:r>
              <w:rPr>
                <w:rFonts w:hint="eastAsia"/>
                <w:b w:val="0"/>
                <w:bCs w:val="0"/>
                <w:color w:val="000000" w:themeColor="text1"/>
                <w:highlight w:val="none"/>
                <w:lang w:eastAsia="zh-CN"/>
                <w14:textFill>
                  <w14:solidFill>
                    <w14:schemeClr w14:val="tx1"/>
                  </w14:solidFill>
                </w14:textFill>
              </w:rPr>
              <w:t>（八甲基环四硅氧烷）</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和氨基封头剂、四甲基氢氧化铵，升温，发生加成反应，生成SL745和未完全开环的D4和亚胺，然后减压蒸馏去除低沸点环状副产物，得到目标产物SL745，然后对目标产物进行检测分析并记录研发过程中的工艺参数。最后目标产物及低沸液全部作为危废处理。</w:t>
            </w:r>
          </w:p>
          <w:p>
            <w:pPr>
              <w:spacing w:line="360" w:lineRule="auto"/>
              <w:ind w:left="482"/>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2、产污环节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val="0"/>
                <w:bCs/>
                <w:color w:val="000000" w:themeColor="text1"/>
                <w:sz w:val="24"/>
                <w:highlight w:val="none"/>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(1)废气</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本项目废气主要是五楼化验室</w:t>
            </w:r>
            <w:r>
              <w:rPr>
                <w:rFonts w:hint="eastAsia"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highlight w:val="none"/>
                <w14:textFill>
                  <w14:solidFill>
                    <w14:schemeClr w14:val="tx1"/>
                  </w14:solidFill>
                </w14:textFill>
              </w:rPr>
              <w:t>六楼研发室</w:t>
            </w:r>
            <w:r>
              <w:rPr>
                <w:rFonts w:hint="eastAsia" w:cs="Times New Roman"/>
                <w:b w:val="0"/>
                <w:bCs/>
                <w:color w:val="000000" w:themeColor="text1"/>
                <w:sz w:val="24"/>
                <w:highlight w:val="none"/>
                <w:lang w:val="en-US" w:eastAsia="zh-CN"/>
                <w14:textFill>
                  <w14:solidFill>
                    <w14:schemeClr w14:val="tx1"/>
                  </w14:solidFill>
                </w14:textFill>
              </w:rPr>
              <w:t>操作过程产生的</w:t>
            </w:r>
            <w:r>
              <w:rPr>
                <w:rFonts w:hint="default" w:ascii="Times New Roman" w:hAnsi="Times New Roman" w:cs="Times New Roman"/>
                <w:b w:val="0"/>
                <w:bCs/>
                <w:color w:val="000000" w:themeColor="text1"/>
                <w:sz w:val="24"/>
                <w:highlight w:val="none"/>
                <w14:textFill>
                  <w14:solidFill>
                    <w14:schemeClr w14:val="tx1"/>
                  </w14:solidFill>
                </w14:textFill>
              </w:rPr>
              <w:t>废气及</w:t>
            </w:r>
            <w:r>
              <w:rPr>
                <w:rFonts w:hint="eastAsia" w:cs="Times New Roman"/>
                <w:b w:val="0"/>
                <w:bCs/>
                <w:color w:val="000000" w:themeColor="text1"/>
                <w:sz w:val="24"/>
                <w:highlight w:val="none"/>
                <w:lang w:val="en-US" w:eastAsia="zh-CN"/>
                <w14:textFill>
                  <w14:solidFill>
                    <w14:schemeClr w14:val="tx1"/>
                  </w14:solidFill>
                </w14:textFill>
              </w:rPr>
              <w:t>样品、药品、试剂等存放区废气</w:t>
            </w:r>
            <w:r>
              <w:rPr>
                <w:rFonts w:hint="default" w:ascii="Times New Roman" w:hAnsi="Times New Roman" w:cs="Times New Roman"/>
                <w:b w:val="0"/>
                <w:bCs/>
                <w:color w:val="000000" w:themeColor="text1"/>
                <w:sz w:val="24"/>
                <w:highlight w:val="none"/>
                <w14:textFill>
                  <w14:solidFill>
                    <w14:schemeClr w14:val="tx1"/>
                  </w14:solidFill>
                </w14:textFill>
              </w:rPr>
              <w:t>。</w:t>
            </w:r>
            <w:r>
              <w:rPr>
                <w:rFonts w:hint="eastAsia" w:cs="Times New Roman"/>
                <w:b w:val="0"/>
                <w:bCs/>
                <w:color w:val="000000" w:themeColor="text1"/>
                <w:sz w:val="24"/>
                <w:highlight w:val="none"/>
                <w:lang w:val="en-US" w:eastAsia="zh-CN"/>
                <w14:textFill>
                  <w14:solidFill>
                    <w14:schemeClr w14:val="tx1"/>
                  </w14:solidFill>
                </w14:textFill>
              </w:rPr>
              <w:t>以上废气分别经负压收集然后进入活性炭装置吸附处理，通过排气筒排放。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val="0"/>
                <w:bCs/>
                <w:color w:val="000000" w:themeColor="text1"/>
                <w:sz w:val="24"/>
                <w:highlight w:val="none"/>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本项目废水主要包括</w:t>
            </w:r>
            <w:r>
              <w:rPr>
                <w:rFonts w:hint="eastAsia" w:cs="Times New Roman"/>
                <w:b w:val="0"/>
                <w:bCs/>
                <w:color w:val="000000" w:themeColor="text1"/>
                <w:sz w:val="24"/>
                <w:highlight w:val="none"/>
                <w:lang w:val="en-US" w:eastAsia="zh-CN"/>
                <w14:textFill>
                  <w14:solidFill>
                    <w14:schemeClr w14:val="tx1"/>
                  </w14:solidFill>
                </w14:textFill>
              </w:rPr>
              <w:t>生活污水、地面清洗废水、实验仪器</w:t>
            </w:r>
            <w:r>
              <w:rPr>
                <w:rFonts w:hint="default" w:ascii="Times New Roman" w:hAnsi="Times New Roman" w:cs="Times New Roman"/>
                <w:b w:val="0"/>
                <w:bCs/>
                <w:color w:val="000000" w:themeColor="text1"/>
                <w:sz w:val="24"/>
                <w:highlight w:val="none"/>
                <w14:textFill>
                  <w14:solidFill>
                    <w14:schemeClr w14:val="tx1"/>
                  </w14:solidFill>
                </w14:textFill>
              </w:rPr>
              <w:t>第二步清洗</w:t>
            </w:r>
            <w:r>
              <w:rPr>
                <w:rFonts w:hint="eastAsia" w:cs="Times New Roman"/>
                <w:b w:val="0"/>
                <w:bCs/>
                <w:color w:val="000000" w:themeColor="text1"/>
                <w:sz w:val="24"/>
                <w:highlight w:val="none"/>
                <w:lang w:val="en-US" w:eastAsia="zh-CN"/>
                <w14:textFill>
                  <w14:solidFill>
                    <w14:schemeClr w14:val="tx1"/>
                  </w14:solidFill>
                </w14:textFill>
              </w:rPr>
              <w:t>产生的清洗</w:t>
            </w:r>
            <w:r>
              <w:rPr>
                <w:rFonts w:hint="default" w:ascii="Times New Roman" w:hAnsi="Times New Roman" w:cs="Times New Roman"/>
                <w:b w:val="0"/>
                <w:bCs/>
                <w:color w:val="000000" w:themeColor="text1"/>
                <w:sz w:val="24"/>
                <w:highlight w:val="none"/>
                <w14:textFill>
                  <w14:solidFill>
                    <w14:schemeClr w14:val="tx1"/>
                  </w14:solidFill>
                </w14:textFill>
              </w:rPr>
              <w:t>废水</w:t>
            </w:r>
            <w:r>
              <w:rPr>
                <w:rFonts w:hint="eastAsia" w:cs="Times New Roman"/>
                <w:b w:val="0"/>
                <w:bCs/>
                <w:color w:val="000000" w:themeColor="text1"/>
                <w:sz w:val="24"/>
                <w:highlight w:val="none"/>
                <w:lang w:eastAsia="zh-CN"/>
                <w14:textFill>
                  <w14:solidFill>
                    <w14:schemeClr w14:val="tx1"/>
                  </w14:solidFill>
                </w14:textFill>
              </w:rPr>
              <w:t>、</w:t>
            </w:r>
            <w:r>
              <w:rPr>
                <w:rFonts w:hint="eastAsia" w:cs="Times New Roman"/>
                <w:b w:val="0"/>
                <w:bCs/>
                <w:color w:val="000000" w:themeColor="text1"/>
                <w:sz w:val="24"/>
                <w:highlight w:val="none"/>
                <w:lang w:val="en-US" w:eastAsia="zh-CN"/>
                <w14:textFill>
                  <w14:solidFill>
                    <w14:schemeClr w14:val="tx1"/>
                  </w14:solidFill>
                </w14:textFill>
              </w:rPr>
              <w:t>纯水制备废水</w:t>
            </w:r>
            <w:r>
              <w:rPr>
                <w:rFonts w:hint="eastAsia" w:cs="Times New Roman"/>
                <w:b w:val="0"/>
                <w:bCs/>
                <w:color w:val="000000" w:themeColor="text1"/>
                <w:sz w:val="24"/>
                <w:highlight w:val="none"/>
                <w:lang w:eastAsia="zh-CN"/>
                <w14:textFill>
                  <w14:solidFill>
                    <w14:schemeClr w14:val="tx1"/>
                  </w14:solidFill>
                </w14:textFill>
              </w:rPr>
              <w:t>，</w:t>
            </w:r>
            <w:r>
              <w:rPr>
                <w:rFonts w:hint="eastAsia" w:cs="Times New Roman"/>
                <w:b w:val="0"/>
                <w:bCs/>
                <w:color w:val="000000" w:themeColor="text1"/>
                <w:sz w:val="24"/>
                <w:highlight w:val="none"/>
                <w:lang w:val="en-US" w:eastAsia="zh-CN"/>
                <w14:textFill>
                  <w14:solidFill>
                    <w14:schemeClr w14:val="tx1"/>
                  </w14:solidFill>
                </w14:textFill>
              </w:rPr>
              <w:t>以上废水进入厂区污水处理站处理后由管网排入污水处理厂深度处理。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val="0"/>
                <w:bCs/>
                <w:color w:val="000000" w:themeColor="text1"/>
                <w:sz w:val="24"/>
                <w:highlight w:val="none"/>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(3)噪声</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val="0"/>
                <w:bCs/>
                <w:color w:val="000000" w:themeColor="text1"/>
                <w:sz w:val="24"/>
                <w:highlight w:val="none"/>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本项目噪声主要为各种泵类</w:t>
            </w:r>
            <w:r>
              <w:rPr>
                <w:rFonts w:hint="eastAsia" w:cs="Times New Roman"/>
                <w:b w:val="0"/>
                <w:bCs/>
                <w:color w:val="000000" w:themeColor="text1"/>
                <w:sz w:val="24"/>
                <w:highlight w:val="none"/>
                <w:lang w:eastAsia="zh-CN"/>
                <w14:textFill>
                  <w14:solidFill>
                    <w14:schemeClr w14:val="tx1"/>
                  </w14:solidFill>
                </w14:textFill>
              </w:rPr>
              <w:t>、</w:t>
            </w:r>
            <w:r>
              <w:rPr>
                <w:rFonts w:hint="eastAsia" w:cs="Times New Roman"/>
                <w:b w:val="0"/>
                <w:bCs/>
                <w:color w:val="000000" w:themeColor="text1"/>
                <w:sz w:val="24"/>
                <w:highlight w:val="none"/>
                <w:lang w:val="en-US" w:eastAsia="zh-CN"/>
                <w14:textFill>
                  <w14:solidFill>
                    <w14:schemeClr w14:val="tx1"/>
                  </w14:solidFill>
                </w14:textFill>
              </w:rPr>
              <w:t>风机</w:t>
            </w:r>
            <w:r>
              <w:rPr>
                <w:rFonts w:hint="default" w:ascii="Times New Roman" w:hAnsi="Times New Roman" w:cs="Times New Roman"/>
                <w:b w:val="0"/>
                <w:bCs/>
                <w:color w:val="000000" w:themeColor="text1"/>
                <w:sz w:val="24"/>
                <w:highlight w:val="none"/>
                <w14:textFill>
                  <w14:solidFill>
                    <w14:schemeClr w14:val="tx1"/>
                  </w14:solidFill>
                </w14:textFill>
              </w:rPr>
              <w:t>等设备运转时产生的噪音。</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val="0"/>
                <w:bCs/>
                <w:color w:val="000000" w:themeColor="text1"/>
                <w:sz w:val="24"/>
                <w:highlight w:val="none"/>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(4)固废</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val="0"/>
                <w:bCs/>
                <w:color w:val="000000" w:themeColor="text1"/>
                <w:sz w:val="24"/>
                <w:highlight w:val="none"/>
                <w14:textFill>
                  <w14:solidFill>
                    <w14:schemeClr w14:val="tx1"/>
                  </w14:solidFill>
                </w14:textFill>
              </w:rPr>
            </w:pPr>
            <w:r>
              <w:rPr>
                <w:rFonts w:hint="default" w:ascii="Times New Roman" w:hAnsi="Times New Roman" w:cs="Times New Roman"/>
                <w:b w:val="0"/>
                <w:bCs/>
                <w:color w:val="000000" w:themeColor="text1"/>
                <w:sz w:val="24"/>
                <w:highlight w:val="none"/>
                <w14:textFill>
                  <w14:solidFill>
                    <w14:schemeClr w14:val="tx1"/>
                  </w14:solidFill>
                </w14:textFill>
              </w:rPr>
              <w:t>本项目固废主要包括</w:t>
            </w:r>
            <w:r>
              <w:rPr>
                <w:rFonts w:hint="eastAsia" w:cs="Times New Roman"/>
                <w:b w:val="0"/>
                <w:bCs/>
                <w:color w:val="000000" w:themeColor="text1"/>
                <w:sz w:val="24"/>
                <w:highlight w:val="none"/>
                <w:lang w:val="en-US" w:eastAsia="zh-CN"/>
                <w14:textFill>
                  <w14:solidFill>
                    <w14:schemeClr w14:val="tx1"/>
                  </w14:solidFill>
                </w14:textFill>
              </w:rPr>
              <w:t>废包装材料、废试剂容器、废试剂、</w:t>
            </w:r>
            <w:r>
              <w:rPr>
                <w:rFonts w:hint="default" w:ascii="Times New Roman" w:hAnsi="Times New Roman" w:cs="Times New Roman"/>
                <w:b w:val="0"/>
                <w:bCs/>
                <w:color w:val="000000" w:themeColor="text1"/>
                <w:sz w:val="24"/>
                <w:highlight w:val="none"/>
                <w14:textFill>
                  <w14:solidFill>
                    <w14:schemeClr w14:val="tx1"/>
                  </w14:solidFill>
                </w14:textFill>
              </w:rPr>
              <w:t>实验废液、</w:t>
            </w:r>
            <w:r>
              <w:rPr>
                <w:rFonts w:hint="eastAsia" w:cs="Times New Roman"/>
                <w:b w:val="0"/>
                <w:bCs/>
                <w:color w:val="000000" w:themeColor="text1"/>
                <w:sz w:val="24"/>
                <w:highlight w:val="none"/>
                <w:lang w:val="en-US" w:eastAsia="zh-CN"/>
                <w14:textFill>
                  <w14:solidFill>
                    <w14:schemeClr w14:val="tx1"/>
                  </w14:solidFill>
                </w14:textFill>
              </w:rPr>
              <w:t>实验仪器</w:t>
            </w:r>
            <w:r>
              <w:rPr>
                <w:rFonts w:hint="default" w:ascii="Times New Roman" w:hAnsi="Times New Roman" w:cs="Times New Roman"/>
                <w:b w:val="0"/>
                <w:bCs/>
                <w:color w:val="000000" w:themeColor="text1"/>
                <w:sz w:val="24"/>
                <w:highlight w:val="none"/>
                <w14:textFill>
                  <w14:solidFill>
                    <w14:schemeClr w14:val="tx1"/>
                  </w14:solidFill>
                </w14:textFill>
              </w:rPr>
              <w:t>第一步清洗废液、废</w:t>
            </w:r>
            <w:r>
              <w:rPr>
                <w:rFonts w:hint="eastAsia" w:cs="Times New Roman"/>
                <w:b w:val="0"/>
                <w:bCs/>
                <w:color w:val="000000" w:themeColor="text1"/>
                <w:sz w:val="24"/>
                <w:highlight w:val="none"/>
                <w:lang w:val="en-US" w:eastAsia="zh-CN"/>
                <w14:textFill>
                  <w14:solidFill>
                    <w14:schemeClr w14:val="tx1"/>
                  </w14:solidFill>
                </w14:textFill>
              </w:rPr>
              <w:t>耗材、</w:t>
            </w:r>
            <w:r>
              <w:rPr>
                <w:rFonts w:hint="eastAsia" w:cs="Times New Roman"/>
                <w:b w:val="0"/>
                <w:bCs/>
                <w:color w:val="000000" w:themeColor="text1"/>
                <w:sz w:val="24"/>
                <w:highlight w:val="none"/>
                <w:lang w:eastAsia="zh-CN"/>
                <w14:textFill>
                  <w14:solidFill>
                    <w14:schemeClr w14:val="tx1"/>
                  </w14:solidFill>
                </w14:textFill>
              </w:rPr>
              <w:t>沾染化学试剂的劳保用品</w:t>
            </w:r>
            <w:r>
              <w:rPr>
                <w:rFonts w:hint="default" w:ascii="Times New Roman" w:hAnsi="Times New Roman" w:cs="Times New Roman"/>
                <w:b w:val="0"/>
                <w:bCs/>
                <w:color w:val="000000" w:themeColor="text1"/>
                <w:sz w:val="24"/>
                <w:highlight w:val="none"/>
                <w14:textFill>
                  <w14:solidFill>
                    <w14:schemeClr w14:val="tx1"/>
                  </w14:solidFill>
                </w14:textFill>
              </w:rPr>
              <w:t>及废气处理更换的废活性炭。</w:t>
            </w:r>
          </w:p>
          <w:p>
            <w:pPr>
              <w:spacing w:line="360" w:lineRule="auto"/>
              <w:ind w:left="482"/>
              <w:jc w:val="center"/>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表2-</w:t>
            </w:r>
            <w:r>
              <w:rPr>
                <w:rFonts w:hint="eastAsia" w:cs="Times New Roman"/>
                <w:b/>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b/>
                <w:color w:val="000000" w:themeColor="text1"/>
                <w:kern w:val="0"/>
                <w:sz w:val="24"/>
                <w:highlight w:val="none"/>
                <w14:textFill>
                  <w14:solidFill>
                    <w14:schemeClr w14:val="tx1"/>
                  </w14:solidFill>
                </w14:textFill>
              </w:rPr>
              <w:t xml:space="preserve">  主要产污环节一览表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7"/>
              <w:gridCol w:w="3072"/>
              <w:gridCol w:w="1479"/>
              <w:gridCol w:w="32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Align w:val="center"/>
                </w:tcPr>
                <w:p>
                  <w:pPr>
                    <w:autoSpaceDE w:val="0"/>
                    <w:autoSpaceDN w:val="0"/>
                    <w:contextualSpacing/>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w:t>
                  </w:r>
                </w:p>
              </w:tc>
              <w:tc>
                <w:tcPr>
                  <w:tcW w:w="1836" w:type="pct"/>
                  <w:vAlign w:val="center"/>
                </w:tcPr>
                <w:p>
                  <w:pPr>
                    <w:autoSpaceDE w:val="0"/>
                    <w:autoSpaceDN w:val="0"/>
                    <w:contextualSpacing/>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污染物名称</w:t>
                  </w:r>
                </w:p>
              </w:tc>
              <w:tc>
                <w:tcPr>
                  <w:tcW w:w="884" w:type="pct"/>
                  <w:vAlign w:val="center"/>
                </w:tcPr>
                <w:p>
                  <w:pPr>
                    <w:autoSpaceDE w:val="0"/>
                    <w:autoSpaceDN w:val="0"/>
                    <w:contextualSpacing/>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主要污染因子</w:t>
                  </w:r>
                </w:p>
              </w:tc>
              <w:tc>
                <w:tcPr>
                  <w:tcW w:w="1939" w:type="pct"/>
                  <w:vAlign w:val="center"/>
                </w:tcPr>
                <w:p>
                  <w:pPr>
                    <w:autoSpaceDE w:val="0"/>
                    <w:autoSpaceDN w:val="0"/>
                    <w:contextualSpacing/>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处理方式及排放去向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restart"/>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废气</w:t>
                  </w:r>
                </w:p>
              </w:tc>
              <w:tc>
                <w:tcPr>
                  <w:tcW w:w="1836" w:type="pct"/>
                  <w:vAlign w:val="center"/>
                </w:tcPr>
                <w:p>
                  <w:pPr>
                    <w:autoSpaceDE w:val="0"/>
                    <w:autoSpaceDN w:val="0"/>
                    <w:contextualSpacing/>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五楼化验室废气</w:t>
                  </w:r>
                </w:p>
              </w:tc>
              <w:tc>
                <w:tcPr>
                  <w:tcW w:w="884" w:type="pct"/>
                  <w:vAlign w:val="center"/>
                </w:tcPr>
                <w:p>
                  <w:pPr>
                    <w:autoSpaceDE w:val="0"/>
                    <w:autoSpaceDN w:val="0"/>
                    <w:contextualSpacing/>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VOCs</w:t>
                  </w:r>
                  <w:r>
                    <w:rPr>
                      <w:rFonts w:hint="eastAsia" w:cs="Times New Roman"/>
                      <w:color w:val="000000" w:themeColor="text1"/>
                      <w:sz w:val="21"/>
                      <w:szCs w:val="21"/>
                      <w:highlight w:val="none"/>
                      <w:lang w:val="en-US" w:eastAsia="zh-CN"/>
                      <w14:textFill>
                        <w14:solidFill>
                          <w14:schemeClr w14:val="tx1"/>
                        </w14:solidFill>
                      </w14:textFill>
                    </w:rPr>
                    <w:t>、甲苯、乙腈、吡啶、</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二甲基甲酰胺</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三氯甲烷、甲醇、丙酮、氯化氢、硫酸雾、硝酸雾</w:t>
                  </w:r>
                </w:p>
              </w:tc>
              <w:tc>
                <w:tcPr>
                  <w:tcW w:w="1939" w:type="pct"/>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经负压收集后进入活性炭吸附处理（风机风量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22000m³/h</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根高</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29.</w:t>
                  </w:r>
                  <w:r>
                    <w:rPr>
                      <w:rStyle w:val="162"/>
                      <w:rFonts w:hint="eastAsia" w:cs="Times New Roman"/>
                      <w:color w:val="000000" w:themeColor="text1"/>
                      <w:sz w:val="21"/>
                      <w:szCs w:val="21"/>
                      <w:highlight w:val="none"/>
                      <w:lang w:val="en-US" w:eastAsia="zh-CN" w:bidi="ar"/>
                      <w14:textFill>
                        <w14:solidFill>
                          <w14:schemeClr w14:val="tx1"/>
                        </w14:solidFill>
                      </w14:textFill>
                    </w:rPr>
                    <w:t>5</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、内径</w:t>
                  </w:r>
                  <w:r>
                    <w:rPr>
                      <w:rStyle w:val="162"/>
                      <w:rFonts w:hint="eastAsia" w:cs="Times New Roman"/>
                      <w:color w:val="000000" w:themeColor="text1"/>
                      <w:sz w:val="21"/>
                      <w:szCs w:val="21"/>
                      <w:highlight w:val="none"/>
                      <w:lang w:val="en-US" w:eastAsia="zh-CN" w:bidi="ar"/>
                      <w14:textFill>
                        <w14:solidFill>
                          <w14:schemeClr w14:val="tx1"/>
                        </w14:solidFill>
                      </w14:textFill>
                    </w:rPr>
                    <w:t>0.63</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的排气筒（</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P9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六楼研发室废气</w:t>
                  </w:r>
                </w:p>
              </w:tc>
              <w:tc>
                <w:tcPr>
                  <w:tcW w:w="884" w:type="pct"/>
                  <w:vAlign w:val="center"/>
                </w:tcPr>
                <w:p>
                  <w:pPr>
                    <w:autoSpaceDE w:val="0"/>
                    <w:autoSpaceDN w:val="0"/>
                    <w:contextualSpacing/>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VOCs</w:t>
                  </w:r>
                  <w:r>
                    <w:rPr>
                      <w:rFonts w:hint="eastAsia" w:cs="Times New Roman"/>
                      <w:color w:val="000000" w:themeColor="text1"/>
                      <w:sz w:val="21"/>
                      <w:szCs w:val="21"/>
                      <w:highlight w:val="none"/>
                      <w:lang w:val="en-US" w:eastAsia="zh-CN"/>
                      <w14:textFill>
                        <w14:solidFill>
                          <w14:schemeClr w14:val="tx1"/>
                        </w14:solidFill>
                      </w14:textFill>
                    </w:rPr>
                    <w:t>、二氯甲烷、</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二氯乙烷</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、氨、臭气浓度</w:t>
                  </w:r>
                </w:p>
              </w:tc>
              <w:tc>
                <w:tcPr>
                  <w:tcW w:w="1939" w:type="pct"/>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废气经负压收集后进入活性炭吸附处理（风机风量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30000m³/h</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根高</w:t>
                  </w:r>
                  <w:r>
                    <w:rPr>
                      <w:rStyle w:val="162"/>
                      <w:rFonts w:hint="eastAsia" w:cs="Times New Roman"/>
                      <w:color w:val="000000" w:themeColor="text1"/>
                      <w:sz w:val="21"/>
                      <w:szCs w:val="21"/>
                      <w:highlight w:val="none"/>
                      <w:lang w:val="en-US" w:eastAsia="zh-CN" w:bidi="ar"/>
                      <w14:textFill>
                        <w14:solidFill>
                          <w14:schemeClr w14:val="tx1"/>
                        </w14:solidFill>
                      </w14:textFill>
                    </w:rPr>
                    <w:t>29.5</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、内径</w:t>
                  </w:r>
                  <w:r>
                    <w:rPr>
                      <w:rStyle w:val="162"/>
                      <w:rFonts w:hint="eastAsia" w:cs="Times New Roman"/>
                      <w:color w:val="000000" w:themeColor="text1"/>
                      <w:sz w:val="21"/>
                      <w:szCs w:val="21"/>
                      <w:highlight w:val="none"/>
                      <w:lang w:val="en-US" w:eastAsia="zh-CN" w:bidi="ar"/>
                      <w14:textFill>
                        <w14:solidFill>
                          <w14:schemeClr w14:val="tx1"/>
                        </w14:solidFill>
                      </w14:textFill>
                    </w:rPr>
                    <w:t>0.9</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的排气筒（</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P10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存放区废气</w:t>
                  </w:r>
                </w:p>
              </w:tc>
              <w:tc>
                <w:tcPr>
                  <w:tcW w:w="884" w:type="pct"/>
                  <w:vAlign w:val="center"/>
                </w:tcPr>
                <w:p>
                  <w:pPr>
                    <w:autoSpaceDE w:val="0"/>
                    <w:autoSpaceDN w:val="0"/>
                    <w:contextualSpacing/>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VOCs</w:t>
                  </w:r>
                  <w:r>
                    <w:rPr>
                      <w:rFonts w:hint="eastAsia" w:cs="Times New Roman"/>
                      <w:color w:val="000000" w:themeColor="text1"/>
                      <w:sz w:val="21"/>
                      <w:szCs w:val="21"/>
                      <w:highlight w:val="none"/>
                      <w:lang w:val="en-US" w:eastAsia="zh-CN"/>
                      <w14:textFill>
                        <w14:solidFill>
                          <w14:schemeClr w14:val="tx1"/>
                        </w14:solidFill>
                      </w14:textFill>
                    </w:rPr>
                    <w:t>、甲苯、乙腈、吡啶、</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二甲基甲酰胺</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三氯甲烷、甲醇、丙酮、</w:t>
                  </w:r>
                  <w:r>
                    <w:rPr>
                      <w:rFonts w:hint="eastAsia" w:cs="Times New Roman"/>
                      <w:color w:val="000000" w:themeColor="text1"/>
                      <w:sz w:val="21"/>
                      <w:szCs w:val="21"/>
                      <w:highlight w:val="none"/>
                      <w:lang w:val="en-US" w:eastAsia="zh-CN"/>
                      <w14:textFill>
                        <w14:solidFill>
                          <w14:schemeClr w14:val="tx1"/>
                        </w14:solidFill>
                      </w14:textFill>
                    </w:rPr>
                    <w:t>二氯甲烷、</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二氯乙烷</w:t>
                  </w:r>
                </w:p>
              </w:tc>
              <w:tc>
                <w:tcPr>
                  <w:tcW w:w="1939" w:type="pct"/>
                  <w:vAlign w:val="center"/>
                </w:tcPr>
                <w:p>
                  <w:pPr>
                    <w:autoSpaceDE w:val="0"/>
                    <w:autoSpaceDN w:val="0"/>
                    <w:contextualSpacing/>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五楼留样间、药品间废气</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及</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六楼研发室试剂间废气经负压收集后进入活性炭吸附处理（风机风量</w:t>
                  </w:r>
                  <w:r>
                    <w:rPr>
                      <w:rStyle w:val="162"/>
                      <w:rFonts w:hint="eastAsia" w:cs="Times New Roman"/>
                      <w:color w:val="000000" w:themeColor="text1"/>
                      <w:sz w:val="21"/>
                      <w:szCs w:val="21"/>
                      <w:highlight w:val="none"/>
                      <w:lang w:val="en-US" w:eastAsia="zh-CN" w:bidi="ar"/>
                      <w14:textFill>
                        <w14:solidFill>
                          <w14:schemeClr w14:val="tx1"/>
                        </w14:solidFill>
                      </w14:textFill>
                    </w:rPr>
                    <w:t>12000</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m³/h</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根高</w:t>
                  </w:r>
                  <w:r>
                    <w:rPr>
                      <w:rStyle w:val="162"/>
                      <w:rFonts w:hint="eastAsia" w:cs="Times New Roman"/>
                      <w:color w:val="000000" w:themeColor="text1"/>
                      <w:sz w:val="21"/>
                      <w:szCs w:val="21"/>
                      <w:highlight w:val="none"/>
                      <w:lang w:val="en-US" w:eastAsia="zh-CN" w:bidi="ar"/>
                      <w14:textFill>
                        <w14:solidFill>
                          <w14:schemeClr w14:val="tx1"/>
                        </w14:solidFill>
                      </w14:textFill>
                    </w:rPr>
                    <w:t>29.5</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、内径</w:t>
                  </w:r>
                  <w:r>
                    <w:rPr>
                      <w:rStyle w:val="162"/>
                      <w:rFonts w:hint="eastAsia" w:cs="Times New Roman"/>
                      <w:color w:val="000000" w:themeColor="text1"/>
                      <w:sz w:val="21"/>
                      <w:szCs w:val="21"/>
                      <w:highlight w:val="none"/>
                      <w:lang w:val="en-US" w:eastAsia="zh-CN" w:bidi="ar"/>
                      <w14:textFill>
                        <w14:solidFill>
                          <w14:schemeClr w14:val="tx1"/>
                        </w14:solidFill>
                      </w14:textFill>
                    </w:rPr>
                    <w:t>0.55</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的排气筒（</w:t>
                  </w:r>
                  <w:r>
                    <w:rPr>
                      <w:rStyle w:val="16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P11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restart"/>
                  <w:vAlign w:val="center"/>
                </w:tcPr>
                <w:p>
                  <w:pPr>
                    <w:autoSpaceDE w:val="0"/>
                    <w:autoSpaceDN w:val="0"/>
                    <w:contextualSpacing/>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废水</w:t>
                  </w:r>
                </w:p>
              </w:tc>
              <w:tc>
                <w:tcPr>
                  <w:tcW w:w="1836" w:type="pct"/>
                  <w:vAlign w:val="center"/>
                </w:tcPr>
                <w:p>
                  <w:pPr>
                    <w:autoSpaceDE w:val="0"/>
                    <w:autoSpaceDN w:val="0"/>
                    <w:contextualSpacing/>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生活污水</w:t>
                  </w:r>
                </w:p>
              </w:tc>
              <w:tc>
                <w:tcPr>
                  <w:tcW w:w="884" w:type="pct"/>
                  <w:vMerge w:val="restart"/>
                  <w:vAlign w:val="center"/>
                </w:tcPr>
                <w:p>
                  <w:pPr>
                    <w:autoSpaceDE w:val="0"/>
                    <w:autoSpaceDN w:val="0"/>
                    <w:contextualSpacing/>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color w:val="000000" w:themeColor="text1"/>
                      <w:kern w:val="0"/>
                      <w:szCs w:val="21"/>
                      <w:highlight w:val="none"/>
                      <w14:textFill>
                        <w14:solidFill>
                          <w14:schemeClr w14:val="tx1"/>
                        </w14:solidFill>
                      </w14:textFill>
                    </w:rPr>
                    <w:t>COD、氨氮、SS等</w:t>
                  </w:r>
                </w:p>
              </w:tc>
              <w:tc>
                <w:tcPr>
                  <w:tcW w:w="1939" w:type="pct"/>
                  <w:vMerge w:val="restart"/>
                  <w:vAlign w:val="center"/>
                </w:tcPr>
                <w:p>
                  <w:pPr>
                    <w:autoSpaceDE w:val="0"/>
                    <w:autoSpaceDN w:val="0"/>
                    <w:contextualSpacing/>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进入厂区污水处理站处理后由管网排入污水处理厂深度处理。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地面清洗废水</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39" w:type="pct"/>
                  <w:vMerge w:val="continue"/>
                  <w:vAlign w:val="center"/>
                </w:tcPr>
                <w:p>
                  <w:pPr>
                    <w:autoSpaceDE w:val="0"/>
                    <w:autoSpaceDN w:val="0"/>
                    <w:contextualSpacing/>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实验仪器清洗废水</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39" w:type="pct"/>
                  <w:vMerge w:val="continue"/>
                  <w:vAlign w:val="center"/>
                </w:tcPr>
                <w:p>
                  <w:pPr>
                    <w:autoSpaceDE w:val="0"/>
                    <w:autoSpaceDN w:val="0"/>
                    <w:contextualSpacing/>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纯水制备废水</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939" w:type="pct"/>
                  <w:vMerge w:val="continue"/>
                  <w:vAlign w:val="center"/>
                </w:tcPr>
                <w:p>
                  <w:pPr>
                    <w:autoSpaceDE w:val="0"/>
                    <w:autoSpaceDN w:val="0"/>
                    <w:contextualSpacing/>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restart"/>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固体废物</w:t>
                  </w:r>
                </w:p>
              </w:tc>
              <w:tc>
                <w:tcPr>
                  <w:tcW w:w="1836" w:type="pct"/>
                  <w:vAlign w:val="center"/>
                </w:tcPr>
                <w:p>
                  <w:pPr>
                    <w:autoSpaceDE w:val="0"/>
                    <w:autoSpaceDN w:val="0"/>
                    <w:contextualSpacing/>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废包装材料</w:t>
                  </w:r>
                </w:p>
              </w:tc>
              <w:tc>
                <w:tcPr>
                  <w:tcW w:w="884" w:type="pct"/>
                  <w:vMerge w:val="restart"/>
                  <w:vAlign w:val="center"/>
                </w:tcPr>
                <w:p>
                  <w:pPr>
                    <w:autoSpaceDE w:val="0"/>
                    <w:autoSpaceDN w:val="0"/>
                    <w:contextualSpacing/>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实验用化学试剂</w:t>
                  </w:r>
                </w:p>
              </w:tc>
              <w:tc>
                <w:tcPr>
                  <w:tcW w:w="1939" w:type="pct"/>
                  <w:vAlign w:val="center"/>
                </w:tcPr>
                <w:p>
                  <w:pPr>
                    <w:autoSpaceDE w:val="0"/>
                    <w:autoSpaceDN w:val="0"/>
                    <w:contextualSpacing/>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集中收集，外售物资回收部门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widowControl/>
                    <w:contextualSpacing/>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废试剂容器</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939" w:type="pct"/>
                  <w:vAlign w:val="center"/>
                </w:tcPr>
                <w:p>
                  <w:pPr>
                    <w:autoSpaceDE w:val="0"/>
                    <w:autoSpaceDN w:val="0"/>
                    <w:contextualSpacing/>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危险废物，收集暂存，焚烧处置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widowControl/>
                    <w:contextualSpacing/>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废试剂</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939" w:type="pct"/>
                  <w:vAlign w:val="center"/>
                </w:tcPr>
                <w:p>
                  <w:pPr>
                    <w:autoSpaceDE w:val="0"/>
                    <w:autoSpaceDN w:val="0"/>
                    <w:contextualSpacing/>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危险废物，收集暂存，焚烧处置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widowControl/>
                    <w:contextualSpacing/>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实验废液</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939" w:type="pct"/>
                  <w:vAlign w:val="center"/>
                </w:tcPr>
                <w:p>
                  <w:pPr>
                    <w:autoSpaceDE w:val="0"/>
                    <w:autoSpaceDN w:val="0"/>
                    <w:contextualSpacing/>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危险废物，收集暂存，焚烧处置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widowControl/>
                    <w:contextualSpacing/>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实验仪器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第一步清洗废液</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939" w:type="pct"/>
                  <w:vAlign w:val="center"/>
                </w:tcPr>
                <w:p>
                  <w:pPr>
                    <w:autoSpaceDE w:val="0"/>
                    <w:autoSpaceDN w:val="0"/>
                    <w:contextualSpacing/>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危险废物，定期收集，焚烧处置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widowControl/>
                    <w:contextualSpacing/>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废耗材</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939" w:type="pct"/>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危险废物，收集暂存，焚烧处置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widowControl/>
                    <w:contextualSpacing/>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废劳保用品（沾染化学试剂）</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939" w:type="pct"/>
                  <w:vAlign w:val="center"/>
                </w:tcPr>
                <w:p>
                  <w:pPr>
                    <w:autoSpaceDE w:val="0"/>
                    <w:autoSpaceDN w:val="0"/>
                    <w:contextualSpacing/>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危险废物，收集暂存，焚烧处置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Merge w:val="continue"/>
                  <w:vAlign w:val="center"/>
                </w:tcPr>
                <w:p>
                  <w:pPr>
                    <w:widowControl/>
                    <w:contextualSpacing/>
                    <w:rPr>
                      <w:rFonts w:hint="default" w:ascii="Times New Roman" w:hAnsi="Times New Roman" w:cs="Times New Roman"/>
                      <w:color w:val="000000" w:themeColor="text1"/>
                      <w:sz w:val="21"/>
                      <w:szCs w:val="21"/>
                      <w:highlight w:val="none"/>
                      <w14:textFill>
                        <w14:solidFill>
                          <w14:schemeClr w14:val="tx1"/>
                        </w14:solidFill>
                      </w14:textFill>
                    </w:rPr>
                  </w:pPr>
                </w:p>
              </w:tc>
              <w:tc>
                <w:tcPr>
                  <w:tcW w:w="1836" w:type="pct"/>
                  <w:vAlign w:val="center"/>
                </w:tcPr>
                <w:p>
                  <w:pPr>
                    <w:autoSpaceDE w:val="0"/>
                    <w:autoSpaceDN w:val="0"/>
                    <w:contextualSpacing/>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废活性炭</w:t>
                  </w:r>
                </w:p>
              </w:tc>
              <w:tc>
                <w:tcPr>
                  <w:tcW w:w="884" w:type="pct"/>
                  <w:vMerge w:val="continue"/>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939" w:type="pct"/>
                  <w:vAlign w:val="center"/>
                </w:tcPr>
                <w:p>
                  <w:pPr>
                    <w:autoSpaceDE w:val="0"/>
                    <w:autoSpaceDN w:val="0"/>
                    <w:contextualSpacing/>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危险废物，收集暂存，焚烧处置</w:t>
                  </w:r>
                </w:p>
              </w:tc>
            </w:tr>
          </w:tbl>
          <w:p>
            <w:pPr>
              <w:spacing w:line="360" w:lineRule="auto"/>
              <w:ind w:firstLine="420" w:firstLineChars="200"/>
              <w:contextualSpacing/>
              <w:rPr>
                <w:rFonts w:hint="default" w:ascii="Times New Roman" w:hAnsi="Times New Roman" w:cs="Times New Roman"/>
                <w:color w:val="000000" w:themeColor="text1"/>
                <w:kern w:val="0"/>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dxa"/>
            <w:vAlign w:val="center"/>
          </w:tcPr>
          <w:p>
            <w:pPr>
              <w:pStyle w:val="32"/>
              <w:adjustRightInd w:val="0"/>
              <w:snapToGrid w:val="0"/>
              <w:spacing w:before="0" w:beforeAutospacing="0" w:after="0" w:afterAutospacing="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kern w:val="2"/>
                <w:szCs w:val="24"/>
                <w:highlight w:val="none"/>
                <w14:textFill>
                  <w14:solidFill>
                    <w14:schemeClr w14:val="tx1"/>
                  </w14:solidFill>
                </w14:textFill>
              </w:rPr>
              <w:t>与项目有关的原有环境污染问题</w:t>
            </w:r>
          </w:p>
        </w:tc>
        <w:tc>
          <w:tcPr>
            <w:tcW w:w="861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一</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b/>
                <w:bCs/>
                <w:color w:val="000000" w:themeColor="text1"/>
                <w:kern w:val="0"/>
                <w:sz w:val="24"/>
                <w:szCs w:val="24"/>
                <w:highlight w:val="none"/>
                <w:lang w:val="en-US" w:eastAsia="zh-CN" w:bidi="ar"/>
                <w14:textFill>
                  <w14:solidFill>
                    <w14:schemeClr w14:val="tx1"/>
                  </w14:solidFill>
                </w14:textFill>
              </w:rPr>
              <w:t>原</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有工程环保手续履行情况</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原</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有工程环保手续执行情况汇总见下表。</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表2-</w:t>
            </w:r>
            <w:r>
              <w:rPr>
                <w:rFonts w:hint="eastAsia" w:cs="Times New Roman"/>
                <w:b/>
                <w:bCs/>
                <w:color w:val="000000" w:themeColor="text1"/>
                <w:kern w:val="0"/>
                <w:sz w:val="24"/>
                <w:szCs w:val="24"/>
                <w:highlight w:val="none"/>
                <w:lang w:val="en-US" w:eastAsia="zh-CN" w:bidi="ar"/>
                <w14:textFill>
                  <w14:solidFill>
                    <w14:schemeClr w14:val="tx1"/>
                  </w14:solidFill>
                </w14:textFill>
              </w:rPr>
              <w:t>6</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原有工程环保手续执行情况一览表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25"/>
              <w:gridCol w:w="3225"/>
              <w:gridCol w:w="1141"/>
              <w:gridCol w:w="1034"/>
              <w:gridCol w:w="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restart"/>
                  <w:tcBorders>
                    <w:tl2br w:val="nil"/>
                    <w:tr2bl w:val="nil"/>
                  </w:tcBorders>
                  <w:noWrap w:val="0"/>
                  <w:vAlign w:val="center"/>
                </w:tcPr>
                <w:p>
                  <w:pPr>
                    <w:widowControl/>
                    <w:jc w:val="center"/>
                    <w:rPr>
                      <w:rFonts w:hint="eastAsia"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厂区</w:t>
                  </w:r>
                </w:p>
              </w:tc>
              <w:tc>
                <w:tcPr>
                  <w:tcW w:w="1525" w:type="dxa"/>
                  <w:vMerge w:val="restart"/>
                  <w:tcBorders>
                    <w:tl2br w:val="nil"/>
                    <w:tr2bl w:val="nil"/>
                  </w:tcBorders>
                  <w:noWrap w:val="0"/>
                  <w:vAlign w:val="center"/>
                </w:tcPr>
                <w:p>
                  <w:pPr>
                    <w:widowControl/>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项目名称</w:t>
                  </w:r>
                </w:p>
              </w:tc>
              <w:tc>
                <w:tcPr>
                  <w:tcW w:w="3225" w:type="dxa"/>
                  <w:vMerge w:val="restart"/>
                  <w:tcBorders>
                    <w:tl2br w:val="nil"/>
                    <w:tr2bl w:val="nil"/>
                  </w:tcBorders>
                  <w:noWrap w:val="0"/>
                  <w:vAlign w:val="center"/>
                </w:tcPr>
                <w:p>
                  <w:pPr>
                    <w:widowControl/>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生产装置</w:t>
                  </w:r>
                </w:p>
              </w:tc>
              <w:tc>
                <w:tcPr>
                  <w:tcW w:w="2934" w:type="dxa"/>
                  <w:gridSpan w:val="3"/>
                  <w:tcBorders>
                    <w:tl2br w:val="nil"/>
                    <w:tr2bl w:val="nil"/>
                  </w:tcBorders>
                  <w:noWrap w:val="0"/>
                  <w:vAlign w:val="center"/>
                </w:tcPr>
                <w:p>
                  <w:pPr>
                    <w:widowControl/>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项目“三同时”执行情况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tl2br w:val="nil"/>
                    <w:tr2bl w:val="nil"/>
                  </w:tcBorders>
                  <w:noWrap w:val="0"/>
                  <w:vAlign w:val="center"/>
                </w:tcPr>
                <w:p>
                  <w:pPr>
                    <w:widowControl/>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525" w:type="dxa"/>
                  <w:vMerge w:val="continue"/>
                  <w:tcBorders>
                    <w:tl2br w:val="nil"/>
                    <w:tr2bl w:val="nil"/>
                  </w:tcBorders>
                  <w:noWrap w:val="0"/>
                  <w:vAlign w:val="center"/>
                </w:tcPr>
                <w:p>
                  <w:pPr>
                    <w:widowControl/>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3225" w:type="dxa"/>
                  <w:vMerge w:val="continue"/>
                  <w:tcBorders>
                    <w:tl2br w:val="nil"/>
                    <w:tr2bl w:val="nil"/>
                  </w:tcBorders>
                  <w:noWrap w:val="0"/>
                  <w:vAlign w:val="center"/>
                </w:tcPr>
                <w:p>
                  <w:pPr>
                    <w:widowControl/>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141" w:type="dxa"/>
                  <w:tcBorders>
                    <w:tl2br w:val="nil"/>
                    <w:tr2bl w:val="nil"/>
                  </w:tcBorders>
                  <w:noWrap w:val="0"/>
                  <w:vAlign w:val="center"/>
                </w:tcPr>
                <w:p>
                  <w:pPr>
                    <w:widowControl/>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环评批复</w:t>
                  </w:r>
                </w:p>
              </w:tc>
              <w:tc>
                <w:tcPr>
                  <w:tcW w:w="1034" w:type="dxa"/>
                  <w:tcBorders>
                    <w:tl2br w:val="nil"/>
                    <w:tr2bl w:val="nil"/>
                  </w:tcBorders>
                  <w:noWrap w:val="0"/>
                  <w:vAlign w:val="center"/>
                </w:tcPr>
                <w:p>
                  <w:pPr>
                    <w:widowControl/>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验收</w:t>
                  </w:r>
                </w:p>
              </w:tc>
              <w:tc>
                <w:tcPr>
                  <w:tcW w:w="759" w:type="dxa"/>
                  <w:tcBorders>
                    <w:tl2br w:val="nil"/>
                    <w:tr2bl w:val="nil"/>
                  </w:tcBorders>
                  <w:noWrap w:val="0"/>
                  <w:vAlign w:val="center"/>
                </w:tcPr>
                <w:p>
                  <w:pPr>
                    <w:widowControl/>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运行</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新民路1号厂区</w:t>
                  </w:r>
                </w:p>
              </w:tc>
              <w:tc>
                <w:tcPr>
                  <w:tcW w:w="152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3700吨/年锂电池电解液材料</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新建项目</w:t>
                  </w:r>
                </w:p>
              </w:tc>
              <w:tc>
                <w:tcPr>
                  <w:tcW w:w="3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己</w:t>
                  </w:r>
                  <w:r>
                    <w:rPr>
                      <w:rFonts w:hint="default" w:ascii="Times New Roman" w:hAnsi="Times New Roman" w:eastAsia="宋体" w:cs="Times New Roman"/>
                      <w:color w:val="000000" w:themeColor="text1"/>
                      <w:sz w:val="21"/>
                      <w:szCs w:val="21"/>
                      <w:highlight w:val="none"/>
                      <w14:textFill>
                        <w14:solidFill>
                          <w14:schemeClr w14:val="tx1"/>
                        </w14:solidFill>
                      </w14:textFill>
                    </w:rPr>
                    <w:t>形成</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1"/>
                      <w:szCs w:val="21"/>
                      <w:highlight w:val="none"/>
                      <w14:textFill>
                        <w14:solidFill>
                          <w14:schemeClr w14:val="tx1"/>
                        </w14:solidFill>
                      </w14:textFill>
                    </w:rPr>
                    <w:t>t/a碳酸亚乙烯酯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、500t/a</w:t>
                  </w:r>
                  <w:r>
                    <w:rPr>
                      <w:rFonts w:hint="default" w:ascii="Times New Roman" w:hAnsi="Times New Roman" w:eastAsia="宋体" w:cs="Times New Roman"/>
                      <w:color w:val="000000" w:themeColor="text1"/>
                      <w:sz w:val="21"/>
                      <w:szCs w:val="21"/>
                      <w:highlight w:val="none"/>
                      <w14:textFill>
                        <w14:solidFill>
                          <w14:schemeClr w14:val="tx1"/>
                        </w14:solidFill>
                      </w14:textFill>
                    </w:rPr>
                    <w:t>氟代碳酸乙烯酯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、200t/a</w:t>
                  </w:r>
                  <w:r>
                    <w:rPr>
                      <w:rFonts w:hint="default" w:ascii="Times New Roman" w:hAnsi="Times New Roman" w:eastAsia="宋体" w:cs="Times New Roman"/>
                      <w:color w:val="000000" w:themeColor="text1"/>
                      <w:sz w:val="21"/>
                      <w:szCs w:val="21"/>
                      <w:highlight w:val="none"/>
                      <w14:textFill>
                        <w14:solidFill>
                          <w14:schemeClr w14:val="tx1"/>
                        </w14:solidFill>
                      </w14:textFill>
                    </w:rPr>
                    <w:t>硫酸乙烯酯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、100t/a</w:t>
                  </w:r>
                  <w:r>
                    <w:rPr>
                      <w:rFonts w:hint="default" w:ascii="Times New Roman" w:hAnsi="Times New Roman" w:eastAsia="宋体" w:cs="Times New Roman"/>
                      <w:color w:val="000000" w:themeColor="text1"/>
                      <w:sz w:val="21"/>
                      <w:szCs w:val="21"/>
                      <w:highlight w:val="none"/>
                      <w14:textFill>
                        <w14:solidFill>
                          <w14:schemeClr w14:val="tx1"/>
                        </w14:solidFill>
                      </w14:textFill>
                    </w:rPr>
                    <w:t>亚硫酸乙烯酯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、100t/a</w:t>
                  </w:r>
                  <w:r>
                    <w:rPr>
                      <w:rFonts w:hint="default" w:ascii="Times New Roman" w:hAnsi="Times New Roman" w:eastAsia="宋体" w:cs="Times New Roman"/>
                      <w:color w:val="000000" w:themeColor="text1"/>
                      <w:sz w:val="21"/>
                      <w:szCs w:val="21"/>
                      <w:highlight w:val="none"/>
                      <w14:textFill>
                        <w14:solidFill>
                          <w14:schemeClr w14:val="tx1"/>
                        </w14:solidFill>
                      </w14:textFill>
                    </w:rPr>
                    <w:t>二氟磷酸锂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各一条生产线</w:t>
                  </w:r>
                  <w:r>
                    <w:rPr>
                      <w:rFonts w:hint="default" w:ascii="Times New Roman" w:hAnsi="Times New Roman" w:eastAsia="宋体" w:cs="Times New Roman"/>
                      <w:color w:val="000000" w:themeColor="text1"/>
                      <w:kern w:val="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00t/a</w:t>
                  </w:r>
                  <w:r>
                    <w:rPr>
                      <w:rFonts w:hint="default" w:ascii="Times New Roman" w:hAnsi="Times New Roman" w:eastAsia="宋体" w:cs="Times New Roman"/>
                      <w:color w:val="000000" w:themeColor="text1"/>
                      <w:sz w:val="21"/>
                      <w:szCs w:val="21"/>
                      <w:highlight w:val="none"/>
                      <w14:textFill>
                        <w14:solidFill>
                          <w14:schemeClr w14:val="tx1"/>
                        </w14:solidFill>
                      </w14:textFill>
                    </w:rPr>
                    <w:t>三甲基硅基硼酸酯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、100t/a</w:t>
                  </w:r>
                  <w:r>
                    <w:rPr>
                      <w:rFonts w:hint="default" w:ascii="Times New Roman" w:hAnsi="Times New Roman" w:eastAsia="宋体" w:cs="Times New Roman"/>
                      <w:color w:val="000000" w:themeColor="text1"/>
                      <w:sz w:val="21"/>
                      <w:szCs w:val="21"/>
                      <w:highlight w:val="none"/>
                      <w14:textFill>
                        <w14:solidFill>
                          <w14:schemeClr w14:val="tx1"/>
                        </w14:solidFill>
                      </w14:textFill>
                    </w:rPr>
                    <w:t>三甲基硅基磷酸酯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kern w:val="1"/>
                      <w:sz w:val="21"/>
                      <w:szCs w:val="21"/>
                      <w:highlight w:val="none"/>
                      <w:lang w:val="en-US" w:eastAsia="zh-CN"/>
                      <w14:textFill>
                        <w14:solidFill>
                          <w14:schemeClr w14:val="tx1"/>
                        </w14:solidFill>
                      </w14:textFill>
                    </w:rPr>
                    <w:t>100t/a</w:t>
                  </w:r>
                  <w:r>
                    <w:rPr>
                      <w:rFonts w:hint="default" w:ascii="Times New Roman" w:hAnsi="Times New Roman" w:eastAsia="宋体" w:cs="Times New Roman"/>
                      <w:color w:val="000000" w:themeColor="text1"/>
                      <w:kern w:val="1"/>
                      <w:sz w:val="21"/>
                      <w:szCs w:val="21"/>
                      <w:highlight w:val="none"/>
                      <w14:textFill>
                        <w14:solidFill>
                          <w14:schemeClr w14:val="tx1"/>
                        </w14:solidFill>
                      </w14:textFill>
                    </w:rPr>
                    <w:t>三甲基硅基亚磷酸酯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共用一条生产线、</w:t>
                  </w:r>
                  <w:r>
                    <w:rPr>
                      <w:rFonts w:hint="default" w:ascii="Times New Roman" w:hAnsi="Times New Roman" w:eastAsia="宋体" w:cs="Times New Roman"/>
                      <w:color w:val="000000" w:themeColor="text1"/>
                      <w:sz w:val="21"/>
                      <w:szCs w:val="21"/>
                      <w:highlight w:val="none"/>
                      <w14:textFill>
                        <w14:solidFill>
                          <w14:schemeClr w14:val="tx1"/>
                        </w14:solidFill>
                      </w14:textFill>
                    </w:rPr>
                    <w:t>1500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1,3-丙烷磺酸內酯、500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1-丁烯-3,4-二醇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14:textFill>
                        <w14:solidFill>
                          <w14:schemeClr w14:val="tx1"/>
                        </w14:solidFill>
                      </w14:textFill>
                    </w:rPr>
                    <w:t>100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1"/>
                      <w:szCs w:val="21"/>
                      <w:highlight w:val="none"/>
                      <w14:textFill>
                        <w14:solidFill>
                          <w14:schemeClr w14:val="tx1"/>
                        </w14:solidFill>
                      </w14:textFill>
                    </w:rPr>
                    <w:t>五氟乙氧基磷腈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各一条生产线、</w:t>
                  </w:r>
                  <w:r>
                    <w:rPr>
                      <w:rFonts w:hint="default" w:ascii="Times New Roman" w:hAnsi="Times New Roman" w:eastAsia="宋体" w:cs="Times New Roman"/>
                      <w:color w:val="000000" w:themeColor="text1"/>
                      <w:sz w:val="21"/>
                      <w:szCs w:val="21"/>
                      <w:highlight w:val="none"/>
                      <w14:textFill>
                        <w14:solidFill>
                          <w14:schemeClr w14:val="tx1"/>
                        </w14:solidFill>
                      </w14:textFill>
                    </w:rPr>
                    <w:t>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1"/>
                      <w:szCs w:val="21"/>
                      <w:highlight w:val="none"/>
                      <w14:textFill>
                        <w14:solidFill>
                          <w14:schemeClr w14:val="tx1"/>
                        </w14:solidFill>
                      </w14:textFill>
                    </w:rPr>
                    <w:t>双腈乙氧基乙烷</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1"/>
                      <w:szCs w:val="21"/>
                      <w:highlight w:val="none"/>
                      <w14:textFill>
                        <w14:solidFill>
                          <w14:schemeClr w14:val="tx1"/>
                        </w14:solidFill>
                      </w14:textFill>
                    </w:rPr>
                    <w:t>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1,3,6-己烷三腈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共用一条生产线。</w:t>
                  </w:r>
                </w:p>
              </w:tc>
              <w:tc>
                <w:tcPr>
                  <w:tcW w:w="114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济环审[201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highlight w:val="none"/>
                      <w14:textFill>
                        <w14:solidFill>
                          <w14:schemeClr w14:val="tx1"/>
                        </w14:solidFill>
                      </w14:textFill>
                    </w:rPr>
                    <w:t>号</w:t>
                  </w:r>
                </w:p>
              </w:tc>
              <w:tc>
                <w:tcPr>
                  <w:tcW w:w="1034"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2020年9月05日进行自主验收</w:t>
                  </w:r>
                </w:p>
              </w:tc>
              <w:tc>
                <w:tcPr>
                  <w:tcW w:w="759" w:type="dxa"/>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正常运行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525" w:type="dxa"/>
                  <w:tcBorders>
                    <w:tl2br w:val="nil"/>
                    <w:tr2bl w:val="nil"/>
                  </w:tcBorders>
                  <w:noWrap w:val="0"/>
                  <w:vAlign w:val="center"/>
                </w:tcPr>
                <w:p>
                  <w:pPr>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2万吨/年硅烷改性聚醚项目</w:t>
                  </w:r>
                </w:p>
              </w:tc>
              <w:tc>
                <w:tcPr>
                  <w:tcW w:w="3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现有形成250t/a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3-异氰酸酯基丙基三甲氧基硅烷</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、250t/a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3-异氰酸酯基丙基三乙氧基硅烷</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、250t/a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3-异氰酸酯基丙基二甲氧基硅烷</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及250t/a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3-异氰酸酯基丙基二乙氧基硅烷</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各一条生产线及3条硅烷改性聚醚生产线</w:t>
                  </w:r>
                </w:p>
              </w:tc>
              <w:tc>
                <w:tcPr>
                  <w:tcW w:w="114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济环审[201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1"/>
                      <w:szCs w:val="21"/>
                      <w:highlight w:val="none"/>
                      <w14:textFill>
                        <w14:solidFill>
                          <w14:schemeClr w14:val="tx1"/>
                        </w14:solidFill>
                      </w14:textFill>
                    </w:rPr>
                    <w:t>号</w:t>
                  </w:r>
                </w:p>
              </w:tc>
              <w:tc>
                <w:tcPr>
                  <w:tcW w:w="1034"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2020年9月05日进行自主验收</w:t>
                  </w:r>
                </w:p>
              </w:tc>
              <w:tc>
                <w:tcPr>
                  <w:tcW w:w="759" w:type="dxa"/>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正常运行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525" w:type="dxa"/>
                  <w:tcBorders>
                    <w:tl2br w:val="nil"/>
                    <w:tr2bl w:val="nil"/>
                  </w:tcBorders>
                  <w:noWrap w:val="0"/>
                  <w:vAlign w:val="center"/>
                </w:tcPr>
                <w:p>
                  <w:pPr>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700吨/年锂电池电解液添加剂技改项目</w:t>
                  </w:r>
                </w:p>
              </w:tc>
              <w:tc>
                <w:tcPr>
                  <w:tcW w:w="3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品1，3，6-己烷三腈(HTCN)的精制工序由常规精馏技改为连续分子蒸馏，并从4#生产车间移至2#生产车间；产品硫酸乙烯酯DTD生产工艺技改为双氧水氧化合成工艺，并通过新增设备和生产线将产量由200t/a扩建至600t/a；通过与硫酸乙烯酯DTD共用设备新增产品联二硫酸乙烯酯（BESA）50t/a，同时对现有产品环保处理设施进行改造。</w:t>
                  </w:r>
                </w:p>
              </w:tc>
              <w:tc>
                <w:tcPr>
                  <w:tcW w:w="114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济环审（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嘉祥</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号</w:t>
                  </w:r>
                </w:p>
              </w:tc>
              <w:tc>
                <w:tcPr>
                  <w:tcW w:w="1793" w:type="dxa"/>
                  <w:gridSpan w:val="2"/>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不再建设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不再建设证明见附件6</w:t>
                  </w:r>
                  <w:r>
                    <w:rPr>
                      <w:rFonts w:hint="eastAsia"/>
                      <w:color w:val="000000" w:themeColor="text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tcBorders>
                    <w:tl2br w:val="nil"/>
                    <w:tr2bl w:val="nil"/>
                  </w:tcBorders>
                  <w:shd w:val="clear" w:color="auto" w:fill="E2EFDA" w:themeFill="accent6" w:themeFillTint="32"/>
                  <w:noWrap w:val="0"/>
                  <w:vAlign w:val="center"/>
                </w:tcPr>
                <w:p>
                  <w:pPr>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二期厂区</w:t>
                  </w:r>
                </w:p>
              </w:tc>
              <w:tc>
                <w:tcPr>
                  <w:tcW w:w="1525" w:type="dxa"/>
                  <w:tcBorders>
                    <w:tl2br w:val="nil"/>
                    <w:tr2bl w:val="nil"/>
                  </w:tcBorders>
                  <w:shd w:val="clear" w:color="auto" w:fill="E2EFDA" w:themeFill="accent6" w:themeFillTint="32"/>
                  <w:noWrap w:val="0"/>
                  <w:vAlign w:val="center"/>
                </w:tcPr>
                <w:p>
                  <w:pPr>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年产1.69万吨动力锂电池电解液添加剂和功能有机硅材料生产项目</w:t>
                  </w:r>
                </w:p>
              </w:tc>
              <w:tc>
                <w:tcPr>
                  <w:tcW w:w="3225" w:type="dxa"/>
                  <w:tcBorders>
                    <w:tl2br w:val="nil"/>
                    <w:tr2bl w:val="nil"/>
                  </w:tcBorders>
                  <w:shd w:val="clear" w:color="auto" w:fill="E2EFDA" w:themeFill="accent6" w:themeFillTint="32"/>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生产装置区共</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21条生产线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生产24种产品，</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年产动力锂电池电解液添加剂10200吨、功能有机硅材料6700吨</w:t>
                  </w:r>
                </w:p>
              </w:tc>
              <w:tc>
                <w:tcPr>
                  <w:tcW w:w="1141" w:type="dxa"/>
                  <w:tcBorders>
                    <w:tl2br w:val="nil"/>
                    <w:tr2bl w:val="nil"/>
                  </w:tcBorders>
                  <w:shd w:val="clear" w:color="auto" w:fill="E2EFDA" w:themeFill="accent6" w:themeFillTint="32"/>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济环审(嘉祥)〔2023﹞8号</w:t>
                  </w:r>
                </w:p>
              </w:tc>
              <w:tc>
                <w:tcPr>
                  <w:tcW w:w="1793" w:type="dxa"/>
                  <w:gridSpan w:val="2"/>
                  <w:tcBorders>
                    <w:tl2br w:val="nil"/>
                    <w:tr2bl w:val="nil"/>
                  </w:tcBorders>
                  <w:shd w:val="clear" w:color="auto" w:fill="E2EFDA" w:themeFill="accent6" w:themeFillTint="32"/>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2025年1月22日进行了废气治理措施变化技术论证</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已</w:t>
                  </w:r>
                  <w:r>
                    <w:rPr>
                      <w:rFonts w:hint="eastAsia" w:cs="Times New Roman"/>
                      <w:color w:val="000000" w:themeColor="text1"/>
                      <w:kern w:val="0"/>
                      <w:sz w:val="21"/>
                      <w:szCs w:val="21"/>
                      <w:highlight w:val="none"/>
                      <w:lang w:val="en-US" w:eastAsia="zh-CN"/>
                      <w14:textFill>
                        <w14:solidFill>
                          <w14:schemeClr w14:val="tx1"/>
                        </w14:solidFill>
                      </w14:textFill>
                    </w:rPr>
                    <w:t>取得</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排污许可证，</w:t>
                  </w:r>
                  <w:r>
                    <w:rPr>
                      <w:rFonts w:hint="eastAsia" w:cs="Times New Roman"/>
                      <w:color w:val="000000" w:themeColor="text1"/>
                      <w:kern w:val="0"/>
                      <w:sz w:val="21"/>
                      <w:szCs w:val="21"/>
                      <w:highlight w:val="none"/>
                      <w:lang w:val="en-US" w:eastAsia="zh-CN"/>
                      <w14:textFill>
                        <w14:solidFill>
                          <w14:schemeClr w14:val="tx1"/>
                        </w14:solidFill>
                      </w14:textFill>
                    </w:rPr>
                    <w:t>目前为</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设备安装调试阶段，未验收</w:t>
                  </w:r>
                </w:p>
              </w:tc>
            </w:tr>
          </w:tbl>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二</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w:t>
            </w:r>
            <w:r>
              <w:rPr>
                <w:rFonts w:hint="eastAsia" w:cs="Times New Roman"/>
                <w:b/>
                <w:bCs/>
                <w:color w:val="000000" w:themeColor="text1"/>
                <w:kern w:val="0"/>
                <w:sz w:val="24"/>
                <w:szCs w:val="24"/>
                <w:highlight w:val="none"/>
                <w:lang w:val="en-US" w:eastAsia="zh-CN" w:bidi="ar"/>
                <w14:textFill>
                  <w14:solidFill>
                    <w14:schemeClr w14:val="tx1"/>
                  </w14:solidFill>
                </w14:textFill>
              </w:rPr>
              <w:t>原</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有工程建设情况</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山东祺添新材料有限公司其前身为山东灏镒新材料有限公司</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现有新民路1号厂区及二期厂区（明德路西侧，发展路北侧）</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为独立的两个生产厂区，两个厂区范围的生产车间及废气处理设施、污水处理设施等配套工程独立使用。两个厂区</w:t>
            </w:r>
            <w:r>
              <w:rPr>
                <w:rFonts w:hint="eastAsia" w:cs="Times New Roman"/>
                <w:color w:val="000000" w:themeColor="text1"/>
                <w:kern w:val="0"/>
                <w:sz w:val="24"/>
                <w:szCs w:val="24"/>
                <w:highlight w:val="none"/>
                <w:lang w:val="en-US" w:eastAsia="zh-CN" w:bidi="ar"/>
                <w14:textFill>
                  <w14:solidFill>
                    <w14:schemeClr w14:val="tx1"/>
                  </w14:solidFill>
                </w14:textFill>
              </w:rPr>
              <w:t>分别申请了</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排污许可证。企业厂区</w:t>
            </w:r>
            <w:r>
              <w:rPr>
                <w:rFonts w:hint="eastAsia" w:cs="Times New Roman"/>
                <w:color w:val="000000" w:themeColor="text1"/>
                <w:kern w:val="0"/>
                <w:sz w:val="24"/>
                <w:szCs w:val="24"/>
                <w:highlight w:val="none"/>
                <w:lang w:val="en-US" w:eastAsia="zh-CN" w:bidi="ar"/>
                <w14:textFill>
                  <w14:solidFill>
                    <w14:schemeClr w14:val="tx1"/>
                  </w14:solidFill>
                </w14:textFill>
              </w:rPr>
              <w:t>位置关系</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见</w:t>
            </w:r>
            <w:r>
              <w:rPr>
                <w:rFonts w:hint="default" w:ascii="Times New Roman" w:hAnsi="Times New Roman" w:eastAsia="宋体" w:cs="Times New Roman"/>
                <w:b/>
                <w:bCs/>
                <w:i/>
                <w:iCs/>
                <w:color w:val="000000" w:themeColor="text1"/>
                <w:kern w:val="0"/>
                <w:sz w:val="24"/>
                <w:szCs w:val="24"/>
                <w:highlight w:val="none"/>
                <w:lang w:val="en-US" w:eastAsia="zh-CN" w:bidi="ar"/>
                <w14:textFill>
                  <w14:solidFill>
                    <w14:schemeClr w14:val="tx1"/>
                  </w14:solidFill>
                </w14:textFill>
              </w:rPr>
              <w:t>图2-</w:t>
            </w:r>
            <w:r>
              <w:rPr>
                <w:rFonts w:hint="eastAsia" w:cs="Times New Roman"/>
                <w:b/>
                <w:bCs/>
                <w:i/>
                <w:iCs/>
                <w:color w:val="000000" w:themeColor="text1"/>
                <w:kern w:val="0"/>
                <w:sz w:val="24"/>
                <w:szCs w:val="24"/>
                <w:highlight w:val="none"/>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本项目</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利用二期厂区内办公楼五楼和六楼进行建设</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，与项目有关的原有环境污染问题只分析该厂区内相关项目；新民路1号厂区内项目正常运行，</w:t>
            </w:r>
            <w:r>
              <w:rPr>
                <w:rFonts w:hint="eastAsia" w:cs="Times New Roman"/>
                <w:b w:val="0"/>
                <w:bCs w:val="0"/>
                <w:color w:val="000000" w:themeColor="text1"/>
                <w:sz w:val="24"/>
                <w:highlight w:val="none"/>
                <w:lang w:val="en-US" w:eastAsia="zh-CN"/>
                <w14:textFill>
                  <w14:solidFill>
                    <w14:schemeClr w14:val="tx1"/>
                  </w14:solidFill>
                </w14:textFill>
              </w:rPr>
              <w:t>无违法行为，</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本章节不再赘述。</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产品规模</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企业现有产品规模如下：</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表2-</w:t>
            </w:r>
            <w:r>
              <w:rPr>
                <w:rFonts w:hint="eastAsia" w:cs="Times New Roman"/>
                <w:b/>
                <w:bCs/>
                <w:color w:val="000000" w:themeColor="text1"/>
                <w:kern w:val="0"/>
                <w:sz w:val="24"/>
                <w:szCs w:val="24"/>
                <w:highlight w:val="none"/>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w:t>
            </w:r>
            <w:r>
              <w:rPr>
                <w:rFonts w:hint="eastAsia" w:cs="Times New Roman"/>
                <w:b/>
                <w:bCs/>
                <w:color w:val="000000" w:themeColor="text1"/>
                <w:kern w:val="0"/>
                <w:sz w:val="24"/>
                <w:szCs w:val="24"/>
                <w:highlight w:val="none"/>
                <w:lang w:val="en-US" w:eastAsia="zh-CN" w:bidi="ar"/>
                <w14:textFill>
                  <w14:solidFill>
                    <w14:schemeClr w14:val="tx1"/>
                  </w14:solidFill>
                </w14:textFill>
              </w:rPr>
              <w:t>企业</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现有产品规模一览表</w:t>
            </w:r>
            <w:r>
              <w:rPr>
                <w:rFonts w:hint="eastAsia" w:cs="Times New Roman"/>
                <w:b/>
                <w:bCs/>
                <w:color w:val="000000" w:themeColor="text1"/>
                <w:kern w:val="0"/>
                <w:sz w:val="24"/>
                <w:szCs w:val="24"/>
                <w:highlight w:val="none"/>
                <w:lang w:val="en-US" w:eastAsia="zh-CN" w:bidi="ar"/>
                <w14:textFill>
                  <w14:solidFill>
                    <w14:schemeClr w14:val="tx1"/>
                  </w14:solidFill>
                </w14:textFill>
              </w:rPr>
              <w:t>（新民路1号厂区）</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24"/>
              <w:gridCol w:w="1014"/>
              <w:gridCol w:w="1103"/>
              <w:gridCol w:w="2261"/>
              <w:gridCol w:w="681"/>
              <w:gridCol w:w="937"/>
              <w:gridCol w:w="738"/>
              <w:gridCol w:w="10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01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生产</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项目</w:t>
                  </w: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产品代号</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产品名称</w:t>
                  </w:r>
                </w:p>
              </w:tc>
              <w:tc>
                <w:tcPr>
                  <w:tcW w:w="68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产品</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状态</w:t>
                  </w:r>
                </w:p>
              </w:tc>
              <w:tc>
                <w:tcPr>
                  <w:tcW w:w="93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总产量</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（t/a)</w:t>
                  </w:r>
                </w:p>
              </w:tc>
              <w:tc>
                <w:tcPr>
                  <w:tcW w:w="7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t>生产车间</w:t>
                  </w:r>
                </w:p>
              </w:tc>
              <w:tc>
                <w:tcPr>
                  <w:tcW w:w="107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01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3700t/a锂电池电解液材料工程</w:t>
                  </w: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VC</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碳酸亚乙烯酯</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737" w:type="dxa"/>
                  <w:vMerge w:val="restart"/>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4#生产车间</w:t>
                  </w: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FEC</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氟代碳酸乙烯酯</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DTD</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硫酸乙烯酯</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ES</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亚硫酸乙烯酯</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LiPOF</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二氟磷酸锂</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TMSB</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三甲基硅基硼酸酯</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TMSPA</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三甲基硅基磷酸酯</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TMSPI</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三甲基硅基亚磷酸酯</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PS</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1,3-丙烷磺酸內酯</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BDE-134</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1-丁烯-3,4-二醇</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EPFPZ</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五氟乙氧基磷腈</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DENE</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双腈乙氧基乙烷</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HTCN</w:t>
                  </w:r>
                </w:p>
              </w:tc>
              <w:tc>
                <w:tcPr>
                  <w:tcW w:w="2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1,3,6-己烷三腈</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101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2万吨/年硅烷改性聚醚工程</w:t>
                  </w:r>
                </w:p>
              </w:tc>
              <w:tc>
                <w:tcPr>
                  <w:tcW w:w="3366" w:type="dxa"/>
                  <w:gridSpan w:val="2"/>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基础硅烷</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1000</w:t>
                  </w:r>
                </w:p>
              </w:tc>
              <w:tc>
                <w:tcPr>
                  <w:tcW w:w="737" w:type="dxa"/>
                  <w:vMerge w:val="restart"/>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p>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2#生产</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车间</w:t>
                  </w:r>
                </w:p>
              </w:tc>
              <w:tc>
                <w:tcPr>
                  <w:tcW w:w="10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400t/a外售，其他自用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14.1</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其中</w:t>
                  </w:r>
                </w:p>
              </w:tc>
              <w:tc>
                <w:tcPr>
                  <w:tcW w:w="226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3-异氰酸酯基丙基三甲氧基硅烷</w:t>
                  </w:r>
                </w:p>
              </w:tc>
              <w:tc>
                <w:tcPr>
                  <w:tcW w:w="68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250</w:t>
                  </w:r>
                </w:p>
              </w:tc>
              <w:tc>
                <w:tcPr>
                  <w:tcW w:w="737"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100t/a外售，其他自用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14.2</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3-异氰酸酯基丙基三乙氧基硅烷</w:t>
                  </w:r>
                </w:p>
              </w:tc>
              <w:tc>
                <w:tcPr>
                  <w:tcW w:w="68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250</w:t>
                  </w:r>
                </w:p>
              </w:tc>
              <w:tc>
                <w:tcPr>
                  <w:tcW w:w="737"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100t/a外售，其他自用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14.3</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3-异氰酸酯基丙基二甲氧基硅烷</w:t>
                  </w:r>
                </w:p>
              </w:tc>
              <w:tc>
                <w:tcPr>
                  <w:tcW w:w="68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250</w:t>
                  </w:r>
                </w:p>
              </w:tc>
              <w:tc>
                <w:tcPr>
                  <w:tcW w:w="737"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100t/a外售，其他自用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14.4</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3-异氰酸酯基丙基二乙氧基硅烷</w:t>
                  </w:r>
                </w:p>
              </w:tc>
              <w:tc>
                <w:tcPr>
                  <w:tcW w:w="68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250</w:t>
                  </w:r>
                </w:p>
              </w:tc>
              <w:tc>
                <w:tcPr>
                  <w:tcW w:w="737"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100t/a外售，其他自用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366" w:type="dxa"/>
                  <w:gridSpan w:val="2"/>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硅烷改性聚醚</w:t>
                  </w:r>
                </w:p>
              </w:tc>
              <w:tc>
                <w:tcPr>
                  <w:tcW w:w="6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19600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15.1</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其中</w:t>
                  </w:r>
                </w:p>
              </w:tc>
              <w:tc>
                <w:tcPr>
                  <w:tcW w:w="2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SMPE-3M</w:t>
                  </w:r>
                </w:p>
              </w:tc>
              <w:tc>
                <w:tcPr>
                  <w:tcW w:w="680"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15.2</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SMPE-3E</w:t>
                  </w:r>
                </w:p>
              </w:tc>
              <w:tc>
                <w:tcPr>
                  <w:tcW w:w="680"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15.3</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SMPE-2M</w:t>
                  </w:r>
                </w:p>
              </w:tc>
              <w:tc>
                <w:tcPr>
                  <w:tcW w:w="680"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15.4</w:t>
                  </w:r>
                </w:p>
              </w:tc>
              <w:tc>
                <w:tcPr>
                  <w:tcW w:w="101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03"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SMPE-2E</w:t>
                  </w:r>
                </w:p>
              </w:tc>
              <w:tc>
                <w:tcPr>
                  <w:tcW w:w="680"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4900</w:t>
                  </w:r>
                </w:p>
              </w:tc>
              <w:tc>
                <w:tcPr>
                  <w:tcW w:w="737"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77" w:type="dxa"/>
                  <w:tcBorders>
                    <w:tl2br w:val="nil"/>
                    <w:tr2bl w:val="nil"/>
                  </w:tcBorders>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r>
          </w:tbl>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表2-</w:t>
            </w:r>
            <w:r>
              <w:rPr>
                <w:rFonts w:hint="eastAsia" w:cs="Times New Roman"/>
                <w:b/>
                <w:bCs/>
                <w:color w:val="000000" w:themeColor="text1"/>
                <w:kern w:val="0"/>
                <w:sz w:val="24"/>
                <w:szCs w:val="24"/>
                <w:highlight w:val="none"/>
                <w:lang w:val="en-US" w:eastAsia="zh-CN" w:bidi="ar"/>
                <w14:textFill>
                  <w14:solidFill>
                    <w14:schemeClr w14:val="tx1"/>
                  </w14:solidFill>
                </w14:textFill>
              </w:rPr>
              <w:t>8</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w:t>
            </w:r>
            <w:r>
              <w:rPr>
                <w:rFonts w:hint="eastAsia" w:cs="Times New Roman"/>
                <w:b/>
                <w:bCs/>
                <w:color w:val="000000" w:themeColor="text1"/>
                <w:kern w:val="0"/>
                <w:sz w:val="24"/>
                <w:szCs w:val="24"/>
                <w:highlight w:val="none"/>
                <w:lang w:val="en-US" w:eastAsia="zh-CN" w:bidi="ar"/>
                <w14:textFill>
                  <w14:solidFill>
                    <w14:schemeClr w14:val="tx1"/>
                  </w14:solidFill>
                </w14:textFill>
              </w:rPr>
              <w:t>企业</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现有产品规模一览表</w:t>
            </w:r>
            <w:r>
              <w:rPr>
                <w:rFonts w:hint="eastAsia" w:cs="Times New Roman"/>
                <w:b/>
                <w:bCs/>
                <w:color w:val="000000" w:themeColor="text1"/>
                <w:kern w:val="0"/>
                <w:sz w:val="24"/>
                <w:szCs w:val="24"/>
                <w:highlight w:val="none"/>
                <w:lang w:val="en-US" w:eastAsia="zh-CN" w:bidi="ar"/>
                <w14:textFill>
                  <w14:solidFill>
                    <w14:schemeClr w14:val="tx1"/>
                  </w14:solidFill>
                </w14:textFill>
              </w:rPr>
              <w:t>（二期厂区）</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57"/>
              <w:gridCol w:w="862"/>
              <w:gridCol w:w="1311"/>
              <w:gridCol w:w="2146"/>
              <w:gridCol w:w="831"/>
              <w:gridCol w:w="956"/>
              <w:gridCol w:w="170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3" w:hRule="atLeast"/>
                <w:tblHeader/>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515"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产品类别</w:t>
                  </w:r>
                </w:p>
              </w:tc>
              <w:tc>
                <w:tcPr>
                  <w:tcW w:w="783"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产品代号</w:t>
                  </w:r>
                </w:p>
              </w:tc>
              <w:tc>
                <w:tcPr>
                  <w:tcW w:w="128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产品名称</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产品状态</w:t>
                  </w:r>
                </w:p>
              </w:tc>
              <w:tc>
                <w:tcPr>
                  <w:tcW w:w="571"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产量（吨/年）</w:t>
                  </w:r>
                </w:p>
              </w:tc>
              <w:tc>
                <w:tcPr>
                  <w:tcW w:w="1017"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产品包装方式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515" w:type="pct"/>
                  <w:vMerge w:val="restar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锂电池电解液添加剂</w:t>
                  </w:r>
                </w:p>
              </w:tc>
              <w:tc>
                <w:tcPr>
                  <w:tcW w:w="783"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272</w:t>
                  </w:r>
                </w:p>
              </w:tc>
              <w:tc>
                <w:tcPr>
                  <w:tcW w:w="128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硫酸乙烯酯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固体</w:t>
                  </w:r>
                </w:p>
              </w:tc>
              <w:tc>
                <w:tcPr>
                  <w:tcW w:w="571"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515" w:type="pct"/>
                  <w:vMerge w:val="continue"/>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639</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双硫酸乙烯酯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515" w:type="pct"/>
                  <w:vMerge w:val="continue"/>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844</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三（三甲基硅基）磷酸酯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15kg/桶</w:t>
                  </w:r>
                </w:p>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904</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三（乙烯基二甲基硅基）磷酸酯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735</w:t>
                  </w:r>
                </w:p>
              </w:tc>
              <w:tc>
                <w:tcPr>
                  <w:tcW w:w="128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三（三甲基硅基）硼酸酯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15kg/桶、150kg/桶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481</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双草酸硼酸锂</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2kg/瓶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506</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四氟草酸磷酸锂</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392</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双草酸二氟磷酸锂</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515" w:type="pct"/>
                  <w:vMerge w:val="continue"/>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242</w:t>
                  </w:r>
                </w:p>
              </w:tc>
              <w:tc>
                <w:tcPr>
                  <w:tcW w:w="128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乙烯基碳酸乙烯酯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20kg/桶、200kg/桶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515" w:type="pct"/>
                  <w:vMerge w:val="continue"/>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374</w:t>
                  </w:r>
                </w:p>
              </w:tc>
              <w:tc>
                <w:tcPr>
                  <w:tcW w:w="128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三氟乙基甲基碳酸酯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515" w:type="pct"/>
                  <w:vMerge w:val="continue"/>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578</w:t>
                  </w:r>
                </w:p>
              </w:tc>
              <w:tc>
                <w:tcPr>
                  <w:tcW w:w="128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双（三氟乙基）碳酸酯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243</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炔丙基甲基碳酸酯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350</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炔丙氧基羰基咪唑</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422</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双碳酸乙烯酯</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309</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四乙烯基硅烷</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10kg/桶、20kg/桶、150kg/桶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cheeradd 237</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二甲基二乙烯基硅烷</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51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功能有机硅材料</w:t>
                  </w: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Cheersil7000</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球形硅树脂</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20kg/箱</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Cheersil8700</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端酚基硅油</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20kg/桶、200kg/桶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Cheersil8100</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氨基封头剂</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Cheersil8150</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端氨基硅油</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20kg/桶、200kg/桶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Cheersil8200</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环氧封头剂</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20kg/桶、200kg/桶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Cheersil8250</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端环氧硅油</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200kg/桶1000kg/桶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Cheersil8900</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有机硅凝胶</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w:t>
                  </w:r>
                </w:p>
              </w:tc>
              <w:tc>
                <w:tcPr>
                  <w:tcW w:w="51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Cheersil8500</w:t>
                  </w:r>
                </w:p>
              </w:tc>
              <w:tc>
                <w:tcPr>
                  <w:tcW w:w="1282"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苯基硅树脂</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300</w:t>
                  </w:r>
                </w:p>
              </w:tc>
              <w:tc>
                <w:tcPr>
                  <w:tcW w:w="1017"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9" w:hRule="atLeast"/>
                <w:jc w:val="center"/>
              </w:trPr>
              <w:tc>
                <w:tcPr>
                  <w:tcW w:w="3411" w:type="pct"/>
                  <w:gridSpan w:val="5"/>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合计</w:t>
                  </w:r>
                </w:p>
              </w:tc>
              <w:tc>
                <w:tcPr>
                  <w:tcW w:w="571"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16900</w:t>
                  </w:r>
                </w:p>
              </w:tc>
              <w:tc>
                <w:tcPr>
                  <w:tcW w:w="1017"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515" w:type="pct"/>
                  <w:vMerge w:val="restar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副产品</w:t>
                  </w:r>
                </w:p>
              </w:tc>
              <w:tc>
                <w:tcPr>
                  <w:tcW w:w="2066" w:type="pct"/>
                  <w:gridSpan w:val="2"/>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highlight w:val="none"/>
                      <w14:textFill>
                        <w14:solidFill>
                          <w14:schemeClr w14:val="tx1"/>
                        </w14:solidFill>
                      </w14:textFill>
                    </w:rPr>
                    <w:t>盐酸</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7642.678</w:t>
                  </w:r>
                </w:p>
              </w:tc>
              <w:tc>
                <w:tcPr>
                  <w:tcW w:w="1017"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罐车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515" w:type="pct"/>
                  <w:vMerge w:val="continue"/>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066" w:type="pct"/>
                  <w:gridSpan w:val="2"/>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20%氨水</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873.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113</w:t>
                  </w:r>
                </w:p>
              </w:tc>
              <w:tc>
                <w:tcPr>
                  <w:tcW w:w="1017"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罐车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515" w:type="pct"/>
                  <w:vMerge w:val="continue"/>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066" w:type="pct"/>
                  <w:gridSpan w:val="2"/>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乙醇</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66.785</w:t>
                  </w:r>
                </w:p>
              </w:tc>
              <w:tc>
                <w:tcPr>
                  <w:tcW w:w="1017"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1000kg/桶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515" w:type="pct"/>
                  <w:vMerge w:val="continue"/>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066" w:type="pct"/>
                  <w:gridSpan w:val="2"/>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甲醇</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651.351</w:t>
                  </w:r>
                </w:p>
              </w:tc>
              <w:tc>
                <w:tcPr>
                  <w:tcW w:w="1017"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罐车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515" w:type="pct"/>
                  <w:vMerge w:val="continue"/>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066" w:type="pct"/>
                  <w:gridSpan w:val="2"/>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四氢呋喃</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1714.047</w:t>
                  </w:r>
                </w:p>
              </w:tc>
              <w:tc>
                <w:tcPr>
                  <w:tcW w:w="1017"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罐车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515" w:type="pct"/>
                  <w:vMerge w:val="continue"/>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066" w:type="pct"/>
                  <w:gridSpan w:val="2"/>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甲基硅酸钠</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501.75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1017"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332"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515" w:type="pct"/>
                  <w:vMerge w:val="continue"/>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066" w:type="pct"/>
                  <w:gridSpan w:val="2"/>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甲基硅酸钾</w:t>
                  </w:r>
                </w:p>
              </w:tc>
              <w:tc>
                <w:tcPr>
                  <w:tcW w:w="496"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液体</w:t>
                  </w:r>
                </w:p>
              </w:tc>
              <w:tc>
                <w:tcPr>
                  <w:tcW w:w="571" w:type="pct"/>
                  <w:noWrap w:val="0"/>
                  <w:vAlign w:val="center"/>
                </w:tcPr>
                <w:p>
                  <w:pPr>
                    <w:pStyle w:val="17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673.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931</w:t>
                  </w:r>
                </w:p>
              </w:tc>
              <w:tc>
                <w:tcPr>
                  <w:tcW w:w="1017" w:type="pct"/>
                  <w:noWrap w:val="0"/>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罐</w:t>
                  </w:r>
                </w:p>
              </w:tc>
            </w:tr>
          </w:tbl>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b/>
                <w:bCs/>
                <w:color w:val="000000" w:themeColor="text1"/>
                <w:kern w:val="0"/>
                <w:sz w:val="24"/>
                <w:szCs w:val="24"/>
                <w:highlight w:val="none"/>
                <w:lang w:val="en-US" w:eastAsia="zh-CN" w:bidi="ar"/>
                <w14:textFill>
                  <w14:solidFill>
                    <w14:schemeClr w14:val="tx1"/>
                  </w14:solidFill>
                </w14:textFill>
              </w:rPr>
              <w:t>2</w:t>
            </w: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w:t>
            </w:r>
            <w:r>
              <w:rPr>
                <w:rFonts w:hint="eastAsia" w:cs="Times New Roman"/>
                <w:b/>
                <w:bCs/>
                <w:color w:val="000000" w:themeColor="text1"/>
                <w:kern w:val="0"/>
                <w:sz w:val="24"/>
                <w:szCs w:val="24"/>
                <w:highlight w:val="none"/>
                <w:lang w:val="en-US" w:eastAsia="zh-CN" w:bidi="ar"/>
                <w14:textFill>
                  <w14:solidFill>
                    <w14:schemeClr w14:val="tx1"/>
                  </w14:solidFill>
                </w14:textFill>
              </w:rPr>
              <w:t>二期厂区现有项目</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污染物排放情况</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1）废气治理措施</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二期厂区</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年产1.69万吨动力锂电池电解液添加剂和功能有机硅材料生产项目</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于2023年10月26日取得批复后，由于实际建设过程中废气治理设施发生变化，于2025年1月22日进行了废气治理措施变化技术论证，</w:t>
            </w:r>
            <w:bookmarkStart w:id="17" w:name="OLE_LINK7"/>
            <w:r>
              <w:rPr>
                <w:rFonts w:hint="eastAsia" w:cs="Times New Roman"/>
                <w:b w:val="0"/>
                <w:bCs w:val="0"/>
                <w:color w:val="000000" w:themeColor="text1"/>
                <w:kern w:val="0"/>
                <w:sz w:val="24"/>
                <w:szCs w:val="24"/>
                <w:highlight w:val="none"/>
                <w:lang w:val="en-US" w:eastAsia="zh-CN" w:bidi="ar"/>
                <w14:textFill>
                  <w14:solidFill>
                    <w14:schemeClr w14:val="tx1"/>
                  </w14:solidFill>
                </w14:textFill>
              </w:rPr>
              <w:t>目前处于</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设备安装调试阶段，未验收</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投产。</w:t>
            </w:r>
            <w:bookmarkEnd w:id="17"/>
            <w:r>
              <w:rPr>
                <w:rFonts w:hint="eastAsia" w:cs="Times New Roman"/>
                <w:b w:val="0"/>
                <w:bCs w:val="0"/>
                <w:color w:val="000000" w:themeColor="text1"/>
                <w:kern w:val="0"/>
                <w:sz w:val="24"/>
                <w:szCs w:val="24"/>
                <w:highlight w:val="none"/>
                <w:lang w:val="en-US" w:eastAsia="zh-CN" w:bidi="ar"/>
                <w14:textFill>
                  <w14:solidFill>
                    <w14:schemeClr w14:val="tx1"/>
                  </w14:solidFill>
                </w14:textFill>
              </w:rPr>
              <w:t>已建成废气处理设施及排放去向示意图见</w:t>
            </w:r>
            <w:r>
              <w:rPr>
                <w:rFonts w:hint="eastAsia" w:cs="Times New Roman"/>
                <w:b/>
                <w:bCs/>
                <w:i/>
                <w:iCs/>
                <w:color w:val="000000" w:themeColor="text1"/>
                <w:kern w:val="0"/>
                <w:sz w:val="24"/>
                <w:szCs w:val="24"/>
                <w:highlight w:val="none"/>
                <w:lang w:val="en-US" w:eastAsia="zh-CN" w:bidi="ar"/>
                <w14:textFill>
                  <w14:solidFill>
                    <w14:schemeClr w14:val="tx1"/>
                  </w14:solidFill>
                </w14:textFill>
              </w:rPr>
              <w:t>图2-7</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2）废水理措施</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项目废水经厂区污水处理站预处理后排入园区污水处理厂进一步处理。</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3）固废治理措施</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项目生产过程中产生的釜残、过滤浓浆、精馏或蒸馏过程中蒸（精）馏气体冷凝产生的冷凝废液、滤渣/滤饼、废催化剂、废分子筛、废活性炭、活性炭脱附废液、污水处理产生的污泥、废滤芯及活性炭、废布袋、废包装物（危险废物）、设备检修产生的废机油等属于危废，收集后暂存于各车间暂存罐或危废间，最终送焚烧炉焚烧处理。</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废盐及浓缩液、含盐较多的滤渣等、焚烧产生的炉渣、飞灰、污泥、废催化剂等均属于危险废物。收集后暂存于危废间，委托有资质部门妥善处理。</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原辅料包装产生的废包装物（未沾染有毒有害物质），属于一般固废，收集后定期外售。生活垃圾委托环卫部门清运。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四氟草酸磷酸锂、双草酸二氟磷酸锂生产过程蒸馏废气及合成尾气处理废气系统产生的釜残（主要成分是盐）鉴别判定后再进行处理。</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二期厂区现有项目处于</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设备安装调试阶段，</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已取得排污许可证，</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未验收</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投产，无实际监测数据。污染物排放情况及环境影响已在原相应环评报告及论证报告中进行分析，各项污染物可达标排放，并实施总量控制，本章节不再赘述。</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b/>
                <w:bCs/>
                <w:color w:val="000000" w:themeColor="text1"/>
                <w:kern w:val="0"/>
                <w:sz w:val="24"/>
                <w:szCs w:val="24"/>
                <w:highlight w:val="none"/>
                <w:lang w:val="en-US" w:eastAsia="zh-CN" w:bidi="ar"/>
                <w14:textFill>
                  <w14:solidFill>
                    <w14:schemeClr w14:val="tx1"/>
                  </w14:solidFill>
                </w14:textFill>
              </w:rPr>
              <w:t>3</w:t>
            </w: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w:t>
            </w:r>
            <w:r>
              <w:rPr>
                <w:rFonts w:hint="eastAsia" w:cs="Times New Roman"/>
                <w:b/>
                <w:bCs/>
                <w:color w:val="000000" w:themeColor="text1"/>
                <w:kern w:val="0"/>
                <w:sz w:val="24"/>
                <w:szCs w:val="24"/>
                <w:highlight w:val="none"/>
                <w:lang w:val="en-US" w:eastAsia="zh-CN" w:bidi="ar"/>
                <w14:textFill>
                  <w14:solidFill>
                    <w14:schemeClr w14:val="tx1"/>
                  </w14:solidFill>
                </w14:textFill>
              </w:rPr>
              <w:t>二期厂区</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现有工程污染物排放量汇总</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二期厂区现有项目</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未验收</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投产，无实际监测数据。下表统计的污染物排放量为环评核算量和废气治理措施变化技术论证核算量。</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2-</w:t>
            </w:r>
            <w:r>
              <w:rPr>
                <w:rFonts w:hint="eastAsia" w:cs="Times New Roman"/>
                <w:b/>
                <w:bCs/>
                <w:color w:val="000000" w:themeColor="text1"/>
                <w:kern w:val="0"/>
                <w:sz w:val="24"/>
                <w:szCs w:val="24"/>
                <w:highlight w:val="none"/>
                <w:lang w:val="en-US" w:eastAsia="zh-CN" w:bidi="ar"/>
                <w14:textFill>
                  <w14:solidFill>
                    <w14:schemeClr w14:val="tx1"/>
                  </w14:solidFill>
                </w14:textFill>
              </w:rPr>
              <w:t xml:space="preserve">9 </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现有项目污染物排放汇总表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34"/>
              <w:gridCol w:w="806"/>
              <w:gridCol w:w="871"/>
              <w:gridCol w:w="962"/>
              <w:gridCol w:w="1363"/>
              <w:gridCol w:w="1389"/>
              <w:gridCol w:w="962"/>
              <w:gridCol w:w="14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50" w:hRule="atLeast"/>
                <w:jc w:val="center"/>
              </w:trPr>
              <w:tc>
                <w:tcPr>
                  <w:tcW w:w="2460"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单位</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环评核算排放量（固体废物产生量）</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废气论证核算较环评变化量</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较环评变化情况</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二期厂区现有项目核算排放量（固体废物产生量）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废气</w:t>
                  </w:r>
                </w:p>
              </w:tc>
              <w:tc>
                <w:tcPr>
                  <w:tcW w:w="90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有组织</w:t>
                  </w: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SO2</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8.247</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-0.005</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NOx</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28.996</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-5.452</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23.544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3.184</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-0.613</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0.911</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不变</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硫化氢</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不变</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5.438</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不变</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HF</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0.207</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不变</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8.294</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不变</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0.729</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二氯乙烷</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3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二噁英</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 TEQ/a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1.874</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-0.0034 </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1.871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四氢呋喃</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0.019</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-0.013</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乙二醇</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0.0003</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不变</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乙腈</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0.023</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-0.011</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环己烷</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不变</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0.077</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-0.013</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0.062</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0.486</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-0.108</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硫酸</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不变</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7.078</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-0.463</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减少</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6.615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无组织</w:t>
                  </w: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6.207</w:t>
                  </w:r>
                </w:p>
              </w:tc>
              <w:tc>
                <w:tcPr>
                  <w:tcW w:w="4335" w:type="dxa"/>
                  <w:gridSpan w:val="3"/>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c>
                <w:tcPr>
                  <w:tcW w:w="4335" w:type="dxa"/>
                  <w:gridSpan w:val="3"/>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乙酸乙酯</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0.024</w:t>
                  </w:r>
                </w:p>
              </w:tc>
              <w:tc>
                <w:tcPr>
                  <w:tcW w:w="4335" w:type="dxa"/>
                  <w:gridSpan w:val="3"/>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0.309</w:t>
                  </w:r>
                </w:p>
              </w:tc>
              <w:tc>
                <w:tcPr>
                  <w:tcW w:w="4335" w:type="dxa"/>
                  <w:gridSpan w:val="3"/>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c>
                <w:tcPr>
                  <w:tcW w:w="4335" w:type="dxa"/>
                  <w:gridSpan w:val="3"/>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硫化氢</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4335" w:type="dxa"/>
                  <w:gridSpan w:val="3"/>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58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废水</w:t>
                  </w:r>
                </w:p>
              </w:tc>
              <w:tc>
                <w:tcPr>
                  <w:tcW w:w="187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废水量</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m³/a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60956.944</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2624</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增多</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63580.944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87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21.335</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0.918</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增多</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22.253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87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1.524</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0.066</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增多</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jc w:val="center"/>
              </w:trPr>
              <w:tc>
                <w:tcPr>
                  <w:tcW w:w="58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固体废物</w:t>
                  </w:r>
                </w:p>
              </w:tc>
              <w:tc>
                <w:tcPr>
                  <w:tcW w:w="90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危险废物</w:t>
                  </w: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自行焚烧处置</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7783.7</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131.81</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增多</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7915.51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委托处置</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3485.3</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3485.3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一般固废</w:t>
                  </w: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外售</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其他</w:t>
                  </w:r>
                </w:p>
              </w:tc>
              <w:tc>
                <w:tcPr>
                  <w:tcW w:w="9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鉴别判定后处理</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971.259</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971.259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jc w:val="center"/>
              </w:trPr>
              <w:tc>
                <w:tcPr>
                  <w:tcW w:w="585"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87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生活垃圾</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t/a</w:t>
                  </w:r>
                </w:p>
              </w:tc>
              <w:tc>
                <w:tcPr>
                  <w:tcW w:w="1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w:t>
                  </w:r>
                </w:p>
              </w:tc>
              <w:tc>
                <w:tcPr>
                  <w:tcW w:w="15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942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备注：此表中统计的废水污染物排放量为厂区污水处理站处理后进园区管网的量（管理指标）。</w:t>
                  </w:r>
                </w:p>
              </w:tc>
            </w:tr>
          </w:tbl>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both"/>
              <w:textAlignment w:val="auto"/>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三、与该项目污染物有关的主要环境问题及整改措施</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二期厂区现有项目处于</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设备安装调试阶段</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未验收</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投产，企业严格</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落实</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三同时</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保证</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环保设施正常运行，污染物达标排放</w:t>
            </w:r>
            <w:r>
              <w:rPr>
                <w:rFonts w:hint="eastAsia" w:cs="Times New Roman"/>
                <w:color w:val="000000" w:themeColor="text1"/>
                <w:kern w:val="0"/>
                <w:sz w:val="24"/>
                <w:szCs w:val="24"/>
                <w:highlight w:val="none"/>
                <w:lang w:val="en-US" w:eastAsia="zh-CN" w:bidi="ar"/>
                <w14:textFill>
                  <w14:solidFill>
                    <w14:schemeClr w14:val="tx1"/>
                  </w14:solidFill>
                </w14:textFill>
              </w:rPr>
              <w:t>。</w:t>
            </w:r>
          </w:p>
        </w:tc>
      </w:tr>
    </w:tbl>
    <w:p>
      <w:pPr>
        <w:pStyle w:val="32"/>
        <w:jc w:val="center"/>
        <w:rPr>
          <w:rFonts w:ascii="Times New Roman" w:hAnsi="Times New Roman"/>
          <w:snapToGrid w:val="0"/>
          <w:color w:val="000000" w:themeColor="text1"/>
          <w:sz w:val="36"/>
          <w:szCs w:val="36"/>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2"/>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0"/>
        <w:gridCol w:w="84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dxa"/>
            <w:vAlign w:val="center"/>
          </w:tcPr>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 w:val="24"/>
                <w:highlight w:val="none"/>
                <w14:textFill>
                  <w14:solidFill>
                    <w14:schemeClr w14:val="tx1"/>
                  </w14:solidFill>
                </w14:textFill>
              </w:rPr>
              <w:t>区域环境质量现状</w:t>
            </w:r>
          </w:p>
        </w:tc>
        <w:tc>
          <w:tcPr>
            <w:tcW w:w="8471" w:type="dxa"/>
            <w:vAlign w:val="center"/>
          </w:tcPr>
          <w:p>
            <w:pPr>
              <w:keepNext w:val="0"/>
              <w:keepLines w:val="0"/>
              <w:pageBreakBefore w:val="0"/>
              <w:widowControl w:val="0"/>
              <w:kinsoku/>
              <w:wordWrap/>
              <w:overflowPunct/>
              <w:topLinePunct w:val="0"/>
              <w:bidi w:val="0"/>
              <w:snapToGrid w:val="0"/>
              <w:spacing w:line="360" w:lineRule="auto"/>
              <w:ind w:firstLine="482" w:firstLineChars="200"/>
              <w:textAlignment w:val="auto"/>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一、</w:t>
            </w: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大气环境</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项目所在地环境空气质量功能区属二类区，执行《环境空气质量标准》（GB3095-2012）二级标准。</w:t>
            </w:r>
          </w:p>
          <w:p>
            <w:pPr>
              <w:pStyle w:val="182"/>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firstLine="482" w:firstLineChars="200"/>
              <w:jc w:val="left"/>
              <w:textAlignment w:val="auto"/>
              <w:rPr>
                <w:color w:val="000000" w:themeColor="text1"/>
                <w14:textFill>
                  <w14:solidFill>
                    <w14:schemeClr w14:val="tx1"/>
                  </w14:solidFill>
                </w14:textFill>
              </w:rPr>
            </w:pPr>
            <w:r>
              <w:rPr>
                <w:rFonts w:hint="eastAsia"/>
                <w:b/>
                <w:bCs/>
                <w:color w:val="000000" w:themeColor="text1"/>
                <w:spacing w:val="0"/>
                <w:w w:val="100"/>
                <w:position w:val="0"/>
                <w:sz w:val="24"/>
                <w:szCs w:val="24"/>
                <w:lang w:val="en-US" w:eastAsia="zh-CN"/>
                <w14:textFill>
                  <w14:solidFill>
                    <w14:schemeClr w14:val="tx1"/>
                  </w14:solidFill>
                </w14:textFill>
              </w:rPr>
              <w:t>1、</w:t>
            </w:r>
            <w:r>
              <w:rPr>
                <w:b/>
                <w:bCs/>
                <w:color w:val="000000" w:themeColor="text1"/>
                <w:spacing w:val="0"/>
                <w:w w:val="100"/>
                <w:position w:val="0"/>
                <w:sz w:val="24"/>
                <w:szCs w:val="24"/>
                <w14:textFill>
                  <w14:solidFill>
                    <w14:schemeClr w14:val="tx1"/>
                  </w14:solidFill>
                </w14:textFill>
              </w:rPr>
              <w:t>基本污染物环境质量现状调查与评价</w:t>
            </w:r>
          </w:p>
          <w:p>
            <w:pPr>
              <w:pStyle w:val="157"/>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color w:val="000000" w:themeColor="text1"/>
                <w:spacing w:val="0"/>
                <w:sz w:val="24"/>
                <w14:textFill>
                  <w14:solidFill>
                    <w14:schemeClr w14:val="tx1"/>
                  </w14:solidFill>
                </w14:textFill>
              </w:rPr>
            </w:pPr>
            <w:r>
              <w:rPr>
                <w:color w:val="000000" w:themeColor="text1"/>
                <w:spacing w:val="0"/>
                <w:sz w:val="24"/>
                <w14:textFill>
                  <w14:solidFill>
                    <w14:schemeClr w14:val="tx1"/>
                  </w14:solidFill>
                </w14:textFill>
              </w:rPr>
              <w:t>根据济宁市生态环境局网站公示的大气环境质量状况，</w:t>
            </w:r>
            <w:r>
              <w:rPr>
                <w:rFonts w:hint="eastAsia"/>
                <w:color w:val="000000" w:themeColor="text1"/>
                <w:spacing w:val="0"/>
                <w:sz w:val="24"/>
                <w:lang w:val="en-US" w:eastAsia="zh-CN"/>
                <w14:textFill>
                  <w14:solidFill>
                    <w14:schemeClr w14:val="tx1"/>
                  </w14:solidFill>
                </w14:textFill>
              </w:rPr>
              <w:t>嘉祥</w:t>
            </w:r>
            <w:r>
              <w:rPr>
                <w:color w:val="000000" w:themeColor="text1"/>
                <w:spacing w:val="0"/>
                <w:sz w:val="24"/>
                <w14:textFill>
                  <w14:solidFill>
                    <w14:schemeClr w14:val="tx1"/>
                  </w14:solidFill>
                </w14:textFill>
              </w:rPr>
              <w:t>县</w:t>
            </w:r>
            <w:r>
              <w:rPr>
                <w:rFonts w:ascii="Times New Roman" w:hAnsi="Times New Roman" w:eastAsia="Times New Roman" w:cs="Times New Roman"/>
                <w:color w:val="000000" w:themeColor="text1"/>
                <w:spacing w:val="0"/>
                <w:sz w:val="24"/>
                <w14:textFill>
                  <w14:solidFill>
                    <w14:schemeClr w14:val="tx1"/>
                  </w14:solidFill>
                </w14:textFill>
              </w:rPr>
              <w:t>2023</w:t>
            </w:r>
            <w:r>
              <w:rPr>
                <w:color w:val="000000" w:themeColor="text1"/>
                <w:spacing w:val="0"/>
                <w:sz w:val="24"/>
                <w14:textFill>
                  <w14:solidFill>
                    <w14:schemeClr w14:val="tx1"/>
                  </w14:solidFill>
                </w14:textFill>
              </w:rPr>
              <w:t>年</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1</w:t>
            </w:r>
            <w:r>
              <w:rPr>
                <w:color w:val="000000" w:themeColor="text1"/>
                <w:spacing w:val="0"/>
                <w:sz w:val="24"/>
                <w14:textFill>
                  <w14:solidFill>
                    <w14:schemeClr w14:val="tx1"/>
                  </w14:solidFill>
                </w14:textFill>
              </w:rPr>
              <w:t>月</w:t>
            </w:r>
            <w:r>
              <w:rPr>
                <w:rFonts w:ascii="Times New Roman" w:hAnsi="Times New Roman" w:eastAsia="Times New Roman" w:cs="Times New Roman"/>
                <w:color w:val="000000" w:themeColor="text1"/>
                <w:spacing w:val="0"/>
                <w:sz w:val="24"/>
                <w14:textFill>
                  <w14:solidFill>
                    <w14:schemeClr w14:val="tx1"/>
                  </w14:solidFill>
                </w14:textFill>
              </w:rPr>
              <w:t>-2023</w:t>
            </w:r>
            <w:r>
              <w:rPr>
                <w:color w:val="000000" w:themeColor="text1"/>
                <w:spacing w:val="0"/>
                <w:sz w:val="24"/>
                <w14:textFill>
                  <w14:solidFill>
                    <w14:schemeClr w14:val="tx1"/>
                  </w14:solidFill>
                </w14:textFill>
              </w:rPr>
              <w:t>年</w:t>
            </w:r>
            <w:r>
              <w:rPr>
                <w:rFonts w:ascii="Times New Roman" w:hAnsi="Times New Roman" w:eastAsia="Times New Roman" w:cs="Times New Roman"/>
                <w:color w:val="000000" w:themeColor="text1"/>
                <w:spacing w:val="0"/>
                <w:sz w:val="24"/>
                <w14:textFill>
                  <w14:solidFill>
                    <w14:schemeClr w14:val="tx1"/>
                  </w14:solidFill>
                </w14:textFill>
              </w:rPr>
              <w:t>12</w:t>
            </w:r>
            <w:r>
              <w:rPr>
                <w:color w:val="000000" w:themeColor="text1"/>
                <w:spacing w:val="0"/>
                <w:sz w:val="24"/>
                <w14:textFill>
                  <w14:solidFill>
                    <w14:schemeClr w14:val="tx1"/>
                  </w14:solidFill>
                </w14:textFill>
              </w:rPr>
              <w:t>月连续</w:t>
            </w:r>
            <w:r>
              <w:rPr>
                <w:rFonts w:hint="default" w:ascii="Times New Roman" w:hAnsi="Times New Roman" w:cs="Times New Roman"/>
                <w:color w:val="000000" w:themeColor="text1"/>
                <w:spacing w:val="0"/>
                <w:sz w:val="24"/>
                <w:lang w:val="en-US" w:eastAsia="zh-CN"/>
                <w14:textFill>
                  <w14:solidFill>
                    <w14:schemeClr w14:val="tx1"/>
                  </w14:solidFill>
                </w14:textFill>
              </w:rPr>
              <w:t>1</w:t>
            </w:r>
            <w:r>
              <w:rPr>
                <w:color w:val="000000" w:themeColor="text1"/>
                <w:spacing w:val="0"/>
                <w:sz w:val="24"/>
                <w14:textFill>
                  <w14:solidFill>
                    <w14:schemeClr w14:val="tx1"/>
                  </w14:solidFill>
                </w14:textFill>
              </w:rPr>
              <w:t>年的大气环境质量状况监测结果统计见表</w:t>
            </w:r>
            <w:r>
              <w:rPr>
                <w:rFonts w:ascii="Times New Roman" w:hAnsi="Times New Roman" w:eastAsia="Times New Roman" w:cs="Times New Roman"/>
                <w:color w:val="000000" w:themeColor="text1"/>
                <w:spacing w:val="0"/>
                <w:sz w:val="24"/>
                <w14:textFill>
                  <w14:solidFill>
                    <w14:schemeClr w14:val="tx1"/>
                  </w14:solidFill>
                </w14:textFill>
              </w:rPr>
              <w:t>3-1</w:t>
            </w:r>
            <w:r>
              <w:rPr>
                <w:color w:val="000000" w:themeColor="text1"/>
                <w:spacing w:val="0"/>
                <w:sz w:val="24"/>
                <w14:textFill>
                  <w14:solidFill>
                    <w14:schemeClr w14:val="tx1"/>
                  </w14:solidFill>
                </w14:textFill>
              </w:rPr>
              <w:t>。</w:t>
            </w:r>
          </w:p>
          <w:p>
            <w:pPr>
              <w:pStyle w:val="157"/>
              <w:spacing w:before="27" w:line="223" w:lineRule="auto"/>
              <w:ind w:firstLine="506" w:firstLineChars="200"/>
              <w:outlineLvl w:val="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6"/>
                <w:sz w:val="24"/>
                <w:szCs w:val="24"/>
                <w:highlight w:val="none"/>
                <w14:textFill>
                  <w14:solidFill>
                    <w14:schemeClr w14:val="tx1"/>
                  </w14:solidFill>
                </w14:textFill>
              </w:rPr>
              <w:t>表3-1</w:t>
            </w:r>
            <w:r>
              <w:rPr>
                <w:rFonts w:hint="eastAsia" w:ascii="Times New Roman" w:hAnsi="Times New Roman" w:cs="Times New Roman"/>
                <w:b/>
                <w:bCs/>
                <w:color w:val="000000" w:themeColor="text1"/>
                <w:spacing w:val="6"/>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6"/>
                <w:sz w:val="24"/>
                <w:szCs w:val="24"/>
                <w:highlight w:val="none"/>
                <w14:textFill>
                  <w14:solidFill>
                    <w14:schemeClr w14:val="tx1"/>
                  </w14:solidFill>
                </w14:textFill>
              </w:rPr>
              <w:t>2023年</w:t>
            </w:r>
            <w:r>
              <w:rPr>
                <w:rFonts w:hint="eastAsia" w:ascii="Times New Roman" w:hAnsi="Times New Roman" w:cs="Times New Roman"/>
                <w:b/>
                <w:bCs/>
                <w:color w:val="000000" w:themeColor="text1"/>
                <w:spacing w:val="6"/>
                <w:sz w:val="24"/>
                <w:szCs w:val="24"/>
                <w:highlight w:val="none"/>
                <w:lang w:val="en-US" w:eastAsia="zh-CN"/>
                <w14:textFill>
                  <w14:solidFill>
                    <w14:schemeClr w14:val="tx1"/>
                  </w14:solidFill>
                </w14:textFill>
              </w:rPr>
              <w:t>嘉祥</w:t>
            </w:r>
            <w:r>
              <w:rPr>
                <w:rFonts w:hint="default" w:ascii="Times New Roman" w:hAnsi="Times New Roman" w:eastAsia="宋体" w:cs="Times New Roman"/>
                <w:b/>
                <w:bCs/>
                <w:color w:val="000000" w:themeColor="text1"/>
                <w:spacing w:val="6"/>
                <w:sz w:val="24"/>
                <w:szCs w:val="24"/>
                <w:highlight w:val="none"/>
                <w14:textFill>
                  <w14:solidFill>
                    <w14:schemeClr w14:val="tx1"/>
                  </w14:solidFill>
                </w14:textFill>
              </w:rPr>
              <w:t>县环境空气质量现状情况汇总表</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 xml:space="preserve"> </w:t>
            </w:r>
            <w:r>
              <w:rPr>
                <w:rFonts w:hint="default" w:ascii="Times New Roman" w:hAnsi="Times New Roman" w:eastAsia="宋体" w:cs="Times New Roman"/>
                <w:b/>
                <w:bCs/>
                <w:color w:val="000000" w:themeColor="text1"/>
                <w:spacing w:val="6"/>
                <w:sz w:val="24"/>
                <w:szCs w:val="24"/>
                <w:highlight w:val="none"/>
                <w14:textFill>
                  <w14:solidFill>
                    <w14:schemeClr w14:val="tx1"/>
                  </w14:solidFill>
                </w14:textFill>
              </w:rPr>
              <w:t>单</w:t>
            </w:r>
            <w:r>
              <w:rPr>
                <w:rFonts w:hint="default" w:ascii="Times New Roman" w:hAnsi="Times New Roman" w:eastAsia="宋体" w:cs="Times New Roman"/>
                <w:b/>
                <w:bCs/>
                <w:color w:val="000000" w:themeColor="text1"/>
                <w:spacing w:val="5"/>
                <w:sz w:val="24"/>
                <w:szCs w:val="24"/>
                <w:highlight w:val="none"/>
                <w14:textFill>
                  <w14:solidFill>
                    <w14:schemeClr w14:val="tx1"/>
                  </w14:solidFill>
                </w14:textFill>
              </w:rPr>
              <w:t>位：</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ug</w:t>
            </w:r>
            <w:r>
              <w:rPr>
                <w:rFonts w:hint="default" w:ascii="Times New Roman" w:hAnsi="Times New Roman" w:eastAsia="宋体" w:cs="Times New Roman"/>
                <w:b/>
                <w:bCs/>
                <w:color w:val="000000" w:themeColor="text1"/>
                <w:spacing w:val="5"/>
                <w:sz w:val="24"/>
                <w:szCs w:val="24"/>
                <w14:textFill>
                  <w14:solidFill>
                    <w14:schemeClr w14:val="tx1"/>
                  </w14:solidFill>
                </w14:textFill>
              </w:rPr>
              <w:t>/m</w:t>
            </w:r>
            <w:r>
              <w:rPr>
                <w:rFonts w:hint="eastAsia" w:ascii="Times New Roman" w:hAnsi="Times New Roman" w:cs="Times New Roman"/>
                <w:b/>
                <w:bCs/>
                <w:color w:val="000000" w:themeColor="text1"/>
                <w:spacing w:val="5"/>
                <w:sz w:val="24"/>
                <w:szCs w:val="24"/>
                <w:vertAlign w:val="superscript"/>
                <w:lang w:val="en-US" w:eastAsia="zh-CN"/>
                <w14:textFill>
                  <w14:solidFill>
                    <w14:schemeClr w14:val="tx1"/>
                  </w14:solidFill>
                </w14:textFill>
              </w:rPr>
              <w:t>3</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1" w:type="dxa"/>
                <w:bottom w:w="0" w:type="dxa"/>
                <w:right w:w="51" w:type="dxa"/>
              </w:tblCellMar>
            </w:tblPr>
            <w:tblGrid>
              <w:gridCol w:w="1076"/>
              <w:gridCol w:w="1190"/>
              <w:gridCol w:w="1191"/>
              <w:gridCol w:w="1191"/>
              <w:gridCol w:w="1195"/>
              <w:gridCol w:w="1193"/>
              <w:gridCol w:w="11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时间</w:t>
                  </w:r>
                </w:p>
              </w:tc>
              <w:tc>
                <w:tcPr>
                  <w:tcW w:w="12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二氧化硫</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日平均浓度（μg/m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2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二氧化氮</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日平均浓度（μg/m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2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PM</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10</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日平均浓度（μg/m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2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PM</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2.5</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日平均浓度（μg/m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2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CO95百分</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位</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数浓度（mg/m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2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90百分</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位</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数浓度（μg/m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39</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143</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110</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26</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87</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59</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28</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83</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49</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77</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17</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68</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33</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0.9</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62</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28</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0.8</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66</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34</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31</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74</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42</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33</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74</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49</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2023-</w:t>
                  </w: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42</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111</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73</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1136" w:type="dxa"/>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年均值</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w:t>
                  </w:r>
                </w:p>
              </w:tc>
              <w:tc>
                <w:tcPr>
                  <w:tcW w:w="125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77</w:t>
                  </w:r>
                </w:p>
              </w:tc>
              <w:tc>
                <w:tcPr>
                  <w:tcW w:w="126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46</w:t>
                  </w:r>
                </w:p>
              </w:tc>
              <w:tc>
                <w:tcPr>
                  <w:tcW w:w="12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2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141</w:t>
                  </w:r>
                </w:p>
              </w:tc>
            </w:tr>
          </w:tbl>
          <w:p>
            <w:pPr>
              <w:pStyle w:val="35"/>
              <w:ind w:left="0" w:leftChars="0" w:firstLine="0" w:firstLineChars="0"/>
              <w:jc w:val="center"/>
              <w:rPr>
                <w:rFonts w:ascii="Times New Roman" w:hAnsi="Times New Roman" w:eastAsia="Times New Roman" w:cs="Times New Roman"/>
                <w:b/>
                <w:bCs/>
                <w:color w:val="000000" w:themeColor="text1"/>
                <w:spacing w:val="0"/>
                <w:w w:val="100"/>
                <w:position w:val="0"/>
                <w:sz w:val="24"/>
                <w:szCs w:val="24"/>
                <w:highlight w:val="none"/>
                <w:vertAlign w:val="superscript"/>
                <w:lang w:val="en-US" w:eastAsia="en-US" w:bidi="en-US"/>
                <w14:textFill>
                  <w14:solidFill>
                    <w14:schemeClr w14:val="tx1"/>
                  </w14:solidFill>
                </w14:textFill>
              </w:rPr>
            </w:pPr>
            <w:r>
              <w:rPr>
                <w:b/>
                <w:bCs/>
                <w:color w:val="000000" w:themeColor="text1"/>
                <w:spacing w:val="0"/>
                <w:w w:val="100"/>
                <w:position w:val="0"/>
                <w:sz w:val="24"/>
                <w:szCs w:val="24"/>
                <w:highlight w:val="none"/>
                <w14:textFill>
                  <w14:solidFill>
                    <w14:schemeClr w14:val="tx1"/>
                  </w14:solidFill>
                </w14:textFill>
              </w:rPr>
              <w:t>表</w:t>
            </w:r>
            <w:r>
              <w:rPr>
                <w:rFonts w:ascii="Times New Roman" w:hAnsi="Times New Roman" w:eastAsia="Times New Roman" w:cs="Times New Roman"/>
                <w:b/>
                <w:bCs/>
                <w:color w:val="000000" w:themeColor="text1"/>
                <w:spacing w:val="0"/>
                <w:w w:val="100"/>
                <w:position w:val="0"/>
                <w:sz w:val="24"/>
                <w:szCs w:val="24"/>
                <w:highlight w:val="none"/>
                <w:lang w:val="en-US" w:eastAsia="en-US" w:bidi="en-US"/>
                <w14:textFill>
                  <w14:solidFill>
                    <w14:schemeClr w14:val="tx1"/>
                  </w14:solidFill>
                </w14:textFill>
              </w:rPr>
              <w:t>3-</w:t>
            </w:r>
            <w:r>
              <w:rPr>
                <w:rFonts w:hint="eastAsia" w:ascii="Times New Roman" w:hAnsi="Times New Roman" w:eastAsia="宋体" w:cs="Times New Roman"/>
                <w:b/>
                <w:bCs/>
                <w:color w:val="000000" w:themeColor="text1"/>
                <w:spacing w:val="0"/>
                <w:w w:val="100"/>
                <w:position w:val="0"/>
                <w:sz w:val="24"/>
                <w:szCs w:val="24"/>
                <w:highlight w:val="none"/>
                <w:lang w:val="en-US" w:eastAsia="zh-CN" w:bidi="en-US"/>
                <w14:textFill>
                  <w14:solidFill>
                    <w14:schemeClr w14:val="tx1"/>
                  </w14:solidFill>
                </w14:textFill>
              </w:rPr>
              <w:t xml:space="preserve">2  </w:t>
            </w:r>
            <w:r>
              <w:rPr>
                <w:rFonts w:hint="eastAsia" w:eastAsia="宋体"/>
                <w:b/>
                <w:bCs/>
                <w:color w:val="000000" w:themeColor="text1"/>
                <w:spacing w:val="0"/>
                <w:w w:val="100"/>
                <w:position w:val="0"/>
                <w:sz w:val="24"/>
                <w:szCs w:val="24"/>
                <w:highlight w:val="none"/>
                <w:lang w:val="en-US" w:eastAsia="zh-CN"/>
                <w14:textFill>
                  <w14:solidFill>
                    <w14:schemeClr w14:val="tx1"/>
                  </w14:solidFill>
                </w14:textFill>
              </w:rPr>
              <w:t>嘉祥县</w:t>
            </w:r>
            <w:r>
              <w:rPr>
                <w:rFonts w:ascii="Times New Roman" w:hAnsi="Times New Roman" w:eastAsia="Times New Roman" w:cs="Times New Roman"/>
                <w:b/>
                <w:bCs/>
                <w:color w:val="000000" w:themeColor="text1"/>
                <w:spacing w:val="0"/>
                <w:w w:val="100"/>
                <w:position w:val="0"/>
                <w:sz w:val="24"/>
                <w:szCs w:val="24"/>
                <w:highlight w:val="none"/>
                <w14:textFill>
                  <w14:solidFill>
                    <w14:schemeClr w14:val="tx1"/>
                  </w14:solidFill>
                </w14:textFill>
              </w:rPr>
              <w:t>202</w:t>
            </w:r>
            <w:r>
              <w:rPr>
                <w:rFonts w:hint="eastAsia" w:ascii="Times New Roman" w:hAnsi="Times New Roman" w:eastAsia="宋体" w:cs="Times New Roman"/>
                <w:b/>
                <w:bCs/>
                <w:color w:val="000000" w:themeColor="text1"/>
                <w:spacing w:val="0"/>
                <w:w w:val="100"/>
                <w:position w:val="0"/>
                <w:sz w:val="24"/>
                <w:szCs w:val="24"/>
                <w:highlight w:val="none"/>
                <w:lang w:val="en-US" w:eastAsia="zh-CN"/>
                <w14:textFill>
                  <w14:solidFill>
                    <w14:schemeClr w14:val="tx1"/>
                  </w14:solidFill>
                </w14:textFill>
              </w:rPr>
              <w:t>3</w:t>
            </w:r>
            <w:r>
              <w:rPr>
                <w:b/>
                <w:bCs/>
                <w:color w:val="000000" w:themeColor="text1"/>
                <w:spacing w:val="0"/>
                <w:w w:val="100"/>
                <w:position w:val="0"/>
                <w:sz w:val="24"/>
                <w:szCs w:val="24"/>
                <w:highlight w:val="none"/>
                <w14:textFill>
                  <w14:solidFill>
                    <w14:schemeClr w14:val="tx1"/>
                  </w14:solidFill>
                </w14:textFill>
              </w:rPr>
              <w:t>年空气质量现状评价表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232"/>
              <w:gridCol w:w="1133"/>
              <w:gridCol w:w="1040"/>
              <w:gridCol w:w="861"/>
              <w:gridCol w:w="1080"/>
              <w:gridCol w:w="10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1356"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b/>
                      <w:color w:val="000000" w:themeColor="text1"/>
                      <w:kern w:val="0"/>
                      <w:sz w:val="21"/>
                      <w:szCs w:val="21"/>
                      <w14:textFill>
                        <w14:solidFill>
                          <w14:schemeClr w14:val="tx1"/>
                        </w14:solidFill>
                      </w14:textFill>
                    </w:rPr>
                    <w:t>评价指标</w:t>
                  </w:r>
                </w:p>
              </w:tc>
              <w:tc>
                <w:tcPr>
                  <w:tcW w:w="688"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632"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现状浓度</w:t>
                  </w:r>
                </w:p>
              </w:tc>
              <w:tc>
                <w:tcPr>
                  <w:tcW w:w="52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标准值</w:t>
                  </w:r>
                </w:p>
              </w:tc>
              <w:tc>
                <w:tcPr>
                  <w:tcW w:w="656"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占标率%</w:t>
                  </w:r>
                </w:p>
              </w:tc>
              <w:tc>
                <w:tcPr>
                  <w:tcW w:w="629"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356" w:type="pct"/>
                  <w:tcBorders>
                    <w:tl2br w:val="nil"/>
                    <w:tr2bl w:val="nil"/>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年平均浓度</w:t>
                  </w:r>
                </w:p>
              </w:tc>
              <w:tc>
                <w:tcPr>
                  <w:tcW w:w="688"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632"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52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656"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18.3 </w:t>
                  </w:r>
                </w:p>
              </w:tc>
              <w:tc>
                <w:tcPr>
                  <w:tcW w:w="629"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356" w:type="pct"/>
                  <w:tcBorders>
                    <w:tl2br w:val="nil"/>
                    <w:tr2bl w:val="nil"/>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年平均浓度</w:t>
                  </w:r>
                </w:p>
              </w:tc>
              <w:tc>
                <w:tcPr>
                  <w:tcW w:w="688"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632"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w:t>
                  </w:r>
                </w:p>
              </w:tc>
              <w:tc>
                <w:tcPr>
                  <w:tcW w:w="52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656"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62.5</w:t>
                  </w:r>
                </w:p>
              </w:tc>
              <w:tc>
                <w:tcPr>
                  <w:tcW w:w="629"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356" w:type="pct"/>
                  <w:tcBorders>
                    <w:tl2br w:val="nil"/>
                    <w:tr2bl w:val="nil"/>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年平均浓度</w:t>
                  </w:r>
                </w:p>
              </w:tc>
              <w:tc>
                <w:tcPr>
                  <w:tcW w:w="688"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632"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77</w:t>
                  </w:r>
                </w:p>
              </w:tc>
              <w:tc>
                <w:tcPr>
                  <w:tcW w:w="52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656"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110.0</w:t>
                  </w:r>
                </w:p>
              </w:tc>
              <w:tc>
                <w:tcPr>
                  <w:tcW w:w="629"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356" w:type="pct"/>
                  <w:tcBorders>
                    <w:tl2br w:val="nil"/>
                    <w:tr2bl w:val="nil"/>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年平均浓度</w:t>
                  </w:r>
                </w:p>
              </w:tc>
              <w:tc>
                <w:tcPr>
                  <w:tcW w:w="688"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632"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46</w:t>
                  </w:r>
                </w:p>
              </w:tc>
              <w:tc>
                <w:tcPr>
                  <w:tcW w:w="52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656"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131.4 </w:t>
                  </w:r>
                </w:p>
              </w:tc>
              <w:tc>
                <w:tcPr>
                  <w:tcW w:w="629"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356" w:type="pct"/>
                  <w:tcBorders>
                    <w:tl2br w:val="nil"/>
                    <w:tr2bl w:val="nil"/>
                  </w:tcBorders>
                  <w:noWrap w:val="0"/>
                  <w:vAlign w:val="center"/>
                </w:tcPr>
                <w:p>
                  <w:pPr>
                    <w:snapToGrid w:val="0"/>
                    <w:spacing w:line="240" w:lineRule="auto"/>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24小时平均第95百分位数</w:t>
                  </w:r>
                </w:p>
              </w:tc>
              <w:tc>
                <w:tcPr>
                  <w:tcW w:w="688"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632"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52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656"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w:t>
                  </w:r>
                </w:p>
              </w:tc>
              <w:tc>
                <w:tcPr>
                  <w:tcW w:w="629"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356"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sz w:val="21"/>
                      <w:szCs w:val="21"/>
                      <w14:textFill>
                        <w14:solidFill>
                          <w14:schemeClr w14:val="tx1"/>
                        </w14:solidFill>
                      </w14:textFill>
                    </w:rPr>
                    <w:t>日最大8小时滑动平均值的第90百分位数</w:t>
                  </w:r>
                </w:p>
              </w:tc>
              <w:tc>
                <w:tcPr>
                  <w:tcW w:w="688"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632"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141</w:t>
                  </w:r>
                </w:p>
              </w:tc>
              <w:tc>
                <w:tcPr>
                  <w:tcW w:w="523"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656"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88.1</w:t>
                  </w:r>
                </w:p>
              </w:tc>
              <w:tc>
                <w:tcPr>
                  <w:tcW w:w="629"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olor w:val="000000" w:themeColor="text1"/>
                <w:sz w:val="24"/>
                <w:szCs w:val="24"/>
                <w14:textFill>
                  <w14:solidFill>
                    <w14:schemeClr w14:val="tx1"/>
                  </w14:solidFill>
                </w14:textFill>
              </w:rPr>
              <w:t>《环境空气质量评价技术规范（试行）》（HJ663-2013）规定：“污染物年评价达标是指该污染物年平均浓度（CO和O</w:t>
            </w:r>
            <w:r>
              <w:rPr>
                <w:rFonts w:hint="eastAsia"/>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除外）和特定的百分位数浓度同时达标”。</w:t>
            </w:r>
            <w:r>
              <w:rPr>
                <w:rFonts w:hint="default" w:ascii="Times New Roman" w:hAnsi="Times New Roman" w:eastAsia="宋体" w:cs="Times New Roman"/>
                <w:color w:val="000000" w:themeColor="text1"/>
                <w:sz w:val="24"/>
                <w:szCs w:val="24"/>
                <w:highlight w:val="none"/>
                <w14:textFill>
                  <w14:solidFill>
                    <w14:schemeClr w14:val="tx1"/>
                  </w14:solidFill>
                </w14:textFill>
              </w:rPr>
              <w:t>根据评价结果，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嘉祥县2023年</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年均浓度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不能满足</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《环境空气质量标准》（GB3095-2012）二级标准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14:textFill>
                  <w14:solidFill>
                    <w14:schemeClr w14:val="tx1"/>
                  </w14:solidFill>
                </w14:textFill>
              </w:rPr>
              <w:t>，根据HJ663-2013判定，项目所在区域为不达标区，可吸入颗粒物、细颗粒物为影响该区域空气质量的首要污染物。</w:t>
            </w:r>
          </w:p>
          <w:p>
            <w:pPr>
              <w:keepNext w:val="0"/>
              <w:keepLines w:val="0"/>
              <w:pageBreakBefore w:val="0"/>
              <w:widowControl w:val="0"/>
              <w:kinsoku/>
              <w:wordWrap/>
              <w:overflowPunct/>
              <w:topLinePunct w:val="0"/>
              <w:bidi w:val="0"/>
              <w:snapToGrid w:val="0"/>
              <w:spacing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改善环境空气质量的对策与建议</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目前嘉祥县人民政府正积极落实《山东省深入打好蓝天保卫战行动计划》（2021-2025年）、《山东省生态环境厅关于印发山东省建设项目主要大气污染物排放总量替代指标核算及管理办法的通知》等文件要求，通过实行大气污染物排放总量指标2倍削减替代，优化产业结构与布局，减少煤炭消费，推进工业污染源提标改造，强化工业企业无组织排放控制管理，加强VOCs专项整治，控制机动车污染，实施秋冬季重点行业错峰生产等方面的行动，加快以细颗粒物为重点的大气污染治理，项目所在区域大气环境质量将会逐步得到改善。</w:t>
            </w:r>
          </w:p>
          <w:p>
            <w:pPr>
              <w:spacing w:line="360" w:lineRule="auto"/>
              <w:ind w:firstLine="482" w:firstLineChars="200"/>
              <w:rPr>
                <w:rFonts w:hint="eastAsia" w:eastAsia="宋体"/>
                <w:b/>
                <w:color w:val="000000" w:themeColor="text1"/>
                <w:sz w:val="24"/>
                <w:highlight w:val="none"/>
                <w:lang w:eastAsia="zh-CN"/>
                <w14:textFill>
                  <w14:solidFill>
                    <w14:schemeClr w14:val="tx1"/>
                  </w14:solidFill>
                </w14:textFill>
              </w:rPr>
            </w:pPr>
            <w:r>
              <w:rPr>
                <w:rFonts w:hint="eastAsia"/>
                <w:b/>
                <w:color w:val="000000" w:themeColor="text1"/>
                <w:sz w:val="24"/>
                <w:highlight w:val="none"/>
                <w14:textFill>
                  <w14:solidFill>
                    <w14:schemeClr w14:val="tx1"/>
                  </w14:solidFill>
                </w14:textFill>
              </w:rPr>
              <w:t>二</w:t>
            </w:r>
            <w:r>
              <w:rPr>
                <w:b/>
                <w:color w:val="000000" w:themeColor="text1"/>
                <w:sz w:val="24"/>
                <w:highlight w:val="none"/>
                <w14:textFill>
                  <w14:solidFill>
                    <w14:schemeClr w14:val="tx1"/>
                  </w14:solidFill>
                </w14:textFill>
              </w:rPr>
              <w:t>、</w:t>
            </w:r>
            <w:r>
              <w:rPr>
                <w:rFonts w:hint="eastAsia"/>
                <w:b/>
                <w:color w:val="000000" w:themeColor="text1"/>
                <w:sz w:val="24"/>
                <w:highlight w:val="none"/>
                <w:lang w:eastAsia="zh-CN"/>
                <w14:textFill>
                  <w14:solidFill>
                    <w14:schemeClr w14:val="tx1"/>
                  </w14:solidFill>
                </w14:textFill>
              </w:rPr>
              <w:t>地表水环境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Autospacing="0" w:line="360" w:lineRule="auto"/>
              <w:ind w:leftChars="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b w:val="0"/>
                <w:bCs/>
                <w:color w:val="000000" w:themeColor="text1"/>
                <w:spacing w:val="0"/>
                <w:kern w:val="0"/>
                <w:position w:val="0"/>
                <w:sz w:val="24"/>
                <w:szCs w:val="24"/>
                <w:highlight w:val="none"/>
                <w:lang w:val="en-US" w:eastAsia="zh-CN"/>
                <w14:textFill>
                  <w14:solidFill>
                    <w14:schemeClr w14:val="tx1"/>
                  </w14:solidFill>
                </w14:textFill>
              </w:rPr>
              <w:t>本次引用《嘉祥化工产业园2024年度环境监测报告》中监测结论：按照监测计划嘉祥化工产业园检测一年进行两次地表水监测，分别于2024年6月份和8月份进行检测，有六个监测点位：园区湿地入口处、园区湿地出口下游500m、薛公岔河与洙水河交叉口上游500m处、洙水河与薛公岔河交叉口上游500m处、洙水河与薛公岔河交叉口下游500m处和洙水河与薛公岔河交叉口下游2000m处，监测因子包括</w:t>
            </w:r>
            <w:r>
              <w:rPr>
                <w:rFonts w:hint="eastAsia"/>
                <w:b w:val="0"/>
                <w:bCs w:val="0"/>
                <w:color w:val="000000" w:themeColor="text1"/>
                <w:sz w:val="24"/>
                <w:szCs w:val="24"/>
                <w:lang w:val="en-US" w:eastAsia="zh-CN"/>
                <w14:textFill>
                  <w14:solidFill>
                    <w14:schemeClr w14:val="tx1"/>
                  </w14:solidFill>
                </w14:textFill>
              </w:rPr>
              <w:t>pH值、化学需氧量、全盐量、悬浮物、氨氮、总磷、总氮、硫酸盐、氯化物、阴离子表面活性剂、五日生化需氧量、石油类、挥发酚、硝酸盐、氰化物、六价铬、锌、铜、砷、镉、铅、铁、锰、汞、粪大肠菌群、</w:t>
            </w:r>
            <w:r>
              <w:rPr>
                <w:rFonts w:hint="default" w:ascii="Times New Roman" w:hAnsi="Times New Roman" w:eastAsia="Segoe UI" w:cs="Times New Roman"/>
                <w:i w:val="0"/>
                <w:iCs w:val="0"/>
                <w:caps w:val="0"/>
                <w:color w:val="000000" w:themeColor="text1"/>
                <w:spacing w:val="0"/>
                <w:sz w:val="24"/>
                <w:szCs w:val="24"/>
                <w:shd w:val="clear" w:color="auto" w:fill="FFFFFF"/>
                <w14:textFill>
                  <w14:solidFill>
                    <w14:schemeClr w14:val="tx1"/>
                  </w14:solidFill>
                </w14:textFill>
              </w:rPr>
              <w:t>苯并[a]芘</w:t>
            </w:r>
            <w:r>
              <w:rPr>
                <w:rFonts w:hint="eastAsia" w:ascii="Times New Roman" w:hAnsi="Times New Roman" w:eastAsia="宋体" w:cs="Times New Roman"/>
                <w:i w:val="0"/>
                <w:iCs w:val="0"/>
                <w:caps w:val="0"/>
                <w:color w:val="000000" w:themeColor="text1"/>
                <w:spacing w:val="0"/>
                <w:sz w:val="24"/>
                <w:szCs w:val="24"/>
                <w:shd w:val="clear" w:color="auto" w:fill="FFFFFF"/>
                <w:lang w:val="en-US" w:eastAsia="zh-CN"/>
                <w14:textFill>
                  <w14:solidFill>
                    <w14:schemeClr w14:val="tx1"/>
                  </w14:solidFill>
                </w14:textFill>
              </w:rPr>
              <w:t>等，</w:t>
            </w:r>
            <w:r>
              <w:rPr>
                <w:rFonts w:hint="eastAsia" w:ascii="Times New Roman" w:hAnsi="Times New Roman" w:eastAsia="宋体" w:cs="Times New Roman"/>
                <w:b w:val="0"/>
                <w:bCs/>
                <w:color w:val="000000" w:themeColor="text1"/>
                <w:spacing w:val="0"/>
                <w:kern w:val="0"/>
                <w:position w:val="0"/>
                <w:sz w:val="24"/>
                <w:highlight w:val="none"/>
                <w:lang w:val="en-US" w:eastAsia="zh-CN"/>
                <w14:textFill>
                  <w14:solidFill>
                    <w14:schemeClr w14:val="tx1"/>
                  </w14:solidFill>
                </w14:textFill>
              </w:rPr>
              <w:t>根据监测结果可知，</w:t>
            </w:r>
            <w:r>
              <w:rPr>
                <w:rFonts w:hint="default" w:ascii="Times New Roman" w:hAnsi="Times New Roman" w:eastAsia="宋体" w:cs="Times New Roman"/>
                <w:color w:val="000000" w:themeColor="text1"/>
                <w:sz w:val="24"/>
                <w:highlight w:val="none"/>
                <w14:textFill>
                  <w14:solidFill>
                    <w14:schemeClr w14:val="tx1"/>
                  </w14:solidFill>
                </w14:textFill>
              </w:rPr>
              <w:t>监测点位的普遍超标因子为</w:t>
            </w:r>
            <w:r>
              <w:rPr>
                <w:rFonts w:hint="eastAsia"/>
                <w:b w:val="0"/>
                <w:bCs w:val="0"/>
                <w:color w:val="000000" w:themeColor="text1"/>
                <w:sz w:val="24"/>
                <w:szCs w:val="24"/>
                <w:lang w:val="en-US" w:eastAsia="zh-CN"/>
                <w14:textFill>
                  <w14:solidFill>
                    <w14:schemeClr w14:val="tx1"/>
                  </w14:solidFill>
                </w14:textFill>
              </w:rPr>
              <w:t>化学需氧量、五日生化需氧量、总磷，</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部分超标因子为</w:t>
            </w:r>
            <w:r>
              <w:rPr>
                <w:rFonts w:hint="default" w:ascii="Times New Roman" w:hAnsi="Times New Roman" w:eastAsia="宋体" w:cs="Times New Roman"/>
                <w:color w:val="000000" w:themeColor="text1"/>
                <w:sz w:val="24"/>
                <w:highlight w:val="none"/>
                <w14:textFill>
                  <w14:solidFill>
                    <w14:schemeClr w14:val="tx1"/>
                  </w14:solidFill>
                </w14:textFill>
              </w:rPr>
              <w:t>氯化物、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硫酸盐</w:t>
            </w:r>
            <w:r>
              <w:rPr>
                <w:rFonts w:hint="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全盐量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其余评价指标均能达到《地表水环境质量标准》（GB3838-2002）</w:t>
            </w: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 3 \* ROMAN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III</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类的标准要求。</w:t>
            </w:r>
          </w:p>
          <w:p>
            <w:pPr>
              <w:spacing w:line="360" w:lineRule="auto"/>
              <w:ind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三</w:t>
            </w:r>
            <w:r>
              <w:rPr>
                <w:b/>
                <w:color w:val="000000" w:themeColor="text1"/>
                <w:sz w:val="24"/>
                <w:highlight w:val="none"/>
                <w14:textFill>
                  <w14:solidFill>
                    <w14:schemeClr w14:val="tx1"/>
                  </w14:solidFill>
                </w14:textFill>
              </w:rPr>
              <w:t>、声环境</w:t>
            </w:r>
          </w:p>
          <w:p>
            <w:pPr>
              <w:snapToGrid w:val="0"/>
              <w:spacing w:line="360" w:lineRule="auto"/>
              <w:ind w:firstLine="480" w:firstLineChars="200"/>
              <w:rPr>
                <w:b/>
                <w:bCs/>
                <w:color w:val="000000" w:themeColor="text1"/>
                <w:sz w:val="24"/>
                <w:highlight w:val="none"/>
                <w14:textFill>
                  <w14:solidFill>
                    <w14:schemeClr w14:val="tx1"/>
                  </w14:solidFill>
                </w14:textFill>
              </w:rPr>
            </w:pPr>
            <w:r>
              <w:rPr>
                <w:rFonts w:hint="eastAsia"/>
                <w:color w:val="000000" w:themeColor="text1"/>
                <w:sz w:val="24"/>
                <w:szCs w:val="20"/>
                <w:highlight w:val="none"/>
                <w:lang w:eastAsia="zh-CN"/>
                <w14:textFill>
                  <w14:solidFill>
                    <w14:schemeClr w14:val="tx1"/>
                  </w14:solidFill>
                </w14:textFill>
              </w:rPr>
              <w:t>根据现场调查，</w:t>
            </w:r>
            <w:r>
              <w:rPr>
                <w:rFonts w:hint="eastAsia"/>
                <w:color w:val="000000" w:themeColor="text1"/>
                <w:kern w:val="24"/>
                <w:sz w:val="24"/>
                <w:highlight w:val="none"/>
                <w14:textFill>
                  <w14:solidFill>
                    <w14:schemeClr w14:val="tx1"/>
                  </w14:solidFill>
                </w14:textFill>
              </w:rPr>
              <w:t>项目厂界外周边50m范围内不存在声环境保护目标。</w:t>
            </w:r>
            <w:r>
              <w:rPr>
                <w:rFonts w:hint="eastAsia"/>
                <w:color w:val="000000" w:themeColor="text1"/>
                <w:kern w:val="24"/>
                <w:sz w:val="24"/>
                <w:highlight w:val="none"/>
                <w:lang w:eastAsia="zh-CN"/>
                <w14:textFill>
                  <w14:solidFill>
                    <w14:schemeClr w14:val="tx1"/>
                  </w14:solidFill>
                </w14:textFill>
              </w:rPr>
              <w:t>因此本次评价不对周边声环境保护目标进行现状监测。</w:t>
            </w:r>
            <w:r>
              <w:rPr>
                <w:color w:val="000000" w:themeColor="text1"/>
                <w:sz w:val="24"/>
                <w:szCs w:val="20"/>
                <w:highlight w:val="none"/>
                <w14:textFill>
                  <w14:solidFill>
                    <w14:schemeClr w14:val="tx1"/>
                  </w14:solidFill>
                </w14:textFill>
              </w:rPr>
              <w:t>本项目所在地处于</w:t>
            </w:r>
            <w:r>
              <w:rPr>
                <w:rFonts w:hint="eastAsia"/>
                <w:color w:val="000000" w:themeColor="text1"/>
                <w:sz w:val="24"/>
                <w:szCs w:val="20"/>
                <w:highlight w:val="none"/>
                <w:lang w:val="en-US" w:eastAsia="zh-CN"/>
                <w14:textFill>
                  <w14:solidFill>
                    <w14:schemeClr w14:val="tx1"/>
                  </w14:solidFill>
                </w14:textFill>
              </w:rPr>
              <w:t>3</w:t>
            </w:r>
            <w:r>
              <w:rPr>
                <w:color w:val="000000" w:themeColor="text1"/>
                <w:sz w:val="24"/>
                <w:szCs w:val="20"/>
                <w:highlight w:val="none"/>
                <w14:textFill>
                  <w14:solidFill>
                    <w14:schemeClr w14:val="tx1"/>
                  </w14:solidFill>
                </w14:textFill>
              </w:rPr>
              <w:t>类区，环境质量标准参照执行《声环境质量标准》（GB3096-2008）中</w:t>
            </w:r>
            <w:r>
              <w:rPr>
                <w:rFonts w:hint="eastAsia"/>
                <w:color w:val="000000" w:themeColor="text1"/>
                <w:sz w:val="24"/>
                <w:szCs w:val="20"/>
                <w:highlight w:val="none"/>
                <w:lang w:val="en-US" w:eastAsia="zh-CN"/>
                <w14:textFill>
                  <w14:solidFill>
                    <w14:schemeClr w14:val="tx1"/>
                  </w14:solidFill>
                </w14:textFill>
              </w:rPr>
              <w:t>3</w:t>
            </w:r>
            <w:r>
              <w:rPr>
                <w:color w:val="000000" w:themeColor="text1"/>
                <w:sz w:val="24"/>
                <w:szCs w:val="20"/>
                <w:highlight w:val="none"/>
                <w14:textFill>
                  <w14:solidFill>
                    <w14:schemeClr w14:val="tx1"/>
                  </w14:solidFill>
                </w14:textFill>
              </w:rPr>
              <w:t>类标准。</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四、生态环境</w:t>
            </w:r>
          </w:p>
          <w:p>
            <w:pPr>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本项目用地范围内无生态环境保护目标，不进行生态现状调查。</w:t>
            </w:r>
          </w:p>
          <w:p>
            <w:pPr>
              <w:pStyle w:val="115"/>
              <w:ind w:firstLine="44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五、电磁辐射</w:t>
            </w:r>
          </w:p>
          <w:p>
            <w:pPr>
              <w:pStyle w:val="115"/>
              <w:ind w:left="479" w:leftChars="228" w:firstLine="0" w:firstLineChars="0"/>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本项目不属于电磁辐射类项目，不进行项目电磁辐射现状监测与评价。</w:t>
            </w:r>
          </w:p>
          <w:p>
            <w:pPr>
              <w:pStyle w:val="115"/>
              <w:ind w:left="479" w:leftChars="228" w:firstLine="0" w:firstLineChars="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六、地下水、土壤环境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s="Times New Roman"/>
                <w:b w:val="0"/>
                <w:color w:val="000000" w:themeColor="text1"/>
                <w:kern w:val="2"/>
                <w:sz w:val="24"/>
                <w:szCs w:val="24"/>
                <w:highlight w:val="none"/>
                <w:lang w:val="en-US" w:eastAsia="zh-CN" w:bidi="ar-SA"/>
                <w14:textFill>
                  <w14:solidFill>
                    <w14:schemeClr w14:val="tx1"/>
                  </w14:solidFill>
                </w14:textFill>
              </w:rPr>
              <w:t>本</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项目利用二期厂区内</w:t>
            </w:r>
            <w:r>
              <w:rPr>
                <w:rFonts w:hint="eastAsia" w:cs="Times New Roman"/>
                <w:b w:val="0"/>
                <w:color w:val="000000" w:themeColor="text1"/>
                <w:kern w:val="2"/>
                <w:sz w:val="24"/>
                <w:szCs w:val="24"/>
                <w:highlight w:val="none"/>
                <w:lang w:val="en-US" w:eastAsia="zh-CN" w:bidi="ar-SA"/>
                <w14:textFill>
                  <w14:solidFill>
                    <w14:schemeClr w14:val="tx1"/>
                  </w14:solidFill>
                </w14:textFill>
              </w:rPr>
              <w:t>已建成的</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办公楼五楼和六楼</w:t>
            </w:r>
            <w:r>
              <w:rPr>
                <w:rFonts w:hint="eastAsia" w:cs="Times New Roman"/>
                <w:b w:val="0"/>
                <w:color w:val="000000" w:themeColor="text1"/>
                <w:kern w:val="2"/>
                <w:sz w:val="24"/>
                <w:szCs w:val="24"/>
                <w:highlight w:val="none"/>
                <w:lang w:val="en-US" w:eastAsia="zh-CN" w:bidi="ar-SA"/>
                <w14:textFill>
                  <w14:solidFill>
                    <w14:schemeClr w14:val="tx1"/>
                  </w14:solidFill>
                </w14:textFill>
              </w:rPr>
              <w:t>进行建设，</w:t>
            </w:r>
            <w:r>
              <w:rPr>
                <w:rFonts w:hint="eastAsia"/>
                <w:b w:val="0"/>
                <w:color w:val="000000" w:themeColor="text1"/>
                <w:sz w:val="24"/>
                <w:szCs w:val="24"/>
                <w:highlight w:val="none"/>
                <w14:textFill>
                  <w14:solidFill>
                    <w14:schemeClr w14:val="tx1"/>
                  </w14:solidFill>
                </w14:textFill>
              </w:rPr>
              <w:t>用地范围内均进行地面硬化，</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根据《建设项目环境影响报告表编制技术指南（污染影响类）（试行）》要求，</w:t>
            </w:r>
            <w:r>
              <w:rPr>
                <w:rFonts w:hint="eastAsia" w:cs="Times New Roman"/>
                <w:b w:val="0"/>
                <w:color w:val="000000" w:themeColor="text1"/>
                <w:kern w:val="2"/>
                <w:sz w:val="24"/>
                <w:szCs w:val="24"/>
                <w:highlight w:val="none"/>
                <w:lang w:val="en-US" w:eastAsia="zh-CN" w:bidi="ar-SA"/>
                <w14:textFill>
                  <w14:solidFill>
                    <w14:schemeClr w14:val="tx1"/>
                  </w14:solidFill>
                </w14:textFill>
              </w:rPr>
              <w:t>本项目</w:t>
            </w:r>
            <w:r>
              <w:rPr>
                <w:rFonts w:hint="eastAsia"/>
                <w:b w:val="0"/>
                <w:color w:val="000000" w:themeColor="text1"/>
                <w:sz w:val="24"/>
                <w:szCs w:val="24"/>
                <w:highlight w:val="none"/>
                <w14:textFill>
                  <w14:solidFill>
                    <w14:schemeClr w14:val="tx1"/>
                  </w14:solidFill>
                </w14:textFill>
              </w:rPr>
              <w:t>不存在土壤</w:t>
            </w:r>
            <w:r>
              <w:rPr>
                <w:rFonts w:hint="eastAsia"/>
                <w:b w:val="0"/>
                <w:color w:val="000000" w:themeColor="text1"/>
                <w:sz w:val="24"/>
                <w:szCs w:val="24"/>
                <w:highlight w:val="none"/>
                <w:lang w:eastAsia="zh-CN"/>
                <w14:textFill>
                  <w14:solidFill>
                    <w14:schemeClr w14:val="tx1"/>
                  </w14:solidFill>
                </w14:textFill>
              </w:rPr>
              <w:t>、地下水环境</w:t>
            </w:r>
            <w:r>
              <w:rPr>
                <w:rFonts w:hint="eastAsia"/>
                <w:b w:val="0"/>
                <w:color w:val="000000" w:themeColor="text1"/>
                <w:sz w:val="24"/>
                <w:szCs w:val="24"/>
                <w:highlight w:val="none"/>
                <w14:textFill>
                  <w14:solidFill>
                    <w14:schemeClr w14:val="tx1"/>
                  </w14:solidFill>
                </w14:textFill>
              </w:rPr>
              <w:t>污染途径，因此，</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本次评价无需开展土壤</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、地下水</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环境现状背景值调查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09" w:hRule="atLeast"/>
          <w:jc w:val="center"/>
        </w:trPr>
        <w:tc>
          <w:tcPr>
            <w:tcW w:w="590" w:type="dxa"/>
            <w:vAlign w:val="center"/>
          </w:tcPr>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环</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境</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保</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护</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目</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标</w:t>
            </w:r>
          </w:p>
        </w:tc>
        <w:tc>
          <w:tcPr>
            <w:tcW w:w="8471" w:type="dxa"/>
            <w:vAlign w:val="center"/>
          </w:tcPr>
          <w:p>
            <w:pPr>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大气环境：项目厂界外500m范围内</w:t>
            </w:r>
            <w:r>
              <w:rPr>
                <w:rFonts w:hint="eastAsia" w:cs="Times New Roman"/>
                <w:color w:val="000000" w:themeColor="text1"/>
                <w:kern w:val="2"/>
                <w:sz w:val="24"/>
                <w:szCs w:val="24"/>
                <w:highlight w:val="none"/>
                <w:lang w:val="en-US" w:eastAsia="zh-CN" w:bidi="ar-SA"/>
                <w14:textFill>
                  <w14:solidFill>
                    <w14:schemeClr w14:val="tx1"/>
                  </w14:solidFill>
                </w14:textFill>
              </w:rPr>
              <w:t>无</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环境保护目标。</w:t>
            </w:r>
          </w:p>
          <w:p>
            <w:pPr>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声环境：项目厂界外50米范围内无声环境保护目标。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地下水环境：项目厂界外500米范围内无地下水集中式饮用水水源和热水、矿泉水、温泉等特殊地下水资源。</w:t>
            </w:r>
          </w:p>
          <w:p>
            <w:pPr>
              <w:pStyle w:val="19"/>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4、生态环境：</w:t>
            </w:r>
            <w:r>
              <w:rPr>
                <w:rFonts w:hint="eastAsia" w:cs="Times New Roman"/>
                <w:b w:val="0"/>
                <w:color w:val="000000" w:themeColor="text1"/>
                <w:kern w:val="2"/>
                <w:sz w:val="24"/>
                <w:szCs w:val="24"/>
                <w:highlight w:val="none"/>
                <w:lang w:val="en-US" w:eastAsia="zh-CN" w:bidi="ar-SA"/>
                <w14:textFill>
                  <w14:solidFill>
                    <w14:schemeClr w14:val="tx1"/>
                  </w14:solidFill>
                </w14:textFill>
              </w:rPr>
              <w:t>本</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项目利用二期厂区内</w:t>
            </w:r>
            <w:r>
              <w:rPr>
                <w:rFonts w:hint="eastAsia" w:cs="Times New Roman"/>
                <w:b w:val="0"/>
                <w:color w:val="000000" w:themeColor="text1"/>
                <w:kern w:val="2"/>
                <w:sz w:val="24"/>
                <w:szCs w:val="24"/>
                <w:highlight w:val="none"/>
                <w:lang w:val="en-US" w:eastAsia="zh-CN" w:bidi="ar-SA"/>
                <w14:textFill>
                  <w14:solidFill>
                    <w14:schemeClr w14:val="tx1"/>
                  </w14:solidFill>
                </w14:textFill>
              </w:rPr>
              <w:t>已建成的</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办公楼五楼和六楼</w:t>
            </w:r>
            <w:r>
              <w:rPr>
                <w:rFonts w:hint="eastAsia" w:cs="Times New Roman"/>
                <w:b w:val="0"/>
                <w:color w:val="000000" w:themeColor="text1"/>
                <w:kern w:val="2"/>
                <w:sz w:val="24"/>
                <w:szCs w:val="24"/>
                <w:highlight w:val="none"/>
                <w:lang w:val="en-US" w:eastAsia="zh-CN" w:bidi="ar-SA"/>
                <w14:textFill>
                  <w14:solidFill>
                    <w14:schemeClr w14:val="tx1"/>
                  </w14:solidFill>
                </w14:textFill>
              </w:rPr>
              <w:t>进行建设</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，不新增用地。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本项目周围的环境保护目标见表3-</w:t>
            </w:r>
            <w:r>
              <w:rPr>
                <w:rFonts w:hint="eastAsia" w:cs="Times New Roman"/>
                <w:color w:val="000000" w:themeColor="text1"/>
                <w:kern w:val="2"/>
                <w:sz w:val="24"/>
                <w:szCs w:val="24"/>
                <w:highlight w:val="none"/>
                <w:lang w:val="en-US" w:eastAsia="zh-CN" w:bidi="ar-SA"/>
                <w14:textFill>
                  <w14:solidFill>
                    <w14:schemeClr w14:val="tx1"/>
                  </w14:solidFill>
                </w14:textFill>
              </w:rPr>
              <w:t>3及</w:t>
            </w:r>
            <w:r>
              <w:rPr>
                <w:rFonts w:hint="eastAsia" w:cs="Times New Roman"/>
                <w:b/>
                <w:bCs/>
                <w:i/>
                <w:iCs/>
                <w:color w:val="000000" w:themeColor="text1"/>
                <w:kern w:val="2"/>
                <w:sz w:val="24"/>
                <w:szCs w:val="24"/>
                <w:highlight w:val="none"/>
                <w:lang w:val="en-US" w:eastAsia="zh-CN" w:bidi="ar-SA"/>
                <w14:textFill>
                  <w14:solidFill>
                    <w14:schemeClr w14:val="tx1"/>
                  </w14:solidFill>
                </w14:textFill>
              </w:rPr>
              <w:t>附图3-1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jc w:val="center"/>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lang w:val="en-US" w:eastAsia="zh-CN"/>
                <w14:textFill>
                  <w14:solidFill>
                    <w14:schemeClr w14:val="tx1"/>
                  </w14:solidFill>
                </w14:textFill>
              </w:rPr>
              <w:t xml:space="preserve">3-3  </w:t>
            </w:r>
            <w:r>
              <w:rPr>
                <w:rFonts w:hint="eastAsia"/>
                <w:b/>
                <w:bCs/>
                <w:color w:val="000000" w:themeColor="text1"/>
                <w:sz w:val="24"/>
                <w:szCs w:val="24"/>
                <w:highlight w:val="none"/>
                <w14:textFill>
                  <w14:solidFill>
                    <w14:schemeClr w14:val="tx1"/>
                  </w14:solidFill>
                </w14:textFill>
              </w:rPr>
              <w:t>环境保护目标一览表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483"/>
              <w:gridCol w:w="721"/>
              <w:gridCol w:w="1232"/>
              <w:gridCol w:w="2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8" w:type="dxa"/>
                  <w:noWrap w:val="0"/>
                  <w:vAlign w:val="center"/>
                </w:tcPr>
                <w:p>
                  <w:pPr>
                    <w:jc w:val="cente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环境要素</w:t>
                  </w:r>
                </w:p>
              </w:tc>
              <w:tc>
                <w:tcPr>
                  <w:tcW w:w="2483" w:type="dxa"/>
                  <w:noWrap w:val="0"/>
                  <w:vAlign w:val="center"/>
                </w:tcPr>
                <w:p>
                  <w:pPr>
                    <w:jc w:val="cente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环境保护对象</w:t>
                  </w:r>
                </w:p>
              </w:tc>
              <w:tc>
                <w:tcPr>
                  <w:tcW w:w="721" w:type="dxa"/>
                  <w:noWrap w:val="0"/>
                  <w:vAlign w:val="center"/>
                </w:tcPr>
                <w:p>
                  <w:pPr>
                    <w:jc w:val="cente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方位</w:t>
                  </w:r>
                </w:p>
              </w:tc>
              <w:tc>
                <w:tcPr>
                  <w:tcW w:w="1232" w:type="dxa"/>
                  <w:noWrap w:val="0"/>
                  <w:vAlign w:val="center"/>
                </w:tcPr>
                <w:p>
                  <w:pPr>
                    <w:jc w:val="cente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距离（m）</w:t>
                  </w:r>
                </w:p>
              </w:tc>
              <w:tc>
                <w:tcPr>
                  <w:tcW w:w="2400" w:type="dxa"/>
                  <w:noWrap w:val="0"/>
                  <w:vAlign w:val="center"/>
                </w:tcPr>
                <w:p>
                  <w:pPr>
                    <w:jc w:val="cente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8" w:type="dxa"/>
                  <w:noWrap w:val="0"/>
                  <w:vAlign w:val="center"/>
                </w:tcPr>
                <w:p>
                  <w:pPr>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大气环境</w:t>
                  </w:r>
                </w:p>
              </w:tc>
              <w:tc>
                <w:tcPr>
                  <w:tcW w:w="2483" w:type="dxa"/>
                  <w:noWrap w:val="0"/>
                  <w:vAlign w:val="center"/>
                </w:tcPr>
                <w:p>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项目厂界外500m范围内无环境保护目标</w:t>
                  </w:r>
                </w:p>
              </w:tc>
              <w:tc>
                <w:tcPr>
                  <w:tcW w:w="721" w:type="dxa"/>
                  <w:noWrap w:val="0"/>
                  <w:vAlign w:val="center"/>
                </w:tcPr>
                <w:p>
                  <w:pPr>
                    <w:widowControl/>
                    <w:jc w:val="center"/>
                    <w:textAlignment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232" w:type="dxa"/>
                  <w:noWrap w:val="0"/>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400" w:type="dxa"/>
                  <w:noWrap w:val="0"/>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《环境空气质量标准》</w:t>
                  </w:r>
                </w:p>
                <w:p>
                  <w:pPr>
                    <w:adjustRightInd w:val="0"/>
                    <w:snapToGrid w:val="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（GB3095-2012）二类区标准；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8" w:type="dxa"/>
                  <w:noWrap w:val="0"/>
                  <w:vAlign w:val="center"/>
                </w:tcPr>
                <w:p>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w:t>
                  </w:r>
                </w:p>
              </w:tc>
              <w:tc>
                <w:tcPr>
                  <w:tcW w:w="2483" w:type="dxa"/>
                  <w:noWrap w:val="0"/>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厂界外50米范围内无敏感目标</w:t>
                  </w:r>
                </w:p>
              </w:tc>
              <w:tc>
                <w:tcPr>
                  <w:tcW w:w="721" w:type="dxa"/>
                  <w:noWrap w:val="0"/>
                  <w:vAlign w:val="center"/>
                </w:tcPr>
                <w:p>
                  <w:pPr>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232" w:type="dxa"/>
                  <w:noWrap w:val="0"/>
                  <w:vAlign w:val="center"/>
                </w:tcPr>
                <w:p>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p>
              </w:tc>
              <w:tc>
                <w:tcPr>
                  <w:tcW w:w="2400" w:type="dxa"/>
                  <w:noWrap w:val="0"/>
                  <w:vAlign w:val="center"/>
                </w:tcPr>
                <w:p>
                  <w:pPr>
                    <w:widowControl/>
                    <w:jc w:val="center"/>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《声环境质量标准》</w:t>
                  </w:r>
                </w:p>
                <w:p>
                  <w:pPr>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（GB12348-2008）</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8" w:type="dxa"/>
                  <w:noWrap w:val="0"/>
                  <w:vAlign w:val="center"/>
                </w:tcPr>
                <w:p>
                  <w:pPr>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地下水</w:t>
                  </w:r>
                  <w:r>
                    <w:rPr>
                      <w:rFonts w:hint="eastAsia"/>
                      <w:color w:val="000000" w:themeColor="text1"/>
                      <w:highlight w:val="none"/>
                      <w:lang w:val="en-US" w:eastAsia="zh-CN"/>
                      <w14:textFill>
                        <w14:solidFill>
                          <w14:schemeClr w14:val="tx1"/>
                        </w14:solidFill>
                      </w14:textFill>
                    </w:rPr>
                    <w:t>环境</w:t>
                  </w:r>
                </w:p>
              </w:tc>
              <w:tc>
                <w:tcPr>
                  <w:tcW w:w="2483" w:type="dxa"/>
                  <w:noWrap w:val="0"/>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项目厂界外500米范围内无地下水集中式饮用水水源和热水、矿泉水、温泉等特殊地下水资源</w:t>
                  </w:r>
                </w:p>
              </w:tc>
              <w:tc>
                <w:tcPr>
                  <w:tcW w:w="721" w:type="dxa"/>
                  <w:noWrap w:val="0"/>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232" w:type="dxa"/>
                  <w:noWrap w:val="0"/>
                  <w:vAlign w:val="center"/>
                </w:tcPr>
                <w:p>
                  <w:pPr>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2400" w:type="dxa"/>
                  <w:noWrap w:val="0"/>
                  <w:vAlign w:val="center"/>
                </w:tcPr>
                <w:p>
                  <w:pPr>
                    <w:widowControl/>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《地下水质量标准》（GB/T14848-2017）</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8" w:type="dxa"/>
                  <w:noWrap w:val="0"/>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生态环境</w:t>
                  </w:r>
                </w:p>
              </w:tc>
              <w:tc>
                <w:tcPr>
                  <w:tcW w:w="4436" w:type="dxa"/>
                  <w:gridSpan w:val="3"/>
                  <w:noWrap w:val="0"/>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本项目利用二期厂区内已建成的办公楼五楼和六楼进行建设，不新增用地。</w:t>
                  </w:r>
                </w:p>
              </w:tc>
              <w:tc>
                <w:tcPr>
                  <w:tcW w:w="2400" w:type="dxa"/>
                  <w:noWrap w:val="0"/>
                  <w:vAlign w:val="center"/>
                </w:tcPr>
                <w:p>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p>
              </w:tc>
            </w:tr>
          </w:tbl>
          <w:p>
            <w:pPr>
              <w:spacing w:line="100" w:lineRule="exact"/>
              <w:rPr>
                <w:color w:val="000000" w:themeColor="text1"/>
                <w:kern w:val="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90" w:type="dxa"/>
            <w:tcMar>
              <w:left w:w="28" w:type="dxa"/>
              <w:right w:w="28" w:type="dxa"/>
            </w:tcMar>
            <w:vAlign w:val="center"/>
          </w:tcPr>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污</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染</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物</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排</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放</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控</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制</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标</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准</w:t>
            </w:r>
          </w:p>
        </w:tc>
        <w:tc>
          <w:tcPr>
            <w:tcW w:w="8471" w:type="dxa"/>
            <w:vAlign w:val="center"/>
          </w:tcPr>
          <w:p>
            <w:pPr>
              <w:adjustRightInd w:val="0"/>
              <w:snapToGrid w:val="0"/>
              <w:spacing w:line="360" w:lineRule="auto"/>
              <w:ind w:firstLine="472" w:firstLineChars="196"/>
              <w:rPr>
                <w:b/>
                <w:color w:val="000000" w:themeColor="text1"/>
                <w:sz w:val="24"/>
                <w:szCs w:val="20"/>
                <w:highlight w:val="none"/>
                <w14:textFill>
                  <w14:solidFill>
                    <w14:schemeClr w14:val="tx1"/>
                  </w14:solidFill>
                </w14:textFill>
              </w:rPr>
            </w:pPr>
            <w:r>
              <w:rPr>
                <w:rFonts w:hint="eastAsia"/>
                <w:b/>
                <w:color w:val="000000" w:themeColor="text1"/>
                <w:sz w:val="24"/>
                <w:szCs w:val="20"/>
                <w:highlight w:val="none"/>
                <w:lang w:val="en-US" w:eastAsia="zh-CN"/>
                <w14:textFill>
                  <w14:solidFill>
                    <w14:schemeClr w14:val="tx1"/>
                  </w14:solidFill>
                </w14:textFill>
              </w:rPr>
              <w:t>1、</w:t>
            </w:r>
            <w:r>
              <w:rPr>
                <w:b/>
                <w:color w:val="000000" w:themeColor="text1"/>
                <w:sz w:val="24"/>
                <w:szCs w:val="20"/>
                <w:highlight w:val="none"/>
                <w14:textFill>
                  <w14:solidFill>
                    <w14:schemeClr w14:val="tx1"/>
                  </w14:solidFill>
                </w14:textFill>
              </w:rPr>
              <w:t>废水：</w:t>
            </w:r>
          </w:p>
          <w:p>
            <w:pPr>
              <w:spacing w:line="360" w:lineRule="auto"/>
              <w:ind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项目</w:t>
            </w:r>
            <w:r>
              <w:rPr>
                <w:rFonts w:hint="default" w:ascii="Times New Roman" w:hAnsi="Times New Roman" w:cs="Times New Roman"/>
                <w:color w:val="000000" w:themeColor="text1"/>
                <w:sz w:val="24"/>
                <w:highlight w:val="none"/>
                <w14:textFill>
                  <w14:solidFill>
                    <w14:schemeClr w14:val="tx1"/>
                  </w14:solidFill>
                </w14:textFill>
              </w:rPr>
              <w:t>生活污水、地面清洗废水、</w:t>
            </w:r>
            <w:r>
              <w:rPr>
                <w:rFonts w:hint="eastAsia" w:cs="Times New Roman"/>
                <w:color w:val="000000" w:themeColor="text1"/>
                <w:sz w:val="24"/>
                <w:highlight w:val="none"/>
                <w:lang w:val="en-US" w:eastAsia="zh-CN"/>
                <w14:textFill>
                  <w14:solidFill>
                    <w14:schemeClr w14:val="tx1"/>
                  </w14:solidFill>
                </w14:textFill>
              </w:rPr>
              <w:t>实验仪器</w:t>
            </w:r>
            <w:r>
              <w:rPr>
                <w:rFonts w:hint="default" w:ascii="Times New Roman" w:hAnsi="Times New Roman" w:cs="Times New Roman"/>
                <w:color w:val="000000" w:themeColor="text1"/>
                <w:sz w:val="24"/>
                <w:highlight w:val="none"/>
                <w14:textFill>
                  <w14:solidFill>
                    <w14:schemeClr w14:val="tx1"/>
                  </w14:solidFill>
                </w14:textFill>
              </w:rPr>
              <w:t>清洗废水</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纯水制备废水</w:t>
            </w:r>
            <w:r>
              <w:rPr>
                <w:rFonts w:hint="default" w:ascii="Times New Roman" w:hAnsi="Times New Roman" w:cs="Times New Roman"/>
                <w:color w:val="000000" w:themeColor="text1"/>
                <w:sz w:val="24"/>
                <w:highlight w:val="none"/>
                <w14:textFill>
                  <w14:solidFill>
                    <w14:schemeClr w14:val="tx1"/>
                  </w14:solidFill>
                </w14:textFill>
              </w:rPr>
              <w:t>经厂区污水站处理后排入嘉祥阳光水务有限公司进一步处理</w:t>
            </w:r>
            <w:r>
              <w:rPr>
                <w:rFonts w:hint="eastAsia" w:cs="Times New Roman"/>
                <w:color w:val="000000" w:themeColor="text1"/>
                <w:sz w:val="24"/>
                <w:highlight w:val="none"/>
                <w:lang w:eastAsia="zh-CN"/>
                <w14:textFill>
                  <w14:solidFill>
                    <w14:schemeClr w14:val="tx1"/>
                  </w14:solidFill>
                </w14:textFill>
              </w:rPr>
              <w:t>。废水水质浓度</w:t>
            </w:r>
            <w:r>
              <w:rPr>
                <w:rFonts w:hint="eastAsia" w:cs="Times New Roman"/>
                <w:color w:val="000000" w:themeColor="text1"/>
                <w:sz w:val="24"/>
                <w:highlight w:val="none"/>
                <w:lang w:val="en-US" w:eastAsia="zh-CN"/>
                <w14:textFill>
                  <w14:solidFill>
                    <w14:schemeClr w14:val="tx1"/>
                  </w14:solidFill>
                </w14:textFill>
              </w:rPr>
              <w:t>满足</w:t>
            </w:r>
            <w:r>
              <w:rPr>
                <w:rFonts w:hint="eastAsia" w:cs="Times New Roman"/>
                <w:color w:val="000000" w:themeColor="text1"/>
                <w:sz w:val="24"/>
                <w:highlight w:val="none"/>
                <w:lang w:eastAsia="zh-CN"/>
                <w14:textFill>
                  <w14:solidFill>
                    <w14:schemeClr w14:val="tx1"/>
                  </w14:solidFill>
                </w14:textFill>
              </w:rPr>
              <w:t>园区污水处理厂（嘉祥阳光水务有限公司）接管标准。</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val="0"/>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宋体" w:cs="Times New Roman"/>
                <w:b/>
                <w:bCs w:val="0"/>
                <w:color w:val="000000" w:themeColor="text1"/>
                <w:kern w:val="2"/>
                <w:sz w:val="24"/>
                <w:szCs w:val="24"/>
                <w:highlight w:val="none"/>
                <w:lang w:val="en-US" w:eastAsia="zh-CN" w:bidi="ar"/>
                <w14:textFill>
                  <w14:solidFill>
                    <w14:schemeClr w14:val="tx1"/>
                  </w14:solidFill>
                </w14:textFill>
              </w:rPr>
              <w:t>表</w:t>
            </w:r>
            <w:r>
              <w:rPr>
                <w:rFonts w:hint="eastAsia" w:ascii="Times New Roman" w:hAnsi="Times New Roman" w:eastAsia="宋体" w:cs="Times New Roman"/>
                <w:b/>
                <w:bCs w:val="0"/>
                <w:color w:val="000000" w:themeColor="text1"/>
                <w:kern w:val="2"/>
                <w:sz w:val="24"/>
                <w:szCs w:val="24"/>
                <w:highlight w:val="none"/>
                <w:lang w:val="en-US" w:eastAsia="zh-CN" w:bidi="ar"/>
                <w14:textFill>
                  <w14:solidFill>
                    <w14:schemeClr w14:val="tx1"/>
                  </w14:solidFill>
                </w14:textFill>
              </w:rPr>
              <w:t>3-</w:t>
            </w:r>
            <w:r>
              <w:rPr>
                <w:rFonts w:hint="eastAsia" w:cs="Times New Roman"/>
                <w:b/>
                <w:bCs w:val="0"/>
                <w:color w:val="000000" w:themeColor="text1"/>
                <w:kern w:val="2"/>
                <w:sz w:val="24"/>
                <w:szCs w:val="24"/>
                <w:highlight w:val="none"/>
                <w:lang w:val="en-US" w:eastAsia="zh-CN" w:bidi="ar"/>
                <w14:textFill>
                  <w14:solidFill>
                    <w14:schemeClr w14:val="tx1"/>
                  </w14:solidFill>
                </w14:textFill>
              </w:rPr>
              <w:t>5</w:t>
            </w:r>
            <w:r>
              <w:rPr>
                <w:rFonts w:hint="default" w:ascii="Times New Roman" w:hAnsi="Times New Roman" w:eastAsia="宋体" w:cs="Times New Roman"/>
                <w:b/>
                <w:bCs w:val="0"/>
                <w:color w:val="000000" w:themeColor="text1"/>
                <w:kern w:val="2"/>
                <w:sz w:val="24"/>
                <w:szCs w:val="24"/>
                <w:highlight w:val="none"/>
                <w:lang w:val="en-US" w:eastAsia="zh-CN" w:bidi="ar"/>
                <w14:textFill>
                  <w14:solidFill>
                    <w14:schemeClr w14:val="tx1"/>
                  </w14:solidFill>
                </w14:textFill>
              </w:rPr>
              <w:t xml:space="preserve">  废水排放执行标准</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1718"/>
              <w:gridCol w:w="2236"/>
              <w:gridCol w:w="31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22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执行排放浓度mg/L</w:t>
                  </w:r>
                </w:p>
              </w:tc>
              <w:tc>
                <w:tcPr>
                  <w:tcW w:w="319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排放标准名称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w:t>
                  </w:r>
                </w:p>
              </w:tc>
              <w:tc>
                <w:tcPr>
                  <w:tcW w:w="22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319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园区污水处理厂（嘉祥阳光水务有限公司）的进水水质要求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CODcr</w:t>
                  </w:r>
                </w:p>
              </w:tc>
              <w:tc>
                <w:tcPr>
                  <w:tcW w:w="22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319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22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≦160</w:t>
                  </w:r>
                </w:p>
              </w:tc>
              <w:tc>
                <w:tcPr>
                  <w:tcW w:w="319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22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319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总氮</w:t>
                  </w:r>
                </w:p>
              </w:tc>
              <w:tc>
                <w:tcPr>
                  <w:tcW w:w="22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319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p>
              </w:tc>
              <w:tc>
                <w:tcPr>
                  <w:tcW w:w="22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319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总磷</w:t>
                  </w:r>
                </w:p>
              </w:tc>
              <w:tc>
                <w:tcPr>
                  <w:tcW w:w="22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319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bl>
          <w:p>
            <w:pPr>
              <w:spacing w:line="360" w:lineRule="auto"/>
              <w:ind w:firstLine="482" w:firstLineChars="200"/>
              <w:rPr>
                <w:b/>
                <w:color w:val="000000" w:themeColor="text1"/>
                <w:sz w:val="24"/>
                <w:szCs w:val="20"/>
                <w:highlight w:val="none"/>
                <w14:textFill>
                  <w14:solidFill>
                    <w14:schemeClr w14:val="tx1"/>
                  </w14:solidFill>
                </w14:textFill>
              </w:rPr>
            </w:pPr>
            <w:r>
              <w:rPr>
                <w:rFonts w:hint="eastAsia"/>
                <w:b/>
                <w:color w:val="000000" w:themeColor="text1"/>
                <w:sz w:val="24"/>
                <w:szCs w:val="20"/>
                <w:highlight w:val="none"/>
                <w:lang w:val="en-US" w:eastAsia="zh-CN"/>
                <w14:textFill>
                  <w14:solidFill>
                    <w14:schemeClr w14:val="tx1"/>
                  </w14:solidFill>
                </w14:textFill>
              </w:rPr>
              <w:t>2、</w:t>
            </w:r>
            <w:r>
              <w:rPr>
                <w:b/>
                <w:color w:val="000000" w:themeColor="text1"/>
                <w:sz w:val="24"/>
                <w:szCs w:val="20"/>
                <w:highlight w:val="none"/>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b/>
                <w:color w:val="000000" w:themeColor="text1"/>
                <w:sz w:val="24"/>
                <w:szCs w:val="20"/>
                <w:highlight w:val="none"/>
                <w14:textFill>
                  <w14:solidFill>
                    <w14:schemeClr w14:val="tx1"/>
                  </w14:solidFill>
                </w14:textFill>
              </w:rPr>
            </w:pPr>
            <w:r>
              <w:rPr>
                <w:rFonts w:ascii="Times New Roman" w:hAnsi="Times New Roman" w:eastAsia="宋体" w:cs="Times New Roman"/>
                <w:b/>
                <w:color w:val="000000" w:themeColor="text1"/>
                <w:sz w:val="24"/>
                <w:szCs w:val="20"/>
                <w:highlight w:val="none"/>
                <w14:textFill>
                  <w14:solidFill>
                    <w14:schemeClr w14:val="tx1"/>
                  </w14:solidFill>
                </w14:textFill>
              </w:rPr>
              <w:t>表</w:t>
            </w:r>
            <w:r>
              <w:rPr>
                <w:rFonts w:hint="eastAsia" w:ascii="Times New Roman" w:hAnsi="Times New Roman" w:eastAsia="宋体" w:cs="Times New Roman"/>
                <w:b/>
                <w:color w:val="000000" w:themeColor="text1"/>
                <w:sz w:val="24"/>
                <w:szCs w:val="20"/>
                <w:highlight w:val="none"/>
                <w:lang w:val="en-US" w:eastAsia="zh-CN"/>
                <w14:textFill>
                  <w14:solidFill>
                    <w14:schemeClr w14:val="tx1"/>
                  </w14:solidFill>
                </w14:textFill>
              </w:rPr>
              <w:t>3-</w:t>
            </w:r>
            <w:r>
              <w:rPr>
                <w:rFonts w:hint="eastAsia" w:cs="Times New Roman"/>
                <w:b/>
                <w:color w:val="000000" w:themeColor="text1"/>
                <w:sz w:val="24"/>
                <w:szCs w:val="20"/>
                <w:highlight w:val="none"/>
                <w:lang w:val="en-US" w:eastAsia="zh-CN"/>
                <w14:textFill>
                  <w14:solidFill>
                    <w14:schemeClr w14:val="tx1"/>
                  </w14:solidFill>
                </w14:textFill>
              </w:rPr>
              <w:t>6</w:t>
            </w:r>
            <w:r>
              <w:rPr>
                <w:rFonts w:ascii="Times New Roman" w:hAnsi="Times New Roman" w:eastAsia="宋体" w:cs="Times New Roman"/>
                <w:b/>
                <w:color w:val="000000" w:themeColor="text1"/>
                <w:sz w:val="24"/>
                <w:szCs w:val="20"/>
                <w:highlight w:val="none"/>
                <w14:textFill>
                  <w14:solidFill>
                    <w14:schemeClr w14:val="tx1"/>
                  </w14:solidFill>
                </w14:textFill>
              </w:rPr>
              <w:t xml:space="preserve">  大气污染物排放标准</w:t>
            </w:r>
          </w:p>
          <w:tbl>
            <w:tblPr>
              <w:tblStyle w:val="36"/>
              <w:tblW w:w="82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62"/>
              <w:gridCol w:w="996"/>
              <w:gridCol w:w="1200"/>
              <w:gridCol w:w="1091"/>
              <w:gridCol w:w="832"/>
              <w:gridCol w:w="2154"/>
              <w:gridCol w:w="15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8" w:type="dxa"/>
                  <w:gridSpan w:val="2"/>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排放源</w:t>
                  </w:r>
                </w:p>
              </w:tc>
              <w:tc>
                <w:tcPr>
                  <w:tcW w:w="1200" w:type="dxa"/>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1923" w:type="dxa"/>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排放标准</w:t>
                  </w:r>
                </w:p>
              </w:tc>
              <w:tc>
                <w:tcPr>
                  <w:tcW w:w="215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标准名称</w:t>
                  </w:r>
                </w:p>
              </w:tc>
              <w:tc>
                <w:tcPr>
                  <w:tcW w:w="158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8" w:type="dxa"/>
                  <w:gridSpan w:val="2"/>
                  <w:vMerge w:val="continue"/>
                  <w:tcBorders>
                    <w:tl2br w:val="nil"/>
                    <w:tr2bl w:val="nil"/>
                  </w:tcBorders>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200" w:type="dxa"/>
                  <w:vMerge w:val="continue"/>
                  <w:tcBorders>
                    <w:tl2br w:val="nil"/>
                    <w:tr2bl w:val="nil"/>
                  </w:tcBorders>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浓度</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速率</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kg/h</w:t>
                  </w:r>
                </w:p>
              </w:tc>
              <w:tc>
                <w:tcPr>
                  <w:tcW w:w="215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5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有组织</w:t>
                  </w:r>
                </w:p>
              </w:tc>
              <w:tc>
                <w:tcPr>
                  <w:tcW w:w="99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18" w:name="OLE_LINK25"/>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排气筒（高</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米、内径</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米）</w:t>
                  </w:r>
                  <w:bookmarkEnd w:id="18"/>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215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）表1标准，Ⅱ时段</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（参考</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同时参照《大气污染物综合排放标准》(GB16297-1996)表2，取严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17.4</w:t>
                  </w:r>
                </w:p>
              </w:tc>
              <w:tc>
                <w:tcPr>
                  <w:tcW w:w="215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《大气污染物综合排放标准》(GB16297-1996)</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adjustRightInd w:val="0"/>
                    <w:snapToGrid w:val="0"/>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氯化氢</w:t>
                  </w:r>
                </w:p>
              </w:tc>
              <w:tc>
                <w:tcPr>
                  <w:tcW w:w="1091" w:type="dxa"/>
                  <w:tcBorders>
                    <w:tl2br w:val="nil"/>
                    <w:tr2bl w:val="nil"/>
                  </w:tcBorders>
                  <w:noWrap/>
                  <w:vAlign w:val="center"/>
                </w:tcPr>
                <w:p>
                  <w:pPr>
                    <w:widowControl/>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100</w:t>
                  </w:r>
                </w:p>
              </w:tc>
              <w:tc>
                <w:tcPr>
                  <w:tcW w:w="832" w:type="dxa"/>
                  <w:tcBorders>
                    <w:tl2br w:val="nil"/>
                    <w:tr2bl w:val="nil"/>
                  </w:tcBorders>
                  <w:noWrap/>
                  <w:vAlign w:val="center"/>
                </w:tcPr>
                <w:p>
                  <w:pPr>
                    <w:widowControl/>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1.35</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14:textFill>
                        <w14:solidFill>
                          <w14:schemeClr w14:val="tx1"/>
                        </w14:solidFill>
                      </w14:textFill>
                    </w:rPr>
                    <w:t>硫酸雾</w:t>
                  </w:r>
                </w:p>
              </w:tc>
              <w:tc>
                <w:tcPr>
                  <w:tcW w:w="1091" w:type="dxa"/>
                  <w:tcBorders>
                    <w:tl2br w:val="nil"/>
                    <w:tr2bl w:val="nil"/>
                  </w:tcBorders>
                  <w:noWrap/>
                  <w:vAlign w:val="center"/>
                </w:tcPr>
                <w:p>
                  <w:pPr>
                    <w:widowControl/>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p>
              </w:tc>
              <w:tc>
                <w:tcPr>
                  <w:tcW w:w="832" w:type="dxa"/>
                  <w:tcBorders>
                    <w:tl2br w:val="nil"/>
                    <w:tr2bl w:val="nil"/>
                  </w:tcBorders>
                  <w:noWrap/>
                  <w:vAlign w:val="center"/>
                </w:tcPr>
                <w:p>
                  <w:pPr>
                    <w:widowControl/>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8.5</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14:textFill>
                        <w14:solidFill>
                          <w14:schemeClr w14:val="tx1"/>
                        </w14:solidFill>
                      </w14:textFill>
                    </w:rPr>
                    <w:t>氮氧化物</w:t>
                  </w:r>
                </w:p>
              </w:tc>
              <w:tc>
                <w:tcPr>
                  <w:tcW w:w="1091" w:type="dxa"/>
                  <w:tcBorders>
                    <w:tl2br w:val="nil"/>
                    <w:tr2bl w:val="nil"/>
                  </w:tcBorders>
                  <w:noWrap/>
                  <w:vAlign w:val="center"/>
                </w:tcPr>
                <w:p>
                  <w:pPr>
                    <w:widowControl/>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100</w:t>
                  </w:r>
                </w:p>
              </w:tc>
              <w:tc>
                <w:tcPr>
                  <w:tcW w:w="832" w:type="dxa"/>
                  <w:tcBorders>
                    <w:tl2br w:val="nil"/>
                    <w:tr2bl w:val="nil"/>
                  </w:tcBorders>
                  <w:noWrap/>
                  <w:vAlign w:val="center"/>
                </w:tcPr>
                <w:p>
                  <w:pPr>
                    <w:widowControl/>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w:t>
                  </w:r>
                </w:p>
              </w:tc>
              <w:tc>
                <w:tcPr>
                  <w:tcW w:w="21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《区域性大气污染物综合排放标准》（DB37/2376-2019）表1重点控制区标准</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排气筒（高</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米、内径</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米）</w:t>
                  </w: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21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）表1标准，Ⅱ时段</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氨</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215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《恶臭污染物排放标准》（GB14554-93）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表2标准</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臭气浓度</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15000</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排气筒（高</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米、内径</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米）</w:t>
                  </w: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215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）表1标准，Ⅱ时段</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（参考</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同时参照《大气污染物综合排放标准》(GB16297-1996)表2，取严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17.4</w:t>
                  </w:r>
                </w:p>
              </w:tc>
              <w:tc>
                <w:tcPr>
                  <w:tcW w:w="21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《大气污染物综合排放标准》(GB16297-1996)</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无组织</w:t>
                  </w:r>
                </w:p>
              </w:tc>
              <w:tc>
                <w:tcPr>
                  <w:tcW w:w="99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厂界</w:t>
                  </w: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）表</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标准</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臭气浓度</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16（无量纲）</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标准</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异丙醇</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丙酮</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00" w:type="dxa"/>
                  <w:tcBorders>
                    <w:tl2br w:val="nil"/>
                    <w:tr2bl w:val="nil"/>
                  </w:tcBorders>
                  <w:noWrap/>
                  <w:vAlign w:val="center"/>
                </w:tcPr>
                <w:p>
                  <w:pPr>
                    <w:adjustRightInd w:val="0"/>
                    <w:snapToGrid w:val="0"/>
                    <w:jc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《大气污染物综合排放标准》(GB16297-1996)</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00" w:type="dxa"/>
                  <w:tcBorders>
                    <w:tl2br w:val="nil"/>
                    <w:tr2bl w:val="nil"/>
                  </w:tcBorders>
                  <w:noWrap/>
                  <w:vAlign w:val="center"/>
                </w:tcPr>
                <w:p>
                  <w:pPr>
                    <w:adjustRightInd w:val="0"/>
                    <w:snapToGrid w:val="0"/>
                    <w:jc w:val="center"/>
                    <w:rPr>
                      <w:rFonts w:hint="eastAsia"/>
                      <w:color w:val="000000" w:themeColor="text1"/>
                      <w:kern w:val="0"/>
                      <w:szCs w:val="21"/>
                      <w:highlight w:val="none"/>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氯化氢</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00" w:type="dxa"/>
                  <w:tcBorders>
                    <w:tl2br w:val="nil"/>
                    <w:tr2bl w:val="nil"/>
                  </w:tcBorders>
                  <w:noWrap/>
                  <w:vAlign w:val="center"/>
                </w:tcPr>
                <w:p>
                  <w:pPr>
                    <w:adjustRightInd w:val="0"/>
                    <w:snapToGrid w:val="0"/>
                    <w:jc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14:textFill>
                        <w14:solidFill>
                          <w14:schemeClr w14:val="tx1"/>
                        </w14:solidFill>
                      </w14:textFill>
                    </w:rPr>
                    <w:t>硫酸雾</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00" w:type="dxa"/>
                  <w:tcBorders>
                    <w:tl2br w:val="nil"/>
                    <w:tr2bl w:val="nil"/>
                  </w:tcBorders>
                  <w:noWrap/>
                  <w:vAlign w:val="center"/>
                </w:tcPr>
                <w:p>
                  <w:pPr>
                    <w:adjustRightInd w:val="0"/>
                    <w:snapToGrid w:val="0"/>
                    <w:jc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kern w:val="0"/>
                      <w:szCs w:val="21"/>
                      <w:highlight w:val="none"/>
                      <w14:textFill>
                        <w14:solidFill>
                          <w14:schemeClr w14:val="tx1"/>
                        </w14:solidFill>
                      </w14:textFill>
                    </w:rPr>
                    <w:t>氮氧化物</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0.12</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9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氨</w:t>
                  </w:r>
                </w:p>
              </w:tc>
              <w:tc>
                <w:tcPr>
                  <w:tcW w:w="1091"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83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1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《恶臭污染物排放标准》（GB14554-93）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表1标准</w:t>
                  </w:r>
                </w:p>
              </w:tc>
              <w:tc>
                <w:tcPr>
                  <w:tcW w:w="15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bl>
          <w:p>
            <w:pPr>
              <w:spacing w:line="360" w:lineRule="auto"/>
              <w:ind w:firstLine="482" w:firstLineChars="200"/>
              <w:rPr>
                <w:b/>
                <w:color w:val="000000" w:themeColor="text1"/>
                <w:sz w:val="24"/>
                <w:szCs w:val="20"/>
                <w:highlight w:val="none"/>
                <w14:textFill>
                  <w14:solidFill>
                    <w14:schemeClr w14:val="tx1"/>
                  </w14:solidFill>
                </w14:textFill>
              </w:rPr>
            </w:pPr>
            <w:r>
              <w:rPr>
                <w:rFonts w:hint="eastAsia"/>
                <w:b/>
                <w:color w:val="000000" w:themeColor="text1"/>
                <w:sz w:val="24"/>
                <w:szCs w:val="20"/>
                <w:highlight w:val="none"/>
                <w:lang w:val="en-US" w:eastAsia="zh-CN"/>
                <w14:textFill>
                  <w14:solidFill>
                    <w14:schemeClr w14:val="tx1"/>
                  </w14:solidFill>
                </w14:textFill>
              </w:rPr>
              <w:t>3、</w:t>
            </w:r>
            <w:r>
              <w:rPr>
                <w:b/>
                <w:color w:val="000000" w:themeColor="text1"/>
                <w:sz w:val="24"/>
                <w:szCs w:val="20"/>
                <w:highlight w:val="none"/>
                <w14:textFill>
                  <w14:solidFill>
                    <w14:schemeClr w14:val="tx1"/>
                  </w14:solidFill>
                </w14:textFill>
              </w:rPr>
              <w:t>噪声：</w:t>
            </w:r>
          </w:p>
          <w:p>
            <w:pPr>
              <w:spacing w:line="360" w:lineRule="auto"/>
              <w:ind w:firstLine="480" w:firstLineChars="200"/>
              <w:rPr>
                <w:rFonts w:hint="eastAsia" w:eastAsia="宋体"/>
                <w:color w:val="000000" w:themeColor="text1"/>
                <w:sz w:val="24"/>
                <w:szCs w:val="20"/>
                <w:highlight w:val="none"/>
                <w:lang w:eastAsia="zh-CN"/>
                <w14:textFill>
                  <w14:solidFill>
                    <w14:schemeClr w14:val="tx1"/>
                  </w14:solidFill>
                </w14:textFill>
              </w:rPr>
            </w:pPr>
            <w:r>
              <w:rPr>
                <w:color w:val="000000" w:themeColor="text1"/>
                <w:sz w:val="24"/>
                <w:szCs w:val="20"/>
                <w:highlight w:val="none"/>
                <w14:textFill>
                  <w14:solidFill>
                    <w14:schemeClr w14:val="tx1"/>
                  </w14:solidFill>
                </w14:textFill>
              </w:rPr>
              <w:t>执行《工业企业厂界环境噪声排放标准》（GB12348-2008）</w:t>
            </w:r>
            <w:r>
              <w:rPr>
                <w:rFonts w:hint="eastAsia"/>
                <w:color w:val="000000" w:themeColor="text1"/>
                <w:sz w:val="24"/>
                <w:szCs w:val="20"/>
                <w:highlight w:val="none"/>
                <w:lang w:val="en-US" w:eastAsia="zh-CN"/>
                <w14:textFill>
                  <w14:solidFill>
                    <w14:schemeClr w14:val="tx1"/>
                  </w14:solidFill>
                </w14:textFill>
              </w:rPr>
              <w:t>3</w:t>
            </w:r>
            <w:r>
              <w:rPr>
                <w:color w:val="000000" w:themeColor="text1"/>
                <w:sz w:val="24"/>
                <w:szCs w:val="20"/>
                <w:highlight w:val="none"/>
                <w14:textFill>
                  <w14:solidFill>
                    <w14:schemeClr w14:val="tx1"/>
                  </w14:solidFill>
                </w14:textFill>
              </w:rPr>
              <w:t>类标准</w:t>
            </w:r>
            <w:r>
              <w:rPr>
                <w:rFonts w:hint="eastAsia"/>
                <w:color w:val="000000" w:themeColor="text1"/>
                <w:sz w:val="24"/>
                <w:szCs w:val="20"/>
                <w:highlight w:val="none"/>
                <w:lang w:eastAsia="zh-CN"/>
                <w14:textFill>
                  <w14:solidFill>
                    <w14:schemeClr w14:val="tx1"/>
                  </w14:solidFill>
                </w14:textFill>
              </w:rPr>
              <w:t>。</w:t>
            </w:r>
          </w:p>
          <w:p>
            <w:pPr>
              <w:spacing w:line="360" w:lineRule="auto"/>
              <w:jc w:val="center"/>
              <w:rPr>
                <w:b/>
                <w:color w:val="000000" w:themeColor="text1"/>
                <w:sz w:val="24"/>
                <w:szCs w:val="20"/>
                <w:highlight w:val="none"/>
                <w14:textFill>
                  <w14:solidFill>
                    <w14:schemeClr w14:val="tx1"/>
                  </w14:solidFill>
                </w14:textFill>
              </w:rPr>
            </w:pPr>
            <w:r>
              <w:rPr>
                <w:b/>
                <w:color w:val="000000" w:themeColor="text1"/>
                <w:sz w:val="24"/>
                <w:szCs w:val="20"/>
                <w:highlight w:val="none"/>
                <w14:textFill>
                  <w14:solidFill>
                    <w14:schemeClr w14:val="tx1"/>
                  </w14:solidFill>
                </w14:textFill>
              </w:rPr>
              <w:t>表</w:t>
            </w:r>
            <w:r>
              <w:rPr>
                <w:rFonts w:hint="eastAsia"/>
                <w:b/>
                <w:color w:val="000000" w:themeColor="text1"/>
                <w:sz w:val="24"/>
                <w:szCs w:val="20"/>
                <w:highlight w:val="none"/>
                <w:lang w:val="en-US" w:eastAsia="zh-CN"/>
                <w14:textFill>
                  <w14:solidFill>
                    <w14:schemeClr w14:val="tx1"/>
                  </w14:solidFill>
                </w14:textFill>
              </w:rPr>
              <w:t xml:space="preserve">3-7 </w:t>
            </w:r>
            <w:r>
              <w:rPr>
                <w:b/>
                <w:color w:val="000000" w:themeColor="text1"/>
                <w:sz w:val="24"/>
                <w:szCs w:val="20"/>
                <w:highlight w:val="none"/>
                <w14:textFill>
                  <w14:solidFill>
                    <w14:schemeClr w14:val="tx1"/>
                  </w14:solidFill>
                </w14:textFill>
              </w:rPr>
              <w:t xml:space="preserve"> 厂界噪声执行标准</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8"/>
              <w:gridCol w:w="1700"/>
              <w:gridCol w:w="1092"/>
              <w:gridCol w:w="896"/>
              <w:gridCol w:w="1006"/>
              <w:gridCol w:w="1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38" w:type="dxa"/>
                  <w:tcBorders>
                    <w:top w:val="single" w:color="auto" w:sz="12" w:space="0"/>
                    <w:left w:val="single" w:color="auto" w:sz="12" w:space="0"/>
                    <w:bottom w:val="single" w:color="auto" w:sz="6" w:space="0"/>
                    <w:right w:val="single" w:color="auto" w:sz="6" w:space="0"/>
                  </w:tcBorders>
                  <w:noWrap w:val="0"/>
                  <w:vAlign w:val="center"/>
                </w:tcPr>
                <w:p>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名称</w:t>
                  </w:r>
                </w:p>
              </w:tc>
              <w:tc>
                <w:tcPr>
                  <w:tcW w:w="1700" w:type="dxa"/>
                  <w:tcBorders>
                    <w:top w:val="single" w:color="auto" w:sz="12" w:space="0"/>
                    <w:left w:val="single" w:color="auto" w:sz="6" w:space="0"/>
                    <w:bottom w:val="single" w:color="auto" w:sz="6" w:space="0"/>
                    <w:right w:val="single" w:color="auto" w:sz="6" w:space="0"/>
                  </w:tcBorders>
                  <w:noWrap w:val="0"/>
                  <w:vAlign w:val="center"/>
                </w:tcPr>
                <w:p>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标准文号</w:t>
                  </w:r>
                </w:p>
              </w:tc>
              <w:tc>
                <w:tcPr>
                  <w:tcW w:w="1092" w:type="dxa"/>
                  <w:tcBorders>
                    <w:top w:val="single" w:color="auto" w:sz="12" w:space="0"/>
                    <w:left w:val="single" w:color="auto" w:sz="6" w:space="0"/>
                    <w:bottom w:val="single" w:color="auto" w:sz="6" w:space="0"/>
                    <w:right w:val="single" w:color="auto" w:sz="6" w:space="0"/>
                  </w:tcBorders>
                  <w:noWrap w:val="0"/>
                  <w:vAlign w:val="center"/>
                </w:tcPr>
                <w:p>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单位</w:t>
                  </w:r>
                </w:p>
              </w:tc>
              <w:tc>
                <w:tcPr>
                  <w:tcW w:w="896" w:type="dxa"/>
                  <w:tcBorders>
                    <w:top w:val="single" w:color="auto" w:sz="12" w:space="0"/>
                    <w:left w:val="single" w:color="auto" w:sz="6" w:space="0"/>
                    <w:bottom w:val="single" w:color="auto" w:sz="6" w:space="0"/>
                    <w:right w:val="single" w:color="auto" w:sz="6" w:space="0"/>
                  </w:tcBorders>
                  <w:noWrap w:val="0"/>
                  <w:vAlign w:val="center"/>
                </w:tcPr>
                <w:p>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级别</w:t>
                  </w:r>
                </w:p>
              </w:tc>
              <w:tc>
                <w:tcPr>
                  <w:tcW w:w="2012" w:type="dxa"/>
                  <w:gridSpan w:val="2"/>
                  <w:tcBorders>
                    <w:top w:val="single" w:color="auto" w:sz="12" w:space="0"/>
                    <w:left w:val="single" w:color="auto" w:sz="6" w:space="0"/>
                    <w:bottom w:val="single" w:color="auto" w:sz="6" w:space="0"/>
                    <w:right w:val="single" w:color="auto" w:sz="12" w:space="0"/>
                  </w:tcBorders>
                  <w:noWrap w:val="0"/>
                  <w:vAlign w:val="center"/>
                </w:tcPr>
                <w:p>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238" w:type="dxa"/>
                  <w:vMerge w:val="restart"/>
                  <w:tcBorders>
                    <w:top w:val="single" w:color="auto" w:sz="6" w:space="0"/>
                    <w:left w:val="single" w:color="auto" w:sz="12" w:space="0"/>
                    <w:bottom w:val="single" w:color="auto" w:sz="12" w:space="0"/>
                    <w:right w:val="single" w:color="auto" w:sz="6"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工业企业厂界</w:t>
                  </w:r>
                </w:p>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环境噪声排放标准</w:t>
                  </w:r>
                </w:p>
              </w:tc>
              <w:tc>
                <w:tcPr>
                  <w:tcW w:w="1700" w:type="dxa"/>
                  <w:vMerge w:val="restart"/>
                  <w:tcBorders>
                    <w:top w:val="single" w:color="auto" w:sz="6" w:space="0"/>
                    <w:left w:val="single" w:color="auto" w:sz="6" w:space="0"/>
                    <w:bottom w:val="single" w:color="auto" w:sz="12" w:space="0"/>
                    <w:right w:val="single" w:color="auto" w:sz="6"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GB12348-2008</w:t>
                  </w:r>
                </w:p>
              </w:tc>
              <w:tc>
                <w:tcPr>
                  <w:tcW w:w="1092" w:type="dxa"/>
                  <w:vMerge w:val="restart"/>
                  <w:tcBorders>
                    <w:top w:val="single" w:color="auto" w:sz="6" w:space="0"/>
                    <w:left w:val="single" w:color="auto" w:sz="6" w:space="0"/>
                    <w:bottom w:val="single" w:color="auto" w:sz="12" w:space="0"/>
                    <w:right w:val="single" w:color="auto" w:sz="6"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dB(A)</w:t>
                  </w:r>
                </w:p>
              </w:tc>
              <w:tc>
                <w:tcPr>
                  <w:tcW w:w="896" w:type="dxa"/>
                  <w:vMerge w:val="restart"/>
                  <w:tcBorders>
                    <w:top w:val="single" w:color="auto" w:sz="6" w:space="0"/>
                    <w:left w:val="single" w:color="auto" w:sz="6" w:space="0"/>
                    <w:bottom w:val="single" w:color="auto" w:sz="12" w:space="0"/>
                    <w:right w:val="single" w:color="auto" w:sz="6" w:space="0"/>
                  </w:tcBorders>
                  <w:noWrap w:val="0"/>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类</w:t>
                  </w:r>
                </w:p>
              </w:tc>
              <w:tc>
                <w:tcPr>
                  <w:tcW w:w="1006" w:type="dxa"/>
                  <w:tcBorders>
                    <w:top w:val="single" w:color="auto" w:sz="6" w:space="0"/>
                    <w:left w:val="single" w:color="auto" w:sz="6" w:space="0"/>
                    <w:bottom w:val="single" w:color="auto" w:sz="6" w:space="0"/>
                    <w:right w:val="single" w:color="auto" w:sz="6"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w:t>
                  </w:r>
                </w:p>
              </w:tc>
              <w:tc>
                <w:tcPr>
                  <w:tcW w:w="1006" w:type="dxa"/>
                  <w:tcBorders>
                    <w:top w:val="single" w:color="auto" w:sz="6" w:space="0"/>
                    <w:left w:val="single" w:color="auto" w:sz="6" w:space="0"/>
                    <w:bottom w:val="single" w:color="auto" w:sz="6" w:space="0"/>
                    <w:right w:val="single" w:color="auto" w:sz="12"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238" w:type="dxa"/>
                  <w:vMerge w:val="continue"/>
                  <w:tcBorders>
                    <w:top w:val="single" w:color="auto" w:sz="6" w:space="0"/>
                    <w:left w:val="single" w:color="auto" w:sz="12" w:space="0"/>
                    <w:bottom w:val="single" w:color="auto" w:sz="12" w:space="0"/>
                    <w:right w:val="single" w:color="auto" w:sz="6" w:space="0"/>
                  </w:tcBorders>
                  <w:noWrap w:val="0"/>
                  <w:vAlign w:val="center"/>
                </w:tcPr>
                <w:p>
                  <w:pPr>
                    <w:widowControl/>
                    <w:jc w:val="left"/>
                    <w:rPr>
                      <w:color w:val="000000" w:themeColor="text1"/>
                      <w:szCs w:val="20"/>
                      <w:highlight w:val="none"/>
                      <w14:textFill>
                        <w14:solidFill>
                          <w14:schemeClr w14:val="tx1"/>
                        </w14:solidFill>
                      </w14:textFill>
                    </w:rPr>
                  </w:pPr>
                </w:p>
              </w:tc>
              <w:tc>
                <w:tcPr>
                  <w:tcW w:w="1700" w:type="dxa"/>
                  <w:vMerge w:val="continue"/>
                  <w:tcBorders>
                    <w:top w:val="single" w:color="auto" w:sz="6" w:space="0"/>
                    <w:left w:val="single" w:color="auto" w:sz="6" w:space="0"/>
                    <w:bottom w:val="single" w:color="auto" w:sz="12" w:space="0"/>
                    <w:right w:val="single" w:color="auto" w:sz="6" w:space="0"/>
                  </w:tcBorders>
                  <w:noWrap w:val="0"/>
                  <w:vAlign w:val="center"/>
                </w:tcPr>
                <w:p>
                  <w:pPr>
                    <w:widowControl/>
                    <w:jc w:val="left"/>
                    <w:rPr>
                      <w:color w:val="000000" w:themeColor="text1"/>
                      <w:szCs w:val="20"/>
                      <w:highlight w:val="none"/>
                      <w14:textFill>
                        <w14:solidFill>
                          <w14:schemeClr w14:val="tx1"/>
                        </w14:solidFill>
                      </w14:textFill>
                    </w:rPr>
                  </w:pPr>
                </w:p>
              </w:tc>
              <w:tc>
                <w:tcPr>
                  <w:tcW w:w="1092" w:type="dxa"/>
                  <w:vMerge w:val="continue"/>
                  <w:tcBorders>
                    <w:top w:val="single" w:color="auto" w:sz="6" w:space="0"/>
                    <w:left w:val="single" w:color="auto" w:sz="6" w:space="0"/>
                    <w:bottom w:val="single" w:color="auto" w:sz="12" w:space="0"/>
                    <w:right w:val="single" w:color="auto" w:sz="6" w:space="0"/>
                  </w:tcBorders>
                  <w:noWrap w:val="0"/>
                  <w:vAlign w:val="center"/>
                </w:tcPr>
                <w:p>
                  <w:pPr>
                    <w:widowControl/>
                    <w:jc w:val="left"/>
                    <w:rPr>
                      <w:color w:val="000000" w:themeColor="text1"/>
                      <w:szCs w:val="20"/>
                      <w:highlight w:val="none"/>
                      <w14:textFill>
                        <w14:solidFill>
                          <w14:schemeClr w14:val="tx1"/>
                        </w14:solidFill>
                      </w14:textFill>
                    </w:rPr>
                  </w:pPr>
                </w:p>
              </w:tc>
              <w:tc>
                <w:tcPr>
                  <w:tcW w:w="896" w:type="dxa"/>
                  <w:vMerge w:val="continue"/>
                  <w:tcBorders>
                    <w:top w:val="single" w:color="auto" w:sz="6" w:space="0"/>
                    <w:left w:val="single" w:color="auto" w:sz="6" w:space="0"/>
                    <w:bottom w:val="single" w:color="auto" w:sz="12" w:space="0"/>
                    <w:right w:val="single" w:color="auto" w:sz="6" w:space="0"/>
                  </w:tcBorders>
                  <w:noWrap w:val="0"/>
                  <w:vAlign w:val="center"/>
                </w:tcPr>
                <w:p>
                  <w:pPr>
                    <w:widowControl/>
                    <w:jc w:val="left"/>
                    <w:rPr>
                      <w:color w:val="000000" w:themeColor="text1"/>
                      <w:szCs w:val="20"/>
                      <w:highlight w:val="none"/>
                      <w14:textFill>
                        <w14:solidFill>
                          <w14:schemeClr w14:val="tx1"/>
                        </w14:solidFill>
                      </w14:textFill>
                    </w:rPr>
                  </w:pPr>
                </w:p>
              </w:tc>
              <w:tc>
                <w:tcPr>
                  <w:tcW w:w="1006" w:type="dxa"/>
                  <w:tcBorders>
                    <w:top w:val="single" w:color="auto" w:sz="6" w:space="0"/>
                    <w:left w:val="single" w:color="auto" w:sz="6" w:space="0"/>
                    <w:bottom w:val="single" w:color="auto" w:sz="12" w:space="0"/>
                    <w:right w:val="single" w:color="auto" w:sz="6" w:space="0"/>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6</w:t>
                  </w:r>
                  <w:r>
                    <w:rPr>
                      <w:rFonts w:hint="eastAsia"/>
                      <w:color w:val="000000" w:themeColor="text1"/>
                      <w:szCs w:val="21"/>
                      <w:highlight w:val="none"/>
                      <w:lang w:val="en-US" w:eastAsia="zh-CN"/>
                      <w14:textFill>
                        <w14:solidFill>
                          <w14:schemeClr w14:val="tx1"/>
                        </w14:solidFill>
                      </w14:textFill>
                    </w:rPr>
                    <w:t>5</w:t>
                  </w:r>
                </w:p>
              </w:tc>
              <w:tc>
                <w:tcPr>
                  <w:tcW w:w="1006" w:type="dxa"/>
                  <w:tcBorders>
                    <w:top w:val="single" w:color="auto" w:sz="6" w:space="0"/>
                    <w:left w:val="single" w:color="auto" w:sz="6" w:space="0"/>
                    <w:bottom w:val="single" w:color="auto" w:sz="12" w:space="0"/>
                    <w:right w:val="single" w:color="auto" w:sz="12" w:space="0"/>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5</w:t>
                  </w:r>
                  <w:r>
                    <w:rPr>
                      <w:rFonts w:hint="eastAsia"/>
                      <w:color w:val="000000" w:themeColor="text1"/>
                      <w:szCs w:val="21"/>
                      <w:highlight w:val="none"/>
                      <w:lang w:val="en-US" w:eastAsia="zh-CN"/>
                      <w14:textFill>
                        <w14:solidFill>
                          <w14:schemeClr w14:val="tx1"/>
                        </w14:solidFill>
                      </w14:textFill>
                    </w:rPr>
                    <w:t>5</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72" w:firstLineChars="196"/>
              <w:textAlignment w:val="auto"/>
              <w:rPr>
                <w:color w:val="000000" w:themeColor="text1"/>
                <w:sz w:val="24"/>
                <w:szCs w:val="20"/>
                <w:highlight w:val="none"/>
                <w14:textFill>
                  <w14:solidFill>
                    <w14:schemeClr w14:val="tx1"/>
                  </w14:solidFill>
                </w14:textFill>
              </w:rPr>
            </w:pPr>
            <w:r>
              <w:rPr>
                <w:rFonts w:hint="eastAsia"/>
                <w:b/>
                <w:color w:val="000000" w:themeColor="text1"/>
                <w:sz w:val="24"/>
                <w:szCs w:val="20"/>
                <w:highlight w:val="none"/>
                <w:lang w:val="en-US" w:eastAsia="zh-CN"/>
                <w14:textFill>
                  <w14:solidFill>
                    <w14:schemeClr w14:val="tx1"/>
                  </w14:solidFill>
                </w14:textFill>
              </w:rPr>
              <w:t>4、</w:t>
            </w:r>
            <w:r>
              <w:rPr>
                <w:b/>
                <w:color w:val="000000" w:themeColor="text1"/>
                <w:sz w:val="24"/>
                <w:szCs w:val="20"/>
                <w:highlight w:val="none"/>
                <w14:textFill>
                  <w14:solidFill>
                    <w14:schemeClr w14:val="tx1"/>
                  </w14:solidFill>
                </w14:textFill>
              </w:rPr>
              <w:t>固体废物：</w:t>
            </w:r>
          </w:p>
          <w:p>
            <w:pPr>
              <w:tabs>
                <w:tab w:val="left" w:pos="0"/>
              </w:tabs>
              <w:wordWrap w:val="0"/>
              <w:spacing w:line="360" w:lineRule="auto"/>
              <w:ind w:firstLine="504" w:firstLineChars="200"/>
              <w:rPr>
                <w:rFonts w:hint="eastAsia" w:eastAsia="宋体"/>
                <w:bCs/>
                <w:color w:val="000000" w:themeColor="text1"/>
                <w:sz w:val="24"/>
                <w:highlight w:val="none"/>
                <w:lang w:eastAsia="zh-CN"/>
                <w14:textFill>
                  <w14:solidFill>
                    <w14:schemeClr w14:val="tx1"/>
                  </w14:solidFill>
                </w14:textFill>
              </w:rPr>
            </w:pPr>
            <w:r>
              <w:rPr>
                <w:rFonts w:hint="eastAsia"/>
                <w:color w:val="000000" w:themeColor="text1"/>
                <w:spacing w:val="6"/>
                <w:sz w:val="24"/>
                <w:highlight w:val="none"/>
                <w14:textFill>
                  <w14:solidFill>
                    <w14:schemeClr w14:val="tx1"/>
                  </w14:solidFill>
                </w14:textFill>
              </w:rPr>
              <w:t>一般工业固废贮存执行《中华人民共和国固体废物污染环境防治法》中关于一般工业固体废物贮存的相关要求，贮存场所应满足防渗漏、防雨淋、防扬尘等环境保护相关要求，并参照执行《一般工业固体废物贮存和填埋污染控制标准》（GB18599-2020）；危险废物执行《危险废物贮存污染控制标准》（GB18597-2023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590" w:type="dxa"/>
            <w:vAlign w:val="center"/>
          </w:tcPr>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总量控制指标</w:t>
            </w:r>
          </w:p>
        </w:tc>
        <w:tc>
          <w:tcPr>
            <w:tcW w:w="8471" w:type="dxa"/>
            <w:vAlign w:val="center"/>
          </w:tcPr>
          <w:p>
            <w:pPr>
              <w:keepNext w:val="0"/>
              <w:keepLines w:val="0"/>
              <w:pageBreakBefore w:val="0"/>
              <w:widowControl w:val="0"/>
              <w:tabs>
                <w:tab w:val="left" w:pos="0"/>
              </w:tabs>
              <w:kinsoku/>
              <w:wordWrap/>
              <w:overflowPunct/>
              <w:topLinePunct w:val="0"/>
              <w:autoSpaceDE/>
              <w:autoSpaceDN/>
              <w:bidi w:val="0"/>
              <w:snapToGrid w:val="0"/>
              <w:spacing w:line="360" w:lineRule="auto"/>
              <w:ind w:firstLine="480" w:firstLineChars="200"/>
              <w:jc w:val="both"/>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根据《关于印发〈建设项目主要污染物排放总量指标审核及管理暂行办法〉的通知》（环发〔2014〕197号）、《山东省建设项目主要大气污染物排放总量替代指标核算及管理办法》，“十四五”期间主要控制污染物为颗粒物、SO</w:t>
            </w:r>
            <w:r>
              <w:rPr>
                <w:rFonts w:hint="eastAsia"/>
                <w:bCs/>
                <w:color w:val="000000" w:themeColor="text1"/>
                <w:sz w:val="24"/>
                <w:highlight w:val="none"/>
                <w:vertAlign w:val="subscript"/>
                <w14:textFill>
                  <w14:solidFill>
                    <w14:schemeClr w14:val="tx1"/>
                  </w14:solidFill>
                </w14:textFill>
              </w:rPr>
              <w:t>2</w:t>
            </w:r>
            <w:r>
              <w:rPr>
                <w:rFonts w:hint="eastAsia"/>
                <w:bCs/>
                <w:color w:val="000000" w:themeColor="text1"/>
                <w:sz w:val="24"/>
                <w:highlight w:val="none"/>
                <w14:textFill>
                  <w14:solidFill>
                    <w14:schemeClr w14:val="tx1"/>
                  </w14:solidFill>
                </w14:textFill>
              </w:rPr>
              <w:t>、NOx、CODcr、氨氮以及挥发性有机物6项指标。</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Times New Roman" w:hAnsi="Times New Roman"/>
                <w:color w:val="000000" w:themeColor="text1"/>
                <w:sz w:val="24"/>
                <w:highlight w:val="none"/>
                <w:lang w:eastAsia="zh-CN"/>
                <w14:textFill>
                  <w14:solidFill>
                    <w14:schemeClr w14:val="tx1"/>
                  </w14:solidFill>
                </w14:textFill>
              </w:rPr>
            </w:pPr>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1</w:t>
            </w:r>
            <w:r>
              <w:rPr>
                <w:rFonts w:hint="eastAsia" w:ascii="Times New Roman" w:hAnsi="Times New Roman"/>
                <w:color w:val="000000" w:themeColor="text1"/>
                <w:sz w:val="24"/>
                <w:highlight w:val="none"/>
                <w:lang w:eastAsia="zh-CN"/>
                <w14:textFill>
                  <w14:solidFill>
                    <w14:schemeClr w14:val="tx1"/>
                  </w14:solidFill>
                </w14:textFill>
              </w:rPr>
              <w:t>）水污染物排放总量</w:t>
            </w:r>
          </w:p>
          <w:p>
            <w:pPr>
              <w:keepNext w:val="0"/>
              <w:keepLines w:val="0"/>
              <w:pageBreakBefore w:val="0"/>
              <w:widowControl w:val="0"/>
              <w:tabs>
                <w:tab w:val="left" w:pos="0"/>
              </w:tabs>
              <w:kinsoku/>
              <w:wordWrap/>
              <w:overflowPunct/>
              <w:topLinePunct w:val="0"/>
              <w:autoSpaceDE/>
              <w:autoSpaceDN/>
              <w:bidi w:val="0"/>
              <w:snapToGrid w:val="0"/>
              <w:spacing w:line="360" w:lineRule="auto"/>
              <w:ind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本项目外排废水主要为生活污水</w:t>
            </w:r>
            <w:r>
              <w:rPr>
                <w:rFonts w:hint="eastAsia"/>
                <w:color w:val="000000" w:themeColor="text1"/>
                <w:sz w:val="24"/>
                <w:highlight w:val="none"/>
                <w:lang w:val="en-US" w:eastAsia="zh-CN"/>
                <w14:textFill>
                  <w14:solidFill>
                    <w14:schemeClr w14:val="tx1"/>
                  </w14:solidFill>
                </w14:textFill>
              </w:rPr>
              <w:t>和实验室</w:t>
            </w:r>
            <w:r>
              <w:rPr>
                <w:rFonts w:hint="eastAsia"/>
                <w:color w:val="000000" w:themeColor="text1"/>
                <w:sz w:val="24"/>
                <w:highlight w:val="none"/>
                <w:lang w:eastAsia="zh-CN"/>
                <w14:textFill>
                  <w14:solidFill>
                    <w14:schemeClr w14:val="tx1"/>
                  </w14:solidFill>
                </w14:textFill>
              </w:rPr>
              <w:t>生产废水，</w:t>
            </w:r>
            <w:r>
              <w:rPr>
                <w:rFonts w:hint="eastAsia"/>
                <w:color w:val="000000" w:themeColor="text1"/>
                <w:sz w:val="24"/>
                <w:highlight w:val="none"/>
                <w:lang w:val="en-US" w:eastAsia="zh-CN"/>
                <w14:textFill>
                  <w14:solidFill>
                    <w14:schemeClr w14:val="tx1"/>
                  </w14:solidFill>
                </w14:textFill>
              </w:rPr>
              <w:t>合计374.186m³/a，</w:t>
            </w:r>
            <w:r>
              <w:rPr>
                <w:rFonts w:hint="default" w:ascii="Times New Roman" w:hAnsi="Times New Roman" w:cs="Times New Roman"/>
                <w:color w:val="000000" w:themeColor="text1"/>
                <w:sz w:val="24"/>
                <w:highlight w:val="none"/>
                <w14:textFill>
                  <w14:solidFill>
                    <w14:schemeClr w14:val="tx1"/>
                  </w14:solidFill>
                </w14:textFill>
              </w:rPr>
              <w:t>经污水管道输送至本厂区污水处理站预处理，然后再排入园区污水处理厂进行深度处理。</w:t>
            </w:r>
            <w:r>
              <w:rPr>
                <w:rFonts w:hint="eastAsia" w:cs="Times New Roman"/>
                <w:color w:val="000000" w:themeColor="text1"/>
                <w:sz w:val="24"/>
                <w:highlight w:val="none"/>
                <w:lang w:val="en-US" w:eastAsia="zh-CN"/>
                <w14:textFill>
                  <w14:solidFill>
                    <w14:schemeClr w14:val="tx1"/>
                  </w14:solidFill>
                </w14:textFill>
              </w:rPr>
              <w:t>COD和氨氮总量控制指标纳入污水处理厂总量指标内，不需要再单独申请总量指标，只需申请以下接管考核指标：COD：0.131t/a、氨氮：0.009t/a。</w:t>
            </w:r>
          </w:p>
          <w:p>
            <w:pPr>
              <w:keepNext w:val="0"/>
              <w:keepLines w:val="0"/>
              <w:pageBreakBefore w:val="0"/>
              <w:widowControl w:val="0"/>
              <w:numPr>
                <w:ilvl w:val="0"/>
                <w:numId w:val="0"/>
              </w:numPr>
              <w:tabs>
                <w:tab w:val="left" w:pos="0"/>
              </w:tabs>
              <w:kinsoku/>
              <w:wordWrap/>
              <w:overflowPunct/>
              <w:topLinePunct w:val="0"/>
              <w:autoSpaceDE/>
              <w:autoSpaceDN/>
              <w:bidi w:val="0"/>
              <w:snapToGrid w:val="0"/>
              <w:spacing w:line="360" w:lineRule="auto"/>
              <w:ind w:firstLine="480" w:firstLineChars="200"/>
              <w:textAlignment w:val="auto"/>
              <w:rPr>
                <w:rFonts w:hint="eastAsia"/>
                <w:bCs/>
                <w:color w:val="000000" w:themeColor="text1"/>
                <w:sz w:val="24"/>
                <w:highlight w:val="none"/>
                <w:lang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2</w:t>
            </w:r>
            <w:r>
              <w:rPr>
                <w:rFonts w:hint="eastAsia"/>
                <w:bCs/>
                <w:color w:val="000000" w:themeColor="text1"/>
                <w:sz w:val="24"/>
                <w:highlight w:val="none"/>
                <w:lang w:eastAsia="zh-CN"/>
                <w14:textFill>
                  <w14:solidFill>
                    <w14:schemeClr w14:val="tx1"/>
                  </w14:solidFill>
                </w14:textFill>
              </w:rPr>
              <w:t>）大气污染物排放总量</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本项目厂区不建锅炉等燃煤设施，无</w:t>
            </w:r>
            <w:r>
              <w:rPr>
                <w:rFonts w:hint="eastAsia"/>
                <w:color w:val="000000" w:themeColor="text1"/>
                <w:sz w:val="24"/>
                <w:highlight w:val="none"/>
                <w:lang w:val="en-US" w:eastAsia="zh-CN"/>
                <w14:textFill>
                  <w14:solidFill>
                    <w14:schemeClr w14:val="tx1"/>
                  </w14:solidFill>
                </w14:textFill>
              </w:rPr>
              <w:t>颗粒物、</w:t>
            </w:r>
            <w:r>
              <w:rPr>
                <w:rFonts w:hint="eastAsia"/>
                <w:color w:val="000000" w:themeColor="text1"/>
                <w:sz w:val="24"/>
                <w:highlight w:val="none"/>
                <w14:textFill>
                  <w14:solidFill>
                    <w14:schemeClr w14:val="tx1"/>
                  </w14:solidFill>
                </w14:textFill>
              </w:rPr>
              <w:t>二氧化硫等污染物的排放。项目废气中有组织</w:t>
            </w:r>
            <w:r>
              <w:rPr>
                <w:rFonts w:hint="eastAsia"/>
                <w:color w:val="000000" w:themeColor="text1"/>
                <w:sz w:val="24"/>
                <w:highlight w:val="none"/>
                <w:lang w:val="en-US" w:eastAsia="zh-CN"/>
                <w14:textFill>
                  <w14:solidFill>
                    <w14:schemeClr w14:val="tx1"/>
                  </w14:solidFill>
                </w14:textFill>
              </w:rPr>
              <w:t>VOC</w:t>
            </w:r>
            <w:r>
              <w:rPr>
                <w:rFonts w:hint="eastAsia"/>
                <w:color w:val="000000" w:themeColor="text1"/>
                <w:sz w:val="24"/>
                <w:highlight w:val="none"/>
                <w:vertAlign w:val="subscript"/>
                <w:lang w:val="en-US" w:eastAsia="zh-CN"/>
                <w14:textFill>
                  <w14:solidFill>
                    <w14:schemeClr w14:val="tx1"/>
                  </w14:solidFill>
                </w14:textFill>
              </w:rPr>
              <w:t>S</w:t>
            </w:r>
            <w:r>
              <w:rPr>
                <w:rFonts w:hint="eastAsia"/>
                <w:color w:val="000000" w:themeColor="text1"/>
                <w:sz w:val="24"/>
                <w:highlight w:val="none"/>
                <w:lang w:val="en-US" w:eastAsia="zh-CN"/>
                <w14:textFill>
                  <w14:solidFill>
                    <w14:schemeClr w14:val="tx1"/>
                  </w14:solidFill>
                </w14:textFill>
              </w:rPr>
              <w:t>排放量为29.416kg/a、氮氧化物0.138kg/a</w:t>
            </w:r>
            <w:r>
              <w:rPr>
                <w:rFonts w:hint="eastAsia"/>
                <w:color w:val="000000" w:themeColor="text1"/>
                <w:sz w:val="24"/>
                <w:highlight w:val="none"/>
                <w14:textFill>
                  <w14:solidFill>
                    <w14:schemeClr w14:val="tx1"/>
                  </w14:solidFill>
                </w14:textFill>
              </w:rPr>
              <w:t>。根据《山东省生态环境厅关于印发山东省建设项目主要大气污染物排放总量替代指标核算及管理办法的通知》（鲁环发[2019]132号）、《济宁市生态环境局关于转发&lt;山东省生态环境厅关于印发山东省建设项目主要大气污染物排放总量替代指标核算及管理办法的通知&gt;的通知》等文件要求，污染物排放总量指标按2倍削减替代</w:t>
            </w:r>
            <w:r>
              <w:rPr>
                <w:rFonts w:hint="eastAsia"/>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bCs/>
                <w:color w:val="000000" w:themeColor="text1"/>
                <w:sz w:val="24"/>
                <w:highlight w:val="none"/>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故此次申请总量指标</w:t>
            </w:r>
            <w:r>
              <w:rPr>
                <w:rFonts w:hint="eastAsia"/>
                <w:color w:val="000000" w:themeColor="text1"/>
                <w:sz w:val="24"/>
                <w:highlight w:val="none"/>
                <w:lang w:val="en-US" w:eastAsia="zh-CN"/>
                <w14:textFill>
                  <w14:solidFill>
                    <w14:schemeClr w14:val="tx1"/>
                  </w14:solidFill>
                </w14:textFill>
              </w:rPr>
              <w:t>VOC</w:t>
            </w:r>
            <w:r>
              <w:rPr>
                <w:rFonts w:hint="eastAsia"/>
                <w:color w:val="000000" w:themeColor="text1"/>
                <w:sz w:val="24"/>
                <w:highlight w:val="none"/>
                <w:vertAlign w:val="subscript"/>
                <w:lang w:val="en-US" w:eastAsia="zh-CN"/>
                <w14:textFill>
                  <w14:solidFill>
                    <w14:schemeClr w14:val="tx1"/>
                  </w14:solidFill>
                </w14:textFill>
              </w:rPr>
              <w:t xml:space="preserve">S </w:t>
            </w:r>
            <w:r>
              <w:rPr>
                <w:rFonts w:hint="eastAsia"/>
                <w:color w:val="000000" w:themeColor="text1"/>
                <w:sz w:val="24"/>
                <w:highlight w:val="none"/>
                <w:lang w:val="en-US" w:eastAsia="zh-CN"/>
                <w14:textFill>
                  <w14:solidFill>
                    <w14:schemeClr w14:val="tx1"/>
                  </w14:solidFill>
                </w14:textFill>
              </w:rPr>
              <w:t>58.832kg/a、氮氧化物0.276kg/a</w:t>
            </w:r>
            <w:r>
              <w:rPr>
                <w:bCs/>
                <w:color w:val="000000" w:themeColor="text1"/>
                <w:sz w:val="24"/>
                <w:highlight w:val="none"/>
                <w14:textFill>
                  <w14:solidFill>
                    <w14:schemeClr w14:val="tx1"/>
                  </w14:solidFill>
                </w14:textFill>
              </w:rPr>
              <w:t>。</w:t>
            </w:r>
          </w:p>
          <w:p>
            <w:pPr>
              <w:pStyle w:val="102"/>
              <w:ind w:left="0" w:leftChars="0" w:firstLine="0" w:firstLineChars="0"/>
              <w:jc w:val="both"/>
              <w:rPr>
                <w:rFonts w:hint="eastAsia"/>
                <w:color w:val="000000" w:themeColor="text1"/>
                <w:highlight w:val="none"/>
                <w14:textFill>
                  <w14:solidFill>
                    <w14:schemeClr w14:val="tx1"/>
                  </w14:solidFill>
                </w14:textFill>
              </w:rPr>
            </w:pPr>
          </w:p>
          <w:p>
            <w:pPr>
              <w:pStyle w:val="102"/>
              <w:ind w:left="0" w:leftChars="0" w:firstLine="0" w:firstLineChars="0"/>
              <w:jc w:val="both"/>
              <w:rPr>
                <w:rFonts w:hint="eastAsia"/>
                <w:color w:val="000000" w:themeColor="text1"/>
                <w:highlight w:val="none"/>
                <w14:textFill>
                  <w14:solidFill>
                    <w14:schemeClr w14:val="tx1"/>
                  </w14:solidFill>
                </w14:textFill>
              </w:rPr>
            </w:pPr>
          </w:p>
        </w:tc>
      </w:tr>
    </w:tbl>
    <w:p>
      <w:pPr>
        <w:pStyle w:val="32"/>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snapToGrid w:val="0"/>
          <w:color w:val="000000" w:themeColor="text1"/>
          <w:sz w:val="36"/>
          <w:szCs w:val="36"/>
          <w:highlight w:val="none"/>
          <w14:textFill>
            <w14:solidFill>
              <w14:schemeClr w14:val="tx1"/>
            </w14:solidFill>
          </w14:textFill>
        </w:rPr>
        <w:br w:type="page"/>
      </w:r>
      <w:r>
        <w:rPr>
          <w:rFonts w:ascii="Times New Roman" w:hAnsi="Times New Roman" w:eastAsia="黑体"/>
          <w:snapToGrid w:val="0"/>
          <w:color w:val="000000" w:themeColor="text1"/>
          <w:sz w:val="30"/>
          <w:szCs w:val="30"/>
          <w:highlight w:val="none"/>
          <w14:textFill>
            <w14:solidFill>
              <w14:schemeClr w14:val="tx1"/>
            </w14:solidFill>
          </w14:textFill>
        </w:rPr>
        <w:t>四、主要环境影响和保护措施</w:t>
      </w: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3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379" w:type="pct"/>
            <w:tcMar>
              <w:left w:w="28" w:type="dxa"/>
              <w:right w:w="28" w:type="dxa"/>
            </w:tcMar>
            <w:vAlign w:val="center"/>
          </w:tcPr>
          <w:p>
            <w:pPr>
              <w:pStyle w:val="32"/>
              <w:adjustRightInd w:val="0"/>
              <w:snapToGrid w:val="0"/>
              <w:spacing w:before="0" w:beforeAutospacing="0" w:after="0" w:afterAutospacing="0"/>
              <w:ind w:left="105" w:leftChars="50" w:right="210" w:rightChars="100"/>
              <w:rPr>
                <w:rFonts w:hint="default" w:ascii="Times New Roman" w:hAnsi="Times New Roman" w:cs="Times New Roman"/>
                <w:bCs/>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施工期环境保护措施</w:t>
            </w:r>
          </w:p>
        </w:tc>
        <w:tc>
          <w:tcPr>
            <w:tcW w:w="4621"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cs="Times New Roman"/>
                <w:b w:val="0"/>
                <w:color w:val="000000" w:themeColor="text1"/>
                <w:kern w:val="2"/>
                <w:sz w:val="24"/>
                <w:szCs w:val="24"/>
                <w:highlight w:val="none"/>
                <w:lang w:val="en-US" w:eastAsia="zh-CN" w:bidi="ar-SA"/>
                <w14:textFill>
                  <w14:solidFill>
                    <w14:schemeClr w14:val="tx1"/>
                  </w14:solidFill>
                </w14:textFill>
              </w:rPr>
              <w:t>本</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项目利用二期厂区内</w:t>
            </w:r>
            <w:r>
              <w:rPr>
                <w:rFonts w:hint="eastAsia" w:cs="Times New Roman"/>
                <w:b w:val="0"/>
                <w:color w:val="000000" w:themeColor="text1"/>
                <w:kern w:val="2"/>
                <w:sz w:val="24"/>
                <w:szCs w:val="24"/>
                <w:highlight w:val="none"/>
                <w:lang w:val="en-US" w:eastAsia="zh-CN" w:bidi="ar-SA"/>
                <w14:textFill>
                  <w14:solidFill>
                    <w14:schemeClr w14:val="tx1"/>
                  </w14:solidFill>
                </w14:textFill>
              </w:rPr>
              <w:t>已建成的</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办公楼五楼和六楼</w:t>
            </w:r>
            <w:r>
              <w:rPr>
                <w:rFonts w:hint="eastAsia" w:cs="Times New Roman"/>
                <w:b w:val="0"/>
                <w:color w:val="000000" w:themeColor="text1"/>
                <w:kern w:val="2"/>
                <w:sz w:val="24"/>
                <w:szCs w:val="24"/>
                <w:highlight w:val="none"/>
                <w:lang w:val="en-US" w:eastAsia="zh-CN" w:bidi="ar-SA"/>
                <w14:textFill>
                  <w14:solidFill>
                    <w14:schemeClr w14:val="tx1"/>
                  </w14:solidFill>
                </w14:textFill>
              </w:rPr>
              <w:t>进行建设，</w:t>
            </w:r>
            <w:r>
              <w:rPr>
                <w:rFonts w:hint="default" w:ascii="Times New Roman" w:hAnsi="Times New Roman" w:cs="Times New Roman"/>
                <w:color w:val="000000" w:themeColor="text1"/>
                <w:sz w:val="24"/>
                <w:highlight w:val="none"/>
                <w14:textFill>
                  <w14:solidFill>
                    <w14:schemeClr w14:val="tx1"/>
                  </w14:solidFill>
                </w14:textFill>
              </w:rPr>
              <w:t>不新建</w:t>
            </w:r>
            <w:r>
              <w:rPr>
                <w:rFonts w:hint="eastAsia" w:cs="Times New Roman"/>
                <w:color w:val="000000" w:themeColor="text1"/>
                <w:sz w:val="24"/>
                <w:highlight w:val="none"/>
                <w:lang w:val="en-US" w:eastAsia="zh-CN"/>
                <w14:textFill>
                  <w14:solidFill>
                    <w14:schemeClr w14:val="tx1"/>
                  </w14:solidFill>
                </w14:textFill>
              </w:rPr>
              <w:t>车间、</w:t>
            </w:r>
            <w:r>
              <w:rPr>
                <w:rFonts w:hint="eastAsia" w:cs="Times New Roman"/>
                <w:color w:val="000000" w:themeColor="text1"/>
                <w:sz w:val="24"/>
                <w:highlight w:val="none"/>
                <w:lang w:eastAsia="zh-CN"/>
                <w14:textFill>
                  <w14:solidFill>
                    <w14:schemeClr w14:val="tx1"/>
                  </w14:solidFill>
                </w14:textFill>
              </w:rPr>
              <w:t>仓库</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cs="Times New Roman"/>
                <w:color w:val="000000" w:themeColor="text1"/>
                <w:sz w:val="24"/>
                <w:highlight w:val="none"/>
                <w14:textFill>
                  <w14:solidFill>
                    <w14:schemeClr w14:val="tx1"/>
                  </w14:solidFill>
                </w14:textFill>
              </w:rPr>
              <w:t>只需要进行简单的装修和隔断及设备、环保设施的安装、调试，无需大型土建工程。</w:t>
            </w:r>
            <w:r>
              <w:rPr>
                <w:color w:val="000000" w:themeColor="text1"/>
                <w:sz w:val="24"/>
                <w:highlight w:val="none"/>
                <w14:textFill>
                  <w14:solidFill>
                    <w14:schemeClr w14:val="tx1"/>
                  </w14:solidFill>
                </w14:textFill>
              </w:rPr>
              <w:t>施工期的影响很小，主要为施工噪声。</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bCs/>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施工期产生的噪声源主要为设备安装、运输车辆等产生的噪声。施工车辆特别是重型运载车辆的运行线路和时间，应尽量避开噪声敏感区域和噪声敏感时段。在保证施工进度的前提下，合理安排作业时间，限制夜间进行有强噪声污染的施工作业。通过采取以上措施，施工场界噪声满足</w:t>
            </w:r>
            <w:r>
              <w:rPr>
                <w:color w:val="000000" w:themeColor="text1"/>
                <w:sz w:val="24"/>
                <w:szCs w:val="22"/>
                <w:highlight w:val="none"/>
                <w14:textFill>
                  <w14:solidFill>
                    <w14:schemeClr w14:val="tx1"/>
                  </w14:solidFill>
                </w14:textFill>
              </w:rPr>
              <w:t>《建筑施工场界环境噪声排放标准》（GB12523-2011）的规定。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379" w:type="pct"/>
            <w:tcMar>
              <w:left w:w="28" w:type="dxa"/>
              <w:right w:w="28" w:type="dxa"/>
            </w:tcMar>
            <w:vAlign w:val="center"/>
          </w:tcPr>
          <w:p>
            <w:pPr>
              <w:pStyle w:val="32"/>
              <w:adjustRightInd w:val="0"/>
              <w:snapToGrid w:val="0"/>
              <w:spacing w:before="0" w:beforeAutospacing="0"/>
              <w:ind w:left="105" w:leftChars="50" w:right="105" w:rightChars="50"/>
              <w:jc w:val="center"/>
              <w:rPr>
                <w:rFonts w:hint="default" w:ascii="Times New Roman" w:hAnsi="Times New Roman" w:cs="Times New Roman"/>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运营期环境影响和保护措施</w:t>
            </w:r>
          </w:p>
        </w:tc>
        <w:tc>
          <w:tcPr>
            <w:tcW w:w="4621" w:type="pct"/>
            <w:vAlign w:val="center"/>
          </w:tcPr>
          <w:p>
            <w:pPr>
              <w:adjustRightInd w:val="0"/>
              <w:spacing w:line="360" w:lineRule="auto"/>
              <w:ind w:firstLine="482" w:firstLineChars="200"/>
              <w:contextualSpacing/>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一、</w:t>
            </w:r>
            <w:r>
              <w:rPr>
                <w:rFonts w:hint="eastAsia" w:cs="Times New Roman"/>
                <w:b/>
                <w:bCs/>
                <w:color w:val="000000" w:themeColor="text1"/>
                <w:sz w:val="24"/>
                <w:highlight w:val="none"/>
                <w:lang w:val="en-US" w:eastAsia="zh-CN"/>
                <w14:textFill>
                  <w14:solidFill>
                    <w14:schemeClr w14:val="tx1"/>
                  </w14:solidFill>
                </w14:textFill>
              </w:rPr>
              <w:t>废气</w:t>
            </w:r>
          </w:p>
          <w:p>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本项目废气主要为</w:t>
            </w:r>
            <w:r>
              <w:rPr>
                <w:rFonts w:hint="eastAsia" w:cs="Times New Roman"/>
                <w:bCs/>
                <w:color w:val="000000" w:themeColor="text1"/>
                <w:sz w:val="24"/>
                <w:highlight w:val="none"/>
                <w:lang w:val="en-US" w:eastAsia="zh-CN"/>
                <w14:textFill>
                  <w14:solidFill>
                    <w14:schemeClr w14:val="tx1"/>
                  </w14:solidFill>
                </w14:textFill>
              </w:rPr>
              <w:t>试剂配制</w:t>
            </w:r>
            <w:r>
              <w:rPr>
                <w:rFonts w:hint="default" w:ascii="Times New Roman" w:hAnsi="Times New Roman" w:cs="Times New Roman"/>
                <w:bCs/>
                <w:color w:val="000000" w:themeColor="text1"/>
                <w:sz w:val="24"/>
                <w:highlight w:val="none"/>
                <w14:textFill>
                  <w14:solidFill>
                    <w14:schemeClr w14:val="tx1"/>
                  </w14:solidFill>
                </w14:textFill>
              </w:rPr>
              <w:t>及实验过程产生的有机废气VOCs</w:t>
            </w:r>
            <w:r>
              <w:rPr>
                <w:rFonts w:hint="eastAsia"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无机废气（氯化氢、硫酸雾和硝酸雾等酸性气体）</w:t>
            </w:r>
            <w:r>
              <w:rPr>
                <w:rFonts w:hint="eastAsia" w:cs="Times New Roman"/>
                <w:bCs/>
                <w:color w:val="000000" w:themeColor="text1"/>
                <w:sz w:val="24"/>
                <w:highlight w:val="none"/>
                <w:lang w:val="en-US" w:eastAsia="zh-CN"/>
                <w14:textFill>
                  <w14:solidFill>
                    <w14:schemeClr w14:val="tx1"/>
                  </w14:solidFill>
                </w14:textFill>
              </w:rPr>
              <w:t>及氨气</w:t>
            </w:r>
            <w:r>
              <w:rPr>
                <w:rFonts w:hint="default" w:ascii="Times New Roman" w:hAnsi="Times New Roman" w:cs="Times New Roman"/>
                <w:bCs/>
                <w:color w:val="000000" w:themeColor="text1"/>
                <w:sz w:val="24"/>
                <w:highlight w:val="none"/>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snapToGrid w:val="0"/>
              <w:spacing w:after="0" w:line="360" w:lineRule="auto"/>
              <w:ind w:left="0" w:leftChars="0" w:firstLine="482" w:firstLineChars="200"/>
              <w:textAlignment w:val="auto"/>
              <w:rPr>
                <w:rFonts w:hint="eastAsia" w:eastAsia="宋体"/>
                <w:b/>
                <w:color w:val="000000" w:themeColor="text1"/>
                <w:szCs w:val="24"/>
                <w:highlight w:val="none"/>
                <w:lang w:eastAsia="zh-CN"/>
                <w14:textFill>
                  <w14:solidFill>
                    <w14:schemeClr w14:val="tx1"/>
                  </w14:solidFill>
                </w14:textFill>
              </w:rPr>
            </w:pPr>
            <w:r>
              <w:rPr>
                <w:rFonts w:hint="eastAsia"/>
                <w:b/>
                <w:color w:val="000000" w:themeColor="text1"/>
                <w:szCs w:val="24"/>
                <w:highlight w:val="none"/>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废气源强分析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eastAsia" w:cs="Times New Roman"/>
                <w:b/>
                <w:bCs/>
                <w:color w:val="000000" w:themeColor="text1"/>
                <w:kern w:val="0"/>
                <w:sz w:val="24"/>
                <w:szCs w:val="24"/>
                <w:highlight w:val="none"/>
                <w:lang w:val="en-US" w:eastAsia="zh-CN" w:bidi="ar"/>
                <w14:textFill>
                  <w14:solidFill>
                    <w14:schemeClr w14:val="tx1"/>
                  </w14:solidFill>
                </w14:textFill>
              </w:rPr>
              <w:t>（1）有机废气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①</w:t>
            </w:r>
            <w:r>
              <w:rPr>
                <w:rFonts w:hint="eastAsia" w:cs="Times New Roman"/>
                <w:color w:val="000000" w:themeColor="text1"/>
                <w:kern w:val="0"/>
                <w:sz w:val="24"/>
                <w:szCs w:val="24"/>
                <w:highlight w:val="none"/>
                <w:lang w:val="en-US" w:eastAsia="zh-CN" w:bidi="ar"/>
                <w14:textFill>
                  <w14:solidFill>
                    <w14:schemeClr w14:val="tx1"/>
                  </w14:solidFill>
                </w14:textFill>
              </w:rPr>
              <w:t>实验废气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本项目在</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实验</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过程中会使用有机</w:t>
            </w:r>
            <w:r>
              <w:rPr>
                <w:rFonts w:hint="eastAsia" w:cs="Times New Roman"/>
                <w:color w:val="000000" w:themeColor="text1"/>
                <w:kern w:val="0"/>
                <w:sz w:val="24"/>
                <w:szCs w:val="24"/>
                <w:highlight w:val="none"/>
                <w:lang w:val="en-US" w:eastAsia="zh-CN" w:bidi="ar"/>
                <w14:textFill>
                  <w14:solidFill>
                    <w14:schemeClr w14:val="tx1"/>
                  </w14:solidFill>
                </w14:textFill>
              </w:rPr>
              <w:t>试</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剂，会产生一定量的有机废气，根据美国国家环保局编写的《工业污染源调查与研究》等相关资料，有机试剂挥发量基本在原料量的1%~4%之间，本次环评计算取最大值4%，实验室涉及有机废气敞开时间以0.2h/d计，则总敞开时间为60h/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项目实验废气核算结果见下表</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4-1。</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4-1</w:t>
            </w: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 xml:space="preserve"> </w:t>
            </w:r>
            <w:r>
              <w:rPr>
                <w:rFonts w:hint="eastAsia" w:cs="Times New Roman"/>
                <w:b/>
                <w:snapToGrid w:val="0"/>
                <w:color w:val="000000" w:themeColor="text1"/>
                <w:kern w:val="0"/>
                <w:sz w:val="24"/>
                <w:szCs w:val="24"/>
                <w:highlight w:val="none"/>
                <w:lang w:val="en-US" w:eastAsia="zh-CN"/>
                <w14:textFill>
                  <w14:solidFill>
                    <w14:schemeClr w14:val="tx1"/>
                  </w14:solidFill>
                </w14:textFill>
              </w:rPr>
              <w:t>实验废气（</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有机废气</w:t>
            </w:r>
            <w:r>
              <w:rPr>
                <w:rFonts w:hint="eastAsia" w:cs="Times New Roman"/>
                <w:b/>
                <w:snapToGrid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核算结果表</w:t>
            </w:r>
          </w:p>
          <w:tbl>
            <w:tblPr>
              <w:tblStyle w:val="36"/>
              <w:tblW w:w="81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498"/>
              <w:gridCol w:w="2778"/>
              <w:gridCol w:w="1904"/>
              <w:gridCol w:w="19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实验室</w:t>
                  </w: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新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新宋体" w:cs="Times New Roman"/>
                      <w:b/>
                      <w:bCs/>
                      <w:i w:val="0"/>
                      <w:iCs w:val="0"/>
                      <w:color w:val="000000" w:themeColor="text1"/>
                      <w:kern w:val="0"/>
                      <w:sz w:val="21"/>
                      <w:szCs w:val="21"/>
                      <w:highlight w:val="none"/>
                      <w:u w:val="none"/>
                      <w:lang w:val="en-US" w:eastAsia="zh-CN" w:bidi="ar"/>
                      <w14:textFill>
                        <w14:solidFill>
                          <w14:schemeClr w14:val="tx1"/>
                        </w14:solidFill>
                      </w14:textFill>
                    </w:rPr>
                    <w:t>年用量（kg/a）</w:t>
                  </w:r>
                </w:p>
              </w:tc>
              <w:tc>
                <w:tcPr>
                  <w:tcW w:w="19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新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新宋体" w:cs="Times New Roman"/>
                      <w:b/>
                      <w:bCs/>
                      <w:i w:val="0"/>
                      <w:iCs w:val="0"/>
                      <w:color w:val="000000" w:themeColor="text1"/>
                      <w:kern w:val="0"/>
                      <w:sz w:val="21"/>
                      <w:szCs w:val="21"/>
                      <w:highlight w:val="none"/>
                      <w:u w:val="none"/>
                      <w:lang w:val="en-US" w:eastAsia="zh-CN" w:bidi="ar"/>
                      <w14:textFill>
                        <w14:solidFill>
                          <w14:schemeClr w14:val="tx1"/>
                        </w14:solidFill>
                      </w14:textFill>
                    </w:rPr>
                    <w:t>废气产生量（kg/a）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五楼化验室</w:t>
                  </w: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乙腈</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吡啶</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122</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N,N二甲基甲酰胺</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丙酮</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三氯甲烷</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乙醇</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异丙醇</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397.6</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碳酸丙烯酯</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291.6</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二正丁胺</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碳酸乙烯酯</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144</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碳酸二乙酯</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乙二醇二甲醚</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324</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碳酸二甲酯</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367.8</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14.712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乙酸酐</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468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合计</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113.22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六楼研发室</w:t>
                  </w: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296.7</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11.868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1,2-二氯乙烷</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1,2-丙二醇</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氯化亚砜</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三氟乙醇</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六甲基二硅氮烷</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六甲基二硅氧烷</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甲基三甲氧基硅烷</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四甲基二硅氧烷</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三甲基氯硅烷</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八甲基环四硅氧烷</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六亚甲基二异氰酸酯</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7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甲基异丁基甲酮</w:t>
                  </w:r>
                </w:p>
              </w:tc>
              <w:tc>
                <w:tcPr>
                  <w:tcW w:w="1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468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合计</w:t>
                  </w:r>
                </w:p>
              </w:tc>
              <w:tc>
                <w:tcPr>
                  <w:tcW w:w="19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22.548</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由上表可知，项目实验过程中</w:t>
            </w:r>
            <w:r>
              <w:rPr>
                <w:rFonts w:hint="eastAsia" w:eastAsia="新宋体" w:cs="Times New Roman"/>
                <w:color w:val="000000" w:themeColor="text1"/>
                <w:sz w:val="24"/>
                <w:szCs w:val="22"/>
                <w:highlight w:val="none"/>
                <w:lang w:val="en-US" w:eastAsia="zh-CN"/>
                <w14:textFill>
                  <w14:solidFill>
                    <w14:schemeClr w14:val="tx1"/>
                  </w14:solidFill>
                </w14:textFill>
              </w:rPr>
              <w:t>五楼化验室</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有机废气产生量约为</w:t>
            </w:r>
            <w:r>
              <w:rPr>
                <w:rFonts w:hint="eastAsia" w:eastAsia="新宋体" w:cs="Times New Roman"/>
                <w:color w:val="000000" w:themeColor="text1"/>
                <w:sz w:val="24"/>
                <w:szCs w:val="22"/>
                <w:highlight w:val="none"/>
                <w:lang w:val="en-US" w:eastAsia="zh-CN"/>
                <w14:textFill>
                  <w14:solidFill>
                    <w14:schemeClr w14:val="tx1"/>
                  </w14:solidFill>
                </w14:textFill>
              </w:rPr>
              <w:t>113.22</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kg/a</w:t>
            </w:r>
            <w:r>
              <w:rPr>
                <w:rFonts w:hint="eastAsia" w:eastAsia="新宋体" w:cs="Times New Roman"/>
                <w:color w:val="000000" w:themeColor="text1"/>
                <w:sz w:val="24"/>
                <w:szCs w:val="22"/>
                <w:highlight w:val="none"/>
                <w:lang w:val="en-US" w:eastAsia="zh-CN"/>
                <w14:textFill>
                  <w14:solidFill>
                    <w14:schemeClr w14:val="tx1"/>
                  </w14:solidFill>
                </w14:textFill>
              </w:rPr>
              <w:t>，六楼研发室</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有机废气产生量约为</w:t>
            </w:r>
            <w:r>
              <w:rPr>
                <w:rFonts w:hint="eastAsia" w:eastAsia="新宋体" w:cs="Times New Roman"/>
                <w:color w:val="000000" w:themeColor="text1"/>
                <w:sz w:val="24"/>
                <w:szCs w:val="22"/>
                <w:highlight w:val="none"/>
                <w:lang w:val="en-US" w:eastAsia="zh-CN"/>
                <w14:textFill>
                  <w14:solidFill>
                    <w14:schemeClr w14:val="tx1"/>
                  </w14:solidFill>
                </w14:textFill>
              </w:rPr>
              <w:t>22.548</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kg/a。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②</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试剂存放废气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《排放因子手册》（EPA AP-42）</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普通密封常规实验室试剂</w:t>
            </w:r>
            <w:r>
              <w:rPr>
                <w:rFonts w:hint="eastAsia" w:cs="Times New Roman"/>
                <w:color w:val="000000" w:themeColor="text1"/>
                <w:kern w:val="0"/>
                <w:sz w:val="24"/>
                <w:szCs w:val="24"/>
                <w:highlight w:val="none"/>
                <w:lang w:val="en-US" w:eastAsia="zh-CN" w:bidi="ar"/>
                <w14:textFill>
                  <w14:solidFill>
                    <w14:schemeClr w14:val="tx1"/>
                  </w14:solidFill>
                </w14:textFill>
              </w:rPr>
              <w:t>排放因子0.01~0.1，本项目试剂排放因子按最不利情况0.1取值。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E=V×EF×ρ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E：年排放量（kg/a）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V：试剂总体积（m³/a）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EF：AP-42排放因子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ρ：试剂密度（kg/m³）</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4-</w:t>
            </w:r>
            <w:r>
              <w:rPr>
                <w:rFonts w:hint="eastAsia" w:cs="Times New Roman"/>
                <w:b/>
                <w:snapToGrid w:val="0"/>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试剂存放废气</w:t>
            </w:r>
            <w:r>
              <w:rPr>
                <w:rFonts w:hint="eastAsia" w:cs="Times New Roman"/>
                <w:b/>
                <w:snapToGrid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有机废气</w:t>
            </w:r>
            <w:r>
              <w:rPr>
                <w:rFonts w:hint="eastAsia" w:cs="Times New Roman"/>
                <w:b/>
                <w:snapToGrid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核算结果表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54"/>
              <w:gridCol w:w="2518"/>
              <w:gridCol w:w="1114"/>
              <w:gridCol w:w="1023"/>
              <w:gridCol w:w="1258"/>
              <w:gridCol w:w="1187"/>
            </w:tblGrid>
            <w:tr>
              <w:tblPrEx>
                <w:shd w:val="clear" w:color="auto" w:fill="auto"/>
                <w:tblCellMar>
                  <w:top w:w="0" w:type="dxa"/>
                  <w:left w:w="108" w:type="dxa"/>
                  <w:bottom w:w="0" w:type="dxa"/>
                  <w:right w:w="108" w:type="dxa"/>
                </w:tblCellMar>
              </w:tblPrEx>
              <w:trPr>
                <w:trHeight w:val="795" w:hRule="atLeast"/>
                <w:jc w:val="center"/>
              </w:trPr>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实验室</w:t>
                  </w: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新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新宋体" w:cs="Times New Roman"/>
                      <w:b/>
                      <w:bCs/>
                      <w:i w:val="0"/>
                      <w:iCs w:val="0"/>
                      <w:color w:val="000000" w:themeColor="text1"/>
                      <w:kern w:val="0"/>
                      <w:sz w:val="21"/>
                      <w:szCs w:val="21"/>
                      <w:highlight w:val="none"/>
                      <w:u w:val="none"/>
                      <w:lang w:val="en-US" w:eastAsia="zh-CN" w:bidi="ar"/>
                      <w14:textFill>
                        <w14:solidFill>
                          <w14:schemeClr w14:val="tx1"/>
                        </w14:solidFill>
                      </w14:textFill>
                    </w:rPr>
                    <w:t>年用量（kg/a）</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最大</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存储量/m³</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新宋体" w:cs="Times New Roman"/>
                      <w:b/>
                      <w:bCs/>
                      <w:i w:val="0"/>
                      <w:iCs w:val="0"/>
                      <w:color w:val="000000" w:themeColor="text1"/>
                      <w:kern w:val="0"/>
                      <w:sz w:val="21"/>
                      <w:szCs w:val="21"/>
                      <w:highlight w:val="none"/>
                      <w:u w:val="none"/>
                      <w:lang w:val="en-US" w:eastAsia="zh-CN" w:bidi="ar"/>
                      <w14:textFill>
                        <w14:solidFill>
                          <w14:schemeClr w14:val="tx1"/>
                        </w14:solidFill>
                      </w14:textFill>
                    </w:rPr>
                    <w:t>试剂密度</w:t>
                  </w:r>
                  <w:r>
                    <w:rPr>
                      <w:rFonts w:hint="eastAsia" w:eastAsia="新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kg/m³</w:t>
                  </w:r>
                  <w:r>
                    <w:rPr>
                      <w:rFonts w:hint="eastAsia" w:eastAsia="新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年排放量（kg/a）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9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五楼化验室</w:t>
                  </w: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乙腈</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782</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786.6</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吡啶</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122</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978</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N,N二甲基甲酰胺</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944</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862</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丙酮</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786</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三氯甲烷</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1480</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乙醇</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785</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异丙醇</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397.6</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781</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碳酸丙烯酯</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291.6</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1204</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二正丁胺</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763</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碳酸乙烯酯</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144</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1318</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碳酸二乙酯</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971</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乙二醇二甲醚</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324</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865</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碳酸二甲酯</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367.8</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1059</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乙酸酐</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1077</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6035" w:type="dxa"/>
                  <w:gridSpan w:val="4"/>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合计</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 xml:space="preserve">15.442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六楼研发室</w:t>
                  </w: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296.7</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1316</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1,2-二氯乙烷</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0.005</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1230</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1,2-丙二醇</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1032</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氯化亚砜</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1631</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三氟乙醇</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1377</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六甲基二硅氮烷</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785</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六甲基二硅氧烷</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761</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甲基三甲氧基硅烷</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1004</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四甲基二硅氧烷</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760</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三甲基氯硅烷</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853.6</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0.85</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八甲基环四硅氧烷</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955.8</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0.95</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六亚甲基二异氰酸酯</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1047</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甲基异丁基甲酮</w:t>
                  </w:r>
                </w:p>
              </w:tc>
              <w:tc>
                <w:tcPr>
                  <w:tcW w:w="11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10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2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801</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7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p>
              </w:tc>
              <w:tc>
                <w:tcPr>
                  <w:tcW w:w="6035" w:type="dxa"/>
                  <w:gridSpan w:val="4"/>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合计</w:t>
                  </w:r>
                </w:p>
              </w:tc>
              <w:tc>
                <w:tcPr>
                  <w:tcW w:w="12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12.210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color w:val="000000" w:themeColor="text1"/>
                <w:kern w:val="0"/>
                <w:sz w:val="24"/>
                <w:szCs w:val="24"/>
                <w:highlight w:val="none"/>
                <w:lang w:val="en-US" w:eastAsia="zh-CN" w:bidi="ar"/>
                <w14:textFill>
                  <w14:solidFill>
                    <w14:schemeClr w14:val="tx1"/>
                  </w14:solidFill>
                </w14:textFill>
              </w:rPr>
            </w:pPr>
            <w:r>
              <w:rPr>
                <w:rFonts w:hint="eastAsia" w:cs="Times New Roman"/>
                <w:b/>
                <w:bCs/>
                <w:color w:val="000000" w:themeColor="text1"/>
                <w:kern w:val="0"/>
                <w:sz w:val="24"/>
                <w:szCs w:val="24"/>
                <w:highlight w:val="none"/>
                <w:lang w:val="en-US" w:eastAsia="zh-CN" w:bidi="ar"/>
                <w14:textFill>
                  <w14:solidFill>
                    <w14:schemeClr w14:val="tx1"/>
                  </w14:solidFill>
                </w14:textFill>
              </w:rPr>
              <w:t>（2）</w:t>
            </w:r>
            <w:r>
              <w:rPr>
                <w:rFonts w:hint="default" w:cs="Times New Roman"/>
                <w:b/>
                <w:bCs/>
                <w:color w:val="000000" w:themeColor="text1"/>
                <w:kern w:val="0"/>
                <w:sz w:val="24"/>
                <w:szCs w:val="24"/>
                <w:highlight w:val="none"/>
                <w:lang w:val="en-US" w:eastAsia="zh-CN" w:bidi="ar"/>
                <w14:textFill>
                  <w14:solidFill>
                    <w14:schemeClr w14:val="tx1"/>
                  </w14:solidFill>
                </w14:textFill>
              </w:rPr>
              <w:t>无机废气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据建设单位提供的主要化学试剂资料，</w:t>
            </w:r>
            <w:r>
              <w:rPr>
                <w:rFonts w:hint="eastAsia" w:eastAsia="新宋体" w:cs="Times New Roman"/>
                <w:color w:val="000000" w:themeColor="text1"/>
                <w:sz w:val="24"/>
                <w:szCs w:val="22"/>
                <w:highlight w:val="none"/>
                <w:lang w:val="en-US" w:eastAsia="zh-CN"/>
                <w14:textFill>
                  <w14:solidFill>
                    <w14:schemeClr w14:val="tx1"/>
                  </w14:solidFill>
                </w14:textFill>
              </w:rPr>
              <w:t>五楼化验室</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内用到的挥发性无机酸主要为盐酸、硫酸、硝酸，在溶液配制、检测等工序会挥发出氯化氢气体、硫酸雾、硝酸雾（以NOx计）。</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本次环评采用《环境统计手册》中的经验公式计算无机废气产生情况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Gz=M×(0.000352+0.000786×U)×P×F</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式中：Gz—酸雾量，kg/h；</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M—液体分子量，氯化氢为36.5，硫酸为98，硝酸为61；</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U—蒸发液体表面上的空气流速（m/s），应以实测数据为准。无条件实测时，可取0.2～0.5m/s或查表计算；</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P—相应于液体温度下空气中的饱和蒸汽分压力（mmHg）；</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F—蒸发面的面积，m</w:t>
            </w:r>
            <w:r>
              <w:rPr>
                <w:rFonts w:hint="default" w:ascii="Times New Roman" w:hAnsi="Times New Roman" w:eastAsia="新宋体" w:cs="Times New Roman"/>
                <w:color w:val="000000" w:themeColor="text1"/>
                <w:sz w:val="24"/>
                <w:szCs w:val="22"/>
                <w:highlight w:val="none"/>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各参数的确定：</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①蒸发液体表面上的空气流速，实验仪器内的液体温度为20~27℃，U值取0.3m/s；</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②液体温度下空气中的饱和蒸汽压力，蒸发表面温度为27℃，查表得P=18.1mmHg；</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③蒸发面面积，项目取蒸发面积F=0.005m</w:t>
            </w:r>
            <w:r>
              <w:rPr>
                <w:rFonts w:hint="default" w:ascii="Times New Roman" w:hAnsi="Times New Roman" w:eastAsia="新宋体" w:cs="Times New Roman"/>
                <w:color w:val="000000" w:themeColor="text1"/>
                <w:sz w:val="24"/>
                <w:szCs w:val="22"/>
                <w:highlight w:val="none"/>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由上述公式可以计算得Gz氯化氢=0.0019kg/h、Gz硫酸雾=0.0052kg/h、Gz硝酸雾=0.0032kg/h，实验室年工作300天，实验敞开时间以0.2h/d计，则本项目年产生最大盐酸雾（氯化氢）、硫酸雾、硝酸雾（以NOx计）产生量分别为0.114kg/a、0.312kg/a、0.192kg/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本项目</w:t>
            </w:r>
            <w:r>
              <w:rPr>
                <w:rFonts w:hint="eastAsia" w:eastAsia="新宋体" w:cs="Times New Roman"/>
                <w:color w:val="000000" w:themeColor="text1"/>
                <w:sz w:val="24"/>
                <w:szCs w:val="22"/>
                <w:highlight w:val="none"/>
                <w:lang w:val="en-US" w:eastAsia="zh-CN"/>
                <w14:textFill>
                  <w14:solidFill>
                    <w14:schemeClr w14:val="tx1"/>
                  </w14:solidFill>
                </w14:textFill>
              </w:rPr>
              <w:t>六楼研发室</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使用的氨水为</w:t>
            </w:r>
            <w:r>
              <w:rPr>
                <w:rFonts w:hint="eastAsia" w:eastAsia="新宋体" w:cs="Times New Roman"/>
                <w:color w:val="000000" w:themeColor="text1"/>
                <w:sz w:val="24"/>
                <w:szCs w:val="22"/>
                <w:highlight w:val="none"/>
                <w:lang w:val="en-US" w:eastAsia="zh-CN"/>
                <w14:textFill>
                  <w14:solidFill>
                    <w14:schemeClr w14:val="tx1"/>
                  </w14:solidFill>
                </w14:textFill>
              </w:rPr>
              <w:t>9</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%，使用时会挥发产生氨气。</w:t>
            </w:r>
            <w:r>
              <w:rPr>
                <w:rFonts w:hint="eastAsia" w:cs="Times New Roman"/>
                <w:color w:val="000000" w:themeColor="text1"/>
                <w:kern w:val="0"/>
                <w:sz w:val="24"/>
                <w:szCs w:val="24"/>
                <w:highlight w:val="none"/>
                <w:lang w:val="en-US" w:eastAsia="zh-CN" w:bidi="ar"/>
                <w14:textFill>
                  <w14:solidFill>
                    <w14:schemeClr w14:val="tx1"/>
                  </w14:solidFill>
                </w14:textFill>
              </w:rPr>
              <w:t>根据</w:t>
            </w:r>
            <w:r>
              <w:rPr>
                <w:rFonts w:hint="default" w:cs="Times New Roman"/>
                <w:color w:val="000000" w:themeColor="text1"/>
                <w:kern w:val="0"/>
                <w:sz w:val="24"/>
                <w:szCs w:val="24"/>
                <w:highlight w:val="none"/>
                <w:lang w:val="en-US" w:eastAsia="zh-CN" w:bidi="ar"/>
                <w14:textFill>
                  <w14:solidFill>
                    <w14:schemeClr w14:val="tx1"/>
                  </w14:solidFill>
                </w14:textFill>
              </w:rPr>
              <w:t>《排放因子手册》（EPA AP-42）</w:t>
            </w:r>
            <w:r>
              <w:rPr>
                <w:rFonts w:hint="eastAsia" w:cs="Times New Roman"/>
                <w:color w:val="000000" w:themeColor="text1"/>
                <w:kern w:val="0"/>
                <w:sz w:val="24"/>
                <w:szCs w:val="24"/>
                <w:highlight w:val="none"/>
                <w:lang w:val="en-US" w:eastAsia="zh-CN" w:bidi="ar"/>
                <w14:textFill>
                  <w14:solidFill>
                    <w14:schemeClr w14:val="tx1"/>
                  </w14:solidFill>
                </w14:textFill>
              </w:rPr>
              <w:t>，氨水（5%</w:t>
            </w:r>
            <w:r>
              <w:rPr>
                <w:rFonts w:hint="default" w:cs="Times New Roman"/>
                <w:color w:val="000000" w:themeColor="text1"/>
                <w:kern w:val="0"/>
                <w:sz w:val="24"/>
                <w:szCs w:val="24"/>
                <w:highlight w:val="none"/>
                <w:lang w:val="en-US" w:eastAsia="zh-CN" w:bidi="ar"/>
                <w14:textFill>
                  <w14:solidFill>
                    <w14:schemeClr w14:val="tx1"/>
                  </w14:solidFill>
                </w14:textFill>
              </w:rPr>
              <w:t>~30%浓度）在搅拌或曝气条件下，</w:t>
            </w:r>
            <w:r>
              <w:rPr>
                <w:rFonts w:hint="eastAsia" w:cs="Times New Roman"/>
                <w:color w:val="000000" w:themeColor="text1"/>
                <w:kern w:val="0"/>
                <w:sz w:val="24"/>
                <w:szCs w:val="24"/>
                <w:highlight w:val="none"/>
                <w:lang w:val="en-US" w:eastAsia="zh-CN" w:bidi="ar"/>
                <w14:textFill>
                  <w14:solidFill>
                    <w14:schemeClr w14:val="tx1"/>
                  </w14:solidFill>
                </w14:textFill>
              </w:rPr>
              <w:t>氨</w:t>
            </w:r>
            <w:r>
              <w:rPr>
                <w:rFonts w:hint="default" w:cs="Times New Roman"/>
                <w:color w:val="000000" w:themeColor="text1"/>
                <w:kern w:val="0"/>
                <w:sz w:val="24"/>
                <w:szCs w:val="24"/>
                <w:highlight w:val="none"/>
                <w:lang w:val="en-US" w:eastAsia="zh-CN" w:bidi="ar"/>
                <w14:textFill>
                  <w14:solidFill>
                    <w14:schemeClr w14:val="tx1"/>
                  </w14:solidFill>
                </w14:textFill>
              </w:rPr>
              <w:t>挥发速率约为1.5~6.0 kg/吨氨水·小时。</w:t>
            </w:r>
            <w:r>
              <w:rPr>
                <w:rFonts w:hint="eastAsia" w:cs="Times New Roman"/>
                <w:color w:val="000000" w:themeColor="text1"/>
                <w:kern w:val="0"/>
                <w:sz w:val="24"/>
                <w:szCs w:val="24"/>
                <w:highlight w:val="none"/>
                <w:lang w:val="en-US" w:eastAsia="zh-CN" w:bidi="ar"/>
                <w14:textFill>
                  <w14:solidFill>
                    <w14:schemeClr w14:val="tx1"/>
                  </w14:solidFill>
                </w14:textFill>
              </w:rPr>
              <w:t>本项目氨挥发速率按最不利情况6.0kg/</w:t>
            </w:r>
            <w:r>
              <w:rPr>
                <w:rFonts w:hint="default" w:cs="Times New Roman"/>
                <w:color w:val="000000" w:themeColor="text1"/>
                <w:kern w:val="0"/>
                <w:sz w:val="24"/>
                <w:szCs w:val="24"/>
                <w:highlight w:val="none"/>
                <w:lang w:val="en-US" w:eastAsia="zh-CN" w:bidi="ar"/>
                <w14:textFill>
                  <w14:solidFill>
                    <w14:schemeClr w14:val="tx1"/>
                  </w14:solidFill>
                </w14:textFill>
              </w:rPr>
              <w:t>吨氨水·小时</w:t>
            </w:r>
            <w:r>
              <w:rPr>
                <w:rFonts w:hint="eastAsia" w:cs="Times New Roman"/>
                <w:color w:val="000000" w:themeColor="text1"/>
                <w:kern w:val="0"/>
                <w:sz w:val="24"/>
                <w:szCs w:val="24"/>
                <w:highlight w:val="none"/>
                <w:lang w:val="en-US" w:eastAsia="zh-CN" w:bidi="ar"/>
                <w14:textFill>
                  <w14:solidFill>
                    <w14:schemeClr w14:val="tx1"/>
                  </w14:solidFill>
                </w14:textFill>
              </w:rPr>
              <w:t>取值。实验室氨水用量为10kg/a，</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实验室年工作300天，实验敞开时间以0.2h/d计，</w:t>
            </w:r>
            <w:r>
              <w:rPr>
                <w:rFonts w:hint="eastAsia" w:eastAsia="新宋体" w:cs="Times New Roman"/>
                <w:color w:val="000000" w:themeColor="text1"/>
                <w:sz w:val="24"/>
                <w:szCs w:val="22"/>
                <w:highlight w:val="none"/>
                <w:lang w:val="en-US" w:eastAsia="zh-CN"/>
                <w14:textFill>
                  <w14:solidFill>
                    <w14:schemeClr w14:val="tx1"/>
                  </w14:solidFill>
                </w14:textFill>
              </w:rPr>
              <w:t>经计算，本项目氨挥发量为3.6kg/a。</w:t>
            </w:r>
          </w:p>
          <w:p>
            <w:pPr>
              <w:widowControl/>
              <w:spacing w:line="360" w:lineRule="auto"/>
              <w:ind w:firstLine="482" w:firstLineChars="200"/>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b/>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b/>
                <w:color w:val="000000" w:themeColor="text1"/>
                <w:kern w:val="0"/>
                <w:sz w:val="24"/>
                <w:highlight w:val="none"/>
                <w14:textFill>
                  <w14:solidFill>
                    <w14:schemeClr w14:val="tx1"/>
                  </w14:solidFill>
                </w14:textFill>
              </w:rPr>
              <w:t>废气</w:t>
            </w:r>
            <w:r>
              <w:rPr>
                <w:rFonts w:hint="eastAsia" w:cs="Times New Roman"/>
                <w:b/>
                <w:color w:val="000000" w:themeColor="text1"/>
                <w:kern w:val="0"/>
                <w:sz w:val="24"/>
                <w:highlight w:val="none"/>
                <w:lang w:val="en-US" w:eastAsia="zh-CN"/>
                <w14:textFill>
                  <w14:solidFill>
                    <w14:schemeClr w14:val="tx1"/>
                  </w14:solidFill>
                </w14:textFill>
              </w:rPr>
              <w:t>治理</w:t>
            </w:r>
            <w:r>
              <w:rPr>
                <w:rFonts w:hint="default" w:ascii="Times New Roman" w:hAnsi="Times New Roman" w:cs="Times New Roman"/>
                <w:b/>
                <w:color w:val="000000" w:themeColor="text1"/>
                <w:kern w:val="0"/>
                <w:sz w:val="24"/>
                <w:highlight w:val="none"/>
                <w14:textFill>
                  <w14:solidFill>
                    <w14:schemeClr w14:val="tx1"/>
                  </w14:solidFill>
                </w14:textFill>
              </w:rPr>
              <w:t>设施</w:t>
            </w:r>
            <w:r>
              <w:rPr>
                <w:rFonts w:hint="eastAsia" w:cs="Times New Roman"/>
                <w:b/>
                <w:color w:val="000000" w:themeColor="text1"/>
                <w:kern w:val="0"/>
                <w:sz w:val="24"/>
                <w:highlight w:val="none"/>
                <w:lang w:val="en-US" w:eastAsia="zh-CN"/>
                <w14:textFill>
                  <w14:solidFill>
                    <w14:schemeClr w14:val="tx1"/>
                  </w14:solidFill>
                </w14:textFill>
              </w:rPr>
              <w:t>及可行性分析</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t>（1）废气治理措施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实验过程中涉及使用易挥发试剂的实验操作均在通风橱、集气罩内进行，实验废气（无机废气、有机废气）经通风橱排风系统、集气罩收集后通过“活性炭吸附”废气处理装置处理后通过排气筒排放。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五楼化验室（</w:t>
            </w:r>
            <w:r>
              <w:rPr>
                <w:rFonts w:hint="eastAsia" w:eastAsia="新宋体" w:cs="Times New Roman"/>
                <w:color w:val="000000" w:themeColor="text1"/>
                <w:sz w:val="24"/>
                <w:szCs w:val="22"/>
                <w:highlight w:val="none"/>
                <w:lang w:val="en-US" w:eastAsia="zh-CN"/>
                <w14:textFill>
                  <w14:solidFill>
                    <w14:schemeClr w14:val="tx1"/>
                  </w14:solidFill>
                </w14:textFill>
              </w:rPr>
              <w:t>气相室</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、ICP光谱室、化学分析室</w:t>
            </w:r>
            <w:r>
              <w:rPr>
                <w:rFonts w:hint="eastAsia" w:eastAsia="新宋体" w:cs="Times New Roman"/>
                <w:color w:val="000000" w:themeColor="text1"/>
                <w:sz w:val="24"/>
                <w:szCs w:val="22"/>
                <w:highlight w:val="none"/>
                <w:lang w:val="en-US" w:eastAsia="zh-CN"/>
                <w14:textFill>
                  <w14:solidFill>
                    <w14:schemeClr w14:val="tx1"/>
                  </w14:solidFill>
                </w14:textFill>
              </w:rPr>
              <w:t>、手套箱室</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）废气经负压收集后进入活性炭吸附处理（风机风量22000m³/h），经1根高</w:t>
            </w:r>
            <w:r>
              <w:rPr>
                <w:rFonts w:hint="eastAsia" w:eastAsia="新宋体" w:cs="Times New Roman"/>
                <w:color w:val="000000" w:themeColor="text1"/>
                <w:sz w:val="24"/>
                <w:szCs w:val="22"/>
                <w:highlight w:val="none"/>
                <w:lang w:val="en-US" w:eastAsia="zh-CN"/>
                <w14:textFill>
                  <w14:solidFill>
                    <w14:schemeClr w14:val="tx1"/>
                  </w14:solidFill>
                </w14:textFill>
              </w:rPr>
              <w:t>29.5</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m、内径</w:t>
            </w:r>
            <w:r>
              <w:rPr>
                <w:rFonts w:hint="eastAsia" w:eastAsia="新宋体" w:cs="Times New Roman"/>
                <w:color w:val="000000" w:themeColor="text1"/>
                <w:sz w:val="24"/>
                <w:szCs w:val="22"/>
                <w:highlight w:val="none"/>
                <w:lang w:val="en-US" w:eastAsia="zh-CN"/>
                <w14:textFill>
                  <w14:solidFill>
                    <w14:schemeClr w14:val="tx1"/>
                  </w14:solidFill>
                </w14:textFill>
              </w:rPr>
              <w:t>0.63</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m的排气筒（P9）排放。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六楼研发室（实验室、力学实验室）废气经负压收集后进入活性炭吸附处理（风机风量30000m³/h），经1根高</w:t>
            </w:r>
            <w:r>
              <w:rPr>
                <w:rFonts w:hint="eastAsia" w:eastAsia="新宋体" w:cs="Times New Roman"/>
                <w:color w:val="000000" w:themeColor="text1"/>
                <w:sz w:val="24"/>
                <w:szCs w:val="22"/>
                <w:highlight w:val="none"/>
                <w:lang w:val="en-US" w:eastAsia="zh-CN"/>
                <w14:textFill>
                  <w14:solidFill>
                    <w14:schemeClr w14:val="tx1"/>
                  </w14:solidFill>
                </w14:textFill>
              </w:rPr>
              <w:t>29.5</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m、内径</w:t>
            </w:r>
            <w:r>
              <w:rPr>
                <w:rFonts w:hint="eastAsia" w:eastAsia="新宋体" w:cs="Times New Roman"/>
                <w:color w:val="000000" w:themeColor="text1"/>
                <w:sz w:val="24"/>
                <w:szCs w:val="22"/>
                <w:highlight w:val="none"/>
                <w:lang w:val="en-US" w:eastAsia="zh-CN"/>
                <w14:textFill>
                  <w14:solidFill>
                    <w14:schemeClr w14:val="tx1"/>
                  </w14:solidFill>
                </w14:textFill>
              </w:rPr>
              <w:t>0.9</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m的排气筒（P10）排放。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五楼留样间、药品间废气及六楼研发室试剂间废气经负压收集后进入活性炭吸附处理（风机风量</w:t>
            </w:r>
            <w:r>
              <w:rPr>
                <w:rFonts w:hint="eastAsia" w:eastAsia="新宋体" w:cs="Times New Roman"/>
                <w:color w:val="000000" w:themeColor="text1"/>
                <w:sz w:val="24"/>
                <w:szCs w:val="22"/>
                <w:highlight w:val="none"/>
                <w:lang w:val="en-US" w:eastAsia="zh-CN"/>
                <w14:textFill>
                  <w14:solidFill>
                    <w14:schemeClr w14:val="tx1"/>
                  </w14:solidFill>
                </w14:textFill>
              </w:rPr>
              <w:t>12000</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m³/h），经1根高</w:t>
            </w:r>
            <w:r>
              <w:rPr>
                <w:rFonts w:hint="eastAsia" w:eastAsia="新宋体" w:cs="Times New Roman"/>
                <w:color w:val="000000" w:themeColor="text1"/>
                <w:sz w:val="24"/>
                <w:szCs w:val="22"/>
                <w:highlight w:val="none"/>
                <w:lang w:val="en-US" w:eastAsia="zh-CN"/>
                <w14:textFill>
                  <w14:solidFill>
                    <w14:schemeClr w14:val="tx1"/>
                  </w14:solidFill>
                </w14:textFill>
              </w:rPr>
              <w:t>29.5</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m、内径</w:t>
            </w:r>
            <w:r>
              <w:rPr>
                <w:rFonts w:hint="eastAsia" w:eastAsia="新宋体" w:cs="Times New Roman"/>
                <w:color w:val="000000" w:themeColor="text1"/>
                <w:sz w:val="24"/>
                <w:szCs w:val="22"/>
                <w:highlight w:val="none"/>
                <w:lang w:val="en-US" w:eastAsia="zh-CN"/>
                <w14:textFill>
                  <w14:solidFill>
                    <w14:schemeClr w14:val="tx1"/>
                  </w14:solidFill>
                </w14:textFill>
              </w:rPr>
              <w:t>0.55</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m的排气筒（P11）排放。</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object>
                <v:shape id="_x0000_i1030" o:spt="75" type="#_x0000_t75" style="height:154.5pt;width:382.9pt;" o:ole="t" filled="f" o:preferrelative="t" stroked="f" coordsize="21600,21600">
                  <v:path/>
                  <v:fill on="f" focussize="0,0"/>
                  <v:stroke on="f"/>
                  <v:imagedata r:id="rId22" o:title=""/>
                  <o:lock v:ext="edit" aspectratio="f"/>
                  <w10:wrap type="none"/>
                  <w10:anchorlock/>
                </v:shape>
                <o:OLEObject Type="Embed" ProgID="Visio.Drawing.15" ShapeID="_x0000_i1030" DrawAspect="Content" ObjectID="_1468075730" r:id="rId21">
                  <o:LockedField>false</o:LockedField>
                </o:OLEObject>
              </w:objec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center"/>
              <w:textAlignment w:val="auto"/>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图4-1  废气处理及排放去向示意图</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t>（2）风机风量：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本次环评参照《化学实验楼通风设计》（期刊：工程科技II辑·建筑科学与工程；工程科技I辑·安全科学与灾害防治；《工程建设与设计》，2012年07期；作者：唐曾琦），通风橱/集气罩风量计算如下：</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t>a.通风橱排风量：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L=3600FVβ</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式中：</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L-通风橱排风量，m³/h；</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F-通风橱操作窗面开启面积，m</w:t>
            </w:r>
            <w:r>
              <w:rPr>
                <w:rFonts w:hint="eastAsia" w:ascii="Times New Roman" w:hAnsi="Times New Roman" w:eastAsia="新宋体" w:cs="Times New Roman"/>
                <w:color w:val="000000" w:themeColor="text1"/>
                <w:sz w:val="24"/>
                <w:szCs w:val="22"/>
                <w:highlight w:val="none"/>
                <w:vertAlign w:val="superscript"/>
                <w:lang w:val="en-US" w:eastAsia="zh-CN"/>
                <w14:textFill>
                  <w14:solidFill>
                    <w14:schemeClr w14:val="tx1"/>
                  </w14:solidFill>
                </w14:textFill>
              </w:rPr>
              <w:t>2</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V-通风橱操作口面风速，一般取0.5~0.6m/s，本次取0.5m/s；</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β-安全系数，一般取1.05～1.1，本次取1.05。</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t>b.集气罩排风量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根据Dalla-Valle公式计算:</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L=0.75×(5X</w:t>
            </w:r>
            <w:r>
              <w:rPr>
                <w:rFonts w:hint="eastAsia" w:ascii="Times New Roman" w:hAnsi="Times New Roman" w:eastAsia="新宋体" w:cs="Times New Roman"/>
                <w:color w:val="000000" w:themeColor="text1"/>
                <w:sz w:val="24"/>
                <w:szCs w:val="22"/>
                <w:highlight w:val="none"/>
                <w:vertAlign w:val="superscript"/>
                <w:lang w:val="en-US" w:eastAsia="zh-CN"/>
                <w14:textFill>
                  <w14:solidFill>
                    <w14:schemeClr w14:val="tx1"/>
                  </w14:solidFill>
                </w14:textFill>
              </w:rPr>
              <w:t>2</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+F)×Vx×3600</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式中：</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L-集气罩收集风量，m³/h；</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X-距罩口距离，m，本次取0.2m；</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F-集气罩口面积，m</w:t>
            </w:r>
            <w:r>
              <w:rPr>
                <w:rFonts w:hint="eastAsia" w:ascii="Times New Roman" w:hAnsi="Times New Roman" w:eastAsia="新宋体" w:cs="Times New Roman"/>
                <w:color w:val="000000" w:themeColor="text1"/>
                <w:sz w:val="24"/>
                <w:szCs w:val="22"/>
                <w:highlight w:val="none"/>
                <w:vertAlign w:val="superscript"/>
                <w:lang w:val="en-US" w:eastAsia="zh-CN"/>
                <w14:textFill>
                  <w14:solidFill>
                    <w14:schemeClr w14:val="tx1"/>
                  </w14:solidFill>
                </w14:textFill>
              </w:rPr>
              <w:t>2</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Vx-控制风速，m/s，本次取0.4m/s。</w:t>
            </w:r>
          </w:p>
          <w:p>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根据建设单位提供资料，通风橱操作面面积为0.5m</w:t>
            </w:r>
            <w:r>
              <w:rPr>
                <w:rFonts w:hint="eastAsia" w:ascii="Times New Roman" w:hAnsi="Times New Roman" w:eastAsia="新宋体" w:cs="Times New Roman"/>
                <w:color w:val="000000" w:themeColor="text1"/>
                <w:sz w:val="24"/>
                <w:szCs w:val="22"/>
                <w:highlight w:val="none"/>
                <w:vertAlign w:val="superscript"/>
                <w:lang w:val="en-US" w:eastAsia="zh-CN"/>
                <w14:textFill>
                  <w14:solidFill>
                    <w14:schemeClr w14:val="tx1"/>
                  </w14:solidFill>
                </w14:textFill>
              </w:rPr>
              <w:t>2</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，集气罩（圆形，内径0.2m）面积为0.0314m</w:t>
            </w:r>
            <w:r>
              <w:rPr>
                <w:rFonts w:hint="eastAsia" w:ascii="Times New Roman" w:hAnsi="Times New Roman" w:eastAsia="新宋体" w:cs="Times New Roman"/>
                <w:color w:val="000000" w:themeColor="text1"/>
                <w:sz w:val="24"/>
                <w:szCs w:val="22"/>
                <w:highlight w:val="none"/>
                <w:vertAlign w:val="superscript"/>
                <w:lang w:val="en-US" w:eastAsia="zh-CN"/>
                <w14:textFill>
                  <w14:solidFill>
                    <w14:schemeClr w14:val="tx1"/>
                  </w14:solidFill>
                </w14:textFill>
              </w:rPr>
              <w:t>2</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，经计算，单个通风橱所需风量约945m³/h，单个集气罩的风量为250m³/h。</w:t>
            </w:r>
          </w:p>
          <w:p>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实验室五楼设置</w:t>
            </w:r>
            <w:r>
              <w:rPr>
                <w:rFonts w:hint="eastAsia" w:eastAsia="新宋体" w:cs="Times New Roman"/>
                <w:color w:val="000000" w:themeColor="text1"/>
                <w:sz w:val="24"/>
                <w:szCs w:val="22"/>
                <w:highlight w:val="none"/>
                <w:lang w:val="en-US" w:eastAsia="zh-CN"/>
                <w14:textFill>
                  <w14:solidFill>
                    <w14:schemeClr w14:val="tx1"/>
                  </w14:solidFill>
                </w14:textFill>
              </w:rPr>
              <w:t>10</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个通风橱和</w:t>
            </w:r>
            <w:r>
              <w:rPr>
                <w:rFonts w:hint="eastAsia" w:eastAsia="新宋体" w:cs="Times New Roman"/>
                <w:color w:val="000000" w:themeColor="text1"/>
                <w:sz w:val="24"/>
                <w:szCs w:val="22"/>
                <w:highlight w:val="none"/>
                <w:lang w:val="en-US" w:eastAsia="zh-CN"/>
                <w14:textFill>
                  <w14:solidFill>
                    <w14:schemeClr w14:val="tx1"/>
                  </w14:solidFill>
                </w14:textFill>
              </w:rPr>
              <w:t>34</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个集气罩，则通风橱和集气罩所需总风量为</w:t>
            </w:r>
            <w:r>
              <w:rPr>
                <w:rFonts w:hint="eastAsia" w:eastAsia="新宋体" w:cs="Times New Roman"/>
                <w:color w:val="000000" w:themeColor="text1"/>
                <w:sz w:val="24"/>
                <w:szCs w:val="22"/>
                <w:highlight w:val="none"/>
                <w:lang w:val="en-US" w:eastAsia="zh-CN"/>
                <w14:textFill>
                  <w14:solidFill>
                    <w14:schemeClr w14:val="tx1"/>
                  </w14:solidFill>
                </w14:textFill>
              </w:rPr>
              <w:t>17950</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m³/h，本项目“活性炭吸附”装置废气处理装置风机风量为22000m³/h，满足使用要求。</w:t>
            </w:r>
          </w:p>
          <w:p>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实验室六楼设置</w:t>
            </w:r>
            <w:r>
              <w:rPr>
                <w:rFonts w:hint="eastAsia" w:eastAsia="新宋体" w:cs="Times New Roman"/>
                <w:color w:val="000000" w:themeColor="text1"/>
                <w:sz w:val="24"/>
                <w:szCs w:val="22"/>
                <w:highlight w:val="none"/>
                <w:lang w:val="en-US" w:eastAsia="zh-CN"/>
                <w14:textFill>
                  <w14:solidFill>
                    <w14:schemeClr w14:val="tx1"/>
                  </w14:solidFill>
                </w14:textFill>
              </w:rPr>
              <w:t>18</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个通风橱和</w:t>
            </w:r>
            <w:r>
              <w:rPr>
                <w:rFonts w:hint="eastAsia" w:eastAsia="新宋体" w:cs="Times New Roman"/>
                <w:color w:val="000000" w:themeColor="text1"/>
                <w:sz w:val="24"/>
                <w:szCs w:val="22"/>
                <w:highlight w:val="none"/>
                <w:lang w:val="en-US" w:eastAsia="zh-CN"/>
                <w14:textFill>
                  <w14:solidFill>
                    <w14:schemeClr w14:val="tx1"/>
                  </w14:solidFill>
                </w14:textFill>
              </w:rPr>
              <w:t>4</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个集气罩，则通风橱和集气罩所需总风量为</w:t>
            </w:r>
            <w:r>
              <w:rPr>
                <w:rFonts w:hint="eastAsia" w:eastAsia="新宋体" w:cs="Times New Roman"/>
                <w:color w:val="000000" w:themeColor="text1"/>
                <w:sz w:val="24"/>
                <w:szCs w:val="22"/>
                <w:highlight w:val="none"/>
                <w:lang w:val="en-US" w:eastAsia="zh-CN"/>
                <w14:textFill>
                  <w14:solidFill>
                    <w14:schemeClr w14:val="tx1"/>
                  </w14:solidFill>
                </w14:textFill>
              </w:rPr>
              <w:t>18010</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m³/h，本项目“活性炭吸附”装置废气处理装置风机风量为30000m³/h，满足使用要求。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五楼留样间、药品间废气及六楼研发室试剂间废气经负压收集后进入活性炭吸附处理</w:t>
            </w:r>
            <w:r>
              <w:rPr>
                <w:rFonts w:hint="eastAsia" w:eastAsia="新宋体" w:cs="Times New Roman"/>
                <w:color w:val="000000" w:themeColor="text1"/>
                <w:sz w:val="24"/>
                <w:szCs w:val="22"/>
                <w:highlight w:val="none"/>
                <w:lang w:val="en-US" w:eastAsia="zh-CN"/>
                <w14:textFill>
                  <w14:solidFill>
                    <w14:schemeClr w14:val="tx1"/>
                  </w14:solidFill>
                </w14:textFill>
              </w:rPr>
              <w:t>，各试剂存放柜规格及换气次数见下表：</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4-</w:t>
            </w:r>
            <w:r>
              <w:rPr>
                <w:rFonts w:hint="eastAsia" w:cs="Times New Roman"/>
                <w:b/>
                <w:snapToGrid w:val="0"/>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试剂存放废气</w:t>
            </w:r>
            <w:r>
              <w:rPr>
                <w:rFonts w:hint="eastAsia" w:cs="Times New Roman"/>
                <w:b/>
                <w:snapToGrid w:val="0"/>
                <w:color w:val="000000" w:themeColor="text1"/>
                <w:kern w:val="0"/>
                <w:sz w:val="24"/>
                <w:szCs w:val="24"/>
                <w:highlight w:val="none"/>
                <w:lang w:val="en-US" w:eastAsia="zh-CN"/>
                <w14:textFill>
                  <w14:solidFill>
                    <w14:schemeClr w14:val="tx1"/>
                  </w14:solidFill>
                </w14:textFill>
              </w:rPr>
              <w:t>量</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核算</w:t>
            </w:r>
            <w:r>
              <w:rPr>
                <w:rFonts w:hint="eastAsia" w:cs="Times New Roman"/>
                <w:b/>
                <w:snapToGrid w:val="0"/>
                <w:color w:val="000000" w:themeColor="text1"/>
                <w:kern w:val="0"/>
                <w:sz w:val="24"/>
                <w:szCs w:val="24"/>
                <w:highlight w:val="none"/>
                <w:lang w:val="en-US" w:eastAsia="zh-CN"/>
                <w14:textFill>
                  <w14:solidFill>
                    <w14:schemeClr w14:val="tx1"/>
                  </w14:solidFill>
                </w14:textFill>
              </w:rPr>
              <w:t>情况</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w:t>
            </w:r>
          </w:p>
          <w:tbl>
            <w:tblPr>
              <w:tblStyle w:val="36"/>
              <w:tblW w:w="492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98"/>
              <w:gridCol w:w="682"/>
              <w:gridCol w:w="1309"/>
              <w:gridCol w:w="1636"/>
              <w:gridCol w:w="684"/>
              <w:gridCol w:w="707"/>
              <w:gridCol w:w="900"/>
              <w:gridCol w:w="11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实验室</w:t>
                  </w:r>
                </w:p>
              </w:tc>
              <w:tc>
                <w:tcPr>
                  <w:tcW w:w="6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3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试剂存放处</w:t>
                  </w:r>
                </w:p>
              </w:tc>
              <w:tc>
                <w:tcPr>
                  <w:tcW w:w="163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规格型号</w:t>
                  </w:r>
                </w:p>
              </w:tc>
              <w:tc>
                <w:tcPr>
                  <w:tcW w:w="68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单位</w:t>
                  </w:r>
                </w:p>
              </w:tc>
              <w:tc>
                <w:tcPr>
                  <w:tcW w:w="7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数量</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换气量/m³</w:t>
                  </w:r>
                </w:p>
              </w:tc>
              <w:tc>
                <w:tcPr>
                  <w:tcW w:w="112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换气次数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五楼化验室</w:t>
                  </w:r>
                </w:p>
              </w:tc>
              <w:tc>
                <w:tcPr>
                  <w:tcW w:w="5018" w:type="dxa"/>
                  <w:gridSpan w:val="5"/>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原料留样室</w:t>
                  </w:r>
                </w:p>
              </w:tc>
              <w:tc>
                <w:tcPr>
                  <w:tcW w:w="900" w:type="dxa"/>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22" w:type="dxa"/>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3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通风留样柜</w:t>
                  </w:r>
                </w:p>
              </w:tc>
              <w:tc>
                <w:tcPr>
                  <w:tcW w:w="163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900*450*1800</w:t>
                  </w:r>
                </w:p>
              </w:tc>
              <w:tc>
                <w:tcPr>
                  <w:tcW w:w="68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组</w:t>
                  </w:r>
                </w:p>
              </w:tc>
              <w:tc>
                <w:tcPr>
                  <w:tcW w:w="7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0.729 </w:t>
                  </w:r>
                </w:p>
              </w:tc>
              <w:tc>
                <w:tcPr>
                  <w:tcW w:w="1122"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次/</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min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018" w:type="dxa"/>
                  <w:gridSpan w:val="5"/>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成品留样室</w:t>
                  </w:r>
                </w:p>
              </w:tc>
              <w:tc>
                <w:tcPr>
                  <w:tcW w:w="900" w:type="dxa"/>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3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通风留样柜</w:t>
                  </w:r>
                </w:p>
              </w:tc>
              <w:tc>
                <w:tcPr>
                  <w:tcW w:w="163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900*450*1800</w:t>
                  </w:r>
                </w:p>
              </w:tc>
              <w:tc>
                <w:tcPr>
                  <w:tcW w:w="68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组</w:t>
                  </w:r>
                </w:p>
              </w:tc>
              <w:tc>
                <w:tcPr>
                  <w:tcW w:w="7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0.729 </w:t>
                  </w: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018" w:type="dxa"/>
                  <w:gridSpan w:val="5"/>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化学药品室1</w:t>
                  </w:r>
                </w:p>
              </w:tc>
              <w:tc>
                <w:tcPr>
                  <w:tcW w:w="900" w:type="dxa"/>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3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通风药品柜</w:t>
                  </w:r>
                </w:p>
              </w:tc>
              <w:tc>
                <w:tcPr>
                  <w:tcW w:w="163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900*450*1800</w:t>
                  </w:r>
                </w:p>
              </w:tc>
              <w:tc>
                <w:tcPr>
                  <w:tcW w:w="68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组</w:t>
                  </w:r>
                </w:p>
              </w:tc>
              <w:tc>
                <w:tcPr>
                  <w:tcW w:w="7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0.729 </w:t>
                  </w: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018" w:type="dxa"/>
                  <w:gridSpan w:val="5"/>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化学药品室2</w:t>
                  </w:r>
                </w:p>
              </w:tc>
              <w:tc>
                <w:tcPr>
                  <w:tcW w:w="900" w:type="dxa"/>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3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毒品柜</w:t>
                  </w:r>
                </w:p>
              </w:tc>
              <w:tc>
                <w:tcPr>
                  <w:tcW w:w="163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1090*460*1650</w:t>
                  </w:r>
                </w:p>
              </w:tc>
              <w:tc>
                <w:tcPr>
                  <w:tcW w:w="68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组</w:t>
                  </w:r>
                </w:p>
              </w:tc>
              <w:tc>
                <w:tcPr>
                  <w:tcW w:w="7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0.827 </w:t>
                  </w: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3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毒品柜</w:t>
                  </w:r>
                </w:p>
              </w:tc>
              <w:tc>
                <w:tcPr>
                  <w:tcW w:w="163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1090*460*1650</w:t>
                  </w:r>
                </w:p>
              </w:tc>
              <w:tc>
                <w:tcPr>
                  <w:tcW w:w="68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组</w:t>
                  </w:r>
                </w:p>
              </w:tc>
              <w:tc>
                <w:tcPr>
                  <w:tcW w:w="7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0.827 </w:t>
                  </w: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3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毒品柜</w:t>
                  </w:r>
                </w:p>
              </w:tc>
              <w:tc>
                <w:tcPr>
                  <w:tcW w:w="163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1090*460*1650</w:t>
                  </w:r>
                </w:p>
              </w:tc>
              <w:tc>
                <w:tcPr>
                  <w:tcW w:w="68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组</w:t>
                  </w:r>
                </w:p>
              </w:tc>
              <w:tc>
                <w:tcPr>
                  <w:tcW w:w="7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0.827 </w:t>
                  </w: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3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毒品柜</w:t>
                  </w:r>
                </w:p>
              </w:tc>
              <w:tc>
                <w:tcPr>
                  <w:tcW w:w="163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1090*460*1650</w:t>
                  </w:r>
                </w:p>
              </w:tc>
              <w:tc>
                <w:tcPr>
                  <w:tcW w:w="68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组</w:t>
                  </w:r>
                </w:p>
              </w:tc>
              <w:tc>
                <w:tcPr>
                  <w:tcW w:w="7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0.827 </w:t>
                  </w: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六楼研发室</w:t>
                  </w:r>
                </w:p>
              </w:tc>
              <w:tc>
                <w:tcPr>
                  <w:tcW w:w="5018" w:type="dxa"/>
                  <w:gridSpan w:val="5"/>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试剂样品室</w:t>
                  </w:r>
                </w:p>
              </w:tc>
              <w:tc>
                <w:tcPr>
                  <w:tcW w:w="900" w:type="dxa"/>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9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3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通风试剂柜</w:t>
                  </w:r>
                </w:p>
              </w:tc>
              <w:tc>
                <w:tcPr>
                  <w:tcW w:w="163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900*450*1800</w:t>
                  </w:r>
                </w:p>
              </w:tc>
              <w:tc>
                <w:tcPr>
                  <w:tcW w:w="68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组</w:t>
                  </w:r>
                </w:p>
              </w:tc>
              <w:tc>
                <w:tcPr>
                  <w:tcW w:w="7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0.729 </w:t>
                  </w:r>
                </w:p>
              </w:tc>
              <w:tc>
                <w:tcPr>
                  <w:tcW w:w="1122"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16"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合计</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6.225</w:t>
                  </w:r>
                </w:p>
              </w:tc>
              <w:tc>
                <w:tcPr>
                  <w:tcW w:w="1122" w:type="dxa"/>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经核算，五楼留样间、药品间废气及六楼研发室试剂间废气合计</w:t>
            </w:r>
            <w:r>
              <w:rPr>
                <w:rFonts w:hint="eastAsia" w:eastAsia="新宋体" w:cs="Times New Roman"/>
                <w:color w:val="000000" w:themeColor="text1"/>
                <w:sz w:val="24"/>
                <w:szCs w:val="22"/>
                <w:highlight w:val="none"/>
                <w:lang w:val="en-US" w:eastAsia="zh-CN"/>
                <w14:textFill>
                  <w14:solidFill>
                    <w14:schemeClr w14:val="tx1"/>
                  </w14:solidFill>
                </w14:textFill>
              </w:rPr>
              <w:t>11205</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m³/h，本项目“活性炭吸附”装置废气处理装置风机风量为</w:t>
            </w:r>
            <w:r>
              <w:rPr>
                <w:rFonts w:hint="eastAsia" w:eastAsia="新宋体" w:cs="Times New Roman"/>
                <w:color w:val="000000" w:themeColor="text1"/>
                <w:sz w:val="24"/>
                <w:szCs w:val="22"/>
                <w:highlight w:val="none"/>
                <w:lang w:val="en-US" w:eastAsia="zh-CN"/>
                <w14:textFill>
                  <w14:solidFill>
                    <w14:schemeClr w14:val="tx1"/>
                  </w14:solidFill>
                </w14:textFill>
              </w:rPr>
              <w:t>12000</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m³/h，满足使用要求。</w:t>
            </w:r>
          </w:p>
          <w:p>
            <w:pPr>
              <w:pStyle w:val="13"/>
              <w:keepNext w:val="0"/>
              <w:keepLines w:val="0"/>
              <w:pageBreakBefore w:val="0"/>
              <w:widowControl w:val="0"/>
              <w:kinsoku/>
              <w:wordWrap/>
              <w:overflowPunct/>
              <w:topLinePunct w:val="0"/>
              <w:autoSpaceDE/>
              <w:autoSpaceDN/>
              <w:bidi w:val="0"/>
              <w:adjustRightInd/>
              <w:snapToGrid w:val="0"/>
              <w:spacing w:after="0" w:line="360" w:lineRule="auto"/>
              <w:ind w:left="0" w:leftChars="0" w:firstLine="482" w:firstLineChars="200"/>
              <w:textAlignment w:val="auto"/>
              <w:rPr>
                <w:rFonts w:hint="eastAsia" w:eastAsia="宋体"/>
                <w:b/>
                <w:color w:val="000000" w:themeColor="text1"/>
                <w:szCs w:val="24"/>
                <w:highlight w:val="none"/>
                <w:lang w:eastAsia="zh-CN"/>
                <w14:textFill>
                  <w14:solidFill>
                    <w14:schemeClr w14:val="tx1"/>
                  </w14:solidFill>
                </w14:textFill>
              </w:rPr>
            </w:pPr>
            <w:r>
              <w:rPr>
                <w:rFonts w:hint="eastAsia"/>
                <w:b/>
                <w:color w:val="000000" w:themeColor="text1"/>
                <w:szCs w:val="24"/>
                <w:highlight w:val="none"/>
                <w:lang w:val="en-US" w:eastAsia="zh-CN"/>
                <w14:textFill>
                  <w14:solidFill>
                    <w14:schemeClr w14:val="tx1"/>
                  </w14:solidFill>
                </w14:textFill>
              </w:rPr>
              <w:t>（3）</w:t>
            </w:r>
            <w:r>
              <w:rPr>
                <w:rFonts w:hint="eastAsia"/>
                <w:b/>
                <w:bCs/>
                <w:snapToGrid w:val="0"/>
                <w:color w:val="000000" w:themeColor="text1"/>
                <w:kern w:val="0"/>
                <w:sz w:val="24"/>
                <w:szCs w:val="22"/>
                <w:highlight w:val="none"/>
                <w14:textFill>
                  <w14:solidFill>
                    <w14:schemeClr w14:val="tx1"/>
                  </w14:solidFill>
                </w14:textFill>
              </w:rPr>
              <w:t>项目废气处理措施的可行性分析</w:t>
            </w:r>
          </w:p>
          <w:p>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实验室为企业内部实验室，</w:t>
            </w:r>
            <w:r>
              <w:rPr>
                <w:rFonts w:hint="eastAsia" w:ascii="Times New Roman" w:hAnsi="Times New Roman" w:cs="Times New Roman"/>
                <w:color w:val="000000" w:themeColor="text1"/>
                <w:sz w:val="24"/>
                <w:szCs w:val="24"/>
                <w:highlight w:val="none"/>
                <w:lang w:eastAsia="zh-CN"/>
                <w14:textFill>
                  <w14:solidFill>
                    <w14:schemeClr w14:val="tx1"/>
                  </w14:solidFill>
                </w14:textFill>
              </w:rPr>
              <w:t>主要用于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企业原料、产品的</w:t>
            </w:r>
            <w:r>
              <w:rPr>
                <w:rFonts w:hint="eastAsia" w:ascii="Times New Roman" w:hAnsi="Times New Roman" w:cs="Times New Roman"/>
                <w:color w:val="000000" w:themeColor="text1"/>
                <w:sz w:val="24"/>
                <w:szCs w:val="24"/>
                <w:highlight w:val="none"/>
                <w:lang w:eastAsia="zh-CN"/>
                <w14:textFill>
                  <w14:solidFill>
                    <w14:schemeClr w14:val="tx1"/>
                  </w14:solidFill>
                </w14:textFill>
              </w:rPr>
              <w:t>测试分析</w:t>
            </w:r>
            <w:r>
              <w:rPr>
                <w:rFonts w:hint="eastAsia"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产品</w:t>
            </w:r>
            <w:r>
              <w:rPr>
                <w:rFonts w:hint="eastAsia" w:ascii="Times New Roman" w:hAnsi="Times New Roman" w:cs="Times New Roman"/>
                <w:color w:val="000000" w:themeColor="text1"/>
                <w:sz w:val="24"/>
                <w:szCs w:val="24"/>
                <w:highlight w:val="none"/>
                <w:lang w:eastAsia="zh-CN"/>
                <w14:textFill>
                  <w14:solidFill>
                    <w14:schemeClr w14:val="tx1"/>
                  </w14:solidFill>
                </w14:textFill>
              </w:rPr>
              <w:t>研发</w:t>
            </w:r>
            <w:r>
              <w:rPr>
                <w:rFonts w:hint="eastAsia" w:cs="Times New Roman"/>
                <w:color w:val="000000" w:themeColor="text1"/>
                <w:sz w:val="24"/>
                <w:szCs w:val="24"/>
                <w:highlight w:val="none"/>
                <w:lang w:val="en-US" w:eastAsia="zh-CN"/>
                <w14:textFill>
                  <w14:solidFill>
                    <w14:schemeClr w14:val="tx1"/>
                  </w14:solidFill>
                </w14:textFill>
              </w:rPr>
              <w:t>小试及工艺优化小试，</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属于M7452检测服务、M7320工程和技术研究和试验发展，为企业配套工程。</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项目产生的废气主要是</w:t>
            </w:r>
            <w:r>
              <w:rPr>
                <w:rFonts w:hint="default" w:ascii="Times New Roman" w:hAnsi="Times New Roman" w:cs="Times New Roman"/>
                <w:bCs/>
                <w:color w:val="000000" w:themeColor="text1"/>
                <w:sz w:val="24"/>
                <w:highlight w:val="none"/>
                <w14:textFill>
                  <w14:solidFill>
                    <w14:schemeClr w14:val="tx1"/>
                  </w14:solidFill>
                </w14:textFill>
              </w:rPr>
              <w:t>有机废气VOCs</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及少量</w:t>
            </w:r>
            <w:r>
              <w:rPr>
                <w:rFonts w:hint="default" w:ascii="Times New Roman" w:hAnsi="Times New Roman" w:cs="Times New Roman"/>
                <w:bCs/>
                <w:color w:val="000000" w:themeColor="text1"/>
                <w:sz w:val="24"/>
                <w:highlight w:val="none"/>
                <w14:textFill>
                  <w14:solidFill>
                    <w14:schemeClr w14:val="tx1"/>
                  </w14:solidFill>
                </w14:textFill>
              </w:rPr>
              <w:t>无机废气（氯化氢、硫酸雾和硝酸雾等酸性气体）</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和</w:t>
            </w:r>
            <w:r>
              <w:rPr>
                <w:rFonts w:hint="eastAsia" w:cs="Times New Roman"/>
                <w:bCs/>
                <w:color w:val="000000" w:themeColor="text1"/>
                <w:sz w:val="24"/>
                <w:highlight w:val="none"/>
                <w:lang w:val="en-US" w:eastAsia="zh-CN"/>
                <w14:textFill>
                  <w14:solidFill>
                    <w14:schemeClr w14:val="tx1"/>
                  </w14:solidFill>
                </w14:textFill>
              </w:rPr>
              <w:t>氨气</w:t>
            </w:r>
            <w:r>
              <w:rPr>
                <w:rFonts w:hint="default" w:ascii="Times New Roman" w:hAnsi="Times New Roman" w:cs="Times New Roman"/>
                <w:bCs/>
                <w:color w:val="000000" w:themeColor="text1"/>
                <w:sz w:val="24"/>
                <w:highlight w:val="none"/>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本项目所属行业</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尚未发布相关排污许可证申请与核发技术规范，无可行技术参考。因此，对本项目废气处理技术进行简单分析。</w:t>
            </w:r>
          </w:p>
          <w:p>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jc w:val="both"/>
              <w:textAlignment w:val="auto"/>
              <w:outlineLvl w:val="9"/>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活性炭吸附装置：</w:t>
            </w:r>
          </w:p>
          <w:p>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活性炭具有比表面积大，孔隙多的特点，具有较强吸附能力。活性炭比表面积一般可达700-1200m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g，其孔径大小范围在1.5nm-5μm之间。其吸附方式主要通过2种途径：一是活性炭与气体分子间的范德华力，当气体分子经过活性炭表面，范德华力起主导作用时，气体分子先被吸附至活性炭外表面，小于活性炭孔径的分子经内部扩散转移至内表面，从而达到吸附的效果，此为物理吸附；二是吸附质与吸附剂表面原子间的化学键合成，此为化学吸附。活性炭吸附一般适用于大风量、低浓度、低湿度、低含尘的有机废气。</w:t>
            </w:r>
          </w:p>
          <w:p>
            <w:pPr>
              <w:autoSpaceDE w:val="0"/>
              <w:autoSpaceDN w:val="0"/>
              <w:adjustRightInd w:val="0"/>
              <w:snapToGrid w:val="0"/>
              <w:spacing w:line="360" w:lineRule="auto"/>
              <w:ind w:firstLine="472" w:firstLineChars="196"/>
              <w:rPr>
                <w:rFonts w:hint="default" w:ascii="Times New Roman" w:hAnsi="Times New Roman" w:cs="Times New Roman"/>
                <w:b/>
                <w:bCs/>
                <w:color w:val="000000" w:themeColor="text1"/>
                <w:sz w:val="24"/>
                <w:szCs w:val="22"/>
                <w:highlight w:val="none"/>
                <w14:textFill>
                  <w14:solidFill>
                    <w14:schemeClr w14:val="tx1"/>
                  </w14:solidFill>
                </w14:textFill>
              </w:rPr>
            </w:pPr>
            <w:r>
              <w:rPr>
                <w:rFonts w:hint="eastAsia" w:ascii="Times New Roman" w:hAnsi="Times New Roman" w:cs="Times New Roman"/>
                <w:b/>
                <w:bCs/>
                <w:color w:val="000000" w:themeColor="text1"/>
                <w:sz w:val="24"/>
                <w:szCs w:val="22"/>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2"/>
                <w:highlight w:val="none"/>
                <w14:textFill>
                  <w14:solidFill>
                    <w14:schemeClr w14:val="tx1"/>
                  </w14:solidFill>
                </w14:textFill>
              </w:rPr>
              <w:t>排气筒高度可行性分析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000000" w:themeColor="text1"/>
                <w:spacing w:val="0"/>
                <w:w w:val="100"/>
                <w:kern w:val="0"/>
                <w:position w:val="0"/>
                <w:sz w:val="24"/>
                <w:szCs w:val="24"/>
                <w:highlight w:val="none"/>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本项目P</w:t>
            </w:r>
            <w:r>
              <w:rPr>
                <w:rFonts w:hint="eastAsia" w:cs="Times New Roman"/>
                <w:b w:val="0"/>
                <w:bCs/>
                <w:color w:val="000000" w:themeColor="text1"/>
                <w:spacing w:val="0"/>
                <w:sz w:val="24"/>
                <w:szCs w:val="24"/>
                <w:highlight w:val="none"/>
                <w:lang w:val="en-US" w:eastAsia="zh-CN"/>
                <w14:textFill>
                  <w14:solidFill>
                    <w14:schemeClr w14:val="tx1"/>
                  </w14:solidFill>
                </w14:textFill>
              </w:rPr>
              <w:t>9</w:t>
            </w:r>
            <w:r>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排气筒</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执行</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标准涉及《挥发性有机物排放标准第</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7</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部分：</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其他</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行业》（DB37/2801.</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7</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-201</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9</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、《大气污染物综合排放标准》(GB16297-1996)、</w:t>
            </w:r>
            <w:r>
              <w:rPr>
                <w:rFonts w:hint="default" w:ascii="Times New Roman" w:hAnsi="Times New Roman" w:eastAsia="宋体" w:cs="Times New Roman"/>
                <w:caps w:val="0"/>
                <w:smallCaps w:val="0"/>
                <w:color w:val="000000" w:themeColor="text1"/>
                <w:spacing w:val="0"/>
                <w:w w:val="100"/>
                <w:kern w:val="0"/>
                <w:position w:val="0"/>
                <w:sz w:val="24"/>
                <w:szCs w:val="24"/>
                <w:highlight w:val="none"/>
                <w14:textFill>
                  <w14:solidFill>
                    <w14:schemeClr w14:val="tx1"/>
                  </w14:solidFill>
                </w14:textFill>
              </w:rPr>
              <w:t>《区域性大气污染物综合排放标准》（DB37/2376-2019）</w:t>
            </w:r>
            <w:r>
              <w:rPr>
                <w:rFonts w:hint="eastAsia" w:cs="Times New Roman"/>
                <w:caps w:val="0"/>
                <w:smallCaps w:val="0"/>
                <w:color w:val="000000" w:themeColor="text1"/>
                <w:spacing w:val="0"/>
                <w:w w:val="100"/>
                <w:kern w:val="0"/>
                <w:position w:val="0"/>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P</w:t>
            </w:r>
            <w:r>
              <w:rPr>
                <w:rFonts w:hint="eastAsia" w:cs="Times New Roman"/>
                <w:b w:val="0"/>
                <w:bCs/>
                <w:color w:val="000000" w:themeColor="text1"/>
                <w:spacing w:val="0"/>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排气筒</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执行</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标准涉及《挥发性有机物排放标准第</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7</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部分：</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其他</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行业》（DB37/2801.</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7</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-201</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9</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、《恶臭污染物排放标准》（GB14554-93）；</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P</w:t>
            </w:r>
            <w:r>
              <w:rPr>
                <w:rFonts w:hint="eastAsia" w:cs="Times New Roman"/>
                <w:b w:val="0"/>
                <w:bCs/>
                <w:color w:val="000000" w:themeColor="text1"/>
                <w:spacing w:val="0"/>
                <w:sz w:val="24"/>
                <w:szCs w:val="24"/>
                <w:highlight w:val="none"/>
                <w:lang w:val="en-US" w:eastAsia="zh-CN"/>
                <w14:textFill>
                  <w14:solidFill>
                    <w14:schemeClr w14:val="tx1"/>
                  </w14:solidFill>
                </w14:textFill>
              </w:rPr>
              <w:t>11</w:t>
            </w:r>
            <w:r>
              <w:rPr>
                <w:rFonts w:hint="default"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排气筒</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执行</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标准涉及《挥发性有机物排放标准第</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7</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部分：</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其他</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行业》（DB37/2801.</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7</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-201</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9</w:t>
            </w:r>
            <w:r>
              <w:rPr>
                <w:rFonts w:hint="eastAsia" w:ascii="Times New Roman" w:hAnsi="Times New Roman" w:eastAsia="宋体"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w:t>
            </w:r>
            <w:r>
              <w:rPr>
                <w:rFonts w:hint="eastAsia" w:cs="Times New Roman"/>
                <w:bCs/>
                <w:caps w:val="0"/>
                <w:smallCaps w:val="0"/>
                <w:color w:val="000000" w:themeColor="text1"/>
                <w:spacing w:val="0"/>
                <w:w w:val="100"/>
                <w:kern w:val="0"/>
                <w:position w:val="0"/>
                <w:sz w:val="24"/>
                <w:szCs w:val="24"/>
                <w:highlight w:val="none"/>
                <w:lang w:val="en-US" w:eastAsia="zh-CN"/>
                <w14:textFill>
                  <w14:solidFill>
                    <w14:schemeClr w14:val="tx1"/>
                  </w14:solidFill>
                </w14:textFill>
              </w:rPr>
              <w:t>、《大气污染物综合排放标准》(GB16297-1996)</w:t>
            </w:r>
            <w:r>
              <w:rPr>
                <w:rFonts w:hint="default" w:ascii="Times New Roman" w:hAnsi="Times New Roman" w:eastAsia="宋体" w:cs="Times New Roman"/>
                <w:caps w:val="0"/>
                <w:smallCaps w:val="0"/>
                <w:color w:val="000000" w:themeColor="text1"/>
                <w:spacing w:val="0"/>
                <w:w w:val="100"/>
                <w:kern w:val="0"/>
                <w:position w:val="0"/>
                <w:sz w:val="24"/>
                <w:szCs w:val="24"/>
                <w:highlight w:val="none"/>
                <w14:textFill>
                  <w14:solidFill>
                    <w14:schemeClr w14:val="tx1"/>
                  </w14:solidFill>
                </w14:textFill>
              </w:rPr>
              <w:t>。本项目排气筒设置合理性分析见下表。</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w:t>
            </w:r>
            <w:r>
              <w:rPr>
                <w:rFonts w:hint="eastAsia" w:cs="Times New Roman"/>
                <w:b/>
                <w:snapToGrid w:val="0"/>
                <w:color w:val="000000" w:themeColor="text1"/>
                <w:kern w:val="0"/>
                <w:sz w:val="24"/>
                <w:szCs w:val="24"/>
                <w:highlight w:val="none"/>
                <w:lang w:val="en-US" w:eastAsia="zh-CN"/>
                <w14:textFill>
                  <w14:solidFill>
                    <w14:schemeClr w14:val="tx1"/>
                  </w14:solidFill>
                </w14:textFill>
              </w:rPr>
              <w:t>4-4</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排气筒设置合理性</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74"/>
              <w:gridCol w:w="2527"/>
              <w:gridCol w:w="1854"/>
              <w:gridCol w:w="1037"/>
              <w:gridCol w:w="1227"/>
              <w:gridCol w:w="9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25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执行标准</w:t>
                  </w:r>
                </w:p>
              </w:tc>
              <w:tc>
                <w:tcPr>
                  <w:tcW w:w="185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排气筒要求</w:t>
                  </w:r>
                </w:p>
              </w:tc>
              <w:tc>
                <w:tcPr>
                  <w:tcW w:w="3199"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本项目对应排气筒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252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85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0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编号</w:t>
                  </w:r>
                </w:p>
              </w:tc>
              <w:tc>
                <w:tcPr>
                  <w:tcW w:w="12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高度/m</w:t>
                  </w:r>
                </w:p>
              </w:tc>
              <w:tc>
                <w:tcPr>
                  <w:tcW w:w="9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合理性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2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8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排气筒的高度应不低于15m，具体高度按通过批复的环境影响评价文件要求确定。</w:t>
                  </w:r>
                </w:p>
              </w:tc>
              <w:tc>
                <w:tcPr>
                  <w:tcW w:w="10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10、P11</w:t>
                  </w:r>
                </w:p>
              </w:tc>
              <w:tc>
                <w:tcPr>
                  <w:tcW w:w="12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19" w:name="OLE_LINK9"/>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bookmarkEnd w:id="19"/>
                </w:p>
              </w:tc>
              <w:tc>
                <w:tcPr>
                  <w:tcW w:w="9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合理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2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《大气污染物综合排放标准》(GB16297-1996)</w:t>
                  </w:r>
                </w:p>
              </w:tc>
              <w:tc>
                <w:tcPr>
                  <w:tcW w:w="18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排气筒高度除须遵守表列排放速率标准值外，还应高出周围200m半径范围的建筑5m以上</w:t>
                  </w:r>
                </w:p>
              </w:tc>
              <w:tc>
                <w:tcPr>
                  <w:tcW w:w="10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、P11</w:t>
                  </w:r>
                </w:p>
              </w:tc>
              <w:tc>
                <w:tcPr>
                  <w:tcW w:w="12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P11=29.5m</w:t>
                  </w:r>
                </w:p>
              </w:tc>
              <w:tc>
                <w:tcPr>
                  <w:tcW w:w="9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合理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2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《区域性大气污染物综合排放标准》（DB37/2376-2019）</w:t>
                  </w:r>
                </w:p>
              </w:tc>
              <w:tc>
                <w:tcPr>
                  <w:tcW w:w="18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排气筒的高度应不低于15m（储库底、地坑及物料转运点单机除尘设施除外），具体高度按通过审批、审核或备案的环境影响评价文件要求确定</w:t>
                  </w:r>
                </w:p>
              </w:tc>
              <w:tc>
                <w:tcPr>
                  <w:tcW w:w="10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2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9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合理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2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《恶臭污染物排放标准》（GB14554-93）</w:t>
                  </w:r>
                </w:p>
              </w:tc>
              <w:tc>
                <w:tcPr>
                  <w:tcW w:w="18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排气筒的最低高度不得低于15m</w:t>
                  </w:r>
                </w:p>
              </w:tc>
              <w:tc>
                <w:tcPr>
                  <w:tcW w:w="10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9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合理</w:t>
                  </w:r>
                </w:p>
              </w:tc>
            </w:tr>
          </w:tbl>
          <w:p>
            <w:pPr>
              <w:spacing w:line="360" w:lineRule="auto"/>
              <w:ind w:firstLine="480" w:firstLineChars="20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三根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排气筒</w:t>
            </w:r>
            <w:r>
              <w:rPr>
                <w:rFonts w:hint="eastAsia" w:cs="Times New Roman"/>
                <w:color w:val="000000" w:themeColor="text1"/>
                <w:sz w:val="24"/>
                <w:szCs w:val="24"/>
                <w:highlight w:val="none"/>
                <w:lang w:val="en-US" w:eastAsia="zh-CN"/>
                <w14:textFill>
                  <w14:solidFill>
                    <w14:schemeClr w14:val="tx1"/>
                  </w14:solidFill>
                </w14:textFill>
              </w:rPr>
              <w:t>高度均为29.5米，</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周围200m内最高建筑物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综合楼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24.5m，</w:t>
            </w:r>
            <w:r>
              <w:rPr>
                <w:rFonts w:hint="eastAsia" w:cs="Times New Roman"/>
                <w:color w:val="000000" w:themeColor="text1"/>
                <w:sz w:val="24"/>
                <w:szCs w:val="24"/>
                <w:highlight w:val="none"/>
                <w:lang w:val="en-US" w:eastAsia="zh-CN"/>
                <w14:textFill>
                  <w14:solidFill>
                    <w14:schemeClr w14:val="tx1"/>
                  </w14:solidFill>
                </w14:textFill>
              </w:rPr>
              <w:t>排气筒高出建筑物5米。结合上表分析，排气筒高度</w:t>
            </w:r>
            <w:r>
              <w:rPr>
                <w:rFonts w:hint="default" w:ascii="Times New Roman" w:hAnsi="Times New Roman" w:eastAsia="宋体" w:cs="Times New Roman"/>
                <w:color w:val="000000" w:themeColor="text1"/>
                <w:sz w:val="24"/>
                <w:szCs w:val="24"/>
                <w:highlight w:val="none"/>
                <w14:textFill>
                  <w14:solidFill>
                    <w14:schemeClr w14:val="tx1"/>
                  </w14:solidFill>
                </w14:textFill>
              </w:rPr>
              <w:t>设置合理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新宋体" w:cs="Times New Roman"/>
                <w:b/>
                <w:bCs/>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t>3、废气</w:t>
            </w:r>
            <w:r>
              <w:rPr>
                <w:rFonts w:hint="default" w:ascii="Times New Roman" w:hAnsi="Times New Roman" w:eastAsia="新宋体" w:cs="Times New Roman"/>
                <w:b/>
                <w:bCs/>
                <w:color w:val="000000" w:themeColor="text1"/>
                <w:sz w:val="24"/>
                <w:szCs w:val="22"/>
                <w:highlight w:val="none"/>
                <w:lang w:val="en-US" w:eastAsia="zh-CN"/>
                <w14:textFill>
                  <w14:solidFill>
                    <w14:schemeClr w14:val="tx1"/>
                  </w14:solidFill>
                </w14:textFill>
              </w:rPr>
              <w:t>排放情况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通风橱和</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集气</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罩综合收集效率达90%，</w:t>
            </w:r>
            <w:r>
              <w:rPr>
                <w:rFonts w:hint="eastAsia" w:eastAsia="新宋体" w:cs="Times New Roman"/>
                <w:color w:val="000000" w:themeColor="text1"/>
                <w:sz w:val="24"/>
                <w:szCs w:val="22"/>
                <w:highlight w:val="none"/>
                <w:lang w:val="en-US" w:eastAsia="zh-CN"/>
                <w14:textFill>
                  <w14:solidFill>
                    <w14:schemeClr w14:val="tx1"/>
                  </w14:solidFill>
                </w14:textFill>
              </w:rPr>
              <w:t>未收集的废气无组织排放，</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活性炭</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装置对有机废气</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的吸附效率约为</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8</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0%</w:t>
            </w:r>
            <w:r>
              <w:rPr>
                <w:rFonts w:hint="eastAsia" w:ascii="Times New Roman" w:hAnsi="Times New Roman" w:eastAsia="新宋体" w:cs="Times New Roman"/>
                <w:color w:val="000000" w:themeColor="text1"/>
                <w:sz w:val="24"/>
                <w:szCs w:val="22"/>
                <w:highlight w:val="none"/>
                <w:lang w:val="en-US" w:eastAsia="zh-CN"/>
                <w14:textFill>
                  <w14:solidFill>
                    <w14:schemeClr w14:val="tx1"/>
                  </w14:solidFill>
                </w14:textFill>
              </w:rPr>
              <w:t>，对酸性废气、氨气吸附效率较低，本次评价以20%计</w:t>
            </w:r>
            <w:r>
              <w:rPr>
                <w:rFonts w:hint="default" w:ascii="Times New Roman" w:hAnsi="Times New Roman" w:eastAsia="新宋体" w:cs="Times New Roman"/>
                <w:color w:val="000000" w:themeColor="text1"/>
                <w:sz w:val="24"/>
                <w:szCs w:val="22"/>
                <w:highlight w:val="none"/>
                <w:lang w:val="en-US" w:eastAsia="zh-CN"/>
                <w14:textFill>
                  <w14:solidFill>
                    <w14:schemeClr w14:val="tx1"/>
                  </w14:solidFill>
                </w14:textFill>
              </w:rPr>
              <w:t>。</w:t>
            </w:r>
          </w:p>
        </w:tc>
      </w:tr>
    </w:tbl>
    <w:p>
      <w:pPr>
        <w:pStyle w:val="32"/>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4-2 有组织废气产排放情况</w:t>
      </w:r>
      <w:r>
        <w:rPr>
          <w:rFonts w:hint="eastAsia" w:cs="Times New Roman"/>
          <w:b/>
          <w:snapToGrid w:val="0"/>
          <w:color w:val="000000" w:themeColor="text1"/>
          <w:kern w:val="0"/>
          <w:sz w:val="24"/>
          <w:szCs w:val="24"/>
          <w:highlight w:val="none"/>
          <w:lang w:val="en-US" w:eastAsia="zh-CN"/>
          <w14:textFill>
            <w14:solidFill>
              <w14:schemeClr w14:val="tx1"/>
            </w14:solidFill>
          </w14:textFill>
        </w:rPr>
        <w:t>一览</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76"/>
        <w:gridCol w:w="576"/>
        <w:gridCol w:w="2497"/>
        <w:gridCol w:w="909"/>
        <w:gridCol w:w="909"/>
        <w:gridCol w:w="911"/>
        <w:gridCol w:w="688"/>
        <w:gridCol w:w="792"/>
        <w:gridCol w:w="792"/>
        <w:gridCol w:w="766"/>
        <w:gridCol w:w="900"/>
        <w:gridCol w:w="743"/>
        <w:gridCol w:w="971"/>
        <w:gridCol w:w="972"/>
        <w:gridCol w:w="7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污染源</w:t>
            </w:r>
          </w:p>
        </w:tc>
        <w:tc>
          <w:tcPr>
            <w:tcW w:w="5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249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2729"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产生情况</w:t>
            </w:r>
          </w:p>
        </w:tc>
        <w:tc>
          <w:tcPr>
            <w:tcW w:w="3938" w:type="dxa"/>
            <w:gridSpan w:val="5"/>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治理设施</w:t>
            </w:r>
          </w:p>
        </w:tc>
        <w:tc>
          <w:tcPr>
            <w:tcW w:w="2686"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有组织排放</w:t>
            </w:r>
          </w:p>
        </w:tc>
        <w:tc>
          <w:tcPr>
            <w:tcW w:w="75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排放时间</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497"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90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产生量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kg/a</w:t>
            </w:r>
          </w:p>
        </w:tc>
        <w:tc>
          <w:tcPr>
            <w:tcW w:w="90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速率</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kg/h</w:t>
            </w:r>
          </w:p>
        </w:tc>
        <w:tc>
          <w:tcPr>
            <w:tcW w:w="91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 xml:space="preserve"> 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68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治理设施</w:t>
            </w:r>
          </w:p>
        </w:tc>
        <w:tc>
          <w:tcPr>
            <w:tcW w:w="79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收集效率</w:t>
            </w:r>
          </w:p>
        </w:tc>
        <w:tc>
          <w:tcPr>
            <w:tcW w:w="79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去除效率</w:t>
            </w:r>
          </w:p>
        </w:tc>
        <w:tc>
          <w:tcPr>
            <w:tcW w:w="76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风量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/h</w:t>
            </w:r>
          </w:p>
        </w:tc>
        <w:tc>
          <w:tcPr>
            <w:tcW w:w="90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是否为可行技术</w:t>
            </w:r>
          </w:p>
        </w:tc>
        <w:tc>
          <w:tcPr>
            <w:tcW w:w="74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kg/a</w:t>
            </w:r>
          </w:p>
        </w:tc>
        <w:tc>
          <w:tcPr>
            <w:tcW w:w="97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排放速率</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kg/h</w:t>
            </w:r>
          </w:p>
        </w:tc>
        <w:tc>
          <w:tcPr>
            <w:tcW w:w="9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752"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497"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909"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909"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911"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688"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792"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792"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766"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743"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971"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972"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752"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五楼化验室实验废气</w:t>
            </w:r>
          </w:p>
        </w:tc>
        <w:tc>
          <w:tcPr>
            <w:tcW w:w="5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P9</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113.22</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1.887</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85.773</w:t>
            </w:r>
          </w:p>
        </w:tc>
        <w:tc>
          <w:tcPr>
            <w:tcW w:w="68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活性炭吸附装置</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20.38</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0.34</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15.439</w:t>
            </w:r>
          </w:p>
        </w:tc>
        <w:tc>
          <w:tcPr>
            <w:tcW w:w="75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甲苯</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0.067</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3.03</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0.545</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乙腈</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0.333</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15.152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2.727</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吡啶</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4.88</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0.081</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3.697</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0.878</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0.015</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0.665</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二甲基甲酰胺</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5.6</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0.093</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4.242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1.008</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0.017</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0.764</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三氯甲烷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0.047</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2.121</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0.504</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0.008</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0.382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甲醇</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0.027</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丙酮</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0.033</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1.515</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0.36</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0.273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0.114</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0.086</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0.082</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0.312</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0.005</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0.236</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0.225</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0.004</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硝酸雾（以NOx计）</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0.192</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0.145</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0.138</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0.105</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乙醇</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9.6</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7.273</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1.728</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0.029</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1.309</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异丙醇</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15.904</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0.265</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12.048</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2.863</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0.048</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2.169</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碳酸丙烯酯</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11.664</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0.194</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8.836</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0.035</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1.591</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二正丁胺</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0.004</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0.182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0.043</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碳酸乙烯酯</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5.76</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0.096</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4.364</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1.037</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0.017</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0.785</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碳酸二乙酯</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0.015</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0.682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0.162</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乙二醇二甲醚</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12.96</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0.216</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9.818</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2.333</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0.039</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1.767</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碳酸二甲酯</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14.712</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0.245</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11.145</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2.648</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0.044</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2.006</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乙酸酐</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0.033</w:t>
            </w:r>
          </w:p>
        </w:tc>
        <w:tc>
          <w:tcPr>
            <w:tcW w:w="91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1.515</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0.36</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c>
          <w:tcPr>
            <w:tcW w:w="9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0.273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六楼研发室实验废气</w:t>
            </w:r>
          </w:p>
        </w:tc>
        <w:tc>
          <w:tcPr>
            <w:tcW w:w="5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P10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22.548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0.376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12.527</w:t>
            </w:r>
          </w:p>
        </w:tc>
        <w:tc>
          <w:tcPr>
            <w:tcW w:w="68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活性炭吸附装置</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4.059</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0.068</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2.255</w:t>
            </w:r>
          </w:p>
        </w:tc>
        <w:tc>
          <w:tcPr>
            <w:tcW w:w="75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11.868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6.593</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2.136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1.187</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二氯乙烷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0.444</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2.592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0.043</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1.44</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臭气浓度</w:t>
            </w:r>
          </w:p>
        </w:tc>
        <w:tc>
          <w:tcPr>
            <w:tcW w:w="2729" w:type="dxa"/>
            <w:gridSpan w:val="3"/>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2686"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200（无量纲）</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丙二醇</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0.156</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0.028</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氯化亚砜</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1.111</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三氟乙醇</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0.222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bookmarkStart w:id="20" w:name="OLE_LINK10"/>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六甲基二硅氮烷</w:t>
            </w:r>
            <w:bookmarkEnd w:id="20"/>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0.667</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0.216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0.004</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六甲基二硅氧烷</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0.444</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甲基三甲氧基硅烷</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0.222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四甲基二硅氧烷</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0.667</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0.216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0.004</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三甲基氯硅烷</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1.111</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八甲基环四硅氧烷</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0.444</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六亚甲基二异氰酸酯</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0.133</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0.024</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甲基异丁基甲酮</w:t>
            </w:r>
          </w:p>
        </w:tc>
        <w:tc>
          <w:tcPr>
            <w:tcW w:w="9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0.311</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0.056</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试剂存放区废气</w:t>
            </w:r>
          </w:p>
        </w:tc>
        <w:tc>
          <w:tcPr>
            <w:tcW w:w="5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P11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27.652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0.0038</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0.320</w:t>
            </w:r>
          </w:p>
        </w:tc>
        <w:tc>
          <w:tcPr>
            <w:tcW w:w="68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活性炭吸附装置</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12000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4.977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0.00069</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0.058</w:t>
            </w:r>
          </w:p>
        </w:tc>
        <w:tc>
          <w:tcPr>
            <w:tcW w:w="75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甲苯</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0.862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0.010</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乙腈</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吡啶</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0.978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0.011</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二甲基甲酰胺</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0.944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0.011</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三氯甲烷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0.017</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0.266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0.00004</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1.316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0.015</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0.237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0.00003</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二氯乙烷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0.615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0.111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0.001</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甲醇</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0.7866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丙酮</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乙醇</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异丙醇</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碳酸丙烯酯</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0.217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0.00003</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二正丁胺</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碳酸乙烯酯</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1.318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0.015</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0.237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0.00003</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碳酸二乙酯</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0.971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0.011</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乙二醇二甲醚</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0.865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0.010</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碳酸二甲酯</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1.059</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0.00003</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乙酸酐</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1.077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0.00003</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丙二醇</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0.7224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0.008</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氯化亚砜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1.631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0.294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0.00004</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三氟乙醇</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1.377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0.016</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0.00003</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六甲基二硅氮烷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六甲基二硅氧烷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甲基三甲氧基硅烷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0.012</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0.181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0.00003</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四甲基二硅氧烷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三甲基氯硅烷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0.8536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0.010</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八甲基环四硅氧烷</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0.9558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0.011</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六亚甲基二异氰酸酯</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0.6282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0.113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0.001</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76"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甲基异丁基甲酮</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0.801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91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68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7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76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7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7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75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bl>
    <w:p>
      <w:pPr>
        <w:pStyle w:val="35"/>
        <w:rPr>
          <w:rFonts w:hint="eastAsia"/>
          <w:color w:val="000000" w:themeColor="text1"/>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b/>
          <w:color w:val="000000" w:themeColor="text1"/>
          <w:sz w:val="24"/>
          <w:szCs w:val="22"/>
          <w:highlight w:val="none"/>
          <w14:textFill>
            <w14:solidFill>
              <w14:schemeClr w14:val="tx1"/>
            </w14:solidFill>
          </w14:textFill>
        </w:rPr>
      </w:pPr>
      <w:r>
        <w:rPr>
          <w:b/>
          <w:color w:val="000000" w:themeColor="text1"/>
          <w:sz w:val="24"/>
          <w:szCs w:val="22"/>
          <w:highlight w:val="none"/>
          <w14:textFill>
            <w14:solidFill>
              <w14:schemeClr w14:val="tx1"/>
            </w14:solidFill>
          </w14:textFill>
        </w:rPr>
        <w:t>表</w:t>
      </w:r>
      <w:r>
        <w:rPr>
          <w:rFonts w:hint="eastAsia"/>
          <w:b/>
          <w:color w:val="000000" w:themeColor="text1"/>
          <w:sz w:val="24"/>
          <w:szCs w:val="22"/>
          <w:highlight w:val="none"/>
          <w:lang w:val="en-US" w:eastAsia="zh-CN"/>
          <w14:textFill>
            <w14:solidFill>
              <w14:schemeClr w14:val="tx1"/>
            </w14:solidFill>
          </w14:textFill>
        </w:rPr>
        <w:t>4-3</w:t>
      </w:r>
      <w:r>
        <w:rPr>
          <w:b/>
          <w:color w:val="000000" w:themeColor="text1"/>
          <w:sz w:val="24"/>
          <w:szCs w:val="22"/>
          <w:highlight w:val="none"/>
          <w14:textFill>
            <w14:solidFill>
              <w14:schemeClr w14:val="tx1"/>
            </w14:solidFill>
          </w14:textFill>
        </w:rPr>
        <w:t xml:space="preserve">  </w:t>
      </w:r>
      <w:r>
        <w:rPr>
          <w:rFonts w:hint="eastAsia"/>
          <w:b/>
          <w:color w:val="000000" w:themeColor="text1"/>
          <w:sz w:val="24"/>
          <w:szCs w:val="22"/>
          <w:highlight w:val="none"/>
          <w:lang w:val="en-US" w:eastAsia="zh-CN"/>
          <w14:textFill>
            <w14:solidFill>
              <w14:schemeClr w14:val="tx1"/>
            </w14:solidFill>
          </w14:textFill>
        </w:rPr>
        <w:t>大气</w:t>
      </w:r>
      <w:r>
        <w:rPr>
          <w:rFonts w:hint="eastAsia"/>
          <w:b/>
          <w:color w:val="000000" w:themeColor="text1"/>
          <w:sz w:val="24"/>
          <w:highlight w:val="none"/>
          <w:lang w:val="en-US" w:eastAsia="zh-CN"/>
          <w14:textFill>
            <w14:solidFill>
              <w14:schemeClr w14:val="tx1"/>
            </w14:solidFill>
          </w14:textFill>
        </w:rPr>
        <w:t>排放口基本情况一览表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262"/>
        <w:gridCol w:w="1435"/>
        <w:gridCol w:w="1770"/>
        <w:gridCol w:w="1664"/>
        <w:gridCol w:w="1091"/>
        <w:gridCol w:w="1118"/>
        <w:gridCol w:w="1227"/>
        <w:gridCol w:w="1432"/>
        <w:gridCol w:w="12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restart"/>
            <w:tcBorders>
              <w:tl2br w:val="nil"/>
              <w:tr2bl w:val="nil"/>
            </w:tcBorders>
            <w:noWrap w:val="0"/>
            <w:vAlign w:val="center"/>
          </w:tcPr>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污染源名称</w:t>
            </w:r>
          </w:p>
        </w:tc>
        <w:tc>
          <w:tcPr>
            <w:tcW w:w="462" w:type="pct"/>
            <w:vMerge w:val="restart"/>
            <w:tcBorders>
              <w:tl2br w:val="nil"/>
              <w:tr2bl w:val="nil"/>
            </w:tcBorders>
            <w:noWrap w:val="0"/>
            <w:vAlign w:val="center"/>
          </w:tcPr>
          <w:p>
            <w:pPr>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编号</w:t>
            </w:r>
          </w:p>
        </w:tc>
        <w:tc>
          <w:tcPr>
            <w:tcW w:w="525" w:type="pct"/>
            <w:vMerge w:val="restart"/>
            <w:tcBorders>
              <w:tl2br w:val="nil"/>
              <w:tr2bl w:val="nil"/>
            </w:tcBorders>
            <w:noWrap w:val="0"/>
            <w:vAlign w:val="center"/>
          </w:tcPr>
          <w:p>
            <w:pPr>
              <w:jc w:val="center"/>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类型</w:t>
            </w:r>
          </w:p>
        </w:tc>
        <w:tc>
          <w:tcPr>
            <w:tcW w:w="1257" w:type="pct"/>
            <w:gridSpan w:val="2"/>
            <w:tcBorders>
              <w:tl2br w:val="nil"/>
              <w:tr2bl w:val="nil"/>
            </w:tcBorders>
            <w:noWrap w:val="0"/>
            <w:vAlign w:val="center"/>
          </w:tcPr>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排气筒底部中心坐标</w:t>
            </w:r>
          </w:p>
        </w:tc>
        <w:tc>
          <w:tcPr>
            <w:tcW w:w="1782" w:type="pct"/>
            <w:gridSpan w:val="4"/>
            <w:tcBorders>
              <w:tl2br w:val="nil"/>
              <w:tr2bl w:val="nil"/>
            </w:tcBorders>
            <w:noWrap w:val="0"/>
            <w:vAlign w:val="center"/>
          </w:tcPr>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排气筒参数</w:t>
            </w:r>
          </w:p>
        </w:tc>
        <w:tc>
          <w:tcPr>
            <w:tcW w:w="470" w:type="pct"/>
            <w:vMerge w:val="restart"/>
            <w:tcBorders>
              <w:tl2br w:val="nil"/>
              <w:tr2bl w:val="nil"/>
            </w:tcBorders>
            <w:noWrap w:val="0"/>
            <w:vAlign w:val="center"/>
          </w:tcPr>
          <w:p>
            <w:pPr>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排放工况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tcBorders>
              <w:tl2br w:val="nil"/>
              <w:tr2bl w:val="nil"/>
            </w:tcBorders>
            <w:noWrap w:val="0"/>
            <w:vAlign w:val="center"/>
          </w:tcPr>
          <w:p>
            <w:pPr>
              <w:jc w:val="center"/>
              <w:rPr>
                <w:color w:val="000000" w:themeColor="text1"/>
                <w:sz w:val="21"/>
                <w:szCs w:val="21"/>
                <w:highlight w:val="none"/>
                <w14:textFill>
                  <w14:solidFill>
                    <w14:schemeClr w14:val="tx1"/>
                  </w14:solidFill>
                </w14:textFill>
              </w:rPr>
            </w:pPr>
          </w:p>
        </w:tc>
        <w:tc>
          <w:tcPr>
            <w:tcW w:w="462" w:type="pct"/>
            <w:vMerge w:val="continue"/>
            <w:tcBorders>
              <w:tl2br w:val="nil"/>
              <w:tr2bl w:val="nil"/>
            </w:tcBorders>
            <w:noWrap w:val="0"/>
            <w:vAlign w:val="center"/>
          </w:tcPr>
          <w:p>
            <w:pPr>
              <w:jc w:val="center"/>
              <w:rPr>
                <w:color w:val="000000" w:themeColor="text1"/>
                <w:sz w:val="21"/>
                <w:szCs w:val="21"/>
                <w:highlight w:val="none"/>
                <w14:textFill>
                  <w14:solidFill>
                    <w14:schemeClr w14:val="tx1"/>
                  </w14:solidFill>
                </w14:textFill>
              </w:rPr>
            </w:pPr>
          </w:p>
        </w:tc>
        <w:tc>
          <w:tcPr>
            <w:tcW w:w="525" w:type="pct"/>
            <w:vMerge w:val="continue"/>
            <w:tcBorders>
              <w:tl2br w:val="nil"/>
              <w:tr2bl w:val="nil"/>
            </w:tcBorders>
            <w:noWrap w:val="0"/>
            <w:vAlign w:val="center"/>
          </w:tcPr>
          <w:p>
            <w:pPr>
              <w:jc w:val="center"/>
              <w:rPr>
                <w:color w:val="000000" w:themeColor="text1"/>
                <w:sz w:val="21"/>
                <w:szCs w:val="21"/>
                <w:highlight w:val="none"/>
                <w14:textFill>
                  <w14:solidFill>
                    <w14:schemeClr w14:val="tx1"/>
                  </w14:solidFill>
                </w14:textFill>
              </w:rPr>
            </w:pPr>
          </w:p>
        </w:tc>
        <w:tc>
          <w:tcPr>
            <w:tcW w:w="648" w:type="pct"/>
            <w:tcBorders>
              <w:tl2br w:val="nil"/>
              <w:tr2bl w:val="nil"/>
            </w:tcBorders>
            <w:noWrap w:val="0"/>
            <w:vAlign w:val="center"/>
          </w:tcPr>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经度</w:t>
            </w:r>
          </w:p>
        </w:tc>
        <w:tc>
          <w:tcPr>
            <w:tcW w:w="609" w:type="pct"/>
            <w:tcBorders>
              <w:tl2br w:val="nil"/>
              <w:tr2bl w:val="nil"/>
            </w:tcBorders>
            <w:noWrap w:val="0"/>
            <w:vAlign w:val="center"/>
          </w:tcPr>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纬度</w:t>
            </w:r>
          </w:p>
        </w:tc>
        <w:tc>
          <w:tcPr>
            <w:tcW w:w="399" w:type="pct"/>
            <w:tcBorders>
              <w:tl2br w:val="nil"/>
              <w:tr2bl w:val="nil"/>
            </w:tcBorders>
            <w:noWrap w:val="0"/>
            <w:vAlign w:val="center"/>
          </w:tcPr>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高度(m)</w:t>
            </w:r>
          </w:p>
        </w:tc>
        <w:tc>
          <w:tcPr>
            <w:tcW w:w="409" w:type="pct"/>
            <w:tcBorders>
              <w:tl2br w:val="nil"/>
              <w:tr2bl w:val="nil"/>
            </w:tcBorders>
            <w:noWrap w:val="0"/>
            <w:vAlign w:val="center"/>
          </w:tcPr>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内径(m)</w:t>
            </w:r>
          </w:p>
        </w:tc>
        <w:tc>
          <w:tcPr>
            <w:tcW w:w="449" w:type="pct"/>
            <w:tcBorders>
              <w:tl2br w:val="nil"/>
              <w:tr2bl w:val="nil"/>
            </w:tcBorders>
            <w:noWrap w:val="0"/>
            <w:vAlign w:val="center"/>
          </w:tcPr>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温度(</w:t>
            </w:r>
            <w:r>
              <w:rPr>
                <w:rFonts w:hint="eastAsia" w:ascii="宋体" w:hAnsi="宋体" w:cs="宋体"/>
                <w:b/>
                <w:bCs/>
                <w:color w:val="000000" w:themeColor="text1"/>
                <w:sz w:val="21"/>
                <w:szCs w:val="21"/>
                <w:highlight w:val="none"/>
                <w14:textFill>
                  <w14:solidFill>
                    <w14:schemeClr w14:val="tx1"/>
                  </w14:solidFill>
                </w14:textFill>
              </w:rPr>
              <w:t>℃</w:t>
            </w:r>
            <w:r>
              <w:rPr>
                <w:b/>
                <w:bCs/>
                <w:color w:val="000000" w:themeColor="text1"/>
                <w:sz w:val="21"/>
                <w:szCs w:val="21"/>
                <w:highlight w:val="none"/>
                <w14:textFill>
                  <w14:solidFill>
                    <w14:schemeClr w14:val="tx1"/>
                  </w14:solidFill>
                </w14:textFill>
              </w:rPr>
              <w:t>)</w:t>
            </w:r>
          </w:p>
        </w:tc>
        <w:tc>
          <w:tcPr>
            <w:tcW w:w="524" w:type="pct"/>
            <w:tcBorders>
              <w:tl2br w:val="nil"/>
              <w:tr2bl w:val="nil"/>
            </w:tcBorders>
            <w:noWrap w:val="0"/>
            <w:vAlign w:val="center"/>
          </w:tcPr>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流</w:t>
            </w:r>
            <w:r>
              <w:rPr>
                <w:rFonts w:hint="eastAsia"/>
                <w:b/>
                <w:bCs/>
                <w:color w:val="000000" w:themeColor="text1"/>
                <w:sz w:val="21"/>
                <w:szCs w:val="21"/>
                <w:highlight w:val="none"/>
                <w:lang w:val="en-US" w:eastAsia="zh-CN"/>
                <w14:textFill>
                  <w14:solidFill>
                    <w14:schemeClr w14:val="tx1"/>
                  </w14:solidFill>
                </w14:textFill>
              </w:rPr>
              <w:t>量</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m³</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h</w:t>
            </w:r>
            <w:r>
              <w:rPr>
                <w:b/>
                <w:bCs/>
                <w:color w:val="000000" w:themeColor="text1"/>
                <w:sz w:val="21"/>
                <w:szCs w:val="21"/>
                <w:highlight w:val="none"/>
                <w14:textFill>
                  <w14:solidFill>
                    <w14:schemeClr w14:val="tx1"/>
                  </w14:solidFill>
                </w14:textFill>
              </w:rPr>
              <w:t>)</w:t>
            </w:r>
          </w:p>
        </w:tc>
        <w:tc>
          <w:tcPr>
            <w:tcW w:w="470" w:type="pct"/>
            <w:vMerge w:val="continue"/>
            <w:tcBorders>
              <w:tl2br w:val="nil"/>
              <w:tr2bl w:val="nil"/>
            </w:tcBorders>
            <w:noWrap w:val="0"/>
            <w:vAlign w:val="center"/>
          </w:tcPr>
          <w:p>
            <w:pPr>
              <w:jc w:val="center"/>
              <w:rPr>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tcBorders>
              <w:tl2br w:val="nil"/>
              <w:tr2bl w:val="nil"/>
            </w:tcBorders>
            <w:noWrap w:val="0"/>
            <w:vAlign w:val="center"/>
          </w:tcPr>
          <w:p>
            <w:pPr>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五楼化验室实验废气</w:t>
            </w:r>
          </w:p>
        </w:tc>
        <w:tc>
          <w:tcPr>
            <w:tcW w:w="462" w:type="pct"/>
            <w:tcBorders>
              <w:tl2br w:val="nil"/>
              <w:tr2bl w:val="nil"/>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P</w:t>
            </w:r>
            <w:r>
              <w:rPr>
                <w:rFonts w:hint="eastAsia"/>
                <w:color w:val="000000" w:themeColor="text1"/>
                <w:sz w:val="21"/>
                <w:szCs w:val="21"/>
                <w:highlight w:val="none"/>
                <w:lang w:val="en-US" w:eastAsia="zh-CN"/>
                <w14:textFill>
                  <w14:solidFill>
                    <w14:schemeClr w14:val="tx1"/>
                  </w14:solidFill>
                </w14:textFill>
              </w:rPr>
              <w:t>9</w:t>
            </w:r>
            <w:r>
              <w:rPr>
                <w:color w:val="000000" w:themeColor="text1"/>
                <w:sz w:val="21"/>
                <w:szCs w:val="21"/>
                <w:highlight w:val="none"/>
                <w14:textFill>
                  <w14:solidFill>
                    <w14:schemeClr w14:val="tx1"/>
                  </w14:solidFill>
                </w14:textFill>
              </w:rPr>
              <w:t>排气筒</w:t>
            </w:r>
          </w:p>
        </w:tc>
        <w:tc>
          <w:tcPr>
            <w:tcW w:w="525" w:type="pct"/>
            <w:tcBorders>
              <w:tl2br w:val="nil"/>
              <w:tr2bl w:val="nil"/>
            </w:tcBorders>
            <w:noWrap w:val="0"/>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一般排放口</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116°16′5.859″</w:t>
            </w:r>
          </w:p>
        </w:tc>
        <w:tc>
          <w:tcPr>
            <w:tcW w:w="16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35°21′24.281″</w:t>
            </w:r>
          </w:p>
        </w:tc>
        <w:tc>
          <w:tcPr>
            <w:tcW w:w="399" w:type="pct"/>
            <w:tcBorders>
              <w:tl2br w:val="nil"/>
              <w:tr2bl w:val="nil"/>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29.5</w:t>
            </w:r>
          </w:p>
        </w:tc>
        <w:tc>
          <w:tcPr>
            <w:tcW w:w="409" w:type="pct"/>
            <w:tcBorders>
              <w:tl2br w:val="nil"/>
              <w:tr2bl w:val="nil"/>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0.63</w:t>
            </w:r>
          </w:p>
        </w:tc>
        <w:tc>
          <w:tcPr>
            <w:tcW w:w="449" w:type="pct"/>
            <w:tcBorders>
              <w:tl2br w:val="nil"/>
              <w:tr2bl w:val="nil"/>
            </w:tcBorders>
            <w:noWrap w:val="0"/>
            <w:vAlign w:val="center"/>
          </w:tcPr>
          <w:p>
            <w:pPr>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常温</w:t>
            </w:r>
          </w:p>
        </w:tc>
        <w:tc>
          <w:tcPr>
            <w:tcW w:w="524" w:type="pct"/>
            <w:tcBorders>
              <w:tl2br w:val="nil"/>
              <w:tr2bl w:val="nil"/>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22000</w:t>
            </w:r>
          </w:p>
        </w:tc>
        <w:tc>
          <w:tcPr>
            <w:tcW w:w="470" w:type="pct"/>
            <w:tcBorders>
              <w:tl2br w:val="nil"/>
              <w:tr2bl w:val="nil"/>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tcBorders>
              <w:tl2br w:val="nil"/>
              <w:tr2bl w:val="nil"/>
            </w:tcBorders>
            <w:noWrap w:val="0"/>
            <w:vAlign w:val="center"/>
          </w:tcPr>
          <w:p>
            <w:pPr>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六楼研发室实验废气</w:t>
            </w:r>
          </w:p>
        </w:tc>
        <w:tc>
          <w:tcPr>
            <w:tcW w:w="462" w:type="pct"/>
            <w:tcBorders>
              <w:tl2br w:val="nil"/>
              <w:tr2bl w:val="nil"/>
            </w:tcBorders>
            <w:noWrap w:val="0"/>
            <w:vAlign w:val="center"/>
          </w:tcPr>
          <w:p>
            <w:pPr>
              <w:jc w:val="center"/>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P</w:t>
            </w:r>
            <w:r>
              <w:rPr>
                <w:rFonts w:hint="eastAsia"/>
                <w:color w:val="000000" w:themeColor="text1"/>
                <w:sz w:val="21"/>
                <w:szCs w:val="21"/>
                <w:highlight w:val="none"/>
                <w:lang w:val="en-US" w:eastAsia="zh-CN"/>
                <w14:textFill>
                  <w14:solidFill>
                    <w14:schemeClr w14:val="tx1"/>
                  </w14:solidFill>
                </w14:textFill>
              </w:rPr>
              <w:t>10</w:t>
            </w:r>
            <w:r>
              <w:rPr>
                <w:color w:val="000000" w:themeColor="text1"/>
                <w:sz w:val="21"/>
                <w:szCs w:val="21"/>
                <w:highlight w:val="none"/>
                <w14:textFill>
                  <w14:solidFill>
                    <w14:schemeClr w14:val="tx1"/>
                  </w14:solidFill>
                </w14:textFill>
              </w:rPr>
              <w:t>排气筒</w:t>
            </w:r>
          </w:p>
        </w:tc>
        <w:tc>
          <w:tcPr>
            <w:tcW w:w="525" w:type="pct"/>
            <w:tcBorders>
              <w:tl2br w:val="nil"/>
              <w:tr2bl w:val="nil"/>
            </w:tcBorders>
            <w:noWrap w:val="0"/>
            <w:vAlign w:val="center"/>
          </w:tcPr>
          <w:p>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一般排放口</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116°16′5.869″</w:t>
            </w:r>
          </w:p>
        </w:tc>
        <w:tc>
          <w:tcPr>
            <w:tcW w:w="16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35°21′24.146″</w:t>
            </w:r>
          </w:p>
        </w:tc>
        <w:tc>
          <w:tcPr>
            <w:tcW w:w="399" w:type="pct"/>
            <w:tcBorders>
              <w:tl2br w:val="nil"/>
              <w:tr2bl w:val="nil"/>
            </w:tcBorders>
            <w:noWrap w:val="0"/>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29.5</w:t>
            </w:r>
          </w:p>
        </w:tc>
        <w:tc>
          <w:tcPr>
            <w:tcW w:w="409" w:type="pct"/>
            <w:tcBorders>
              <w:tl2br w:val="nil"/>
              <w:tr2bl w:val="nil"/>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0.9</w:t>
            </w:r>
          </w:p>
        </w:tc>
        <w:tc>
          <w:tcPr>
            <w:tcW w:w="449" w:type="pct"/>
            <w:tcBorders>
              <w:tl2br w:val="nil"/>
              <w:tr2bl w:val="nil"/>
            </w:tcBorders>
            <w:noWrap w:val="0"/>
            <w:vAlign w:val="center"/>
          </w:tcPr>
          <w:p>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常温</w:t>
            </w:r>
          </w:p>
        </w:tc>
        <w:tc>
          <w:tcPr>
            <w:tcW w:w="524" w:type="pct"/>
            <w:tcBorders>
              <w:tl2br w:val="nil"/>
              <w:tr2bl w:val="nil"/>
            </w:tcBorders>
            <w:noWrap w:val="0"/>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30000</w:t>
            </w:r>
          </w:p>
        </w:tc>
        <w:tc>
          <w:tcPr>
            <w:tcW w:w="470" w:type="pct"/>
            <w:tcBorders>
              <w:tl2br w:val="nil"/>
              <w:tr2bl w:val="nil"/>
            </w:tcBorders>
            <w:noWrap w:val="0"/>
            <w:vAlign w:val="center"/>
          </w:tcPr>
          <w:p>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tcBorders>
              <w:tl2br w:val="nil"/>
              <w:tr2bl w:val="nil"/>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试剂存放区废气</w:t>
            </w:r>
          </w:p>
        </w:tc>
        <w:tc>
          <w:tcPr>
            <w:tcW w:w="462" w:type="pct"/>
            <w:tcBorders>
              <w:tl2br w:val="nil"/>
              <w:tr2bl w:val="nil"/>
            </w:tcBorders>
            <w:noWrap w:val="0"/>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P11排气筒</w:t>
            </w:r>
          </w:p>
        </w:tc>
        <w:tc>
          <w:tcPr>
            <w:tcW w:w="525" w:type="pct"/>
            <w:tcBorders>
              <w:tl2br w:val="nil"/>
              <w:tr2bl w:val="nil"/>
            </w:tcBorders>
            <w:noWrap w:val="0"/>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一般排放口</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116°16′6.043″</w:t>
            </w:r>
          </w:p>
        </w:tc>
        <w:tc>
          <w:tcPr>
            <w:tcW w:w="16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35°21′24.276″</w:t>
            </w:r>
          </w:p>
        </w:tc>
        <w:tc>
          <w:tcPr>
            <w:tcW w:w="399" w:type="pct"/>
            <w:tcBorders>
              <w:tl2br w:val="nil"/>
              <w:tr2bl w:val="nil"/>
            </w:tcBorders>
            <w:noWrap w:val="0"/>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29.5</w:t>
            </w:r>
          </w:p>
        </w:tc>
        <w:tc>
          <w:tcPr>
            <w:tcW w:w="409" w:type="pct"/>
            <w:tcBorders>
              <w:tl2br w:val="nil"/>
              <w:tr2bl w:val="nil"/>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0.55</w:t>
            </w:r>
          </w:p>
        </w:tc>
        <w:tc>
          <w:tcPr>
            <w:tcW w:w="449" w:type="pct"/>
            <w:tcBorders>
              <w:tl2br w:val="nil"/>
              <w:tr2bl w:val="nil"/>
            </w:tcBorders>
            <w:noWrap w:val="0"/>
            <w:vAlign w:val="center"/>
          </w:tcPr>
          <w:p>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常温</w:t>
            </w:r>
          </w:p>
        </w:tc>
        <w:tc>
          <w:tcPr>
            <w:tcW w:w="524" w:type="pct"/>
            <w:tcBorders>
              <w:tl2br w:val="nil"/>
              <w:tr2bl w:val="nil"/>
            </w:tcBorders>
            <w:noWrap w:val="0"/>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12000</w:t>
            </w:r>
          </w:p>
        </w:tc>
        <w:tc>
          <w:tcPr>
            <w:tcW w:w="470" w:type="pct"/>
            <w:tcBorders>
              <w:tl2br w:val="nil"/>
              <w:tr2bl w:val="nil"/>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正常</w:t>
            </w:r>
          </w:p>
        </w:tc>
      </w:tr>
    </w:tbl>
    <w:p>
      <w:pPr>
        <w:pStyle w:val="32"/>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6840" w:h="11907"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6"/>
        <w:tblW w:w="53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1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276" w:type="pct"/>
            <w:tcMar>
              <w:left w:w="28" w:type="dxa"/>
              <w:right w:w="28" w:type="dxa"/>
            </w:tcMar>
            <w:vAlign w:val="center"/>
          </w:tcPr>
          <w:p>
            <w:pPr>
              <w:pStyle w:val="32"/>
              <w:adjustRightInd w:val="0"/>
              <w:snapToGrid w:val="0"/>
              <w:spacing w:before="0" w:beforeAutospacing="0"/>
              <w:ind w:left="105" w:leftChars="50" w:right="105" w:rightChars="50"/>
              <w:jc w:val="center"/>
              <w:rPr>
                <w:rFonts w:hint="default" w:ascii="Times New Roman" w:hAnsi="Times New Roman" w:cs="Times New Roman"/>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运营期环境影响和保护措施</w:t>
            </w:r>
          </w:p>
        </w:tc>
        <w:tc>
          <w:tcPr>
            <w:tcW w:w="4723"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表4-</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 xml:space="preserve"> 无组织废气</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产</w:t>
            </w: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排情况</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57"/>
              <w:gridCol w:w="2659"/>
              <w:gridCol w:w="971"/>
              <w:gridCol w:w="1502"/>
              <w:gridCol w:w="1246"/>
              <w:gridCol w:w="15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产污环节</w:t>
                  </w: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9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年排放</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时间/h</w:t>
                  </w:r>
                </w:p>
              </w:tc>
              <w:tc>
                <w:tcPr>
                  <w:tcW w:w="15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产生量(kg/a)</w:t>
                  </w:r>
                </w:p>
              </w:tc>
              <w:tc>
                <w:tcPr>
                  <w:tcW w:w="12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排放量(kg/a)</w:t>
                  </w:r>
                </w:p>
              </w:tc>
              <w:tc>
                <w:tcPr>
                  <w:tcW w:w="15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五楼化验室实验废气</w:t>
                  </w: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97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11.322</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11.322</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0.400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0.400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乙腈</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吡啶</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0.488</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0.488</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N,N二甲基甲酰胺</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0.560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0.560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三氯甲烷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0.280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0.280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丙酮</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0.011</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0.011</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0.031</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0.031</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硝酸雾（以NOx计）</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0.019</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0.019</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0.960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0.960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异丙醇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碳酸丙烯酯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二正丁胺</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0.024</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0.024</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碳酸乙烯酯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0.576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0.576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碳酸二乙酯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乙二醇二甲醚</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碳酸二甲酯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1.471</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1.471</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乙酸酐</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六楼研发室实验废气</w:t>
                  </w: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97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2.255</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2.255</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1.187</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1.187</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1,2-二氯乙烷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0.360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0.360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臭气浓度</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15（无量纲）</w:t>
                  </w:r>
                </w:p>
              </w:tc>
              <w:tc>
                <w:tcPr>
                  <w:tcW w:w="2786"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1,2-丙二醇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0.028</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0.028</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氯化亚砜</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三氟乙醇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六甲基二硅氮烷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六甲基二硅氧烷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甲基三甲氧基硅烷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四甲基二硅氧烷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三甲基氯硅烷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八甲基环四硅氧烷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六亚甲基二异氰酸酯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0.024</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0.024</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甲基异丁基甲酮</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试剂存放区废气</w:t>
                  </w: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97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7200</w:t>
                  </w: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2.765</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2.765</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乙腈</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0.078</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0.078</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吡啶</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0.098</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0.098</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N,N二甲基甲酰胺</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0.094</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0.094</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三氯甲烷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0.148</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0.148</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0.132</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0.132</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1,2-二氯乙烷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0.062</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0.062</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0.079</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0.079</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丙酮</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0.079</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0.079</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0.079</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0.079</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异丙醇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0.078</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0.078</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碳酸丙烯酯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二正丁胺</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碳酸乙烯酯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0.132</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0.132</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碳酸二乙酯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0.097</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0.097</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乙二醇二甲醚</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0.087</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0.087</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碳酸二甲酯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乙酸酐</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0.108</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0.108</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1,2-丙二醇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0.072</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0.072</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氯化亚砜</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0.163</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0.163</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三氟乙醇</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0.138</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0.138</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六甲基二硅氮烷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0.079</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0.079</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六甲基二硅氧烷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甲基三甲氧基硅烷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四甲基二硅氧烷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三甲基氯硅烷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0.085</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0.085</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八甲基环四硅氧烷</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0.096</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0.096</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六亚甲基二异氰酸酯</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0.063</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0.063</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甲基异丁基甲酮</w:t>
                  </w:r>
                </w:p>
              </w:tc>
              <w:tc>
                <w:tcPr>
                  <w:tcW w:w="97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50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0.080</w:t>
                  </w:r>
                </w:p>
              </w:tc>
              <w:tc>
                <w:tcPr>
                  <w:tcW w:w="12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0.080</w:t>
                  </w:r>
                </w:p>
              </w:tc>
              <w:tc>
                <w:tcPr>
                  <w:tcW w:w="154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0.00001</w:t>
                  </w:r>
                </w:p>
              </w:tc>
            </w:tr>
          </w:tbl>
          <w:p>
            <w:pPr>
              <w:autoSpaceDE w:val="0"/>
              <w:autoSpaceDN w:val="0"/>
              <w:adjustRightInd w:val="0"/>
              <w:snapToGrid w:val="0"/>
              <w:spacing w:line="360" w:lineRule="auto"/>
              <w:ind w:firstLine="472" w:firstLineChars="196"/>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2"/>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2"/>
                <w:highlight w:val="none"/>
                <w:lang w:val="en-US" w:eastAsia="zh-CN"/>
                <w14:textFill>
                  <w14:solidFill>
                    <w14:schemeClr w14:val="tx1"/>
                  </w14:solidFill>
                </w14:textFill>
              </w:rPr>
              <w:t>废气达标性分析</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表4-</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5</w:t>
            </w:r>
            <w:r>
              <w:rPr>
                <w:rFonts w:hint="eastAsia" w:cs="Times New Roman"/>
                <w:b/>
                <w:snapToGrid w:val="0"/>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 xml:space="preserve"> 有组织废气达标排放情况一览表</w:t>
            </w:r>
          </w:p>
          <w:tbl>
            <w:tblPr>
              <w:tblStyle w:val="36"/>
              <w:tblW w:w="88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19"/>
              <w:gridCol w:w="786"/>
              <w:gridCol w:w="1991"/>
              <w:gridCol w:w="787"/>
              <w:gridCol w:w="1009"/>
              <w:gridCol w:w="914"/>
              <w:gridCol w:w="859"/>
              <w:gridCol w:w="846"/>
              <w:gridCol w:w="8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270" w:hRule="atLeast"/>
                <w:jc w:val="center"/>
              </w:trPr>
              <w:tc>
                <w:tcPr>
                  <w:tcW w:w="81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污染源</w:t>
                  </w:r>
                </w:p>
              </w:tc>
              <w:tc>
                <w:tcPr>
                  <w:tcW w:w="78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199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2710"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排放情况</w:t>
                  </w:r>
                </w:p>
              </w:tc>
              <w:tc>
                <w:tcPr>
                  <w:tcW w:w="170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执行标准</w:t>
                  </w:r>
                </w:p>
              </w:tc>
              <w:tc>
                <w:tcPr>
                  <w:tcW w:w="866"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jc w:val="center"/>
              </w:trPr>
              <w:tc>
                <w:tcPr>
                  <w:tcW w:w="819"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786"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991" w:type="dxa"/>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排放量kg/a</w:t>
                  </w:r>
                </w:p>
              </w:tc>
              <w:tc>
                <w:tcPr>
                  <w:tcW w:w="10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排放速率kg/h</w:t>
                  </w:r>
                </w:p>
              </w:tc>
              <w:tc>
                <w:tcPr>
                  <w:tcW w:w="9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排放浓度mg/m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8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排放浓度mg/m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8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排放速率kg/h</w:t>
                  </w:r>
                </w:p>
              </w:tc>
              <w:tc>
                <w:tcPr>
                  <w:tcW w:w="866"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81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五楼化验室实验废气</w:t>
                  </w:r>
                </w:p>
              </w:tc>
              <w:tc>
                <w:tcPr>
                  <w:tcW w:w="78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P9排气筒</w:t>
                  </w: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20.38</w:t>
                  </w:r>
                </w:p>
              </w:tc>
              <w:tc>
                <w:tcPr>
                  <w:tcW w:w="10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0.34</w:t>
                  </w:r>
                </w:p>
              </w:tc>
              <w:tc>
                <w:tcPr>
                  <w:tcW w:w="9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15.439</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81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10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c>
                <w:tcPr>
                  <w:tcW w:w="9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0.027</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81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w:t>
                  </w:r>
                </w:p>
              </w:tc>
              <w:tc>
                <w:tcPr>
                  <w:tcW w:w="10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w:t>
                  </w:r>
                </w:p>
              </w:tc>
              <w:tc>
                <w:tcPr>
                  <w:tcW w:w="9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0.545</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17.4</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81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0.082</w:t>
                  </w:r>
                </w:p>
              </w:tc>
              <w:tc>
                <w:tcPr>
                  <w:tcW w:w="10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w:t>
                  </w:r>
                </w:p>
              </w:tc>
              <w:tc>
                <w:tcPr>
                  <w:tcW w:w="9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0.062</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1.35</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81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0.225</w:t>
                  </w:r>
                </w:p>
              </w:tc>
              <w:tc>
                <w:tcPr>
                  <w:tcW w:w="10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0.004</w:t>
                  </w:r>
                </w:p>
              </w:tc>
              <w:tc>
                <w:tcPr>
                  <w:tcW w:w="9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81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硝酸雾（以NOx计）</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0.138</w:t>
                  </w:r>
                </w:p>
              </w:tc>
              <w:tc>
                <w:tcPr>
                  <w:tcW w:w="10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c>
                <w:tcPr>
                  <w:tcW w:w="9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0.105</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81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六楼研发室实验废气</w:t>
                  </w:r>
                </w:p>
              </w:tc>
              <w:tc>
                <w:tcPr>
                  <w:tcW w:w="78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P10排气筒</w:t>
                  </w: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4.059</w:t>
                  </w:r>
                </w:p>
              </w:tc>
              <w:tc>
                <w:tcPr>
                  <w:tcW w:w="10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0.068</w:t>
                  </w:r>
                </w:p>
              </w:tc>
              <w:tc>
                <w:tcPr>
                  <w:tcW w:w="91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2.255</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81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2.592</w:t>
                  </w:r>
                </w:p>
              </w:tc>
              <w:tc>
                <w:tcPr>
                  <w:tcW w:w="10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0.043</w:t>
                  </w:r>
                </w:p>
              </w:tc>
              <w:tc>
                <w:tcPr>
                  <w:tcW w:w="91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1.44</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81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臭气浓度</w:t>
                  </w:r>
                </w:p>
              </w:tc>
              <w:tc>
                <w:tcPr>
                  <w:tcW w:w="2710"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200（无量纲）</w:t>
                  </w:r>
                </w:p>
              </w:tc>
              <w:tc>
                <w:tcPr>
                  <w:tcW w:w="170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15000（无量纲）</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81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试剂存放区废气</w:t>
                  </w:r>
                </w:p>
              </w:tc>
              <w:tc>
                <w:tcPr>
                  <w:tcW w:w="78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P11排气筒</w:t>
                  </w: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4.977</w:t>
                  </w:r>
                </w:p>
              </w:tc>
              <w:tc>
                <w:tcPr>
                  <w:tcW w:w="10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0.00069</w:t>
                  </w:r>
                </w:p>
              </w:tc>
              <w:tc>
                <w:tcPr>
                  <w:tcW w:w="91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0.058</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819"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86"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0.142</w:t>
                  </w:r>
                </w:p>
              </w:tc>
              <w:tc>
                <w:tcPr>
                  <w:tcW w:w="10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1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81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7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0.155</w:t>
                  </w:r>
                </w:p>
              </w:tc>
              <w:tc>
                <w:tcPr>
                  <w:tcW w:w="10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91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8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17.4</w:t>
                  </w:r>
                </w:p>
              </w:tc>
              <w:tc>
                <w:tcPr>
                  <w:tcW w:w="8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bl>
          <w:p>
            <w:pPr>
              <w:autoSpaceDE w:val="0"/>
              <w:autoSpaceDN w:val="0"/>
              <w:adjustRightInd w:val="0"/>
              <w:snapToGrid w:val="0"/>
              <w:spacing w:line="360" w:lineRule="auto"/>
              <w:ind w:firstLine="470" w:firstLineChars="196"/>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以上任意两个排放口距离</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小于</w:t>
            </w:r>
            <w:r>
              <w:rPr>
                <w:rFonts w:hint="eastAsia" w:ascii="Times New Roman" w:hAnsi="Times New Roman" w:eastAsia="宋体" w:cs="Times New Roman"/>
                <w:bCs/>
                <w:color w:val="000000" w:themeColor="text1"/>
                <w:sz w:val="24"/>
                <w:highlight w:val="none"/>
                <w14:textFill>
                  <w14:solidFill>
                    <w14:schemeClr w14:val="tx1"/>
                  </w14:solidFill>
                </w14:textFill>
              </w:rPr>
              <w:t>两个排气筒的高度之和，需等效核算</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见下表</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表4-</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5</w:t>
            </w:r>
            <w:r>
              <w:rPr>
                <w:rFonts w:hint="eastAsia" w:cs="Times New Roman"/>
                <w:b/>
                <w:snapToGrid w:val="0"/>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排气筒等效后</w:t>
            </w:r>
            <w:r>
              <w:rPr>
                <w:rFonts w:hint="default" w:ascii="Times New Roman" w:hAnsi="Times New Roman" w:eastAsia="宋体" w:cs="Times New Roman"/>
                <w:b/>
                <w:snapToGrid w:val="0"/>
                <w:color w:val="000000" w:themeColor="text1"/>
                <w:kern w:val="0"/>
                <w:sz w:val="24"/>
                <w:szCs w:val="24"/>
                <w:highlight w:val="none"/>
                <w:lang w:val="en-US" w:eastAsia="zh-CN"/>
                <w14:textFill>
                  <w14:solidFill>
                    <w14:schemeClr w14:val="tx1"/>
                  </w14:solidFill>
                </w14:textFill>
              </w:rPr>
              <w:t>有组织废气达标排放情况一览表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461"/>
              <w:gridCol w:w="1363"/>
              <w:gridCol w:w="1091"/>
              <w:gridCol w:w="1569"/>
              <w:gridCol w:w="1281"/>
              <w:gridCol w:w="11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246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等效排气筒</w:t>
                  </w:r>
                </w:p>
              </w:tc>
              <w:tc>
                <w:tcPr>
                  <w:tcW w:w="136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等效排气筒高度/m</w:t>
                  </w:r>
                </w:p>
              </w:tc>
              <w:tc>
                <w:tcPr>
                  <w:tcW w:w="10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156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排放速率</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kg/h</w:t>
                  </w:r>
                </w:p>
              </w:tc>
              <w:tc>
                <w:tcPr>
                  <w:tcW w:w="12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执行标准kg/h</w:t>
                  </w:r>
                </w:p>
              </w:tc>
              <w:tc>
                <w:tcPr>
                  <w:tcW w:w="11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246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1#（P9、P10、P11等效）</w:t>
                  </w:r>
                </w:p>
              </w:tc>
              <w:tc>
                <w:tcPr>
                  <w:tcW w:w="136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29.5</w:t>
                  </w:r>
                </w:p>
              </w:tc>
              <w:tc>
                <w:tcPr>
                  <w:tcW w:w="10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156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0.40869</w:t>
                  </w:r>
                </w:p>
              </w:tc>
              <w:tc>
                <w:tcPr>
                  <w:tcW w:w="12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1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6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2#（P9、P11等效）</w:t>
                  </w:r>
                </w:p>
              </w:tc>
              <w:tc>
                <w:tcPr>
                  <w:tcW w:w="136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29.5</w:t>
                  </w:r>
                </w:p>
              </w:tc>
              <w:tc>
                <w:tcPr>
                  <w:tcW w:w="10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156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0.01202</w:t>
                  </w:r>
                </w:p>
              </w:tc>
              <w:tc>
                <w:tcPr>
                  <w:tcW w:w="12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17.4</w:t>
                  </w:r>
                </w:p>
              </w:tc>
              <w:tc>
                <w:tcPr>
                  <w:tcW w:w="11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2461"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363"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156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0.00102</w:t>
                  </w:r>
                </w:p>
              </w:tc>
              <w:tc>
                <w:tcPr>
                  <w:tcW w:w="1281" w:type="dxa"/>
                  <w:tcBorders>
                    <w:tl2br w:val="nil"/>
                    <w:tr2bl w:val="nil"/>
                  </w:tcBorders>
                  <w:shd w:val="clear" w:color="auto" w:fill="auto"/>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1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r>
          </w:tbl>
          <w:p>
            <w:pPr>
              <w:autoSpaceDE w:val="0"/>
              <w:autoSpaceDN w:val="0"/>
              <w:adjustRightInd w:val="0"/>
              <w:snapToGrid w:val="0"/>
              <w:spacing w:line="360" w:lineRule="auto"/>
              <w:ind w:firstLine="470" w:firstLineChars="196"/>
              <w:rPr>
                <w:rFonts w:hint="default" w:ascii="Times New Roman" w:hAnsi="Times New Roman" w:cs="Times New Roman"/>
                <w:color w:val="000000" w:themeColor="text1"/>
                <w:sz w:val="24"/>
                <w:szCs w:val="22"/>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本项目建成后，</w:t>
            </w:r>
            <w:r>
              <w:rPr>
                <w:rFonts w:hint="default" w:ascii="Times New Roman" w:hAnsi="Times New Roman" w:cs="Times New Roman"/>
                <w:color w:val="000000" w:themeColor="text1"/>
                <w:sz w:val="24"/>
                <w:szCs w:val="22"/>
                <w:highlight w:val="none"/>
                <w14:textFill>
                  <w14:solidFill>
                    <w14:schemeClr w14:val="tx1"/>
                  </w14:solidFill>
                </w14:textFill>
              </w:rPr>
              <w:t>正常工况下，项目废气排放不会对周边大气环境以及周边环境保护目标产生明显不利影响。</w:t>
            </w:r>
          </w:p>
          <w:p>
            <w:pPr>
              <w:autoSpaceDE w:val="0"/>
              <w:autoSpaceDN w:val="0"/>
              <w:adjustRightInd w:val="0"/>
              <w:snapToGrid w:val="0"/>
              <w:spacing w:line="360" w:lineRule="auto"/>
              <w:ind w:firstLine="472" w:firstLineChars="196"/>
              <w:rPr>
                <w:rFonts w:hint="default" w:ascii="Times New Roman" w:hAnsi="Times New Roman" w:cs="Times New Roman"/>
                <w:b/>
                <w:bCs/>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2"/>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4"/>
                <w:szCs w:val="22"/>
                <w:highlight w:val="none"/>
                <w:lang w:val="en-US" w:eastAsia="zh-CN"/>
                <w14:textFill>
                  <w14:solidFill>
                    <w14:schemeClr w14:val="tx1"/>
                  </w14:solidFill>
                </w14:textFill>
              </w:rPr>
              <w:t>非正常工况</w:t>
            </w:r>
          </w:p>
          <w:p>
            <w:pPr>
              <w:snapToGrid w:val="0"/>
              <w:spacing w:line="360" w:lineRule="auto"/>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非</w:t>
            </w:r>
            <w:r>
              <w:rPr>
                <w:rFonts w:hint="default" w:ascii="Times New Roman" w:hAnsi="Times New Roman" w:cs="Times New Roman"/>
                <w:color w:val="000000" w:themeColor="text1"/>
                <w:sz w:val="24"/>
                <w:szCs w:val="22"/>
                <w:highlight w:val="none"/>
                <w14:textFill>
                  <w14:solidFill>
                    <w14:schemeClr w14:val="tx1"/>
                  </w14:solidFill>
                </w14:textFill>
              </w:rPr>
              <w:t>正常工况下，</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本</w:t>
            </w:r>
            <w:r>
              <w:rPr>
                <w:rFonts w:hint="default" w:ascii="Times New Roman" w:hAnsi="Times New Roman" w:cs="Times New Roman"/>
                <w:color w:val="000000" w:themeColor="text1"/>
                <w:sz w:val="24"/>
                <w:szCs w:val="22"/>
                <w:highlight w:val="none"/>
                <w14:textFill>
                  <w14:solidFill>
                    <w14:schemeClr w14:val="tx1"/>
                  </w14:solidFill>
                </w14:textFill>
              </w:rPr>
              <w:t>项目</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有组织</w:t>
            </w:r>
            <w:r>
              <w:rPr>
                <w:rFonts w:hint="default" w:ascii="Times New Roman" w:hAnsi="Times New Roman" w:cs="Times New Roman"/>
                <w:color w:val="000000" w:themeColor="text1"/>
                <w:sz w:val="24"/>
                <w:szCs w:val="22"/>
                <w:highlight w:val="none"/>
                <w14:textFill>
                  <w14:solidFill>
                    <w14:schemeClr w14:val="tx1"/>
                  </w14:solidFill>
                </w14:textFill>
              </w:rPr>
              <w:t>排放参数见下表：</w:t>
            </w:r>
          </w:p>
          <w:p>
            <w:pPr>
              <w:autoSpaceDE w:val="0"/>
              <w:autoSpaceDN w:val="0"/>
              <w:adjustRightInd w:val="0"/>
              <w:snapToGrid w:val="0"/>
              <w:spacing w:line="360" w:lineRule="auto"/>
              <w:ind w:firstLine="472" w:firstLineChars="196"/>
              <w:jc w:val="center"/>
              <w:rPr>
                <w:rFonts w:hint="default" w:ascii="Times New Roman" w:hAnsi="Times New Roman" w:cs="Times New Roman"/>
                <w:b/>
                <w:bCs/>
                <w:color w:val="000000" w:themeColor="text1"/>
                <w:kern w:val="36"/>
                <w:sz w:val="24"/>
                <w:highlight w:val="none"/>
                <w14:textFill>
                  <w14:solidFill>
                    <w14:schemeClr w14:val="tx1"/>
                  </w14:solidFill>
                </w14:textFill>
              </w:rPr>
            </w:pPr>
            <w:r>
              <w:rPr>
                <w:rFonts w:hint="default" w:ascii="Times New Roman" w:hAnsi="Times New Roman" w:cs="Times New Roman"/>
                <w:b/>
                <w:bCs/>
                <w:color w:val="000000" w:themeColor="text1"/>
                <w:kern w:val="36"/>
                <w:sz w:val="24"/>
                <w:highlight w:val="none"/>
                <w14:textFill>
                  <w14:solidFill>
                    <w14:schemeClr w14:val="tx1"/>
                  </w14:solidFill>
                </w14:textFill>
              </w:rPr>
              <w:t>表4-</w:t>
            </w:r>
            <w:r>
              <w:rPr>
                <w:rFonts w:hint="eastAsia" w:cs="Times New Roman"/>
                <w:b/>
                <w:bCs/>
                <w:color w:val="000000" w:themeColor="text1"/>
                <w:kern w:val="36"/>
                <w:sz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kern w:val="36"/>
                <w:sz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kern w:val="36"/>
                <w:sz w:val="24"/>
                <w:highlight w:val="none"/>
                <w14:textFill>
                  <w14:solidFill>
                    <w14:schemeClr w14:val="tx1"/>
                  </w14:solidFill>
                </w14:textFill>
              </w:rPr>
              <w:t>非正常工况下点源排放参数一览表</w:t>
            </w:r>
          </w:p>
          <w:tbl>
            <w:tblPr>
              <w:tblStyle w:val="36"/>
              <w:tblW w:w="498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94"/>
              <w:gridCol w:w="917"/>
              <w:gridCol w:w="2129"/>
              <w:gridCol w:w="912"/>
              <w:gridCol w:w="1033"/>
              <w:gridCol w:w="1179"/>
              <w:gridCol w:w="860"/>
              <w:gridCol w:w="9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点源名称</w:t>
                  </w:r>
                </w:p>
              </w:tc>
              <w:tc>
                <w:tcPr>
                  <w:tcW w:w="9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非正常排放原因</w:t>
                  </w:r>
                </w:p>
              </w:tc>
              <w:tc>
                <w:tcPr>
                  <w:tcW w:w="21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91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频次（次</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年）</w:t>
                  </w:r>
                </w:p>
              </w:tc>
              <w:tc>
                <w:tcPr>
                  <w:tcW w:w="10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非正常排放速率（</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kg/h</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1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非正常排放浓度（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c>
                <w:tcPr>
                  <w:tcW w:w="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单次持续时间（</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h</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c>
                <w:tcPr>
                  <w:tcW w:w="91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应对措施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P9</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91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废气治理系统失效，处理效率为</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91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次</w:t>
                  </w:r>
                </w:p>
              </w:tc>
              <w:tc>
                <w:tcPr>
                  <w:tcW w:w="103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1.887</w:t>
                  </w:r>
                </w:p>
              </w:tc>
              <w:tc>
                <w:tcPr>
                  <w:tcW w:w="11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85.773</w:t>
                  </w:r>
                </w:p>
              </w:tc>
              <w:tc>
                <w:tcPr>
                  <w:tcW w:w="860"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1h</w:t>
                  </w:r>
                </w:p>
              </w:tc>
              <w:tc>
                <w:tcPr>
                  <w:tcW w:w="91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专人负责，定期检查；发现故障立即停产检即停产检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甲苯</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0.067</w:t>
                  </w:r>
                </w:p>
              </w:tc>
              <w:tc>
                <w:tcPr>
                  <w:tcW w:w="11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3.030</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甲醇</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11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0.152</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氯化氢</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11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0.086</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硫酸雾</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w:t>
                  </w:r>
                </w:p>
              </w:tc>
              <w:tc>
                <w:tcPr>
                  <w:tcW w:w="11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0.236</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硝酸雾（以</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NOx</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计）</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11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0.145</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P10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0.376</w:t>
                  </w:r>
                </w:p>
              </w:tc>
              <w:tc>
                <w:tcPr>
                  <w:tcW w:w="11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12.527</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0.060</w:t>
                  </w:r>
                </w:p>
              </w:tc>
              <w:tc>
                <w:tcPr>
                  <w:tcW w:w="11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P11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0.0038</w:t>
                  </w:r>
                </w:p>
              </w:tc>
              <w:tc>
                <w:tcPr>
                  <w:tcW w:w="11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0.320</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甲苯</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w:t>
                  </w:r>
                </w:p>
              </w:tc>
              <w:tc>
                <w:tcPr>
                  <w:tcW w:w="11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0.010</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9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12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甲醇</w:t>
                  </w:r>
                </w:p>
              </w:tc>
              <w:tc>
                <w:tcPr>
                  <w:tcW w:w="91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w:t>
                  </w:r>
                </w:p>
              </w:tc>
              <w:tc>
                <w:tcPr>
                  <w:tcW w:w="11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86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cs="Times New Roman"/>
                <w:color w:val="000000" w:themeColor="text1"/>
                <w:sz w:val="24"/>
                <w:szCs w:val="24"/>
                <w:highlight w:val="none"/>
                <w14:textFill>
                  <w14:solidFill>
                    <w14:schemeClr w14:val="tx1"/>
                  </w14:solidFill>
                </w14:textFill>
              </w:rPr>
              <w:t>项目建设运行后，企业应加强在岗人员培训，对风机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及</w:t>
            </w:r>
            <w:r>
              <w:rPr>
                <w:rFonts w:hint="eastAsia" w:cs="Times New Roman"/>
                <w:color w:val="000000" w:themeColor="text1"/>
                <w:sz w:val="24"/>
                <w:szCs w:val="24"/>
                <w:highlight w:val="none"/>
                <w:lang w:val="en-US" w:eastAsia="zh-CN"/>
                <w14:textFill>
                  <w14:solidFill>
                    <w14:schemeClr w14:val="tx1"/>
                  </w14:solidFill>
                </w14:textFill>
              </w:rPr>
              <w:t>活性炭吸附装置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定期</w:t>
            </w:r>
            <w:r>
              <w:rPr>
                <w:rFonts w:hint="default" w:ascii="Times New Roman" w:hAnsi="Times New Roman" w:cs="Times New Roman"/>
                <w:color w:val="000000" w:themeColor="text1"/>
                <w:sz w:val="24"/>
                <w:szCs w:val="24"/>
                <w:highlight w:val="none"/>
                <w14:textFill>
                  <w14:solidFill>
                    <w14:schemeClr w14:val="tx1"/>
                  </w14:solidFill>
                </w14:textFill>
              </w:rPr>
              <w:t>检修，加强环保设施的运行维护，避免非正常工况的发生</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pPr>
              <w:widowControl/>
              <w:spacing w:line="360" w:lineRule="auto"/>
              <w:ind w:firstLine="482" w:firstLineChars="200"/>
              <w:jc w:val="left"/>
              <w:rPr>
                <w:rFonts w:hint="default" w:ascii="Times New Roman" w:hAnsi="Times New Roman" w:cs="Times New Roman"/>
                <w:color w:val="000000" w:themeColor="text1"/>
                <w:kern w:val="0"/>
                <w:sz w:val="24"/>
                <w:highlight w:val="none"/>
                <w14:textFill>
                  <w14:solidFill>
                    <w14:schemeClr w14:val="tx1"/>
                  </w14:solidFill>
                </w14:textFill>
              </w:rPr>
            </w:pP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kern w:val="0"/>
                <w:sz w:val="24"/>
                <w:highlight w:val="none"/>
                <w14:textFill>
                  <w14:solidFill>
                    <w14:schemeClr w14:val="tx1"/>
                  </w14:solidFill>
                </w14:textFill>
              </w:rPr>
              <w:t>监测计划</w:t>
            </w:r>
          </w:p>
          <w:p>
            <w:pPr>
              <w:widowControl/>
              <w:spacing w:line="360" w:lineRule="auto"/>
              <w:ind w:firstLine="480" w:firstLineChars="200"/>
              <w:jc w:val="left"/>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参照《排污单位自行监测技术指南 总则》（HJ819-2017）、</w:t>
            </w:r>
            <w:r>
              <w:rPr>
                <w:rFonts w:hint="eastAsia" w:cs="Times New Roman"/>
                <w:color w:val="000000" w:themeColor="text1"/>
                <w:kern w:val="0"/>
                <w:sz w:val="24"/>
                <w:highlight w:val="none"/>
                <w:lang w:eastAsia="zh-CN"/>
                <w14:textFill>
                  <w14:solidFill>
                    <w14:schemeClr w14:val="tx1"/>
                  </w14:solidFill>
                </w14:textFill>
              </w:rPr>
              <w:t>《大气污染物无组织排放监测技术导则》（HJ/T 55-2000），</w:t>
            </w:r>
            <w:r>
              <w:rPr>
                <w:rFonts w:hint="default" w:ascii="Times New Roman" w:hAnsi="Times New Roman" w:cs="Times New Roman"/>
                <w:color w:val="000000" w:themeColor="text1"/>
                <w:kern w:val="0"/>
                <w:sz w:val="24"/>
                <w:highlight w:val="none"/>
                <w14:textFill>
                  <w14:solidFill>
                    <w14:schemeClr w14:val="tx1"/>
                  </w14:solidFill>
                </w14:textFill>
              </w:rPr>
              <w:t>项目运营期对废气排放进行自行监测，监测计划见</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下表</w:t>
            </w:r>
            <w:r>
              <w:rPr>
                <w:rFonts w:hint="default" w:ascii="Times New Roman" w:hAnsi="Times New Roman" w:cs="Times New Roman"/>
                <w:color w:val="000000" w:themeColor="text1"/>
                <w:kern w:val="0"/>
                <w:sz w:val="24"/>
                <w:highlight w:val="none"/>
                <w14:textFill>
                  <w14:solidFill>
                    <w14:schemeClr w14:val="tx1"/>
                  </w14:solidFill>
                </w14:textFill>
              </w:rPr>
              <w:t>。</w:t>
            </w:r>
          </w:p>
          <w:p>
            <w:pPr>
              <w:widowControl/>
              <w:spacing w:line="360" w:lineRule="auto"/>
              <w:jc w:val="center"/>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表4-</w:t>
            </w:r>
            <w:r>
              <w:rPr>
                <w:rFonts w:hint="eastAsia" w:cs="Times New Roman"/>
                <w:b/>
                <w:color w:val="000000" w:themeColor="text1"/>
                <w:kern w:val="0"/>
                <w:sz w:val="24"/>
                <w:highlight w:val="none"/>
                <w:lang w:val="en-US" w:eastAsia="zh-CN"/>
                <w14:textFill>
                  <w14:solidFill>
                    <w14:schemeClr w14:val="tx1"/>
                  </w14:solidFill>
                </w14:textFill>
              </w:rPr>
              <w:t>7</w:t>
            </w:r>
            <w:r>
              <w:rPr>
                <w:rFonts w:hint="default" w:ascii="Times New Roman" w:hAnsi="Times New Roman" w:cs="Times New Roman"/>
                <w:b/>
                <w:color w:val="000000" w:themeColor="text1"/>
                <w:kern w:val="0"/>
                <w:sz w:val="24"/>
                <w:highlight w:val="none"/>
                <w14:textFill>
                  <w14:solidFill>
                    <w14:schemeClr w14:val="tx1"/>
                  </w14:solidFill>
                </w14:textFill>
              </w:rPr>
              <w:t xml:space="preserve">  </w:t>
            </w: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本</w:t>
            </w:r>
            <w:r>
              <w:rPr>
                <w:rFonts w:hint="default" w:ascii="Times New Roman" w:hAnsi="Times New Roman" w:cs="Times New Roman"/>
                <w:b/>
                <w:color w:val="000000" w:themeColor="text1"/>
                <w:kern w:val="0"/>
                <w:sz w:val="24"/>
                <w:highlight w:val="none"/>
                <w14:textFill>
                  <w14:solidFill>
                    <w14:schemeClr w14:val="tx1"/>
                  </w14:solidFill>
                </w14:textFill>
              </w:rPr>
              <w:t>项目环境监测计划表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04"/>
              <w:gridCol w:w="1221"/>
              <w:gridCol w:w="2086"/>
              <w:gridCol w:w="2818"/>
              <w:gridCol w:w="19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0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项目</w:t>
                  </w:r>
                </w:p>
              </w:tc>
              <w:tc>
                <w:tcPr>
                  <w:tcW w:w="122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监测类别</w:t>
                  </w:r>
                </w:p>
              </w:tc>
              <w:tc>
                <w:tcPr>
                  <w:tcW w:w="208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监测点位</w:t>
                  </w:r>
                </w:p>
              </w:tc>
              <w:tc>
                <w:tcPr>
                  <w:tcW w:w="28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监测因子</w:t>
                  </w:r>
                </w:p>
              </w:tc>
              <w:tc>
                <w:tcPr>
                  <w:tcW w:w="19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监测频次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4"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废气</w:t>
                  </w:r>
                </w:p>
              </w:tc>
              <w:tc>
                <w:tcPr>
                  <w:tcW w:w="122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有组织</w:t>
                  </w:r>
                </w:p>
              </w:tc>
              <w:tc>
                <w:tcPr>
                  <w:tcW w:w="20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P9排气筒</w:t>
                  </w:r>
                </w:p>
              </w:tc>
              <w:tc>
                <w:tcPr>
                  <w:tcW w:w="28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、甲苯、氯化氢、硫酸雾、硝酸雾（氮氧化物）</w:t>
                  </w:r>
                </w:p>
              </w:tc>
              <w:tc>
                <w:tcPr>
                  <w:tcW w:w="19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1次/年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4"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22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0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P10排气筒</w:t>
                  </w:r>
                </w:p>
              </w:tc>
              <w:tc>
                <w:tcPr>
                  <w:tcW w:w="28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、氨、臭气浓度</w:t>
                  </w:r>
                </w:p>
              </w:tc>
              <w:tc>
                <w:tcPr>
                  <w:tcW w:w="19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1次/年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4"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22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0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P11排气筒</w:t>
                  </w:r>
                </w:p>
              </w:tc>
              <w:tc>
                <w:tcPr>
                  <w:tcW w:w="28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19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1次/年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04"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122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无组织</w:t>
                  </w:r>
                </w:p>
              </w:tc>
              <w:tc>
                <w:tcPr>
                  <w:tcW w:w="20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厂界，上风向1个点位，下风向3个点位（按照当天的实际风向计）</w:t>
                  </w:r>
                </w:p>
              </w:tc>
              <w:tc>
                <w:tcPr>
                  <w:tcW w:w="28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VOC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S</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、臭气浓度、甲醇、甲苯、二氯甲烷、异丙醇、丙酮、氯化氢、硫酸雾、氮氧化物、氨</w:t>
                  </w:r>
                </w:p>
              </w:tc>
              <w:tc>
                <w:tcPr>
                  <w:tcW w:w="194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1次/年</w:t>
                  </w:r>
                </w:p>
              </w:tc>
            </w:tr>
          </w:tbl>
          <w:p>
            <w:pPr>
              <w:pageBreakBefore w:val="0"/>
              <w:kinsoku/>
              <w:wordWrap/>
              <w:overflowPunct/>
              <w:bidi w:val="0"/>
              <w:spacing w:line="360" w:lineRule="auto"/>
              <w:ind w:left="0" w:firstLine="482" w:firstLineChars="20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、大气环境影响分析</w:t>
            </w:r>
          </w:p>
          <w:p>
            <w:pPr>
              <w:keepNext w:val="0"/>
              <w:keepLines w:val="0"/>
              <w:pageBreakBefore w:val="0"/>
              <w:widowControl/>
              <w:numPr>
                <w:ilvl w:val="0"/>
                <w:numId w:val="0"/>
              </w:numPr>
              <w:tabs>
                <w:tab w:val="left" w:pos="6301"/>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项目实验室废气经通风橱</w:t>
            </w:r>
            <w:r>
              <w:rPr>
                <w:rFonts w:hint="eastAsia"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eastAsia" w:cs="Times New Roman"/>
                <w:snapToGrid w:val="0"/>
                <w:color w:val="000000" w:themeColor="text1"/>
                <w:sz w:val="24"/>
                <w:szCs w:val="24"/>
                <w:highlight w:val="none"/>
                <w:lang w:val="en-US" w:eastAsia="zh-CN"/>
                <w14:textFill>
                  <w14:solidFill>
                    <w14:schemeClr w14:val="tx1"/>
                  </w14:solidFill>
                </w14:textFill>
              </w:rPr>
              <w:t>集气</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罩收集处理后排放。</w:t>
            </w:r>
            <w:r>
              <w:rPr>
                <w:rFonts w:hint="eastAsia" w:ascii="Times New Roman" w:hAnsi="Times New Roman" w:eastAsia="宋体" w:cs="Times New Roman"/>
                <w:snapToGrid w:val="0"/>
                <w:color w:val="000000" w:themeColor="text1"/>
                <w:sz w:val="24"/>
                <w:szCs w:val="24"/>
                <w:highlight w:val="none"/>
                <w:lang w:eastAsia="zh-CN"/>
                <w14:textFill>
                  <w14:solidFill>
                    <w14:schemeClr w14:val="tx1"/>
                  </w14:solidFill>
                </w14:textFill>
              </w:rPr>
              <w:t>项目实验过程中的有机废气和无机废气</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收集后经“</w:t>
            </w:r>
            <w:r>
              <w:rPr>
                <w:rFonts w:hint="eastAsia"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活性炭吸附</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”后通过排气筒外排。从表4-</w:t>
            </w:r>
            <w:r>
              <w:rPr>
                <w:rFonts w:hint="eastAsia" w:cs="Times New Roman"/>
                <w:snapToGrid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可知，项目废气</w:t>
            </w:r>
            <w:r>
              <w:rPr>
                <w:rFonts w:hint="eastAsia" w:cs="Times New Roman"/>
                <w:snapToGrid w:val="0"/>
                <w:color w:val="000000" w:themeColor="text1"/>
                <w:sz w:val="24"/>
                <w:szCs w:val="24"/>
                <w:highlight w:val="none"/>
                <w:lang w:val="en-US" w:eastAsia="zh-CN"/>
                <w14:textFill>
                  <w14:solidFill>
                    <w14:schemeClr w14:val="tx1"/>
                  </w14:solidFill>
                </w14:textFill>
              </w:rPr>
              <w:t>可达标排放</w:t>
            </w:r>
            <w:r>
              <w:rPr>
                <w:rFonts w:hint="eastAsia"/>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对周围大气环境的影响很小。</w:t>
            </w:r>
          </w:p>
          <w:p>
            <w:pPr>
              <w:keepNext w:val="0"/>
              <w:keepLines w:val="0"/>
              <w:pageBreakBefore w:val="0"/>
              <w:widowControl/>
              <w:numPr>
                <w:ilvl w:val="0"/>
                <w:numId w:val="0"/>
              </w:numPr>
              <w:tabs>
                <w:tab w:val="left" w:pos="6301"/>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本项目营运期产生的废气经有效治理后，对环境影响不大。为了进一步减少</w:t>
            </w:r>
            <w:r>
              <w:rPr>
                <w:rFonts w:hint="eastAsia" w:cs="Times New Roman"/>
                <w:snapToGrid w:val="0"/>
                <w:color w:val="000000" w:themeColor="text1"/>
                <w:sz w:val="24"/>
                <w:szCs w:val="24"/>
                <w:highlight w:val="none"/>
                <w:lang w:val="en-US" w:eastAsia="zh-CN"/>
                <w14:textFill>
                  <w14:solidFill>
                    <w14:schemeClr w14:val="tx1"/>
                  </w14:solidFill>
                </w14:textFill>
              </w:rPr>
              <w:t>实验室</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废气对实验室内及周边空气环境的影响和保障员工的健康，建议建设单位采用下列措施，进一步降低污染物对周围大气环境的影响：</w:t>
            </w:r>
          </w:p>
          <w:p>
            <w:pPr>
              <w:keepNext w:val="0"/>
              <w:keepLines w:val="0"/>
              <w:pageBreakBefore w:val="0"/>
              <w:widowControl/>
              <w:numPr>
                <w:ilvl w:val="0"/>
                <w:numId w:val="0"/>
              </w:numPr>
              <w:tabs>
                <w:tab w:val="left" w:pos="6301"/>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A、加强实验室内通风；</w:t>
            </w:r>
          </w:p>
          <w:p>
            <w:pPr>
              <w:keepNext w:val="0"/>
              <w:keepLines w:val="0"/>
              <w:pageBreakBefore w:val="0"/>
              <w:widowControl/>
              <w:numPr>
                <w:ilvl w:val="0"/>
                <w:numId w:val="0"/>
              </w:numPr>
              <w:tabs>
                <w:tab w:val="left" w:pos="6301"/>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B、实验室操作人员工作时应佩戴口罩，并打开通风橱通风风机；</w:t>
            </w:r>
          </w:p>
          <w:p>
            <w:pPr>
              <w:keepNext w:val="0"/>
              <w:keepLines w:val="0"/>
              <w:pageBreakBefore w:val="0"/>
              <w:widowControl/>
              <w:numPr>
                <w:ilvl w:val="0"/>
                <w:numId w:val="0"/>
              </w:numPr>
              <w:tabs>
                <w:tab w:val="left" w:pos="6301"/>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C、加强设备维护，防止不良工况下的废气产生。</w:t>
            </w:r>
          </w:p>
          <w:p>
            <w:pPr>
              <w:autoSpaceDE w:val="0"/>
              <w:autoSpaceDN w:val="0"/>
              <w:adjustRightInd w:val="0"/>
              <w:spacing w:line="360" w:lineRule="auto"/>
              <w:ind w:firstLine="482" w:firstLineChars="200"/>
              <w:jc w:val="left"/>
              <w:rPr>
                <w:rFonts w:hint="eastAsia" w:ascii="Times New Roman" w:hAnsi="Times New Roman" w:eastAsia="宋体" w:cs="Times New Roman"/>
                <w:b/>
                <w:bCs/>
                <w:color w:val="000000" w:themeColor="text1"/>
                <w:kern w:val="0"/>
                <w:sz w:val="24"/>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二、</w:t>
            </w:r>
            <w:r>
              <w:rPr>
                <w:rFonts w:hint="eastAsia" w:cs="Times New Roman"/>
                <w:b/>
                <w:bCs/>
                <w:color w:val="000000" w:themeColor="text1"/>
                <w:kern w:val="0"/>
                <w:sz w:val="24"/>
                <w:highlight w:val="none"/>
                <w:lang w:val="en-US" w:eastAsia="zh-CN"/>
                <w14:textFill>
                  <w14:solidFill>
                    <w14:schemeClr w14:val="tx1"/>
                  </w14:solidFill>
                </w14:textFill>
              </w:rPr>
              <w:t>废水</w:t>
            </w:r>
          </w:p>
          <w:p>
            <w:pPr>
              <w:spacing w:line="360" w:lineRule="auto"/>
              <w:ind w:firstLine="482" w:firstLineChars="200"/>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1、产排污核算</w:t>
            </w:r>
          </w:p>
          <w:p>
            <w:pPr>
              <w:adjustRightInd w:val="0"/>
              <w:spacing w:line="360" w:lineRule="auto"/>
              <w:ind w:firstLine="480" w:firstLineChars="200"/>
              <w:contextualSpacing/>
              <w:rPr>
                <w:rFonts w:hint="default" w:ascii="Times New Roman" w:hAnsi="Times New Roman" w:cs="Times New Roman"/>
                <w:color w:val="000000" w:themeColor="text1"/>
                <w:sz w:val="24"/>
                <w:highlight w:val="none"/>
                <w14:textFill>
                  <w14:solidFill>
                    <w14:schemeClr w14:val="tx1"/>
                  </w14:solidFill>
                </w14:textFill>
              </w:rPr>
            </w:pPr>
            <w:r>
              <w:rPr>
                <w:rFonts w:hint="eastAsia"/>
                <w:color w:val="000000" w:themeColor="text1"/>
                <w:sz w:val="24"/>
                <w:szCs w:val="20"/>
                <w:highlight w:val="none"/>
                <w:lang w:eastAsia="zh-CN"/>
                <w14:textFill>
                  <w14:solidFill>
                    <w14:schemeClr w14:val="tx1"/>
                  </w14:solidFill>
                </w14:textFill>
              </w:rPr>
              <w:t>本项目生产废水主要为</w:t>
            </w:r>
            <w:r>
              <w:rPr>
                <w:rFonts w:hint="eastAsia" w:cs="Times New Roman"/>
                <w:color w:val="000000" w:themeColor="text1"/>
                <w:sz w:val="24"/>
                <w:highlight w:val="none"/>
                <w:lang w:val="en-US" w:eastAsia="zh-CN"/>
                <w14:textFill>
                  <w14:solidFill>
                    <w14:schemeClr w14:val="tx1"/>
                  </w14:solidFill>
                </w14:textFill>
              </w:rPr>
              <w:t>实验仪器</w:t>
            </w:r>
            <w:r>
              <w:rPr>
                <w:rFonts w:hint="default" w:ascii="Times New Roman" w:hAnsi="Times New Roman" w:cs="Times New Roman"/>
                <w:color w:val="000000" w:themeColor="text1"/>
                <w:sz w:val="24"/>
                <w:highlight w:val="none"/>
                <w14:textFill>
                  <w14:solidFill>
                    <w14:schemeClr w14:val="tx1"/>
                  </w14:solidFill>
                </w14:textFill>
              </w:rPr>
              <w:t>清洗废水、地面清洁废水</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纯水制备废水</w:t>
            </w:r>
            <w:r>
              <w:rPr>
                <w:rFonts w:hint="default" w:ascii="Times New Roman" w:hAnsi="Times New Roman" w:cs="Times New Roman"/>
                <w:color w:val="000000" w:themeColor="text1"/>
                <w:sz w:val="24"/>
                <w:highlight w:val="none"/>
                <w14:textFill>
                  <w14:solidFill>
                    <w14:schemeClr w14:val="tx1"/>
                  </w14:solidFill>
                </w14:textFill>
              </w:rPr>
              <w:t>。根据项目水平衡图，本项目废水产生及排放情况如下表4-</w:t>
            </w:r>
            <w:r>
              <w:rPr>
                <w:rFonts w:hint="eastAsia" w:ascii="Times New Roman" w:hAnsi="Times New Roman"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14:textFill>
                  <w14:solidFill>
                    <w14:schemeClr w14:val="tx1"/>
                  </w14:solidFill>
                </w14:textFill>
              </w:rPr>
              <w:t>所示。</w:t>
            </w:r>
          </w:p>
          <w:p>
            <w:pPr>
              <w:adjustRightInd w:val="0"/>
              <w:spacing w:line="360" w:lineRule="auto"/>
              <w:jc w:val="center"/>
              <w:rPr>
                <w:rFonts w:hint="eastAsia"/>
                <w:b/>
                <w:bCs/>
                <w:color w:val="000000" w:themeColor="text1"/>
                <w:sz w:val="24"/>
                <w:szCs w:val="20"/>
                <w:highlight w:val="none"/>
                <w:lang w:eastAsia="zh-CN"/>
                <w14:textFill>
                  <w14:solidFill>
                    <w14:schemeClr w14:val="tx1"/>
                  </w14:solidFill>
                </w14:textFill>
              </w:rPr>
            </w:pPr>
            <w:r>
              <w:rPr>
                <w:rFonts w:hint="eastAsia"/>
                <w:b/>
                <w:bCs/>
                <w:color w:val="000000" w:themeColor="text1"/>
                <w:sz w:val="24"/>
                <w:szCs w:val="20"/>
                <w:highlight w:val="none"/>
                <w:lang w:eastAsia="zh-CN"/>
                <w14:textFill>
                  <w14:solidFill>
                    <w14:schemeClr w14:val="tx1"/>
                  </w14:solidFill>
                </w14:textFill>
              </w:rPr>
              <w:t>表4-</w:t>
            </w:r>
            <w:r>
              <w:rPr>
                <w:rFonts w:hint="eastAsia"/>
                <w:b/>
                <w:bCs/>
                <w:color w:val="000000" w:themeColor="text1"/>
                <w:sz w:val="24"/>
                <w:szCs w:val="20"/>
                <w:highlight w:val="none"/>
                <w:lang w:val="en-US" w:eastAsia="zh-CN"/>
                <w14:textFill>
                  <w14:solidFill>
                    <w14:schemeClr w14:val="tx1"/>
                  </w14:solidFill>
                </w14:textFill>
              </w:rPr>
              <w:t xml:space="preserve">8（1） </w:t>
            </w:r>
            <w:r>
              <w:rPr>
                <w:rFonts w:hint="eastAsia"/>
                <w:b/>
                <w:bCs/>
                <w:color w:val="000000" w:themeColor="text1"/>
                <w:sz w:val="24"/>
                <w:szCs w:val="20"/>
                <w:highlight w:val="none"/>
                <w:lang w:eastAsia="zh-CN"/>
                <w14:textFill>
                  <w14:solidFill>
                    <w14:schemeClr w14:val="tx1"/>
                  </w14:solidFill>
                </w14:textFill>
              </w:rPr>
              <w:t xml:space="preserve"> 项目废水产生及处理措施一览表</w:t>
            </w: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432"/>
              <w:gridCol w:w="1433"/>
              <w:gridCol w:w="1433"/>
              <w:gridCol w:w="1651"/>
              <w:gridCol w:w="1492"/>
              <w:gridCol w:w="14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865"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废水产生量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m³/a</w:t>
                  </w:r>
                </w:p>
              </w:tc>
              <w:tc>
                <w:tcPr>
                  <w:tcW w:w="14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污染物名称</w:t>
                  </w:r>
                </w:p>
              </w:tc>
              <w:tc>
                <w:tcPr>
                  <w:tcW w:w="16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产生浓度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mg/L</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产生量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kg/a</w:t>
                  </w:r>
                </w:p>
              </w:tc>
              <w:tc>
                <w:tcPr>
                  <w:tcW w:w="14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处理措施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生活污水</w:t>
                  </w:r>
                </w:p>
              </w:tc>
              <w:tc>
                <w:tcPr>
                  <w:tcW w:w="143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312</w:t>
                  </w:r>
                </w:p>
              </w:tc>
              <w:tc>
                <w:tcPr>
                  <w:tcW w:w="14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CODcr</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124.800</w:t>
                  </w:r>
                </w:p>
              </w:tc>
              <w:tc>
                <w:tcPr>
                  <w:tcW w:w="143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经本厂区污水处理站预处理，然后再排入园区污水处理厂进行深度处理。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9.360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总氮</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15.600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全盐量</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800</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249.600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93.600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地面清洗废水</w:t>
                  </w:r>
                </w:p>
              </w:tc>
              <w:tc>
                <w:tcPr>
                  <w:tcW w:w="143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w:t>
                  </w:r>
                </w:p>
              </w:tc>
              <w:tc>
                <w:tcPr>
                  <w:tcW w:w="14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CODcr</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450</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21.600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1.680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总氮</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2.880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全盐量</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43.200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14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24.000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实验仪器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清洗废水</w:t>
                  </w:r>
                </w:p>
              </w:tc>
              <w:tc>
                <w:tcPr>
                  <w:tcW w:w="143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3.186</w:t>
                  </w:r>
                </w:p>
              </w:tc>
              <w:tc>
                <w:tcPr>
                  <w:tcW w:w="14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CODcr</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350</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1.115</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0.064</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总氮</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全盐量</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1.593</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0.637</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纯水制备废水</w:t>
                  </w:r>
                </w:p>
              </w:tc>
              <w:tc>
                <w:tcPr>
                  <w:tcW w:w="143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14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CODcr</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1.100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0.275</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总氮</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0.385</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全盐量</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1600</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17.600</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16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1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0.286</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合计综合废水</w:t>
                  </w:r>
                </w:p>
              </w:tc>
              <w:tc>
                <w:tcPr>
                  <w:tcW w:w="1433"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374.186</w:t>
                  </w:r>
                </w:p>
              </w:tc>
              <w:tc>
                <w:tcPr>
                  <w:tcW w:w="14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CODcr</w:t>
                  </w:r>
                </w:p>
              </w:tc>
              <w:tc>
                <w:tcPr>
                  <w:tcW w:w="165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397</w:t>
                  </w:r>
                </w:p>
              </w:tc>
              <w:tc>
                <w:tcPr>
                  <w:tcW w:w="149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148.615</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氨氮</w:t>
                  </w:r>
                </w:p>
              </w:tc>
              <w:tc>
                <w:tcPr>
                  <w:tcW w:w="165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30</w:t>
                  </w:r>
                </w:p>
              </w:tc>
              <w:tc>
                <w:tcPr>
                  <w:tcW w:w="149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11.379</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总氮</w:t>
                  </w:r>
                </w:p>
              </w:tc>
              <w:tc>
                <w:tcPr>
                  <w:tcW w:w="165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51</w:t>
                  </w:r>
                </w:p>
              </w:tc>
              <w:tc>
                <w:tcPr>
                  <w:tcW w:w="149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18.945</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全盐量</w:t>
                  </w:r>
                </w:p>
              </w:tc>
              <w:tc>
                <w:tcPr>
                  <w:tcW w:w="165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834</w:t>
                  </w:r>
                </w:p>
              </w:tc>
              <w:tc>
                <w:tcPr>
                  <w:tcW w:w="149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311.993</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3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43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43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SS</w:t>
                  </w:r>
                </w:p>
              </w:tc>
              <w:tc>
                <w:tcPr>
                  <w:tcW w:w="165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317</w:t>
                  </w:r>
                </w:p>
              </w:tc>
              <w:tc>
                <w:tcPr>
                  <w:tcW w:w="149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highlight w:val="none"/>
                      <w:u w:val="none"/>
                      <w:lang w:val="en-US" w:eastAsia="zh-CN" w:bidi="ar"/>
                      <w14:textFill>
                        <w14:solidFill>
                          <w14:schemeClr w14:val="tx1"/>
                        </w14:solidFill>
                      </w14:textFill>
                    </w:rPr>
                    <w:t>118.523</w:t>
                  </w:r>
                </w:p>
              </w:tc>
              <w:tc>
                <w:tcPr>
                  <w:tcW w:w="143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bl>
          <w:p>
            <w:pPr>
              <w:adjustRightInd w:val="0"/>
              <w:spacing w:line="360" w:lineRule="auto"/>
              <w:jc w:val="center"/>
              <w:rPr>
                <w:rFonts w:hint="eastAsia"/>
                <w:b/>
                <w:bCs/>
                <w:color w:val="000000" w:themeColor="text1"/>
                <w:sz w:val="24"/>
                <w:szCs w:val="20"/>
                <w:highlight w:val="none"/>
                <w:lang w:eastAsia="zh-CN"/>
                <w14:textFill>
                  <w14:solidFill>
                    <w14:schemeClr w14:val="tx1"/>
                  </w14:solidFill>
                </w14:textFill>
              </w:rPr>
            </w:pPr>
            <w:r>
              <w:rPr>
                <w:rFonts w:hint="eastAsia"/>
                <w:b/>
                <w:bCs/>
                <w:color w:val="000000" w:themeColor="text1"/>
                <w:sz w:val="24"/>
                <w:szCs w:val="20"/>
                <w:highlight w:val="none"/>
                <w:lang w:eastAsia="zh-CN"/>
                <w14:textFill>
                  <w14:solidFill>
                    <w14:schemeClr w14:val="tx1"/>
                  </w14:solidFill>
                </w14:textFill>
              </w:rPr>
              <w:t>表4-</w:t>
            </w:r>
            <w:r>
              <w:rPr>
                <w:rFonts w:hint="eastAsia"/>
                <w:b/>
                <w:bCs/>
                <w:color w:val="000000" w:themeColor="text1"/>
                <w:sz w:val="24"/>
                <w:szCs w:val="20"/>
                <w:highlight w:val="none"/>
                <w:lang w:val="en-US" w:eastAsia="zh-CN"/>
                <w14:textFill>
                  <w14:solidFill>
                    <w14:schemeClr w14:val="tx1"/>
                  </w14:solidFill>
                </w14:textFill>
              </w:rPr>
              <w:t xml:space="preserve">8（2） </w:t>
            </w:r>
            <w:r>
              <w:rPr>
                <w:rFonts w:hint="eastAsia"/>
                <w:b/>
                <w:bCs/>
                <w:color w:val="000000" w:themeColor="text1"/>
                <w:sz w:val="24"/>
                <w:szCs w:val="20"/>
                <w:highlight w:val="none"/>
                <w:lang w:eastAsia="zh-CN"/>
                <w14:textFill>
                  <w14:solidFill>
                    <w14:schemeClr w14:val="tx1"/>
                  </w14:solidFill>
                </w14:textFill>
              </w:rPr>
              <w:t xml:space="preserve"> 项目废水产生及处理措施一览表</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93"/>
              <w:gridCol w:w="955"/>
              <w:gridCol w:w="982"/>
              <w:gridCol w:w="995"/>
              <w:gridCol w:w="1132"/>
              <w:gridCol w:w="1009"/>
              <w:gridCol w:w="995"/>
              <w:gridCol w:w="20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废水产生量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m³/a</w:t>
                  </w:r>
                </w:p>
              </w:tc>
              <w:tc>
                <w:tcPr>
                  <w:tcW w:w="9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污染物名称</w:t>
                  </w:r>
                </w:p>
              </w:tc>
              <w:tc>
                <w:tcPr>
                  <w:tcW w:w="9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产生浓度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mg/L</w:t>
                  </w:r>
                </w:p>
              </w:tc>
              <w:tc>
                <w:tcPr>
                  <w:tcW w:w="11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产生量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kg/a</w:t>
                  </w:r>
                </w:p>
              </w:tc>
              <w:tc>
                <w:tcPr>
                  <w:tcW w:w="10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mg/L</w:t>
                  </w:r>
                </w:p>
              </w:tc>
              <w:tc>
                <w:tcPr>
                  <w:tcW w:w="9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t/a</w:t>
                  </w:r>
                </w:p>
              </w:tc>
              <w:tc>
                <w:tcPr>
                  <w:tcW w:w="20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处理措施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9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综合废水</w:t>
                  </w:r>
                </w:p>
              </w:tc>
              <w:tc>
                <w:tcPr>
                  <w:tcW w:w="95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374.186</w:t>
                  </w:r>
                </w:p>
              </w:tc>
              <w:tc>
                <w:tcPr>
                  <w:tcW w:w="9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CODcr</w:t>
                  </w:r>
                </w:p>
              </w:tc>
              <w:tc>
                <w:tcPr>
                  <w:tcW w:w="99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397</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148.615</w:t>
                  </w:r>
                </w:p>
              </w:tc>
              <w:tc>
                <w:tcPr>
                  <w:tcW w:w="10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350</w:t>
                  </w:r>
                </w:p>
              </w:tc>
              <w:tc>
                <w:tcPr>
                  <w:tcW w:w="99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0.131</w:t>
                  </w:r>
                </w:p>
              </w:tc>
              <w:tc>
                <w:tcPr>
                  <w:tcW w:w="201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经本厂区污水处理站预处理，然后再排入园区污水处理厂进行深度处理。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9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55"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p>
              </w:tc>
              <w:tc>
                <w:tcPr>
                  <w:tcW w:w="99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11.379</w:t>
                  </w:r>
                </w:p>
              </w:tc>
              <w:tc>
                <w:tcPr>
                  <w:tcW w:w="10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99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w:t>
                  </w:r>
                </w:p>
              </w:tc>
              <w:tc>
                <w:tcPr>
                  <w:tcW w:w="201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55"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总氮</w:t>
                  </w:r>
                </w:p>
              </w:tc>
              <w:tc>
                <w:tcPr>
                  <w:tcW w:w="99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51</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18.945</w:t>
                  </w:r>
                </w:p>
              </w:tc>
              <w:tc>
                <w:tcPr>
                  <w:tcW w:w="100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99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0.015</w:t>
                  </w:r>
                </w:p>
              </w:tc>
              <w:tc>
                <w:tcPr>
                  <w:tcW w:w="201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75" w:type="dxa"/>
                  <w:gridSpan w:val="8"/>
                  <w:tcBorders>
                    <w:tl2br w:val="nil"/>
                    <w:tr2bl w:val="nil"/>
                  </w:tcBorders>
                  <w:shd w:val="clear" w:color="auto" w:fill="auto"/>
                  <w:vAlign w:val="center"/>
                </w:tcPr>
                <w:p>
                  <w:pPr>
                    <w:jc w:val="both"/>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注：该表中排放浓度为厂区污水处理站处理后的排放浓度</w:t>
                  </w:r>
                </w:p>
              </w:tc>
            </w:tr>
          </w:tbl>
          <w:p>
            <w:pPr>
              <w:pStyle w:val="35"/>
              <w:ind w:firstLine="482" w:firstLineChars="200"/>
              <w:jc w:val="both"/>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2、依托厂区现有污水处理站可行性分析</w:t>
            </w:r>
          </w:p>
          <w:p>
            <w:pPr>
              <w:adjustRightInd w:val="0"/>
              <w:spacing w:line="360" w:lineRule="auto"/>
              <w:ind w:firstLine="480" w:firstLineChars="200"/>
              <w:contextualSpacing/>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二期厂区已建成一座污水处理站，</w:t>
            </w:r>
            <w:r>
              <w:rPr>
                <w:rFonts w:hint="default" w:ascii="Times New Roman" w:hAnsi="Times New Roman" w:eastAsia="宋体" w:cs="Times New Roman"/>
                <w:color w:val="000000" w:themeColor="text1"/>
                <w:sz w:val="24"/>
                <w:highlight w:val="none"/>
                <w14:textFill>
                  <w14:solidFill>
                    <w14:schemeClr w14:val="tx1"/>
                  </w14:solidFill>
                </w14:textFill>
              </w:rPr>
              <w:t>处理规模为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4"/>
                <w:highlight w:val="none"/>
                <w14:textFill>
                  <w14:solidFill>
                    <w14:schemeClr w14:val="tx1"/>
                  </w14:solidFill>
                </w14:textFill>
              </w:rPr>
              <w:t>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m³</w:t>
            </w:r>
            <w:r>
              <w:rPr>
                <w:rFonts w:hint="default" w:ascii="Times New Roman" w:hAnsi="Times New Roman" w:eastAsia="宋体" w:cs="Times New Roman"/>
                <w:color w:val="000000" w:themeColor="text1"/>
                <w:sz w:val="24"/>
                <w:highlight w:val="none"/>
                <w14:textFill>
                  <w14:solidFill>
                    <w14:schemeClr w14:val="tx1"/>
                  </w14:solidFill>
                </w14:textFill>
              </w:rPr>
              <w:t>/d。采用“水解酸化池+配水池+UASB厌氧反应器1/2+厌氧沉淀池+两级A/O生物反应池+二沉池+芬顿反应池+芬顿脱气池+絮凝反应池+芬顿沉淀池+巴氏计量槽+排放水池”的组合处理工艺对废水进行处理。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废水产生量1.247m³/d，根据《年产1.69万吨动力锂电池电解液添加剂和功能有机硅材料生产项目》环评资料及废气治理措施变化技术论证报告，厂区污水处理站接纳废水量为63580.944m³/a（211.936m³/d），剩余处理能力88.064m³/d，可满足本项目需要。厂区污水处理站设计进、出水水质情况见下表：</w:t>
            </w:r>
          </w:p>
          <w:p>
            <w:pPr>
              <w:adjustRightInd w:val="0"/>
              <w:spacing w:line="360" w:lineRule="auto"/>
              <w:jc w:val="center"/>
              <w:rPr>
                <w:rFonts w:hint="eastAsia" w:ascii="Times New Roman" w:hAnsi="Times New Roman" w:eastAsia="宋体" w:cs="Times New Roman"/>
                <w:b/>
                <w:bCs/>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0"/>
                <w:highlight w:val="none"/>
                <w:lang w:eastAsia="zh-CN"/>
                <w14:textFill>
                  <w14:solidFill>
                    <w14:schemeClr w14:val="tx1"/>
                  </w14:solidFill>
                </w14:textFill>
              </w:rPr>
              <w:t>表</w:t>
            </w:r>
            <w:r>
              <w:rPr>
                <w:rFonts w:hint="eastAsia" w:ascii="Times New Roman" w:hAnsi="Times New Roman" w:eastAsia="宋体" w:cs="Times New Roman"/>
                <w:b/>
                <w:bCs/>
                <w:color w:val="000000" w:themeColor="text1"/>
                <w:sz w:val="24"/>
                <w:szCs w:val="20"/>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0"/>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0"/>
                <w:highlight w:val="none"/>
                <w:lang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0"/>
                <w:highlight w:val="none"/>
                <w:lang w:val="en-US" w:eastAsia="zh-CN"/>
                <w14:textFill>
                  <w14:solidFill>
                    <w14:schemeClr w14:val="tx1"/>
                  </w14:solidFill>
                </w14:textFill>
              </w:rPr>
              <w:t>厂区污水处理站</w:t>
            </w:r>
            <w:r>
              <w:rPr>
                <w:rFonts w:hint="default" w:ascii="Times New Roman" w:hAnsi="Times New Roman" w:eastAsia="宋体" w:cs="Times New Roman"/>
                <w:b/>
                <w:bCs/>
                <w:color w:val="000000" w:themeColor="text1"/>
                <w:sz w:val="24"/>
                <w:szCs w:val="20"/>
                <w:highlight w:val="none"/>
                <w:lang w:eastAsia="zh-CN"/>
                <w14:textFill>
                  <w14:solidFill>
                    <w14:schemeClr w14:val="tx1"/>
                  </w14:solidFill>
                </w14:textFill>
              </w:rPr>
              <w:t>进、出水水质一览表   （单位：mg/L）</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59"/>
              <w:gridCol w:w="1241"/>
              <w:gridCol w:w="1432"/>
              <w:gridCol w:w="1541"/>
              <w:gridCol w:w="1418"/>
              <w:gridCol w:w="21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0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2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14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本项目综合废水水质</w:t>
                  </w:r>
                </w:p>
              </w:tc>
              <w:tc>
                <w:tcPr>
                  <w:tcW w:w="15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污水处理站设计进水浓度</w:t>
                  </w:r>
                </w:p>
              </w:tc>
              <w:tc>
                <w:tcPr>
                  <w:tcW w:w="141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污水处理站设计出水浓度</w:t>
                  </w:r>
                </w:p>
              </w:tc>
              <w:tc>
                <w:tcPr>
                  <w:tcW w:w="21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园区污水处理厂（嘉祥阳光水务有限公司）的进水水质要求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0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12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CODcr</w:t>
                  </w:r>
                </w:p>
              </w:tc>
              <w:tc>
                <w:tcPr>
                  <w:tcW w:w="14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2"/>
                      <w:szCs w:val="22"/>
                      <w:highlight w:val="none"/>
                      <w:u w:val="none"/>
                      <w:lang w:val="en-US" w:eastAsia="zh-CN" w:bidi="ar"/>
                      <w14:textFill>
                        <w14:solidFill>
                          <w14:schemeClr w14:val="tx1"/>
                        </w14:solidFill>
                      </w14:textFill>
                    </w:rPr>
                    <w:t>397</w:t>
                  </w:r>
                </w:p>
              </w:tc>
              <w:tc>
                <w:tcPr>
                  <w:tcW w:w="15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≤5000</w:t>
                  </w:r>
                </w:p>
              </w:tc>
              <w:tc>
                <w:tcPr>
                  <w:tcW w:w="14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≤350</w:t>
                  </w:r>
                </w:p>
              </w:tc>
              <w:tc>
                <w:tcPr>
                  <w:tcW w:w="2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0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w:t>
                  </w:r>
                </w:p>
              </w:tc>
              <w:tc>
                <w:tcPr>
                  <w:tcW w:w="12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lang w:val="en-US" w:eastAsia="zh-CN" w:bidi="ar"/>
                      <w14:textFill>
                        <w14:solidFill>
                          <w14:schemeClr w14:val="tx1"/>
                        </w14:solidFill>
                      </w14:textFill>
                    </w:rPr>
                    <w:t>氨氮</w:t>
                  </w:r>
                </w:p>
              </w:tc>
              <w:tc>
                <w:tcPr>
                  <w:tcW w:w="14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2"/>
                      <w:szCs w:val="22"/>
                      <w:highlight w:val="none"/>
                      <w:u w:val="none"/>
                      <w:lang w:val="en-US" w:eastAsia="zh-CN" w:bidi="ar"/>
                      <w14:textFill>
                        <w14:solidFill>
                          <w14:schemeClr w14:val="tx1"/>
                        </w14:solidFill>
                      </w14:textFill>
                    </w:rPr>
                    <w:t>30</w:t>
                  </w:r>
                </w:p>
              </w:tc>
              <w:tc>
                <w:tcPr>
                  <w:tcW w:w="15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≤150</w:t>
                  </w:r>
                </w:p>
              </w:tc>
              <w:tc>
                <w:tcPr>
                  <w:tcW w:w="14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≤25</w:t>
                  </w:r>
                </w:p>
              </w:tc>
              <w:tc>
                <w:tcPr>
                  <w:tcW w:w="2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0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3</w:t>
                  </w:r>
                </w:p>
              </w:tc>
              <w:tc>
                <w:tcPr>
                  <w:tcW w:w="12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TN</w:t>
                  </w:r>
                </w:p>
              </w:tc>
              <w:tc>
                <w:tcPr>
                  <w:tcW w:w="14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2"/>
                      <w:szCs w:val="22"/>
                      <w:highlight w:val="none"/>
                      <w:u w:val="none"/>
                      <w:lang w:val="en-US" w:eastAsia="zh-CN" w:bidi="ar"/>
                      <w14:textFill>
                        <w14:solidFill>
                          <w14:schemeClr w14:val="tx1"/>
                        </w14:solidFill>
                      </w14:textFill>
                    </w:rPr>
                    <w:t>51</w:t>
                  </w:r>
                </w:p>
              </w:tc>
              <w:tc>
                <w:tcPr>
                  <w:tcW w:w="15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≤200</w:t>
                  </w:r>
                </w:p>
              </w:tc>
              <w:tc>
                <w:tcPr>
                  <w:tcW w:w="14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≤40</w:t>
                  </w:r>
                </w:p>
              </w:tc>
              <w:tc>
                <w:tcPr>
                  <w:tcW w:w="2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05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w:t>
                  </w:r>
                </w:p>
              </w:tc>
              <w:tc>
                <w:tcPr>
                  <w:tcW w:w="12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lang w:val="en-US" w:eastAsia="zh-CN" w:bidi="ar"/>
                      <w14:textFill>
                        <w14:solidFill>
                          <w14:schemeClr w14:val="tx1"/>
                        </w14:solidFill>
                      </w14:textFill>
                    </w:rPr>
                    <w:t>全盐量</w:t>
                  </w:r>
                </w:p>
              </w:tc>
              <w:tc>
                <w:tcPr>
                  <w:tcW w:w="14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2"/>
                      <w:szCs w:val="22"/>
                      <w:highlight w:val="none"/>
                      <w:u w:val="none"/>
                      <w:lang w:val="en-US" w:eastAsia="zh-CN" w:bidi="ar"/>
                      <w14:textFill>
                        <w14:solidFill>
                          <w14:schemeClr w14:val="tx1"/>
                        </w14:solidFill>
                      </w14:textFill>
                    </w:rPr>
                    <w:t>834</w:t>
                  </w:r>
                </w:p>
              </w:tc>
              <w:tc>
                <w:tcPr>
                  <w:tcW w:w="154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≤1500</w:t>
                  </w:r>
                </w:p>
              </w:tc>
              <w:tc>
                <w:tcPr>
                  <w:tcW w:w="14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≤1300</w:t>
                  </w:r>
                </w:p>
              </w:tc>
              <w:tc>
                <w:tcPr>
                  <w:tcW w:w="2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0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w:t>
                  </w:r>
                </w:p>
              </w:tc>
              <w:tc>
                <w:tcPr>
                  <w:tcW w:w="12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SS</w:t>
                  </w:r>
                </w:p>
              </w:tc>
              <w:tc>
                <w:tcPr>
                  <w:tcW w:w="14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2"/>
                      <w:szCs w:val="22"/>
                      <w:highlight w:val="none"/>
                      <w:u w:val="none"/>
                      <w:lang w:val="en-US" w:eastAsia="zh-CN" w:bidi="ar"/>
                      <w14:textFill>
                        <w14:solidFill>
                          <w14:schemeClr w14:val="tx1"/>
                        </w14:solidFill>
                      </w14:textFill>
                    </w:rPr>
                    <w:t>317</w:t>
                  </w:r>
                </w:p>
              </w:tc>
              <w:tc>
                <w:tcPr>
                  <w:tcW w:w="15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≤400</w:t>
                  </w:r>
                </w:p>
              </w:tc>
              <w:tc>
                <w:tcPr>
                  <w:tcW w:w="14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≤300</w:t>
                  </w:r>
                </w:p>
              </w:tc>
              <w:tc>
                <w:tcPr>
                  <w:tcW w:w="2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≤300</w:t>
                  </w:r>
                </w:p>
              </w:tc>
            </w:tr>
          </w:tbl>
          <w:p>
            <w:pPr>
              <w:adjustRightInd w:val="0"/>
              <w:spacing w:line="360" w:lineRule="auto"/>
              <w:ind w:firstLine="480" w:firstLineChars="200"/>
              <w:contextualSpacing/>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项目废水水质能够满足污水处理站设计进水浓度要求。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themeColor="text1"/>
                <w:sz w:val="24"/>
                <w:szCs w:val="20"/>
                <w:highlight w:val="none"/>
                <w:lang w:eastAsia="zh-CN"/>
                <w14:textFill>
                  <w14:solidFill>
                    <w14:schemeClr w14:val="tx1"/>
                  </w14:solidFill>
                </w14:textFill>
              </w:rPr>
            </w:pPr>
            <w:r>
              <w:rPr>
                <w:rFonts w:hint="eastAsia" w:cs="Times New Roman"/>
                <w:b/>
                <w:bCs/>
                <w:color w:val="000000" w:themeColor="text1"/>
                <w:sz w:val="24"/>
                <w:szCs w:val="20"/>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0"/>
                <w:highlight w:val="none"/>
                <w:lang w:eastAsia="zh-CN"/>
                <w14:textFill>
                  <w14:solidFill>
                    <w14:schemeClr w14:val="tx1"/>
                  </w14:solidFill>
                </w14:textFill>
              </w:rPr>
              <w:t>项目废水排入</w:t>
            </w:r>
            <w:r>
              <w:rPr>
                <w:rFonts w:hint="eastAsia" w:cs="Times New Roman"/>
                <w:b/>
                <w:bCs/>
                <w:color w:val="000000" w:themeColor="text1"/>
                <w:sz w:val="24"/>
                <w:szCs w:val="20"/>
                <w:highlight w:val="none"/>
                <w:lang w:val="en-US" w:eastAsia="zh-CN"/>
                <w14:textFill>
                  <w14:solidFill>
                    <w14:schemeClr w14:val="tx1"/>
                  </w14:solidFill>
                </w14:textFill>
              </w:rPr>
              <w:t>园区</w:t>
            </w:r>
            <w:r>
              <w:rPr>
                <w:rFonts w:hint="eastAsia" w:ascii="Times New Roman" w:hAnsi="Times New Roman" w:eastAsia="宋体" w:cs="Times New Roman"/>
                <w:b/>
                <w:bCs/>
                <w:color w:val="000000" w:themeColor="text1"/>
                <w:sz w:val="24"/>
                <w:szCs w:val="20"/>
                <w:highlight w:val="none"/>
                <w:lang w:eastAsia="zh-CN"/>
                <w14:textFill>
                  <w14:solidFill>
                    <w14:schemeClr w14:val="tx1"/>
                  </w14:solidFill>
                </w14:textFill>
              </w:rPr>
              <w:t>污水处理厂（嘉祥阳光水务有限公司）的可行性分析</w:t>
            </w:r>
          </w:p>
          <w:p>
            <w:pPr>
              <w:keepNext w:val="0"/>
              <w:keepLines w:val="0"/>
              <w:pageBreakBefore w:val="0"/>
              <w:widowControl w:val="0"/>
              <w:kinsoku/>
              <w:wordWrap/>
              <w:overflowPunct/>
              <w:topLinePunct w:val="0"/>
              <w:autoSpaceDE/>
              <w:autoSpaceDN/>
              <w:bidi w:val="0"/>
              <w:snapToGrid w:val="0"/>
              <w:spacing w:line="360" w:lineRule="auto"/>
              <w:ind w:firstLine="512"/>
              <w:textAlignment w:val="auto"/>
              <w:rPr>
                <w:rFonts w:hint="eastAsia" w:eastAsia="宋体"/>
                <w:b/>
                <w:color w:val="000000" w:themeColor="text1"/>
                <w:spacing w:val="8"/>
                <w:sz w:val="24"/>
                <w:highlight w:val="none"/>
                <w:lang w:val="en-US" w:eastAsia="zh-CN"/>
                <w14:textFill>
                  <w14:solidFill>
                    <w14:schemeClr w14:val="tx1"/>
                  </w14:solidFill>
                </w14:textFill>
              </w:rPr>
            </w:pPr>
            <w:r>
              <w:rPr>
                <w:b/>
                <w:color w:val="000000" w:themeColor="text1"/>
                <w:spacing w:val="8"/>
                <w:sz w:val="24"/>
                <w:highlight w:val="none"/>
                <w14:textFill>
                  <w14:solidFill>
                    <w14:schemeClr w14:val="tx1"/>
                  </w14:solidFill>
                </w14:textFill>
              </w:rPr>
              <w:t>（1）</w:t>
            </w:r>
            <w:r>
              <w:rPr>
                <w:rFonts w:hint="eastAsia"/>
                <w:b/>
                <w:color w:val="000000" w:themeColor="text1"/>
                <w:spacing w:val="8"/>
                <w:sz w:val="24"/>
                <w:highlight w:val="none"/>
                <w14:textFill>
                  <w14:solidFill>
                    <w14:schemeClr w14:val="tx1"/>
                  </w14:solidFill>
                </w14:textFill>
              </w:rPr>
              <w:t>污水处理厂</w:t>
            </w:r>
            <w:r>
              <w:rPr>
                <w:rFonts w:hint="eastAsia"/>
                <w:b/>
                <w:color w:val="000000" w:themeColor="text1"/>
                <w:spacing w:val="8"/>
                <w:sz w:val="24"/>
                <w:highlight w:val="none"/>
                <w:lang w:val="en-US" w:eastAsia="zh-CN"/>
                <w14:textFill>
                  <w14:solidFill>
                    <w14:schemeClr w14:val="tx1"/>
                  </w14:solidFill>
                </w14:textFill>
              </w:rPr>
              <w:t>简介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1）</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位置及服务范围</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嘉祥阳光水务有限公司建在济宁市生物产业园内，收纳废水主要是济宁市生物产业园内各企业生产废水及生活污水，服务面积约为25.1平方公里。</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textAlignment w:val="auto"/>
              <w:rPr>
                <w:rFonts w:hint="default" w:ascii="Times New Roman" w:hAnsi="Times New Roman" w:cs="Times New Roman"/>
                <w:b w:val="0"/>
                <w:bCs w:val="0"/>
                <w:caps w:val="0"/>
                <w:smallCaps w:val="0"/>
                <w:color w:val="000000" w:themeColor="text1"/>
                <w:spacing w:val="0"/>
                <w:kern w:val="0"/>
                <w:position w:val="0"/>
                <w:sz w:val="24"/>
                <w:highlight w:val="none"/>
                <w:lang w:val="en-US" w:eastAsia="zh-CN"/>
                <w14:textFill>
                  <w14:solidFill>
                    <w14:schemeClr w14:val="tx1"/>
                  </w14:solidFill>
                </w14:textFill>
              </w:rPr>
            </w:pPr>
            <w:r>
              <w:rPr>
                <w:rFonts w:hint="default" w:ascii="Times New Roman" w:hAnsi="Times New Roman" w:cs="Times New Roman"/>
                <w:b w:val="0"/>
                <w:bCs w:val="0"/>
                <w:caps w:val="0"/>
                <w:smallCaps w:val="0"/>
                <w:color w:val="000000" w:themeColor="text1"/>
                <w:spacing w:val="0"/>
                <w:kern w:val="0"/>
                <w:position w:val="0"/>
                <w:sz w:val="24"/>
                <w:highlight w:val="none"/>
                <w:lang w:val="en-US" w:eastAsia="zh-CN"/>
                <w14:textFill>
                  <w14:solidFill>
                    <w14:schemeClr w14:val="tx1"/>
                  </w14:solidFill>
                </w14:textFill>
              </w:rPr>
              <w:t>2）污水处理规模</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嘉祥阳光水务有限公司目前工程占地55195.06m</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vertAlign w:val="superscript"/>
                <w14:textFill>
                  <w14:solidFill>
                    <w14:schemeClr w14:val="tx1"/>
                  </w14:solidFill>
                </w14:textFill>
              </w:rPr>
              <w:t>2</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，设计处理规模1万m</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/d，二期设计处理规模4万m</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/d，目前</w:t>
            </w:r>
            <w:r>
              <w:rPr>
                <w:rFonts w:hint="eastAsia"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建设一期、二期</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处理规模</w:t>
            </w:r>
            <w:r>
              <w:rPr>
                <w:rFonts w:hint="eastAsia"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共</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3万m</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/d。</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3）污水处理厂设计进出水水质要求</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textAlignment w:val="auto"/>
              <w:rPr>
                <w:rFonts w:hint="default" w:ascii="Times New Roman" w:hAnsi="Times New Roman" w:cs="Times New Roman"/>
                <w:b w:val="0"/>
                <w:bCs w:val="0"/>
                <w:caps w:val="0"/>
                <w:small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highlight w:val="none"/>
                <w:lang w:val="en-US" w:eastAsia="zh-CN"/>
                <w14:textFill>
                  <w14:solidFill>
                    <w14:schemeClr w14:val="tx1"/>
                  </w14:solidFill>
                </w14:textFill>
              </w:rPr>
              <w:t>其污水处理厂设计进出水水质具体见表5.2-</w:t>
            </w:r>
            <w:r>
              <w:rPr>
                <w:rFonts w:hint="eastAsia" w:ascii="Times New Roman" w:hAnsi="Times New Roman" w:eastAsia="宋体" w:cs="Times New Roman"/>
                <w:b w:val="0"/>
                <w:bCs w:val="0"/>
                <w:caps w:val="0"/>
                <w:smallCaps w:val="0"/>
                <w:color w:val="000000" w:themeColor="text1"/>
                <w:spacing w:val="0"/>
                <w:kern w:val="0"/>
                <w:position w:val="0"/>
                <w:sz w:val="24"/>
                <w:highlight w:val="none"/>
                <w:lang w:val="en-US" w:eastAsia="zh-CN"/>
                <w14:textFill>
                  <w14:solidFill>
                    <w14:schemeClr w14:val="tx1"/>
                  </w14:solidFill>
                </w14:textFill>
              </w:rPr>
              <w:t>6</w:t>
            </w:r>
            <w:r>
              <w:rPr>
                <w:rFonts w:hint="default" w:ascii="Times New Roman" w:hAnsi="Times New Roman" w:eastAsia="宋体" w:cs="Times New Roman"/>
                <w:b w:val="0"/>
                <w:bCs w:val="0"/>
                <w:caps w:val="0"/>
                <w:smallCaps w:val="0"/>
                <w:color w:val="000000" w:themeColor="text1"/>
                <w:spacing w:val="0"/>
                <w:kern w:val="0"/>
                <w:position w:val="0"/>
                <w:sz w:val="24"/>
                <w:highlight w:val="none"/>
                <w:lang w:val="en-US" w:eastAsia="zh-CN"/>
                <w14:textFill>
                  <w14:solidFill>
                    <w14:schemeClr w14:val="tx1"/>
                  </w14:solidFill>
                </w14:textFill>
              </w:rPr>
              <w:t>。</w:t>
            </w:r>
          </w:p>
          <w:p>
            <w:pPr>
              <w:pStyle w:val="180"/>
              <w:ind w:firstLine="482"/>
              <w:jc w:val="center"/>
              <w:rPr>
                <w:rFonts w:hint="default" w:ascii="Times New Roman" w:hAnsi="Times New Roman" w:eastAsia="宋体" w:cs="Times New Roman"/>
                <w:b/>
                <w:bCs/>
                <w:caps w:val="0"/>
                <w:smallCaps w:val="0"/>
                <w:color w:val="000000" w:themeColor="text1"/>
                <w:spacing w:val="0"/>
                <w:kern w:val="0"/>
                <w:position w:val="0"/>
                <w:highlight w:val="none"/>
                <w:lang w:eastAsia="zh-CN"/>
                <w14:textFill>
                  <w14:solidFill>
                    <w14:schemeClr w14:val="tx1"/>
                  </w14:solidFill>
                </w14:textFill>
              </w:rPr>
            </w:pPr>
            <w:r>
              <w:rPr>
                <w:rFonts w:hint="default" w:ascii="Times New Roman" w:hAnsi="Times New Roman" w:cs="Times New Roman"/>
                <w:b/>
                <w:bCs/>
                <w:caps w:val="0"/>
                <w:smallCaps w:val="0"/>
                <w:color w:val="000000" w:themeColor="text1"/>
                <w:spacing w:val="0"/>
                <w:kern w:val="0"/>
                <w:position w:val="0"/>
                <w:highlight w:val="none"/>
                <w14:textFill>
                  <w14:solidFill>
                    <w14:schemeClr w14:val="tx1"/>
                  </w14:solidFill>
                </w14:textFill>
              </w:rPr>
              <w:t>表</w:t>
            </w:r>
            <w:r>
              <w:rPr>
                <w:rFonts w:hint="eastAsia" w:ascii="Times New Roman" w:hAnsi="Times New Roman" w:cs="Times New Roman"/>
                <w:b/>
                <w:bCs/>
                <w:caps w:val="0"/>
                <w:smallCaps w:val="0"/>
                <w:color w:val="000000" w:themeColor="text1"/>
                <w:spacing w:val="0"/>
                <w:kern w:val="0"/>
                <w:position w:val="0"/>
                <w:highlight w:val="none"/>
                <w:lang w:val="en-US" w:eastAsia="zh-CN"/>
                <w14:textFill>
                  <w14:solidFill>
                    <w14:schemeClr w14:val="tx1"/>
                  </w14:solidFill>
                </w14:textFill>
              </w:rPr>
              <w:t>4-10</w:t>
            </w:r>
            <w:r>
              <w:rPr>
                <w:rFonts w:hint="default" w:ascii="Times New Roman" w:hAnsi="Times New Roman" w:cs="Times New Roman"/>
                <w:b/>
                <w:bCs/>
                <w:caps w:val="0"/>
                <w:smallCaps w:val="0"/>
                <w:color w:val="000000" w:themeColor="text1"/>
                <w:spacing w:val="0"/>
                <w:kern w:val="0"/>
                <w:position w:val="0"/>
                <w:highlight w:val="none"/>
                <w14:textFill>
                  <w14:solidFill>
                    <w14:schemeClr w14:val="tx1"/>
                  </w14:solidFill>
                </w14:textFill>
              </w:rPr>
              <w:t xml:space="preserve">  污水处理厂进、出水水质一览表  </w:t>
            </w:r>
            <w:r>
              <w:rPr>
                <w:rFonts w:hint="default" w:ascii="Times New Roman" w:hAnsi="Times New Roman" w:cs="Times New Roman"/>
                <w:b/>
                <w:bCs/>
                <w:caps w:val="0"/>
                <w:smallCaps w:val="0"/>
                <w:color w:val="000000" w:themeColor="text1"/>
                <w:spacing w:val="0"/>
                <w:kern w:val="0"/>
                <w:position w:val="0"/>
                <w:highlight w:val="none"/>
                <w:lang w:eastAsia="zh-CN"/>
                <w14:textFill>
                  <w14:solidFill>
                    <w14:schemeClr w14:val="tx1"/>
                  </w14:solidFill>
                </w14:textFill>
              </w:rPr>
              <w:t>（</w:t>
            </w:r>
            <w:r>
              <w:rPr>
                <w:rFonts w:hint="default" w:ascii="Times New Roman" w:hAnsi="Times New Roman" w:cs="Times New Roman"/>
                <w:b/>
                <w:bCs/>
                <w:caps w:val="0"/>
                <w:smallCaps w:val="0"/>
                <w:color w:val="000000" w:themeColor="text1"/>
                <w:spacing w:val="0"/>
                <w:kern w:val="0"/>
                <w:position w:val="0"/>
                <w:highlight w:val="none"/>
                <w14:textFill>
                  <w14:solidFill>
                    <w14:schemeClr w14:val="tx1"/>
                  </w14:solidFill>
                </w14:textFill>
              </w:rPr>
              <w:t>单位:</w:t>
            </w:r>
            <w:r>
              <w:rPr>
                <w:rFonts w:hint="default" w:ascii="Times New Roman" w:hAnsi="Times New Roman" w:cs="Times New Roman"/>
                <w:b/>
                <w:bCs/>
                <w:caps w:val="0"/>
                <w:smallCaps w:val="0"/>
                <w:color w:val="000000" w:themeColor="text1"/>
                <w:spacing w:val="0"/>
                <w:kern w:val="0"/>
                <w:position w:val="0"/>
                <w:highlight w:val="none"/>
                <w:lang w:val="en-US" w:eastAsia="zh-CN"/>
                <w14:textFill>
                  <w14:solidFill>
                    <w14:schemeClr w14:val="tx1"/>
                  </w14:solidFill>
                </w14:textFill>
              </w:rPr>
              <w:t xml:space="preserve"> </w:t>
            </w:r>
            <w:r>
              <w:rPr>
                <w:rFonts w:hint="default" w:ascii="Times New Roman" w:hAnsi="Times New Roman" w:cs="Times New Roman"/>
                <w:b/>
                <w:bCs/>
                <w:caps w:val="0"/>
                <w:smallCaps w:val="0"/>
                <w:color w:val="000000" w:themeColor="text1"/>
                <w:spacing w:val="0"/>
                <w:kern w:val="0"/>
                <w:position w:val="0"/>
                <w:highlight w:val="none"/>
                <w14:textFill>
                  <w14:solidFill>
                    <w14:schemeClr w14:val="tx1"/>
                  </w14:solidFill>
                </w14:textFill>
              </w:rPr>
              <w:t>mg/L</w:t>
            </w:r>
            <w:r>
              <w:rPr>
                <w:rFonts w:hint="default" w:ascii="Times New Roman" w:hAnsi="Times New Roman" w:cs="Times New Roman"/>
                <w:b/>
                <w:bCs/>
                <w:caps w:val="0"/>
                <w:smallCaps w:val="0"/>
                <w:color w:val="000000" w:themeColor="text1"/>
                <w:spacing w:val="0"/>
                <w:kern w:val="0"/>
                <w:position w:val="0"/>
                <w:highlight w:val="none"/>
                <w:lang w:eastAsia="zh-CN"/>
                <w14:textFill>
                  <w14:solidFill>
                    <w14:schemeClr w14:val="tx1"/>
                  </w14:solidFill>
                </w14:textFill>
              </w:rPr>
              <w:t>）</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230"/>
              <w:gridCol w:w="1457"/>
              <w:gridCol w:w="1035"/>
              <w:gridCol w:w="1184"/>
              <w:gridCol w:w="1482"/>
              <w:gridCol w:w="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04"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t>名称</w:t>
                  </w:r>
                </w:p>
              </w:tc>
              <w:tc>
                <w:tcPr>
                  <w:tcW w:w="1230"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t>水质类别</w:t>
                  </w:r>
                </w:p>
              </w:tc>
              <w:tc>
                <w:tcPr>
                  <w:tcW w:w="1457"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t>PH（无量纲）</w:t>
                  </w:r>
                </w:p>
              </w:tc>
              <w:tc>
                <w:tcPr>
                  <w:tcW w:w="1035"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t>COD</w:t>
                  </w:r>
                  <w:r>
                    <w:rPr>
                      <w:rFonts w:hint="default" w:ascii="Times New Roman" w:hAnsi="Times New Roman" w:eastAsia="宋体" w:cs="Times New Roman"/>
                      <w:b/>
                      <w:caps w:val="0"/>
                      <w:smallCaps w:val="0"/>
                      <w:color w:val="000000" w:themeColor="text1"/>
                      <w:spacing w:val="0"/>
                      <w:kern w:val="0"/>
                      <w:position w:val="0"/>
                      <w:sz w:val="21"/>
                      <w:szCs w:val="21"/>
                      <w:highlight w:val="none"/>
                      <w:vertAlign w:val="subscript"/>
                      <w14:textFill>
                        <w14:solidFill>
                          <w14:schemeClr w14:val="tx1"/>
                        </w14:solidFill>
                      </w14:textFill>
                    </w:rPr>
                    <w:t>Cr</w:t>
                  </w:r>
                </w:p>
              </w:tc>
              <w:tc>
                <w:tcPr>
                  <w:tcW w:w="1184"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t>BOD</w:t>
                  </w:r>
                  <w:r>
                    <w:rPr>
                      <w:rFonts w:hint="default" w:ascii="Times New Roman" w:hAnsi="Times New Roman" w:eastAsia="宋体" w:cs="Times New Roman"/>
                      <w:b/>
                      <w:caps w:val="0"/>
                      <w:smallCaps w:val="0"/>
                      <w:color w:val="000000" w:themeColor="text1"/>
                      <w:spacing w:val="0"/>
                      <w:kern w:val="0"/>
                      <w:position w:val="0"/>
                      <w:sz w:val="21"/>
                      <w:szCs w:val="21"/>
                      <w:highlight w:val="none"/>
                      <w:vertAlign w:val="subscript"/>
                      <w14:textFill>
                        <w14:solidFill>
                          <w14:schemeClr w14:val="tx1"/>
                        </w14:solidFill>
                      </w14:textFill>
                    </w:rPr>
                    <w:t>5</w:t>
                  </w:r>
                </w:p>
              </w:tc>
              <w:tc>
                <w:tcPr>
                  <w:tcW w:w="1482"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t>悬浮物（SS）</w:t>
                  </w:r>
                </w:p>
              </w:tc>
              <w:tc>
                <w:tcPr>
                  <w:tcW w:w="883" w:type="dxa"/>
                  <w:tcBorders>
                    <w:tl2br w:val="nil"/>
                    <w:tr2bl w:val="nil"/>
                  </w:tcBorders>
                  <w:noWrap w:val="0"/>
                  <w:vAlign w:val="center"/>
                </w:tcPr>
                <w:p>
                  <w:pPr>
                    <w:pStyle w:val="16"/>
                    <w:jc w:val="cente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 w:val="21"/>
                      <w:szCs w:val="21"/>
                      <w:highlight w:val="none"/>
                      <w14:textFill>
                        <w14:solidFill>
                          <w14:schemeClr w14:val="tx1"/>
                        </w14:solidFill>
                      </w14:textFill>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dxa"/>
                  <w:vMerge w:val="restart"/>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嘉祥阳光水务有限公司</w:t>
                  </w:r>
                </w:p>
              </w:tc>
              <w:tc>
                <w:tcPr>
                  <w:tcW w:w="1230"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进水</w:t>
                  </w:r>
                </w:p>
              </w:tc>
              <w:tc>
                <w:tcPr>
                  <w:tcW w:w="1457"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6～9</w:t>
                  </w:r>
                </w:p>
              </w:tc>
              <w:tc>
                <w:tcPr>
                  <w:tcW w:w="1035"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500</w:t>
                  </w:r>
                </w:p>
              </w:tc>
              <w:tc>
                <w:tcPr>
                  <w:tcW w:w="1184"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160</w:t>
                  </w:r>
                </w:p>
              </w:tc>
              <w:tc>
                <w:tcPr>
                  <w:tcW w:w="1482"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300</w:t>
                  </w:r>
                </w:p>
              </w:tc>
              <w:tc>
                <w:tcPr>
                  <w:tcW w:w="883" w:type="dxa"/>
                  <w:tcBorders>
                    <w:tl2br w:val="nil"/>
                    <w:tr2bl w:val="nil"/>
                  </w:tcBorders>
                  <w:noWrap w:val="0"/>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dxa"/>
                  <w:vMerge w:val="continue"/>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p>
              </w:tc>
              <w:tc>
                <w:tcPr>
                  <w:tcW w:w="1230"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出水</w:t>
                  </w:r>
                </w:p>
              </w:tc>
              <w:tc>
                <w:tcPr>
                  <w:tcW w:w="1457"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6～9</w:t>
                  </w:r>
                </w:p>
              </w:tc>
              <w:tc>
                <w:tcPr>
                  <w:tcW w:w="1035"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aps w:val="0"/>
                      <w:smallCaps w:val="0"/>
                      <w:color w:val="000000" w:themeColor="text1"/>
                      <w:spacing w:val="0"/>
                      <w:kern w:val="0"/>
                      <w:position w:val="0"/>
                      <w:sz w:val="21"/>
                      <w:szCs w:val="21"/>
                      <w:highlight w:val="none"/>
                      <w:lang w:val="en-US" w:eastAsia="zh-CN"/>
                      <w14:textFill>
                        <w14:solidFill>
                          <w14:schemeClr w14:val="tx1"/>
                        </w14:solidFill>
                      </w14:textFill>
                    </w:rPr>
                    <w:t>60</w:t>
                  </w:r>
                </w:p>
              </w:tc>
              <w:tc>
                <w:tcPr>
                  <w:tcW w:w="1184"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10</w:t>
                  </w:r>
                </w:p>
              </w:tc>
              <w:tc>
                <w:tcPr>
                  <w:tcW w:w="1482" w:type="dxa"/>
                  <w:tcBorders>
                    <w:tl2br w:val="nil"/>
                    <w:tr2bl w:val="nil"/>
                  </w:tcBorders>
                  <w:noWrap w:val="0"/>
                  <w:tcMar>
                    <w:left w:w="28" w:type="dxa"/>
                    <w:right w:w="28" w:type="dxa"/>
                  </w:tcMar>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10</w:t>
                  </w:r>
                </w:p>
              </w:tc>
              <w:tc>
                <w:tcPr>
                  <w:tcW w:w="883" w:type="dxa"/>
                  <w:tcBorders>
                    <w:tl2br w:val="nil"/>
                    <w:tr2bl w:val="nil"/>
                  </w:tcBorders>
                  <w:noWrap w:val="0"/>
                  <w:vAlign w:val="center"/>
                </w:tcPr>
                <w:p>
                  <w:pPr>
                    <w:pStyle w:val="16"/>
                    <w:jc w:val="center"/>
                    <w:rPr>
                      <w:rFonts w:hint="default" w:ascii="Times New Roman" w:hAnsi="Times New Roman" w:eastAsia="宋体" w:cs="Times New Roman"/>
                      <w:caps w:val="0"/>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cs="Times New Roman"/>
                      <w:caps w:val="0"/>
                      <w:smallCaps w:val="0"/>
                      <w:color w:val="000000" w:themeColor="text1"/>
                      <w:spacing w:val="0"/>
                      <w:kern w:val="0"/>
                      <w:position w:val="0"/>
                      <w:sz w:val="21"/>
                      <w:szCs w:val="21"/>
                      <w:highlight w:val="none"/>
                      <w:lang w:val="en-US" w:eastAsia="zh-CN"/>
                      <w14:textFill>
                        <w14:solidFill>
                          <w14:schemeClr w14:val="tx1"/>
                        </w14:solidFill>
                      </w14:textFill>
                    </w:rPr>
                    <w:t>10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512"/>
              <w:textAlignment w:val="auto"/>
              <w:rPr>
                <w:rFonts w:ascii="Times New Roman" w:hAnsi="Times New Roman" w:eastAsia="宋体" w:cs="Times New Roman"/>
                <w:b/>
                <w:color w:val="000000" w:themeColor="text1"/>
                <w:spacing w:val="8"/>
                <w:sz w:val="24"/>
                <w:highlight w:val="none"/>
                <w14:textFill>
                  <w14:solidFill>
                    <w14:schemeClr w14:val="tx1"/>
                  </w14:solidFill>
                </w14:textFill>
              </w:rPr>
            </w:pPr>
            <w:r>
              <w:rPr>
                <w:rFonts w:ascii="Times New Roman" w:hAnsi="Times New Roman" w:eastAsia="宋体" w:cs="Times New Roman"/>
                <w:b/>
                <w:color w:val="000000" w:themeColor="text1"/>
                <w:spacing w:val="8"/>
                <w:sz w:val="24"/>
                <w:highlight w:val="none"/>
                <w14:textFill>
                  <w14:solidFill>
                    <w14:schemeClr w14:val="tx1"/>
                  </w14:solidFill>
                </w14:textFill>
              </w:rPr>
              <w:t>（2）</w:t>
            </w:r>
            <w:r>
              <w:rPr>
                <w:rFonts w:hint="eastAsia" w:ascii="Times New Roman" w:hAnsi="Times New Roman" w:eastAsia="宋体" w:cs="Times New Roman"/>
                <w:b/>
                <w:color w:val="000000" w:themeColor="text1"/>
                <w:spacing w:val="8"/>
                <w:sz w:val="24"/>
                <w:highlight w:val="none"/>
                <w:lang w:val="en-US" w:eastAsia="zh-CN"/>
                <w14:textFill>
                  <w14:solidFill>
                    <w14:schemeClr w14:val="tx1"/>
                  </w14:solidFill>
                </w14:textFill>
              </w:rPr>
              <w:t>项目废水</w:t>
            </w:r>
            <w:r>
              <w:rPr>
                <w:rFonts w:hint="eastAsia" w:ascii="Times New Roman" w:hAnsi="Times New Roman" w:eastAsia="宋体" w:cs="Times New Roman"/>
                <w:b/>
                <w:color w:val="000000" w:themeColor="text1"/>
                <w:spacing w:val="8"/>
                <w:sz w:val="24"/>
                <w:highlight w:val="none"/>
                <w14:textFill>
                  <w14:solidFill>
                    <w14:schemeClr w14:val="tx1"/>
                  </w14:solidFill>
                </w14:textFill>
              </w:rPr>
              <w:t>排入污水处理厂的可行性分析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ap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4"/>
                <w:szCs w:val="24"/>
                <w:highlight w:val="none"/>
                <w14:textFill>
                  <w14:solidFill>
                    <w14:schemeClr w14:val="tx1"/>
                  </w14:solidFill>
                </w14:textFill>
              </w:rPr>
              <w:t>从污水管网铺设、水质、水量三个方面分析依托可行性。</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1</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污水管网铺设</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嘉祥化工</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产业园污水处理厂的服务范围包括本项目所在的区域，且管网</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eastAsia="zh-CN"/>
                <w14:textFill>
                  <w14:solidFill>
                    <w14:schemeClr w14:val="tx1"/>
                  </w14:solidFill>
                </w14:textFill>
              </w:rPr>
              <w:t>己</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铺设到本项目所在地。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2</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水质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根据</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工程分析可知</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，项目外排污水水质</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能够</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满足</w:t>
            </w:r>
            <w:r>
              <w:rPr>
                <w:rFonts w:hint="eastAsia"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园区</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污水处理厂接管水质要求，污水处理厂有能力处理本项目污水，且处理后能够稳定达标排放。</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3</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水量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本项目排入</w:t>
            </w:r>
            <w:r>
              <w:rPr>
                <w:rFonts w:hint="eastAsia"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园区</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处理厂的废水量为</w:t>
            </w:r>
            <w:r>
              <w:rPr>
                <w:rFonts w:hint="eastAsia"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1.247</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m³/d，</w:t>
            </w:r>
            <w:r>
              <w:rPr>
                <w:rFonts w:hint="eastAsia"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园区</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污水处理厂目前处理能力为30000m</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/d，目前实际处理量约15000m</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/d，尚有足够的余量接收处理本项目废水。</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综上，从污水管网铺设、水质、水量、三个方面分析本项目废水依托</w:t>
            </w:r>
            <w:r>
              <w:rPr>
                <w:rFonts w:hint="eastAsia" w:ascii="Times New Roman" w:hAnsi="Times New Roman" w:eastAsia="宋体" w:cs="Times New Roman"/>
                <w:b w:val="0"/>
                <w:bCs w:val="0"/>
                <w:caps w:val="0"/>
                <w:smallCaps w:val="0"/>
                <w:color w:val="000000" w:themeColor="text1"/>
                <w:spacing w:val="0"/>
                <w:kern w:val="0"/>
                <w:position w:val="0"/>
                <w:sz w:val="24"/>
                <w:szCs w:val="24"/>
                <w:highlight w:val="none"/>
                <w:lang w:val="en-US" w:eastAsia="zh-CN"/>
                <w14:textFill>
                  <w14:solidFill>
                    <w14:schemeClr w14:val="tx1"/>
                  </w14:solidFill>
                </w14:textFill>
              </w:rPr>
              <w:t>园区</w:t>
            </w:r>
            <w:r>
              <w:rPr>
                <w:rFonts w:hint="default" w:ascii="Times New Roman" w:hAnsi="Times New Roman" w:eastAsia="宋体" w:cs="Times New Roman"/>
                <w:b w:val="0"/>
                <w:bCs w:val="0"/>
                <w:caps w:val="0"/>
                <w:smallCaps w:val="0"/>
                <w:color w:val="000000" w:themeColor="text1"/>
                <w:spacing w:val="0"/>
                <w:kern w:val="0"/>
                <w:position w:val="0"/>
                <w:sz w:val="24"/>
                <w:szCs w:val="24"/>
                <w:highlight w:val="none"/>
                <w14:textFill>
                  <w14:solidFill>
                    <w14:schemeClr w14:val="tx1"/>
                  </w14:solidFill>
                </w14:textFill>
              </w:rPr>
              <w:t>污水处理厂处理排放是可行的。</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themeColor="text1"/>
                <w:sz w:val="24"/>
                <w:szCs w:val="20"/>
                <w:highlight w:val="none"/>
                <w:lang w:eastAsia="zh-CN"/>
                <w14:textFill>
                  <w14:solidFill>
                    <w14:schemeClr w14:val="tx1"/>
                  </w14:solidFill>
                </w14:textFill>
              </w:rPr>
            </w:pPr>
            <w:r>
              <w:rPr>
                <w:rFonts w:hint="eastAsia" w:cs="Times New Roman"/>
                <w:b/>
                <w:bCs/>
                <w:color w:val="000000" w:themeColor="text1"/>
                <w:sz w:val="24"/>
                <w:szCs w:val="20"/>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0"/>
                <w:highlight w:val="none"/>
                <w:lang w:eastAsia="zh-CN"/>
                <w14:textFill>
                  <w14:solidFill>
                    <w14:schemeClr w14:val="tx1"/>
                  </w14:solidFill>
                </w14:textFill>
              </w:rPr>
              <w:t>、污染源排放量核算结果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废水类别、污染物及污染治理设施见表4-</w:t>
            </w:r>
            <w:r>
              <w:rPr>
                <w:rFonts w:hint="eastAsia" w:cs="Times New Roman"/>
                <w:color w:val="000000" w:themeColor="text1"/>
                <w:kern w:val="0"/>
                <w:sz w:val="24"/>
                <w:highlight w:val="none"/>
                <w:lang w:val="en-US" w:eastAsia="zh-CN"/>
                <w14:textFill>
                  <w14:solidFill>
                    <w14:schemeClr w14:val="tx1"/>
                  </w14:solidFill>
                </w14:textFill>
              </w:rPr>
              <w:t>11</w:t>
            </w:r>
            <w:r>
              <w:rPr>
                <w:rFonts w:hint="eastAsia" w:ascii="Times New Roman" w:hAnsi="Times New Roman" w:eastAsia="宋体" w:cs="Times New Roman"/>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pP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表</w:t>
            </w:r>
            <w:r>
              <w:rPr>
                <w:rFonts w:hint="eastAsia" w:ascii="Times New Roman" w:hAnsi="Times New Roman" w:eastAsia="宋体" w:cs="Times New Roman"/>
                <w:b/>
                <w:bCs/>
                <w:color w:val="000000" w:themeColor="text1"/>
                <w:kern w:val="0"/>
                <w:sz w:val="24"/>
                <w:highlight w:val="none"/>
                <w14:textFill>
                  <w14:solidFill>
                    <w14:schemeClr w14:val="tx1"/>
                  </w14:solidFill>
                </w14:textFill>
              </w:rPr>
              <w:t>4-</w:t>
            </w:r>
            <w:r>
              <w:rPr>
                <w:rFonts w:hint="eastAsia" w:cs="Times New Roman"/>
                <w:b/>
                <w:bCs/>
                <w:color w:val="000000" w:themeColor="text1"/>
                <w:kern w:val="0"/>
                <w:sz w:val="24"/>
                <w:highlight w:val="none"/>
                <w:lang w:val="en-US" w:eastAsia="zh-CN"/>
                <w14:textFill>
                  <w14:solidFill>
                    <w14:schemeClr w14:val="tx1"/>
                  </w14:solidFill>
                </w14:textFill>
              </w:rPr>
              <w:t>11</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废水类别、污染物及污染治理设施信息表</w:t>
            </w:r>
          </w:p>
          <w:tbl>
            <w:tblPr>
              <w:tblStyle w:val="36"/>
              <w:tblW w:w="5000" w:type="pct"/>
              <w:tblInd w:w="-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96"/>
              <w:gridCol w:w="524"/>
              <w:gridCol w:w="722"/>
              <w:gridCol w:w="723"/>
              <w:gridCol w:w="736"/>
              <w:gridCol w:w="723"/>
              <w:gridCol w:w="805"/>
              <w:gridCol w:w="1733"/>
              <w:gridCol w:w="877"/>
              <w:gridCol w:w="871"/>
              <w:gridCol w:w="8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序号</w:t>
                  </w:r>
                </w:p>
              </w:tc>
              <w:tc>
                <w:tcPr>
                  <w:tcW w:w="295"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废水类别（a）</w:t>
                  </w:r>
                </w:p>
              </w:tc>
              <w:tc>
                <w:tcPr>
                  <w:tcW w:w="406"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污染物种类（b）</w:t>
                  </w:r>
                </w:p>
              </w:tc>
              <w:tc>
                <w:tcPr>
                  <w:tcW w:w="407"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排放去向（c）</w:t>
                  </w:r>
                </w:p>
              </w:tc>
              <w:tc>
                <w:tcPr>
                  <w:tcW w:w="414"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排放规律（d）</w:t>
                  </w:r>
                </w:p>
              </w:tc>
              <w:tc>
                <w:tcPr>
                  <w:tcW w:w="1836" w:type="pct"/>
                  <w:gridSpan w:val="3"/>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污染治理设施</w:t>
                  </w:r>
                </w:p>
              </w:tc>
              <w:tc>
                <w:tcPr>
                  <w:tcW w:w="494"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排放口编号（f）</w:t>
                  </w:r>
                </w:p>
              </w:tc>
              <w:tc>
                <w:tcPr>
                  <w:tcW w:w="490"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排放口设置是否符合要求（g）</w:t>
                  </w:r>
                </w:p>
              </w:tc>
              <w:tc>
                <w:tcPr>
                  <w:tcW w:w="487"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排放口类型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c>
                <w:tcPr>
                  <w:tcW w:w="295"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c>
                <w:tcPr>
                  <w:tcW w:w="406"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c>
                <w:tcPr>
                  <w:tcW w:w="407"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c>
                <w:tcPr>
                  <w:tcW w:w="414"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c>
                <w:tcPr>
                  <w:tcW w:w="407"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污染治理设施编号</w:t>
                  </w:r>
                </w:p>
              </w:tc>
              <w:tc>
                <w:tcPr>
                  <w:tcW w:w="453"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污染治理设施名称（e）</w:t>
                  </w:r>
                </w:p>
              </w:tc>
              <w:tc>
                <w:tcPr>
                  <w:tcW w:w="976"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污染治理设施工艺</w:t>
                  </w:r>
                </w:p>
              </w:tc>
              <w:tc>
                <w:tcPr>
                  <w:tcW w:w="494"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c>
                <w:tcPr>
                  <w:tcW w:w="490"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c>
                <w:tcPr>
                  <w:tcW w:w="487"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66"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1</w:t>
                  </w:r>
                </w:p>
              </w:tc>
              <w:tc>
                <w:tcPr>
                  <w:tcW w:w="295"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实验废水、</w:t>
                  </w:r>
                  <w:r>
                    <w:rPr>
                      <w:snapToGrid w:val="0"/>
                      <w:color w:val="000000" w:themeColor="text1"/>
                      <w:kern w:val="21"/>
                      <w:sz w:val="18"/>
                      <w:szCs w:val="18"/>
                      <w:highlight w:val="none"/>
                      <w14:textFill>
                        <w14:solidFill>
                          <w14:schemeClr w14:val="tx1"/>
                        </w14:solidFill>
                      </w14:textFill>
                    </w:rPr>
                    <w:t>生活污水</w:t>
                  </w:r>
                </w:p>
              </w:tc>
              <w:tc>
                <w:tcPr>
                  <w:tcW w:w="406"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COD</w:t>
                  </w:r>
                  <w:r>
                    <w:rPr>
                      <w:snapToGrid w:val="0"/>
                      <w:color w:val="000000" w:themeColor="text1"/>
                      <w:kern w:val="21"/>
                      <w:sz w:val="18"/>
                      <w:szCs w:val="18"/>
                      <w:highlight w:val="none"/>
                      <w:lang w:val="zh-CN"/>
                      <w14:textFill>
                        <w14:solidFill>
                          <w14:schemeClr w14:val="tx1"/>
                        </w14:solidFill>
                      </w14:textFill>
                    </w:rPr>
                    <w:t>、氨氮</w:t>
                  </w:r>
                  <w:r>
                    <w:rPr>
                      <w:snapToGrid w:val="0"/>
                      <w:color w:val="000000" w:themeColor="text1"/>
                      <w:kern w:val="21"/>
                      <w:sz w:val="18"/>
                      <w:szCs w:val="18"/>
                      <w:highlight w:val="none"/>
                      <w14:textFill>
                        <w14:solidFill>
                          <w14:schemeClr w14:val="tx1"/>
                        </w14:solidFill>
                      </w14:textFill>
                    </w:rPr>
                    <w:t>、</w:t>
                  </w:r>
                  <w:r>
                    <w:rPr>
                      <w:rFonts w:hint="eastAsia"/>
                      <w:snapToGrid w:val="0"/>
                      <w:color w:val="000000" w:themeColor="text1"/>
                      <w:kern w:val="21"/>
                      <w:sz w:val="18"/>
                      <w:szCs w:val="18"/>
                      <w:highlight w:val="none"/>
                      <w:lang w:val="en-US" w:eastAsia="zh-CN"/>
                      <w14:textFill>
                        <w14:solidFill>
                          <w14:schemeClr w14:val="tx1"/>
                        </w14:solidFill>
                      </w14:textFill>
                    </w:rPr>
                    <w:t>总氮、全盐量、</w:t>
                  </w:r>
                  <w:r>
                    <w:rPr>
                      <w:snapToGrid w:val="0"/>
                      <w:color w:val="000000" w:themeColor="text1"/>
                      <w:kern w:val="21"/>
                      <w:sz w:val="18"/>
                      <w:szCs w:val="18"/>
                      <w:highlight w:val="none"/>
                      <w14:textFill>
                        <w14:solidFill>
                          <w14:schemeClr w14:val="tx1"/>
                        </w14:solidFill>
                      </w14:textFill>
                    </w:rPr>
                    <w:t>SS</w:t>
                  </w:r>
                </w:p>
              </w:tc>
              <w:tc>
                <w:tcPr>
                  <w:tcW w:w="407"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rFonts w:hint="eastAsia"/>
                      <w:snapToGrid w:val="0"/>
                      <w:color w:val="000000" w:themeColor="text1"/>
                      <w:kern w:val="21"/>
                      <w:sz w:val="18"/>
                      <w:szCs w:val="18"/>
                      <w:highlight w:val="none"/>
                      <w14:textFill>
                        <w14:solidFill>
                          <w14:schemeClr w14:val="tx1"/>
                        </w14:solidFill>
                      </w14:textFill>
                    </w:rPr>
                    <w:t>经本厂区污水处理站预处理，然后再排入园区污水处理厂进行深度处理。</w:t>
                  </w:r>
                </w:p>
              </w:tc>
              <w:tc>
                <w:tcPr>
                  <w:tcW w:w="414"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rFonts w:hint="eastAsia"/>
                      <w:snapToGrid w:val="0"/>
                      <w:color w:val="000000" w:themeColor="text1"/>
                      <w:kern w:val="21"/>
                      <w:sz w:val="18"/>
                      <w:szCs w:val="18"/>
                      <w:highlight w:val="none"/>
                      <w14:textFill>
                        <w14:solidFill>
                          <w14:schemeClr w14:val="tx1"/>
                        </w14:solidFill>
                      </w14:textFill>
                    </w:rPr>
                    <w:t>间断排放，排放期间流量不稳定且无规律，但不属于冲击型排放</w:t>
                  </w:r>
                </w:p>
              </w:tc>
              <w:tc>
                <w:tcPr>
                  <w:tcW w:w="407" w:type="pct"/>
                  <w:tcBorders>
                    <w:tl2br w:val="nil"/>
                    <w:tr2bl w:val="nil"/>
                  </w:tcBorders>
                  <w:noWrap w:val="0"/>
                  <w:vAlign w:val="center"/>
                </w:tcPr>
                <w:p>
                  <w:pPr>
                    <w:pStyle w:val="181"/>
                    <w:spacing w:line="240" w:lineRule="auto"/>
                    <w:ind w:firstLine="0" w:firstLineChars="0"/>
                    <w:jc w:val="center"/>
                    <w:rPr>
                      <w:snapToGrid w:val="0"/>
                      <w:color w:val="000000" w:themeColor="text1"/>
                      <w:kern w:val="21"/>
                      <w:sz w:val="18"/>
                      <w:szCs w:val="18"/>
                      <w:highlight w:val="none"/>
                      <w14:textFill>
                        <w14:solidFill>
                          <w14:schemeClr w14:val="tx1"/>
                        </w14:solidFill>
                      </w14:textFill>
                    </w:rPr>
                  </w:pPr>
                  <w:r>
                    <w:rPr>
                      <w:rFonts w:hint="default" w:ascii="Times New Roman" w:hAnsi="Times New Roman" w:cs="Times New Roman"/>
                      <w:caps w:val="0"/>
                      <w:smallCaps w:val="0"/>
                      <w:color w:val="000000" w:themeColor="text1"/>
                      <w:spacing w:val="0"/>
                      <w:kern w:val="0"/>
                      <w:position w:val="0"/>
                      <w:sz w:val="18"/>
                      <w:szCs w:val="18"/>
                      <w:highlight w:val="none"/>
                      <w:lang w:eastAsia="zh-CN"/>
                      <w14:textFill>
                        <w14:solidFill>
                          <w14:schemeClr w14:val="tx1"/>
                        </w14:solidFill>
                      </w14:textFill>
                    </w:rPr>
                    <w:t>/</w:t>
                  </w:r>
                </w:p>
              </w:tc>
              <w:tc>
                <w:tcPr>
                  <w:tcW w:w="453" w:type="pct"/>
                  <w:tcBorders>
                    <w:tl2br w:val="nil"/>
                    <w:tr2bl w:val="nil"/>
                  </w:tcBorders>
                  <w:noWrap w:val="0"/>
                  <w:vAlign w:val="center"/>
                </w:tcPr>
                <w:p>
                  <w:pPr>
                    <w:pStyle w:val="181"/>
                    <w:spacing w:line="240" w:lineRule="auto"/>
                    <w:ind w:firstLine="0" w:firstLineChars="0"/>
                    <w:jc w:val="center"/>
                    <w:rPr>
                      <w:snapToGrid w:val="0"/>
                      <w:color w:val="000000" w:themeColor="text1"/>
                      <w:kern w:val="21"/>
                      <w:sz w:val="18"/>
                      <w:szCs w:val="18"/>
                      <w:highlight w:val="none"/>
                      <w14:textFill>
                        <w14:solidFill>
                          <w14:schemeClr w14:val="tx1"/>
                        </w14:solidFill>
                      </w14:textFill>
                    </w:rPr>
                  </w:pPr>
                  <w:r>
                    <w:rPr>
                      <w:rFonts w:hint="default" w:ascii="Times New Roman" w:hAnsi="Times New Roman" w:cs="Times New Roman"/>
                      <w:caps w:val="0"/>
                      <w:smallCaps w:val="0"/>
                      <w:color w:val="000000" w:themeColor="text1"/>
                      <w:spacing w:val="0"/>
                      <w:kern w:val="0"/>
                      <w:position w:val="0"/>
                      <w:sz w:val="18"/>
                      <w:szCs w:val="18"/>
                      <w:highlight w:val="none"/>
                      <w:lang w:eastAsia="zh-CN"/>
                      <w14:textFill>
                        <w14:solidFill>
                          <w14:schemeClr w14:val="tx1"/>
                        </w14:solidFill>
                      </w14:textFill>
                    </w:rPr>
                    <w:t>厂区污水处理站</w:t>
                  </w:r>
                </w:p>
              </w:tc>
              <w:tc>
                <w:tcPr>
                  <w:tcW w:w="976"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rFonts w:hint="eastAsia"/>
                      <w:snapToGrid w:val="0"/>
                      <w:color w:val="000000" w:themeColor="text1"/>
                      <w:kern w:val="21"/>
                      <w:sz w:val="18"/>
                      <w:szCs w:val="18"/>
                      <w:highlight w:val="none"/>
                      <w14:textFill>
                        <w14:solidFill>
                          <w14:schemeClr w14:val="tx1"/>
                        </w14:solidFill>
                      </w14:textFill>
                    </w:rPr>
                    <w:t>“水解酸化池+配水池+UASB厌氧反应器1/2+厌氧沉淀池+两级A/O生物反应池+二沉池+芬顿反应池+芬顿脱气池+絮凝反应池+芬顿沉淀池+巴氏计量槽+排放水池”</w:t>
                  </w:r>
                </w:p>
              </w:tc>
              <w:tc>
                <w:tcPr>
                  <w:tcW w:w="494" w:type="pct"/>
                  <w:tcBorders>
                    <w:tl2br w:val="nil"/>
                    <w:tr2bl w:val="nil"/>
                  </w:tcBorders>
                  <w:noWrap w:val="0"/>
                  <w:vAlign w:val="center"/>
                </w:tcPr>
                <w:p>
                  <w:pPr>
                    <w:adjustRightInd w:val="0"/>
                    <w:jc w:val="center"/>
                    <w:textAlignment w:val="baseline"/>
                    <w:rPr>
                      <w:rFonts w:hint="eastAsia" w:eastAsia="宋体"/>
                      <w:snapToGrid w:val="0"/>
                      <w:color w:val="000000" w:themeColor="text1"/>
                      <w:kern w:val="21"/>
                      <w:sz w:val="18"/>
                      <w:szCs w:val="18"/>
                      <w:highlight w:val="none"/>
                      <w:lang w:eastAsia="zh-CN"/>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DW001</w:t>
                  </w:r>
                </w:p>
              </w:tc>
              <w:tc>
                <w:tcPr>
                  <w:tcW w:w="490"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sym w:font="Wingdings 2" w:char="F052"/>
                  </w:r>
                  <w:r>
                    <w:rPr>
                      <w:snapToGrid w:val="0"/>
                      <w:color w:val="000000" w:themeColor="text1"/>
                      <w:kern w:val="21"/>
                      <w:sz w:val="18"/>
                      <w:szCs w:val="18"/>
                      <w:highlight w:val="none"/>
                      <w14:textFill>
                        <w14:solidFill>
                          <w14:schemeClr w14:val="tx1"/>
                        </w14:solidFill>
                      </w14:textFill>
                    </w:rPr>
                    <w:t>是</w:t>
                  </w:r>
                </w:p>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□否</w:t>
                  </w:r>
                </w:p>
              </w:tc>
              <w:tc>
                <w:tcPr>
                  <w:tcW w:w="487"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sym w:font="Wingdings 2" w:char="F052"/>
                  </w:r>
                  <w:r>
                    <w:rPr>
                      <w:snapToGrid w:val="0"/>
                      <w:color w:val="000000" w:themeColor="text1"/>
                      <w:kern w:val="21"/>
                      <w:sz w:val="18"/>
                      <w:szCs w:val="18"/>
                      <w:highlight w:val="none"/>
                      <w14:textFill>
                        <w14:solidFill>
                          <w14:schemeClr w14:val="tx1"/>
                        </w14:solidFill>
                      </w14:textFill>
                    </w:rPr>
                    <w:t>企业总排</w:t>
                  </w:r>
                </w:p>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□雨水排放</w:t>
                  </w:r>
                </w:p>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□清净下水排放</w:t>
                  </w:r>
                </w:p>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□温排水排放</w:t>
                  </w:r>
                </w:p>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□车间或车间处理设施排放口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11"/>
                  <w:tcBorders>
                    <w:tl2br w:val="nil"/>
                    <w:tr2bl w:val="nil"/>
                  </w:tcBorders>
                  <w:noWrap w:val="0"/>
                  <w:vAlign w:val="center"/>
                </w:tcPr>
                <w:p>
                  <w:pPr>
                    <w:adjustRightInd w:val="0"/>
                    <w:snapToGrid w:val="0"/>
                    <w:jc w:val="left"/>
                    <w:textAlignment w:val="baseline"/>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a </w:t>
                  </w:r>
                  <w:r>
                    <w:rPr>
                      <w:snapToGrid w:val="0"/>
                      <w:color w:val="000000" w:themeColor="text1"/>
                      <w:kern w:val="21"/>
                      <w:sz w:val="18"/>
                      <w:szCs w:val="18"/>
                      <w:highlight w:val="none"/>
                      <w14:textFill>
                        <w14:solidFill>
                          <w14:schemeClr w14:val="tx1"/>
                        </w14:solidFill>
                      </w14:textFill>
                    </w:rPr>
                    <w:t>指产生废水的工艺、工序，或废水类型的名称。</w:t>
                  </w:r>
                </w:p>
                <w:p>
                  <w:pPr>
                    <w:adjustRightInd w:val="0"/>
                    <w:snapToGrid w:val="0"/>
                    <w:jc w:val="left"/>
                    <w:textAlignment w:val="baseline"/>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b </w:t>
                  </w:r>
                  <w:r>
                    <w:rPr>
                      <w:snapToGrid w:val="0"/>
                      <w:color w:val="000000" w:themeColor="text1"/>
                      <w:kern w:val="21"/>
                      <w:sz w:val="18"/>
                      <w:szCs w:val="18"/>
                      <w:highlight w:val="none"/>
                      <w14:textFill>
                        <w14:solidFill>
                          <w14:schemeClr w14:val="tx1"/>
                        </w14:solidFill>
                      </w14:textFill>
                    </w:rPr>
                    <w:t>指产生的主要污染物类型，以相应排放标准中确定的污染因子为准。</w:t>
                  </w:r>
                </w:p>
                <w:p>
                  <w:pPr>
                    <w:adjustRightInd w:val="0"/>
                    <w:snapToGrid w:val="0"/>
                    <w:jc w:val="left"/>
                    <w:textAlignment w:val="baseline"/>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c </w:t>
                  </w:r>
                  <w:r>
                    <w:rPr>
                      <w:snapToGrid w:val="0"/>
                      <w:color w:val="000000" w:themeColor="text1"/>
                      <w:kern w:val="21"/>
                      <w:sz w:val="18"/>
                      <w:szCs w:val="18"/>
                      <w:highlight w:val="none"/>
                      <w14:textFill>
                        <w14:solidFill>
                          <w14:schemeClr w14:val="tx1"/>
                        </w14:solidFill>
                      </w14:textFill>
                    </w:rPr>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w:t>
                  </w:r>
                  <w:r>
                    <w:rPr>
                      <w:rFonts w:eastAsia="Times New Roman"/>
                      <w:snapToGrid w:val="0"/>
                      <w:color w:val="000000" w:themeColor="text1"/>
                      <w:kern w:val="21"/>
                      <w:sz w:val="18"/>
                      <w:szCs w:val="18"/>
                      <w:highlight w:val="none"/>
                      <w14:textFill>
                        <w14:solidFill>
                          <w14:schemeClr w14:val="tx1"/>
                        </w14:solidFill>
                      </w14:textFill>
                    </w:rPr>
                    <w:t>“</w:t>
                  </w:r>
                  <w:r>
                    <w:rPr>
                      <w:snapToGrid w:val="0"/>
                      <w:color w:val="000000" w:themeColor="text1"/>
                      <w:kern w:val="21"/>
                      <w:sz w:val="18"/>
                      <w:szCs w:val="18"/>
                      <w:highlight w:val="none"/>
                      <w14:textFill>
                        <w14:solidFill>
                          <w14:schemeClr w14:val="tx1"/>
                        </w14:solidFill>
                      </w14:textFill>
                    </w:rPr>
                    <w:t>不外排</w:t>
                  </w:r>
                  <w:r>
                    <w:rPr>
                      <w:rFonts w:eastAsia="Times New Roman"/>
                      <w:snapToGrid w:val="0"/>
                      <w:color w:val="000000" w:themeColor="text1"/>
                      <w:kern w:val="21"/>
                      <w:sz w:val="18"/>
                      <w:szCs w:val="18"/>
                      <w:highlight w:val="none"/>
                      <w14:textFill>
                        <w14:solidFill>
                          <w14:schemeClr w14:val="tx1"/>
                        </w14:solidFill>
                      </w14:textFill>
                    </w:rPr>
                    <w:t>”</w:t>
                  </w:r>
                  <w:r>
                    <w:rPr>
                      <w:snapToGrid w:val="0"/>
                      <w:color w:val="000000" w:themeColor="text1"/>
                      <w:kern w:val="21"/>
                      <w:sz w:val="18"/>
                      <w:szCs w:val="18"/>
                      <w:highlight w:val="none"/>
                      <w14:textFill>
                        <w14:solidFill>
                          <w14:schemeClr w14:val="tx1"/>
                        </w14:solidFill>
                      </w14:textFill>
                    </w:rPr>
                    <w:t>指全部在工序内部循环使用，</w:t>
                  </w:r>
                  <w:r>
                    <w:rPr>
                      <w:rFonts w:eastAsia="Times New Roman"/>
                      <w:snapToGrid w:val="0"/>
                      <w:color w:val="000000" w:themeColor="text1"/>
                      <w:kern w:val="21"/>
                      <w:sz w:val="18"/>
                      <w:szCs w:val="18"/>
                      <w:highlight w:val="none"/>
                      <w14:textFill>
                        <w14:solidFill>
                          <w14:schemeClr w14:val="tx1"/>
                        </w14:solidFill>
                      </w14:textFill>
                    </w:rPr>
                    <w:t>“</w:t>
                  </w:r>
                  <w:r>
                    <w:rPr>
                      <w:snapToGrid w:val="0"/>
                      <w:color w:val="000000" w:themeColor="text1"/>
                      <w:kern w:val="21"/>
                      <w:sz w:val="18"/>
                      <w:szCs w:val="18"/>
                      <w:highlight w:val="none"/>
                      <w14:textFill>
                        <w14:solidFill>
                          <w14:schemeClr w14:val="tx1"/>
                        </w14:solidFill>
                      </w14:textFill>
                    </w:rPr>
                    <w:t>排至厂内综合污水处理站</w:t>
                  </w:r>
                  <w:r>
                    <w:rPr>
                      <w:rFonts w:eastAsia="Times New Roman"/>
                      <w:snapToGrid w:val="0"/>
                      <w:color w:val="000000" w:themeColor="text1"/>
                      <w:kern w:val="21"/>
                      <w:sz w:val="18"/>
                      <w:szCs w:val="18"/>
                      <w:highlight w:val="none"/>
                      <w14:textFill>
                        <w14:solidFill>
                          <w14:schemeClr w14:val="tx1"/>
                        </w14:solidFill>
                      </w14:textFill>
                    </w:rPr>
                    <w:t>”</w:t>
                  </w:r>
                  <w:r>
                    <w:rPr>
                      <w:snapToGrid w:val="0"/>
                      <w:color w:val="000000" w:themeColor="text1"/>
                      <w:kern w:val="21"/>
                      <w:sz w:val="18"/>
                      <w:szCs w:val="18"/>
                      <w:highlight w:val="none"/>
                      <w14:textFill>
                        <w14:solidFill>
                          <w14:schemeClr w14:val="tx1"/>
                        </w14:solidFill>
                      </w14:textFill>
                    </w:rPr>
                    <w:t>指工序废水经处理后排至综合处理站。对于综合污水处理站，</w:t>
                  </w:r>
                  <w:r>
                    <w:rPr>
                      <w:rFonts w:eastAsia="Times New Roman"/>
                      <w:snapToGrid w:val="0"/>
                      <w:color w:val="000000" w:themeColor="text1"/>
                      <w:kern w:val="21"/>
                      <w:sz w:val="18"/>
                      <w:szCs w:val="18"/>
                      <w:highlight w:val="none"/>
                      <w14:textFill>
                        <w14:solidFill>
                          <w14:schemeClr w14:val="tx1"/>
                        </w14:solidFill>
                      </w14:textFill>
                    </w:rPr>
                    <w:t>“</w:t>
                  </w:r>
                  <w:r>
                    <w:rPr>
                      <w:snapToGrid w:val="0"/>
                      <w:color w:val="000000" w:themeColor="text1"/>
                      <w:kern w:val="21"/>
                      <w:sz w:val="18"/>
                      <w:szCs w:val="18"/>
                      <w:highlight w:val="none"/>
                      <w14:textFill>
                        <w14:solidFill>
                          <w14:schemeClr w14:val="tx1"/>
                        </w14:solidFill>
                      </w14:textFill>
                    </w:rPr>
                    <w:t>不外排</w:t>
                  </w:r>
                  <w:r>
                    <w:rPr>
                      <w:rFonts w:eastAsia="Times New Roman"/>
                      <w:snapToGrid w:val="0"/>
                      <w:color w:val="000000" w:themeColor="text1"/>
                      <w:kern w:val="21"/>
                      <w:sz w:val="18"/>
                      <w:szCs w:val="18"/>
                      <w:highlight w:val="none"/>
                      <w14:textFill>
                        <w14:solidFill>
                          <w14:schemeClr w14:val="tx1"/>
                        </w14:solidFill>
                      </w14:textFill>
                    </w:rPr>
                    <w:t>”</w:t>
                  </w:r>
                  <w:r>
                    <w:rPr>
                      <w:snapToGrid w:val="0"/>
                      <w:color w:val="000000" w:themeColor="text1"/>
                      <w:kern w:val="21"/>
                      <w:sz w:val="18"/>
                      <w:szCs w:val="18"/>
                      <w:highlight w:val="none"/>
                      <w14:textFill>
                        <w14:solidFill>
                          <w14:schemeClr w14:val="tx1"/>
                        </w14:solidFill>
                      </w14:textFill>
                    </w:rPr>
                    <w:t>指全厂废水经处理后全部回用不排放。</w:t>
                  </w:r>
                </w:p>
                <w:p>
                  <w:pPr>
                    <w:adjustRightInd w:val="0"/>
                    <w:snapToGrid w:val="0"/>
                    <w:jc w:val="left"/>
                    <w:textAlignment w:val="baseline"/>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d </w:t>
                  </w:r>
                  <w:r>
                    <w:rPr>
                      <w:snapToGrid w:val="0"/>
                      <w:color w:val="000000" w:themeColor="text1"/>
                      <w:kern w:val="21"/>
                      <w:sz w:val="18"/>
                      <w:szCs w:val="18"/>
                      <w:highlight w:val="none"/>
                      <w14:textFill>
                        <w14:solidFill>
                          <w14:schemeClr w14:val="tx1"/>
                        </w14:solidFill>
                      </w14:textFill>
                    </w:rPr>
                    <w:t>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pPr>
                    <w:adjustRightInd w:val="0"/>
                    <w:snapToGrid w:val="0"/>
                    <w:jc w:val="left"/>
                    <w:textAlignment w:val="baseline"/>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e </w:t>
                  </w:r>
                  <w:r>
                    <w:rPr>
                      <w:snapToGrid w:val="0"/>
                      <w:color w:val="000000" w:themeColor="text1"/>
                      <w:kern w:val="21"/>
                      <w:sz w:val="18"/>
                      <w:szCs w:val="18"/>
                      <w:highlight w:val="none"/>
                      <w14:textFill>
                        <w14:solidFill>
                          <w14:schemeClr w14:val="tx1"/>
                        </w14:solidFill>
                      </w14:textFill>
                    </w:rPr>
                    <w:t>指主要污水处理设施名称，如“综合污水处理站”“生活污水处理系统”等。</w:t>
                  </w:r>
                </w:p>
                <w:p>
                  <w:pPr>
                    <w:adjustRightInd w:val="0"/>
                    <w:snapToGrid w:val="0"/>
                    <w:jc w:val="left"/>
                    <w:textAlignment w:val="baseline"/>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f </w:t>
                  </w:r>
                  <w:r>
                    <w:rPr>
                      <w:snapToGrid w:val="0"/>
                      <w:color w:val="000000" w:themeColor="text1"/>
                      <w:kern w:val="21"/>
                      <w:sz w:val="18"/>
                      <w:szCs w:val="18"/>
                      <w:highlight w:val="none"/>
                      <w14:textFill>
                        <w14:solidFill>
                          <w14:schemeClr w14:val="tx1"/>
                        </w14:solidFill>
                      </w14:textFill>
                    </w:rPr>
                    <w:t>排放口编号可按地方环境管理部门现有编号进行填写或由企业根据国家相关规范进行编制。</w:t>
                  </w:r>
                </w:p>
                <w:p>
                  <w:pPr>
                    <w:adjustRightInd w:val="0"/>
                    <w:snapToGrid w:val="0"/>
                    <w:jc w:val="left"/>
                    <w:textAlignment w:val="baseline"/>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g </w:t>
                  </w:r>
                  <w:r>
                    <w:rPr>
                      <w:snapToGrid w:val="0"/>
                      <w:color w:val="000000" w:themeColor="text1"/>
                      <w:kern w:val="21"/>
                      <w:sz w:val="18"/>
                      <w:szCs w:val="18"/>
                      <w:highlight w:val="none"/>
                      <w14:textFill>
                        <w14:solidFill>
                          <w14:schemeClr w14:val="tx1"/>
                        </w14:solidFill>
                      </w14:textFill>
                    </w:rPr>
                    <w:t>指排放口设置是否符合排放口规范化整治技术要求等相关文件的规定。</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废水排放口基本情况见表4-</w:t>
            </w:r>
            <w:r>
              <w:rPr>
                <w:rFonts w:hint="eastAsia" w:cs="Times New Roman"/>
                <w:color w:val="000000" w:themeColor="text1"/>
                <w:kern w:val="0"/>
                <w:sz w:val="24"/>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pP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表4-</w:t>
            </w:r>
            <w:r>
              <w:rPr>
                <w:rFonts w:hint="eastAsia" w:cs="Times New Roman"/>
                <w:b/>
                <w:bCs/>
                <w:color w:val="000000" w:themeColor="text1"/>
                <w:kern w:val="0"/>
                <w:sz w:val="24"/>
                <w:highlight w:val="none"/>
                <w:lang w:val="en-US" w:eastAsia="zh-CN"/>
                <w14:textFill>
                  <w14:solidFill>
                    <w14:schemeClr w14:val="tx1"/>
                  </w14:solidFill>
                </w14:textFill>
              </w:rPr>
              <w:t>12</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废水间接排放口基本情况表</w:t>
            </w:r>
          </w:p>
          <w:tbl>
            <w:tblPr>
              <w:tblStyle w:val="36"/>
              <w:tblW w:w="5000" w:type="pct"/>
              <w:tblInd w:w="-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62"/>
              <w:gridCol w:w="669"/>
              <w:gridCol w:w="1281"/>
              <w:gridCol w:w="1400"/>
              <w:gridCol w:w="894"/>
              <w:gridCol w:w="546"/>
              <w:gridCol w:w="496"/>
              <w:gridCol w:w="595"/>
              <w:gridCol w:w="27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7"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序 号</w:t>
                  </w:r>
                </w:p>
              </w:tc>
              <w:tc>
                <w:tcPr>
                  <w:tcW w:w="377"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排放口 编号</w:t>
                  </w:r>
                </w:p>
              </w:tc>
              <w:tc>
                <w:tcPr>
                  <w:tcW w:w="1511" w:type="pct"/>
                  <w:gridSpan w:val="2"/>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排放口地理坐标（a）</w:t>
                  </w:r>
                </w:p>
              </w:tc>
              <w:tc>
                <w:tcPr>
                  <w:tcW w:w="503" w:type="pct"/>
                  <w:vMerge w:val="restart"/>
                  <w:tcBorders>
                    <w:tl2br w:val="nil"/>
                    <w:tr2bl w:val="nil"/>
                  </w:tcBorders>
                  <w:noWrap w:val="0"/>
                  <w:vAlign w:val="center"/>
                </w:tcPr>
                <w:p>
                  <w:pPr>
                    <w:adjustRightInd w:val="0"/>
                    <w:jc w:val="both"/>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废水排放量/（万t/a）</w:t>
                  </w:r>
                </w:p>
              </w:tc>
              <w:tc>
                <w:tcPr>
                  <w:tcW w:w="307"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排放去向</w:t>
                  </w:r>
                </w:p>
              </w:tc>
              <w:tc>
                <w:tcPr>
                  <w:tcW w:w="279"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排放规律</w:t>
                  </w:r>
                </w:p>
              </w:tc>
              <w:tc>
                <w:tcPr>
                  <w:tcW w:w="335" w:type="pct"/>
                  <w:vMerge w:val="restar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间歇排放时段</w:t>
                  </w:r>
                </w:p>
              </w:tc>
              <w:tc>
                <w:tcPr>
                  <w:tcW w:w="1538"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受纳污水处理厂信息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7" w:type="pct"/>
                  <w:vMerge w:val="continue"/>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p>
              </w:tc>
              <w:tc>
                <w:tcPr>
                  <w:tcW w:w="377" w:type="pct"/>
                  <w:vMerge w:val="continue"/>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p>
              </w:tc>
              <w:tc>
                <w:tcPr>
                  <w:tcW w:w="721"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经度</w:t>
                  </w:r>
                </w:p>
              </w:tc>
              <w:tc>
                <w:tcPr>
                  <w:tcW w:w="789"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纬度</w:t>
                  </w:r>
                </w:p>
              </w:tc>
              <w:tc>
                <w:tcPr>
                  <w:tcW w:w="503" w:type="pct"/>
                  <w:vMerge w:val="continue"/>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p>
              </w:tc>
              <w:tc>
                <w:tcPr>
                  <w:tcW w:w="307" w:type="pct"/>
                  <w:vMerge w:val="continue"/>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p>
              </w:tc>
              <w:tc>
                <w:tcPr>
                  <w:tcW w:w="279" w:type="pct"/>
                  <w:vMerge w:val="continue"/>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p>
              </w:tc>
              <w:tc>
                <w:tcPr>
                  <w:tcW w:w="335" w:type="pct"/>
                  <w:vMerge w:val="continue"/>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p>
              </w:tc>
              <w:tc>
                <w:tcPr>
                  <w:tcW w:w="1538"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名称（b）</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147"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1</w:t>
                  </w:r>
                </w:p>
              </w:tc>
              <w:tc>
                <w:tcPr>
                  <w:tcW w:w="377"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DW001</w:t>
                  </w:r>
                </w:p>
              </w:tc>
              <w:tc>
                <w:tcPr>
                  <w:tcW w:w="721"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rFonts w:hint="default" w:ascii="Times New Roman" w:hAnsi="Times New Roman" w:cs="Times New Roman"/>
                      <w:snapToGrid w:val="0"/>
                      <w:color w:val="000000" w:themeColor="text1"/>
                      <w:kern w:val="21"/>
                      <w:sz w:val="18"/>
                      <w:szCs w:val="18"/>
                      <w:highlight w:val="none"/>
                      <w14:textFill>
                        <w14:solidFill>
                          <w14:schemeClr w14:val="tx1"/>
                        </w14:solidFill>
                      </w14:textFill>
                    </w:rPr>
                    <w:t>116°</w:t>
                  </w:r>
                  <w:r>
                    <w:rPr>
                      <w:rFonts w:hint="eastAsia" w:cs="Times New Roman"/>
                      <w:snapToGrid w:val="0"/>
                      <w:color w:val="000000" w:themeColor="text1"/>
                      <w:kern w:val="21"/>
                      <w:sz w:val="18"/>
                      <w:szCs w:val="18"/>
                      <w:highlight w:val="none"/>
                      <w:lang w:val="en-US" w:eastAsia="zh-CN"/>
                      <w14:textFill>
                        <w14:solidFill>
                          <w14:schemeClr w14:val="tx1"/>
                        </w14:solidFill>
                      </w14:textFill>
                    </w:rPr>
                    <w:t>16</w:t>
                  </w:r>
                  <w:r>
                    <w:rPr>
                      <w:rFonts w:hint="default" w:ascii="Times New Roman" w:hAnsi="Times New Roman" w:cs="Times New Roman"/>
                      <w:snapToGrid w:val="0"/>
                      <w:color w:val="000000" w:themeColor="text1"/>
                      <w:kern w:val="21"/>
                      <w:sz w:val="18"/>
                      <w:szCs w:val="18"/>
                      <w:highlight w:val="none"/>
                      <w14:textFill>
                        <w14:solidFill>
                          <w14:schemeClr w14:val="tx1"/>
                        </w14:solidFill>
                      </w14:textFill>
                    </w:rPr>
                    <w:t>′</w:t>
                  </w:r>
                  <w:r>
                    <w:rPr>
                      <w:rFonts w:hint="eastAsia" w:cs="Times New Roman"/>
                      <w:snapToGrid w:val="0"/>
                      <w:color w:val="000000" w:themeColor="text1"/>
                      <w:kern w:val="21"/>
                      <w:sz w:val="18"/>
                      <w:szCs w:val="18"/>
                      <w:highlight w:val="none"/>
                      <w:lang w:val="en-US" w:eastAsia="zh-CN"/>
                      <w14:textFill>
                        <w14:solidFill>
                          <w14:schemeClr w14:val="tx1"/>
                        </w14:solidFill>
                      </w14:textFill>
                    </w:rPr>
                    <w:t>0.48</w:t>
                  </w:r>
                  <w:r>
                    <w:rPr>
                      <w:rFonts w:hint="default" w:ascii="Times New Roman" w:hAnsi="Times New Roman" w:cs="Times New Roman"/>
                      <w:snapToGrid w:val="0"/>
                      <w:color w:val="000000" w:themeColor="text1"/>
                      <w:kern w:val="21"/>
                      <w:sz w:val="18"/>
                      <w:szCs w:val="18"/>
                      <w:highlight w:val="none"/>
                      <w14:textFill>
                        <w14:solidFill>
                          <w14:schemeClr w14:val="tx1"/>
                        </w14:solidFill>
                      </w14:textFill>
                    </w:rPr>
                    <w:t>″</w:t>
                  </w:r>
                </w:p>
              </w:tc>
              <w:tc>
                <w:tcPr>
                  <w:tcW w:w="789" w:type="pct"/>
                  <w:tcBorders>
                    <w:tl2br w:val="nil"/>
                    <w:tr2bl w:val="nil"/>
                  </w:tcBorders>
                  <w:noWrap w:val="0"/>
                  <w:vAlign w:val="center"/>
                </w:tcPr>
                <w:p>
                  <w:pPr>
                    <w:adjustRightInd w:val="0"/>
                    <w:jc w:val="center"/>
                    <w:textAlignment w:val="baseline"/>
                    <w:rPr>
                      <w:rFonts w:hint="default" w:ascii="Times New Roman" w:hAnsi="Times New Roman" w:cs="Times New Roman"/>
                      <w:snapToGrid w:val="0"/>
                      <w:color w:val="000000" w:themeColor="text1"/>
                      <w:kern w:val="21"/>
                      <w:sz w:val="18"/>
                      <w:szCs w:val="18"/>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18"/>
                      <w:szCs w:val="18"/>
                      <w:highlight w:val="none"/>
                      <w14:textFill>
                        <w14:solidFill>
                          <w14:schemeClr w14:val="tx1"/>
                        </w14:solidFill>
                      </w14:textFill>
                    </w:rPr>
                    <w:t>35°2</w:t>
                  </w:r>
                  <w:r>
                    <w:rPr>
                      <w:rFonts w:hint="eastAsia" w:cs="Times New Roman"/>
                      <w:snapToGrid w:val="0"/>
                      <w:color w:val="000000" w:themeColor="text1"/>
                      <w:kern w:val="21"/>
                      <w:sz w:val="18"/>
                      <w:szCs w:val="18"/>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21"/>
                      <w:sz w:val="18"/>
                      <w:szCs w:val="18"/>
                      <w:highlight w:val="none"/>
                      <w14:textFill>
                        <w14:solidFill>
                          <w14:schemeClr w14:val="tx1"/>
                        </w14:solidFill>
                      </w14:textFill>
                    </w:rPr>
                    <w:t>′1</w:t>
                  </w:r>
                  <w:r>
                    <w:rPr>
                      <w:rFonts w:hint="eastAsia" w:cs="Times New Roman"/>
                      <w:snapToGrid w:val="0"/>
                      <w:color w:val="000000" w:themeColor="text1"/>
                      <w:kern w:val="21"/>
                      <w:sz w:val="18"/>
                      <w:szCs w:val="18"/>
                      <w:highlight w:val="none"/>
                      <w:lang w:val="en-US" w:eastAsia="zh-CN"/>
                      <w14:textFill>
                        <w14:solidFill>
                          <w14:schemeClr w14:val="tx1"/>
                        </w14:solidFill>
                      </w14:textFill>
                    </w:rPr>
                    <w:t>9.12</w:t>
                  </w:r>
                  <w:r>
                    <w:rPr>
                      <w:rFonts w:hint="default" w:ascii="Times New Roman" w:hAnsi="Times New Roman" w:eastAsia="宋体" w:cs="Times New Roman"/>
                      <w:snapToGrid w:val="0"/>
                      <w:color w:val="000000" w:themeColor="text1"/>
                      <w:kern w:val="21"/>
                      <w:sz w:val="18"/>
                      <w:szCs w:val="18"/>
                      <w:highlight w:val="none"/>
                      <w14:textFill>
                        <w14:solidFill>
                          <w14:schemeClr w14:val="tx1"/>
                        </w14:solidFill>
                      </w14:textFill>
                    </w:rPr>
                    <w:t>″</w:t>
                  </w:r>
                </w:p>
              </w:tc>
              <w:tc>
                <w:tcPr>
                  <w:tcW w:w="503" w:type="pct"/>
                  <w:tcBorders>
                    <w:tl2br w:val="nil"/>
                    <w:tr2bl w:val="nil"/>
                  </w:tcBorders>
                  <w:noWrap w:val="0"/>
                  <w:vAlign w:val="center"/>
                </w:tcPr>
                <w:p>
                  <w:pPr>
                    <w:adjustRightInd w:val="0"/>
                    <w:jc w:val="center"/>
                    <w:textAlignment w:val="baseline"/>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6.396</w:t>
                  </w:r>
                </w:p>
              </w:tc>
              <w:tc>
                <w:tcPr>
                  <w:tcW w:w="307"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rFonts w:hint="eastAsia"/>
                      <w:snapToGrid w:val="0"/>
                      <w:color w:val="000000" w:themeColor="text1"/>
                      <w:kern w:val="21"/>
                      <w:sz w:val="18"/>
                      <w:szCs w:val="18"/>
                      <w:highlight w:val="none"/>
                      <w14:textFill>
                        <w14:solidFill>
                          <w14:schemeClr w14:val="tx1"/>
                        </w14:solidFill>
                      </w14:textFill>
                    </w:rPr>
                    <w:t>工业废水集中处理厂</w:t>
                  </w:r>
                </w:p>
              </w:tc>
              <w:tc>
                <w:tcPr>
                  <w:tcW w:w="279"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rFonts w:hint="eastAsia"/>
                      <w:snapToGrid w:val="0"/>
                      <w:color w:val="000000" w:themeColor="text1"/>
                      <w:kern w:val="21"/>
                      <w:sz w:val="18"/>
                      <w:szCs w:val="18"/>
                      <w:highlight w:val="none"/>
                      <w14:textFill>
                        <w14:solidFill>
                          <w14:schemeClr w14:val="tx1"/>
                        </w14:solidFill>
                      </w14:textFill>
                    </w:rPr>
                    <w:t>间歇</w:t>
                  </w:r>
                </w:p>
              </w:tc>
              <w:tc>
                <w:tcPr>
                  <w:tcW w:w="335"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w:t>
                  </w:r>
                </w:p>
              </w:tc>
              <w:tc>
                <w:tcPr>
                  <w:tcW w:w="1538" w:type="pct"/>
                  <w:tcBorders>
                    <w:tl2br w:val="nil"/>
                    <w:tr2bl w:val="nil"/>
                  </w:tcBorders>
                  <w:noWrap w:val="0"/>
                  <w:vAlign w:val="center"/>
                </w:tcPr>
                <w:p>
                  <w:pPr>
                    <w:adjustRightInd w:val="0"/>
                    <w:jc w:val="center"/>
                    <w:textAlignment w:val="baseline"/>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14:textFill>
                        <w14:solidFill>
                          <w14:schemeClr w14:val="tx1"/>
                        </w14:solidFill>
                      </w14:textFill>
                    </w:rPr>
                    <w:t>嘉祥阳光水务有限公司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9"/>
                  <w:tcBorders>
                    <w:tl2br w:val="nil"/>
                    <w:tr2bl w:val="nil"/>
                  </w:tcBorders>
                  <w:noWrap w:val="0"/>
                  <w:vAlign w:val="center"/>
                </w:tcPr>
                <w:p>
                  <w:pPr>
                    <w:adjustRightInd w:val="0"/>
                    <w:snapToGrid w:val="0"/>
                    <w:jc w:val="left"/>
                    <w:textAlignment w:val="baseline"/>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a  </w:t>
                  </w:r>
                  <w:r>
                    <w:rPr>
                      <w:snapToGrid w:val="0"/>
                      <w:color w:val="000000" w:themeColor="text1"/>
                      <w:kern w:val="21"/>
                      <w:sz w:val="18"/>
                      <w:szCs w:val="18"/>
                      <w:highlight w:val="none"/>
                      <w14:textFill>
                        <w14:solidFill>
                          <w14:schemeClr w14:val="tx1"/>
                        </w14:solidFill>
                      </w14:textFill>
                    </w:rPr>
                    <w:t>对于排至厂外公共污水处理系统的排放口，指废水排出厂界处经纬度坐标。</w:t>
                  </w:r>
                </w:p>
                <w:p>
                  <w:pPr>
                    <w:adjustRightInd w:val="0"/>
                    <w:snapToGrid w:val="0"/>
                    <w:jc w:val="left"/>
                    <w:textAlignment w:val="baseline"/>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b </w:t>
                  </w:r>
                  <w:r>
                    <w:rPr>
                      <w:snapToGrid w:val="0"/>
                      <w:color w:val="000000" w:themeColor="text1"/>
                      <w:kern w:val="21"/>
                      <w:sz w:val="18"/>
                      <w:szCs w:val="18"/>
                      <w:highlight w:val="none"/>
                      <w14:textFill>
                        <w14:solidFill>
                          <w14:schemeClr w14:val="tx1"/>
                        </w14:solidFill>
                      </w14:textFill>
                    </w:rPr>
                    <w:t>指厂外城镇或工业污水集中处理设施名称，如×××生活污水处理厂、×××化工园区污水处理厂等。</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注：上表中废水排放量为二期厂区已建项目及本项目总废水排放量。</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废水污染物排放执行标准见表4-</w:t>
            </w:r>
            <w:r>
              <w:rPr>
                <w:rFonts w:hint="eastAsia" w:cs="Times New Roman"/>
                <w:color w:val="000000" w:themeColor="text1"/>
                <w:kern w:val="0"/>
                <w:sz w:val="24"/>
                <w:highlight w:val="none"/>
                <w:lang w:val="en-US" w:eastAsia="zh-CN"/>
                <w14:textFill>
                  <w14:solidFill>
                    <w14:schemeClr w14:val="tx1"/>
                  </w14:solidFill>
                </w14:textFill>
              </w:rPr>
              <w:t>13</w:t>
            </w:r>
            <w:r>
              <w:rPr>
                <w:rFonts w:hint="eastAsia" w:ascii="Times New Roman" w:hAnsi="Times New Roman" w:eastAsia="宋体" w:cs="Times New Roman"/>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pP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表4-</w:t>
            </w:r>
            <w:r>
              <w:rPr>
                <w:rFonts w:hint="eastAsia" w:cs="Times New Roman"/>
                <w:b/>
                <w:bCs/>
                <w:color w:val="000000" w:themeColor="text1"/>
                <w:kern w:val="0"/>
                <w:sz w:val="24"/>
                <w:highlight w:val="none"/>
                <w:lang w:val="en-US" w:eastAsia="zh-CN"/>
                <w14:textFill>
                  <w14:solidFill>
                    <w14:schemeClr w14:val="tx1"/>
                  </w14:solidFill>
                </w14:textFill>
              </w:rPr>
              <w:t>13</w:t>
            </w: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 xml:space="preserve">  废水污染物排放执行标准表</w:t>
            </w:r>
          </w:p>
          <w:tbl>
            <w:tblPr>
              <w:tblStyle w:val="36"/>
              <w:tblW w:w="5000" w:type="pct"/>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1"/>
              <w:gridCol w:w="1363"/>
              <w:gridCol w:w="1438"/>
              <w:gridCol w:w="3446"/>
              <w:gridCol w:w="19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77" w:type="pct"/>
                  <w:vMerge w:val="restart"/>
                  <w:tcBorders>
                    <w:tl2br w:val="nil"/>
                    <w:tr2bl w:val="nil"/>
                  </w:tcBorders>
                  <w:noWrap w:val="0"/>
                  <w:vAlign w:val="center"/>
                </w:tcPr>
                <w:p>
                  <w:pPr>
                    <w:adjustRightInd w:val="0"/>
                    <w:spacing w:line="240" w:lineRule="exact"/>
                    <w:jc w:val="center"/>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序号</w:t>
                  </w:r>
                </w:p>
              </w:tc>
              <w:tc>
                <w:tcPr>
                  <w:tcW w:w="767" w:type="pct"/>
                  <w:vMerge w:val="restart"/>
                  <w:tcBorders>
                    <w:tl2br w:val="nil"/>
                    <w:tr2bl w:val="nil"/>
                  </w:tcBorders>
                  <w:noWrap w:val="0"/>
                  <w:vAlign w:val="center"/>
                </w:tcPr>
                <w:p>
                  <w:pPr>
                    <w:adjustRightInd w:val="0"/>
                    <w:spacing w:line="240" w:lineRule="exact"/>
                    <w:jc w:val="center"/>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排放口编号</w:t>
                  </w:r>
                </w:p>
              </w:tc>
              <w:tc>
                <w:tcPr>
                  <w:tcW w:w="810" w:type="pct"/>
                  <w:vMerge w:val="restart"/>
                  <w:tcBorders>
                    <w:tl2br w:val="nil"/>
                    <w:tr2bl w:val="nil"/>
                  </w:tcBorders>
                  <w:noWrap w:val="0"/>
                  <w:vAlign w:val="center"/>
                </w:tcPr>
                <w:p>
                  <w:pPr>
                    <w:adjustRightInd w:val="0"/>
                    <w:spacing w:line="240" w:lineRule="exact"/>
                    <w:jc w:val="center"/>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污染物种类</w:t>
                  </w:r>
                </w:p>
              </w:tc>
              <w:tc>
                <w:tcPr>
                  <w:tcW w:w="3044" w:type="pct"/>
                  <w:gridSpan w:val="2"/>
                  <w:tcBorders>
                    <w:tl2br w:val="nil"/>
                    <w:tr2bl w:val="nil"/>
                  </w:tcBorders>
                  <w:noWrap w:val="0"/>
                  <w:vAlign w:val="center"/>
                </w:tcPr>
                <w:p>
                  <w:pPr>
                    <w:adjustRightInd w:val="0"/>
                    <w:spacing w:line="240" w:lineRule="exact"/>
                    <w:jc w:val="center"/>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国家或地方污染物排放标准及其他按规定商定的排放协议（a）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7" w:type="pct"/>
                  <w:vMerge w:val="continue"/>
                  <w:tcBorders>
                    <w:tl2br w:val="nil"/>
                    <w:tr2bl w:val="nil"/>
                  </w:tcBorders>
                  <w:noWrap w:val="0"/>
                  <w:vAlign w:val="center"/>
                </w:tcPr>
                <w:p>
                  <w:pPr>
                    <w:adjustRightInd w:val="0"/>
                    <w:spacing w:line="240" w:lineRule="exact"/>
                    <w:jc w:val="center"/>
                    <w:rPr>
                      <w:b/>
                      <w:bCs/>
                      <w:snapToGrid w:val="0"/>
                      <w:color w:val="000000" w:themeColor="text1"/>
                      <w:kern w:val="21"/>
                      <w:sz w:val="18"/>
                      <w:szCs w:val="18"/>
                      <w:highlight w:val="none"/>
                      <w14:textFill>
                        <w14:solidFill>
                          <w14:schemeClr w14:val="tx1"/>
                        </w14:solidFill>
                      </w14:textFill>
                    </w:rPr>
                  </w:pPr>
                </w:p>
              </w:tc>
              <w:tc>
                <w:tcPr>
                  <w:tcW w:w="767" w:type="pct"/>
                  <w:vMerge w:val="continue"/>
                  <w:tcBorders>
                    <w:tl2br w:val="nil"/>
                    <w:tr2bl w:val="nil"/>
                  </w:tcBorders>
                  <w:noWrap w:val="0"/>
                  <w:vAlign w:val="center"/>
                </w:tcPr>
                <w:p>
                  <w:pPr>
                    <w:adjustRightInd w:val="0"/>
                    <w:spacing w:line="240" w:lineRule="exact"/>
                    <w:jc w:val="center"/>
                    <w:rPr>
                      <w:b/>
                      <w:bCs/>
                      <w:snapToGrid w:val="0"/>
                      <w:color w:val="000000" w:themeColor="text1"/>
                      <w:kern w:val="21"/>
                      <w:sz w:val="18"/>
                      <w:szCs w:val="18"/>
                      <w:highlight w:val="none"/>
                      <w14:textFill>
                        <w14:solidFill>
                          <w14:schemeClr w14:val="tx1"/>
                        </w14:solidFill>
                      </w14:textFill>
                    </w:rPr>
                  </w:pPr>
                </w:p>
              </w:tc>
              <w:tc>
                <w:tcPr>
                  <w:tcW w:w="810" w:type="pct"/>
                  <w:vMerge w:val="continue"/>
                  <w:tcBorders>
                    <w:tl2br w:val="nil"/>
                    <w:tr2bl w:val="nil"/>
                  </w:tcBorders>
                  <w:noWrap w:val="0"/>
                  <w:vAlign w:val="center"/>
                </w:tcPr>
                <w:p>
                  <w:pPr>
                    <w:adjustRightInd w:val="0"/>
                    <w:spacing w:line="240" w:lineRule="exact"/>
                    <w:jc w:val="center"/>
                    <w:rPr>
                      <w:b/>
                      <w:bCs/>
                      <w:snapToGrid w:val="0"/>
                      <w:color w:val="000000" w:themeColor="text1"/>
                      <w:kern w:val="21"/>
                      <w:sz w:val="18"/>
                      <w:szCs w:val="18"/>
                      <w:highlight w:val="none"/>
                      <w14:textFill>
                        <w14:solidFill>
                          <w14:schemeClr w14:val="tx1"/>
                        </w14:solidFill>
                      </w14:textFill>
                    </w:rPr>
                  </w:pPr>
                </w:p>
              </w:tc>
              <w:tc>
                <w:tcPr>
                  <w:tcW w:w="1942" w:type="pct"/>
                  <w:tcBorders>
                    <w:tl2br w:val="nil"/>
                    <w:tr2bl w:val="nil"/>
                  </w:tcBorders>
                  <w:noWrap w:val="0"/>
                  <w:vAlign w:val="center"/>
                </w:tcPr>
                <w:p>
                  <w:pPr>
                    <w:adjustRightInd w:val="0"/>
                    <w:spacing w:line="240" w:lineRule="exact"/>
                    <w:jc w:val="center"/>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名称</w:t>
                  </w:r>
                </w:p>
              </w:tc>
              <w:tc>
                <w:tcPr>
                  <w:tcW w:w="1102" w:type="pct"/>
                  <w:tcBorders>
                    <w:tl2br w:val="nil"/>
                    <w:tr2bl w:val="nil"/>
                  </w:tcBorders>
                  <w:noWrap w:val="0"/>
                  <w:vAlign w:val="center"/>
                </w:tcPr>
                <w:p>
                  <w:pPr>
                    <w:adjustRightInd w:val="0"/>
                    <w:spacing w:line="240" w:lineRule="exact"/>
                    <w:jc w:val="center"/>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浓度限值/(mg/L)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7" w:type="pct"/>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1</w:t>
                  </w:r>
                </w:p>
              </w:tc>
              <w:tc>
                <w:tcPr>
                  <w:tcW w:w="767" w:type="pct"/>
                  <w:vMerge w:val="restart"/>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DW001</w:t>
                  </w:r>
                </w:p>
              </w:tc>
              <w:tc>
                <w:tcPr>
                  <w:tcW w:w="810" w:type="pct"/>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pH</w:t>
                  </w:r>
                </w:p>
              </w:tc>
              <w:tc>
                <w:tcPr>
                  <w:tcW w:w="1942" w:type="pct"/>
                  <w:vMerge w:val="restart"/>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污水处理厂</w:t>
                  </w:r>
                  <w:r>
                    <w:rPr>
                      <w:snapToGrid w:val="0"/>
                      <w:color w:val="000000" w:themeColor="text1"/>
                      <w:kern w:val="21"/>
                      <w:sz w:val="18"/>
                      <w:szCs w:val="18"/>
                      <w:highlight w:val="none"/>
                      <w14:textFill>
                        <w14:solidFill>
                          <w14:schemeClr w14:val="tx1"/>
                        </w14:solidFill>
                      </w14:textFill>
                    </w:rPr>
                    <w:t>接管标准要求</w:t>
                  </w:r>
                  <w:r>
                    <w:rPr>
                      <w:rFonts w:hint="eastAsia"/>
                      <w:snapToGrid w:val="0"/>
                      <w:color w:val="000000" w:themeColor="text1"/>
                      <w:kern w:val="21"/>
                      <w:sz w:val="18"/>
                      <w:szCs w:val="18"/>
                      <w:highlight w:val="none"/>
                      <w:lang w:val="en-US" w:eastAsia="zh-CN"/>
                      <w14:textFill>
                        <w14:solidFill>
                          <w14:schemeClr w14:val="tx1"/>
                        </w14:solidFill>
                      </w14:textFill>
                    </w:rPr>
                    <w:t>及</w:t>
                  </w:r>
                  <w:r>
                    <w:rPr>
                      <w:rFonts w:hint="eastAsia"/>
                      <w:snapToGrid w:val="0"/>
                      <w:color w:val="000000" w:themeColor="text1"/>
                      <w:kern w:val="21"/>
                      <w:sz w:val="18"/>
                      <w:szCs w:val="18"/>
                      <w:highlight w:val="none"/>
                      <w14:textFill>
                        <w14:solidFill>
                          <w14:schemeClr w14:val="tx1"/>
                        </w14:solidFill>
                      </w14:textFill>
                    </w:rPr>
                    <w:t>《污水综合排放标准》（GB8978-1996）要求</w:t>
                  </w:r>
                </w:p>
              </w:tc>
              <w:tc>
                <w:tcPr>
                  <w:tcW w:w="1102" w:type="pct"/>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6</w:t>
                  </w:r>
                  <w:r>
                    <w:rPr>
                      <w:rFonts w:hint="eastAsia"/>
                      <w:snapToGrid w:val="0"/>
                      <w:color w:val="000000" w:themeColor="text1"/>
                      <w:kern w:val="21"/>
                      <w:sz w:val="18"/>
                      <w:szCs w:val="18"/>
                      <w:highlight w:val="none"/>
                      <w:lang w:val="en-US" w:eastAsia="zh-CN"/>
                      <w14:textFill>
                        <w14:solidFill>
                          <w14:schemeClr w14:val="tx1"/>
                        </w14:solidFill>
                      </w14:textFill>
                    </w:rPr>
                    <w:t>~</w:t>
                  </w:r>
                  <w:r>
                    <w:rPr>
                      <w:snapToGrid w:val="0"/>
                      <w:color w:val="000000" w:themeColor="text1"/>
                      <w:kern w:val="21"/>
                      <w:sz w:val="18"/>
                      <w:szCs w:val="18"/>
                      <w:highlight w:val="none"/>
                      <w14:textFill>
                        <w14:solidFill>
                          <w14:schemeClr w14:val="tx1"/>
                        </w14:solidFill>
                      </w14:textFill>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77" w:type="pct"/>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2</w:t>
                  </w:r>
                </w:p>
              </w:tc>
              <w:tc>
                <w:tcPr>
                  <w:tcW w:w="767" w:type="pct"/>
                  <w:vMerge w:val="continue"/>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p>
              </w:tc>
              <w:tc>
                <w:tcPr>
                  <w:tcW w:w="810" w:type="pct"/>
                  <w:tcBorders>
                    <w:tl2br w:val="nil"/>
                    <w:tr2bl w:val="nil"/>
                  </w:tcBorders>
                  <w:noWrap w:val="0"/>
                  <w:vAlign w:val="center"/>
                </w:tcPr>
                <w:p>
                  <w:pPr>
                    <w:spacing w:before="120" w:line="240" w:lineRule="exact"/>
                    <w:jc w:val="center"/>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化学需氧量(CODcr)</w:t>
                  </w:r>
                </w:p>
              </w:tc>
              <w:tc>
                <w:tcPr>
                  <w:tcW w:w="1942" w:type="pct"/>
                  <w:vMerge w:val="continue"/>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p>
              </w:tc>
              <w:tc>
                <w:tcPr>
                  <w:tcW w:w="1102" w:type="pct"/>
                  <w:tcBorders>
                    <w:tl2br w:val="nil"/>
                    <w:tr2bl w:val="nil"/>
                  </w:tcBorders>
                  <w:noWrap w:val="0"/>
                  <w:vAlign w:val="center"/>
                </w:tcPr>
                <w:p>
                  <w:pPr>
                    <w:adjustRightInd w:val="0"/>
                    <w:spacing w:line="240" w:lineRule="exact"/>
                    <w:jc w:val="center"/>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7" w:type="pct"/>
                  <w:tcBorders>
                    <w:tl2br w:val="nil"/>
                    <w:tr2bl w:val="nil"/>
                  </w:tcBorders>
                  <w:noWrap w:val="0"/>
                  <w:vAlign w:val="center"/>
                </w:tcPr>
                <w:p>
                  <w:pPr>
                    <w:adjustRightInd w:val="0"/>
                    <w:spacing w:line="240" w:lineRule="exact"/>
                    <w:jc w:val="center"/>
                    <w:rPr>
                      <w:rFonts w:hint="eastAsia"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3</w:t>
                  </w:r>
                </w:p>
              </w:tc>
              <w:tc>
                <w:tcPr>
                  <w:tcW w:w="767" w:type="pct"/>
                  <w:vMerge w:val="continue"/>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p>
              </w:tc>
              <w:tc>
                <w:tcPr>
                  <w:tcW w:w="810" w:type="pct"/>
                  <w:tcBorders>
                    <w:tl2br w:val="nil"/>
                    <w:tr2bl w:val="nil"/>
                  </w:tcBorders>
                  <w:noWrap w:val="0"/>
                  <w:vAlign w:val="center"/>
                </w:tcPr>
                <w:p>
                  <w:pPr>
                    <w:spacing w:before="120" w:line="240" w:lineRule="exact"/>
                    <w:jc w:val="center"/>
                    <w:rPr>
                      <w:rFonts w:ascii="Times New Roman" w:hAnsi="Times New Roman" w:eastAsia="宋体" w:cs="Times New Roman"/>
                      <w:snapToGrid w:val="0"/>
                      <w:color w:val="000000" w:themeColor="text1"/>
                      <w:kern w:val="21"/>
                      <w:sz w:val="18"/>
                      <w:szCs w:val="18"/>
                      <w:highlight w:val="none"/>
                      <w:lang w:val="en-US" w:eastAsia="zh-CN" w:bidi="ar-SA"/>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氨氮(以N计)</w:t>
                  </w:r>
                </w:p>
              </w:tc>
              <w:tc>
                <w:tcPr>
                  <w:tcW w:w="1942" w:type="pct"/>
                  <w:vMerge w:val="continue"/>
                  <w:tcBorders>
                    <w:tl2br w:val="nil"/>
                    <w:tr2bl w:val="nil"/>
                  </w:tcBorders>
                  <w:noWrap w:val="0"/>
                  <w:vAlign w:val="center"/>
                </w:tcPr>
                <w:p>
                  <w:pPr>
                    <w:adjustRightInd w:val="0"/>
                    <w:spacing w:line="240" w:lineRule="exact"/>
                    <w:jc w:val="center"/>
                    <w:rPr>
                      <w:rFonts w:ascii="Times New Roman" w:hAnsi="Times New Roman" w:eastAsia="宋体" w:cs="Times New Roman"/>
                      <w:snapToGrid w:val="0"/>
                      <w:color w:val="000000" w:themeColor="text1"/>
                      <w:kern w:val="21"/>
                      <w:sz w:val="18"/>
                      <w:szCs w:val="18"/>
                      <w:highlight w:val="none"/>
                      <w:lang w:val="en-US" w:eastAsia="zh-CN" w:bidi="ar-SA"/>
                      <w14:textFill>
                        <w14:solidFill>
                          <w14:schemeClr w14:val="tx1"/>
                        </w14:solidFill>
                      </w14:textFill>
                    </w:rPr>
                  </w:pPr>
                </w:p>
              </w:tc>
              <w:tc>
                <w:tcPr>
                  <w:tcW w:w="1102" w:type="pct"/>
                  <w:tcBorders>
                    <w:tl2br w:val="nil"/>
                    <w:tr2bl w:val="nil"/>
                  </w:tcBorders>
                  <w:noWrap w:val="0"/>
                  <w:vAlign w:val="center"/>
                </w:tcPr>
                <w:p>
                  <w:pPr>
                    <w:adjustRightInd w:val="0"/>
                    <w:spacing w:line="240" w:lineRule="exact"/>
                    <w:jc w:val="center"/>
                    <w:rPr>
                      <w:rFonts w:hint="default" w:ascii="Times New Roman" w:hAnsi="Times New Roman" w:eastAsia="宋体" w:cs="Times New Roman"/>
                      <w:snapToGrid w:val="0"/>
                      <w:color w:val="000000" w:themeColor="text1"/>
                      <w:kern w:val="21"/>
                      <w:sz w:val="18"/>
                      <w:szCs w:val="18"/>
                      <w:highlight w:val="none"/>
                      <w:lang w:val="en-US" w:eastAsia="zh-CN" w:bidi="ar-SA"/>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7" w:type="pct"/>
                  <w:tcBorders>
                    <w:tl2br w:val="nil"/>
                    <w:tr2bl w:val="nil"/>
                  </w:tcBorders>
                  <w:noWrap w:val="0"/>
                  <w:vAlign w:val="center"/>
                </w:tcPr>
                <w:p>
                  <w:pPr>
                    <w:adjustRightInd w:val="0"/>
                    <w:spacing w:line="240" w:lineRule="exact"/>
                    <w:jc w:val="center"/>
                    <w:rPr>
                      <w:rFonts w:hint="eastAsia"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4</w:t>
                  </w:r>
                </w:p>
              </w:tc>
              <w:tc>
                <w:tcPr>
                  <w:tcW w:w="767" w:type="pct"/>
                  <w:vMerge w:val="continue"/>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p>
              </w:tc>
              <w:tc>
                <w:tcPr>
                  <w:tcW w:w="810" w:type="pct"/>
                  <w:tcBorders>
                    <w:tl2br w:val="nil"/>
                    <w:tr2bl w:val="nil"/>
                  </w:tcBorders>
                  <w:noWrap w:val="0"/>
                  <w:vAlign w:val="center"/>
                </w:tcPr>
                <w:p>
                  <w:pPr>
                    <w:spacing w:before="120" w:line="240" w:lineRule="exact"/>
                    <w:jc w:val="center"/>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BOD</w:t>
                  </w:r>
                </w:p>
              </w:tc>
              <w:tc>
                <w:tcPr>
                  <w:tcW w:w="1942" w:type="pct"/>
                  <w:vMerge w:val="continue"/>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p>
              </w:tc>
              <w:tc>
                <w:tcPr>
                  <w:tcW w:w="1102" w:type="pct"/>
                  <w:tcBorders>
                    <w:tl2br w:val="nil"/>
                    <w:tr2bl w:val="nil"/>
                  </w:tcBorders>
                  <w:noWrap w:val="0"/>
                  <w:vAlign w:val="center"/>
                </w:tcPr>
                <w:p>
                  <w:pPr>
                    <w:adjustRightInd w:val="0"/>
                    <w:spacing w:line="240" w:lineRule="exact"/>
                    <w:jc w:val="center"/>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160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7" w:type="pct"/>
                  <w:tcBorders>
                    <w:tl2br w:val="nil"/>
                    <w:tr2bl w:val="nil"/>
                  </w:tcBorders>
                  <w:noWrap w:val="0"/>
                  <w:vAlign w:val="center"/>
                </w:tcPr>
                <w:p>
                  <w:pPr>
                    <w:adjustRightInd w:val="0"/>
                    <w:spacing w:line="240" w:lineRule="exact"/>
                    <w:jc w:val="center"/>
                    <w:rPr>
                      <w:rFonts w:hint="eastAsia"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5</w:t>
                  </w:r>
                </w:p>
              </w:tc>
              <w:tc>
                <w:tcPr>
                  <w:tcW w:w="767" w:type="pct"/>
                  <w:vMerge w:val="continue"/>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p>
              </w:tc>
              <w:tc>
                <w:tcPr>
                  <w:tcW w:w="810" w:type="pct"/>
                  <w:tcBorders>
                    <w:tl2br w:val="nil"/>
                    <w:tr2bl w:val="nil"/>
                  </w:tcBorders>
                  <w:noWrap w:val="0"/>
                  <w:vAlign w:val="center"/>
                </w:tcPr>
                <w:p>
                  <w:pPr>
                    <w:spacing w:before="120" w:line="240" w:lineRule="exact"/>
                    <w:jc w:val="center"/>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SS</w:t>
                  </w:r>
                </w:p>
              </w:tc>
              <w:tc>
                <w:tcPr>
                  <w:tcW w:w="1942" w:type="pct"/>
                  <w:vMerge w:val="continue"/>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p>
              </w:tc>
              <w:tc>
                <w:tcPr>
                  <w:tcW w:w="1102" w:type="pct"/>
                  <w:tcBorders>
                    <w:tl2br w:val="nil"/>
                    <w:tr2bl w:val="nil"/>
                  </w:tcBorders>
                  <w:noWrap w:val="0"/>
                  <w:vAlign w:val="center"/>
                </w:tcPr>
                <w:p>
                  <w:pPr>
                    <w:adjustRightInd w:val="0"/>
                    <w:spacing w:line="240" w:lineRule="exact"/>
                    <w:jc w:val="center"/>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77" w:type="pct"/>
                  <w:tcBorders>
                    <w:tl2br w:val="nil"/>
                    <w:tr2bl w:val="nil"/>
                  </w:tcBorders>
                  <w:noWrap w:val="0"/>
                  <w:vAlign w:val="center"/>
                </w:tcPr>
                <w:p>
                  <w:pPr>
                    <w:adjustRightInd w:val="0"/>
                    <w:spacing w:line="240" w:lineRule="exact"/>
                    <w:jc w:val="center"/>
                    <w:rPr>
                      <w:rFonts w:hint="eastAsia"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6</w:t>
                  </w:r>
                </w:p>
              </w:tc>
              <w:tc>
                <w:tcPr>
                  <w:tcW w:w="767" w:type="pct"/>
                  <w:vMerge w:val="continue"/>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p>
              </w:tc>
              <w:tc>
                <w:tcPr>
                  <w:tcW w:w="810" w:type="pct"/>
                  <w:tcBorders>
                    <w:tl2br w:val="nil"/>
                    <w:tr2bl w:val="nil"/>
                  </w:tcBorders>
                  <w:noWrap w:val="0"/>
                  <w:vAlign w:val="center"/>
                </w:tcPr>
                <w:p>
                  <w:pPr>
                    <w:spacing w:before="120" w:line="240" w:lineRule="exact"/>
                    <w:jc w:val="center"/>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TP</w:t>
                  </w:r>
                </w:p>
              </w:tc>
              <w:tc>
                <w:tcPr>
                  <w:tcW w:w="1942" w:type="pct"/>
                  <w:vMerge w:val="continue"/>
                  <w:tcBorders>
                    <w:tl2br w:val="nil"/>
                    <w:tr2bl w:val="nil"/>
                  </w:tcBorders>
                  <w:noWrap w:val="0"/>
                  <w:vAlign w:val="center"/>
                </w:tcPr>
                <w:p>
                  <w:pPr>
                    <w:adjustRightInd w:val="0"/>
                    <w:spacing w:line="240" w:lineRule="exact"/>
                    <w:jc w:val="center"/>
                    <w:rPr>
                      <w:snapToGrid w:val="0"/>
                      <w:color w:val="000000" w:themeColor="text1"/>
                      <w:kern w:val="21"/>
                      <w:sz w:val="18"/>
                      <w:szCs w:val="18"/>
                      <w:highlight w:val="none"/>
                      <w14:textFill>
                        <w14:solidFill>
                          <w14:schemeClr w14:val="tx1"/>
                        </w14:solidFill>
                      </w14:textFill>
                    </w:rPr>
                  </w:pPr>
                </w:p>
              </w:tc>
              <w:tc>
                <w:tcPr>
                  <w:tcW w:w="1102" w:type="pct"/>
                  <w:tcBorders>
                    <w:tl2br w:val="nil"/>
                    <w:tr2bl w:val="nil"/>
                  </w:tcBorders>
                  <w:noWrap w:val="0"/>
                  <w:vAlign w:val="center"/>
                </w:tcPr>
                <w:p>
                  <w:pPr>
                    <w:adjustRightInd w:val="0"/>
                    <w:spacing w:line="240" w:lineRule="exact"/>
                    <w:jc w:val="center"/>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5"/>
                  <w:tcBorders>
                    <w:tl2br w:val="nil"/>
                    <w:tr2bl w:val="nil"/>
                  </w:tcBorders>
                  <w:noWrap w:val="0"/>
                  <w:vAlign w:val="center"/>
                </w:tcPr>
                <w:p>
                  <w:pPr>
                    <w:adjustRightInd w:val="0"/>
                    <w:snapToGrid w:val="0"/>
                    <w:spacing w:line="240" w:lineRule="exact"/>
                    <w:jc w:val="center"/>
                    <w:rPr>
                      <w:snapToGrid w:val="0"/>
                      <w:color w:val="000000" w:themeColor="text1"/>
                      <w:kern w:val="21"/>
                      <w:sz w:val="18"/>
                      <w:szCs w:val="18"/>
                      <w:highlight w:val="none"/>
                      <w14:textFill>
                        <w14:solidFill>
                          <w14:schemeClr w14:val="tx1"/>
                        </w14:solidFill>
                      </w14:textFill>
                    </w:rPr>
                  </w:pPr>
                  <w:r>
                    <w:rPr>
                      <w:rFonts w:eastAsia="Times New Roman"/>
                      <w:snapToGrid w:val="0"/>
                      <w:color w:val="000000" w:themeColor="text1"/>
                      <w:kern w:val="21"/>
                      <w:sz w:val="18"/>
                      <w:szCs w:val="18"/>
                      <w:highlight w:val="none"/>
                      <w14:textFill>
                        <w14:solidFill>
                          <w14:schemeClr w14:val="tx1"/>
                        </w14:solidFill>
                      </w14:textFill>
                    </w:rPr>
                    <w:t xml:space="preserve">a  </w:t>
                  </w:r>
                  <w:r>
                    <w:rPr>
                      <w:snapToGrid w:val="0"/>
                      <w:color w:val="000000" w:themeColor="text1"/>
                      <w:kern w:val="21"/>
                      <w:sz w:val="18"/>
                      <w:szCs w:val="18"/>
                      <w:highlight w:val="none"/>
                      <w14:textFill>
                        <w14:solidFill>
                          <w14:schemeClr w14:val="tx1"/>
                        </w14:solidFill>
                      </w14:textFill>
                    </w:rPr>
                    <w:t>指对应排放口须执行的国家或地方污染物排放标准以及其他按规定商定建设项目水污染物排放控制要求的协议，据此确定的排放浓度限值。</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废水污染物排放信息见表4-</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w:t>
            </w:r>
            <w:r>
              <w:rPr>
                <w:rFonts w:hint="eastAsia" w:cs="Times New Roman"/>
                <w:color w:val="000000" w:themeColor="text1"/>
                <w:kern w:val="0"/>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pP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表4-</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1</w:t>
            </w:r>
            <w:r>
              <w:rPr>
                <w:rFonts w:hint="eastAsia" w:cs="Times New Roman"/>
                <w:b/>
                <w:bCs/>
                <w:color w:val="000000" w:themeColor="text1"/>
                <w:kern w:val="0"/>
                <w:sz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w:t>
            </w:r>
            <w:r>
              <w:rPr>
                <w:rFonts w:hint="eastAsia" w:cs="Times New Roman"/>
                <w:b/>
                <w:bCs/>
                <w:color w:val="000000" w:themeColor="text1"/>
                <w:kern w:val="0"/>
                <w:sz w:val="24"/>
                <w:highlight w:val="none"/>
                <w:lang w:val="en-US" w:eastAsia="zh-CN"/>
                <w14:textFill>
                  <w14:solidFill>
                    <w14:schemeClr w14:val="tx1"/>
                  </w14:solidFill>
                </w14:textFill>
              </w:rPr>
              <w:t>本项目</w:t>
            </w: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废水污染物排放信息表</w:t>
            </w:r>
          </w:p>
          <w:tbl>
            <w:tblPr>
              <w:tblStyle w:val="36"/>
              <w:tblW w:w="496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7"/>
              <w:gridCol w:w="1426"/>
              <w:gridCol w:w="1207"/>
              <w:gridCol w:w="1730"/>
              <w:gridCol w:w="1879"/>
              <w:gridCol w:w="18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9"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序号</w:t>
                  </w:r>
                </w:p>
              </w:tc>
              <w:tc>
                <w:tcPr>
                  <w:tcW w:w="809"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排放口编号</w:t>
                  </w:r>
                </w:p>
              </w:tc>
              <w:tc>
                <w:tcPr>
                  <w:tcW w:w="685"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污染物种类</w:t>
                  </w:r>
                </w:p>
              </w:tc>
              <w:tc>
                <w:tcPr>
                  <w:tcW w:w="981"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排放浓度/（mg/L）</w:t>
                  </w:r>
                </w:p>
              </w:tc>
              <w:tc>
                <w:tcPr>
                  <w:tcW w:w="1066"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日排放量/（t/d）</w:t>
                  </w:r>
                </w:p>
              </w:tc>
              <w:tc>
                <w:tcPr>
                  <w:tcW w:w="1027" w:type="pct"/>
                  <w:tcBorders>
                    <w:tl2br w:val="nil"/>
                    <w:tr2bl w:val="nil"/>
                  </w:tcBorders>
                  <w:noWrap w:val="0"/>
                  <w:vAlign w:val="center"/>
                </w:tcPr>
                <w:p>
                  <w:pPr>
                    <w:adjustRightInd w:val="0"/>
                    <w:jc w:val="center"/>
                    <w:textAlignment w:val="baseline"/>
                    <w:rPr>
                      <w:b/>
                      <w:bCs/>
                      <w:snapToGrid w:val="0"/>
                      <w:color w:val="000000" w:themeColor="text1"/>
                      <w:kern w:val="21"/>
                      <w:sz w:val="18"/>
                      <w:szCs w:val="18"/>
                      <w:highlight w:val="none"/>
                      <w14:textFill>
                        <w14:solidFill>
                          <w14:schemeClr w14:val="tx1"/>
                        </w14:solidFill>
                      </w14:textFill>
                    </w:rPr>
                  </w:pPr>
                  <w:r>
                    <w:rPr>
                      <w:b/>
                      <w:bCs/>
                      <w:snapToGrid w:val="0"/>
                      <w:color w:val="000000" w:themeColor="text1"/>
                      <w:kern w:val="21"/>
                      <w:sz w:val="18"/>
                      <w:szCs w:val="18"/>
                      <w:highlight w:val="none"/>
                      <w14:textFill>
                        <w14:solidFill>
                          <w14:schemeClr w14:val="tx1"/>
                        </w14:solidFill>
                      </w14:textFill>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9"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1</w:t>
                  </w:r>
                </w:p>
              </w:tc>
              <w:tc>
                <w:tcPr>
                  <w:tcW w:w="809" w:type="pct"/>
                  <w:vMerge w:val="restar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DW001</w:t>
                  </w:r>
                </w:p>
                <w:p>
                  <w:pPr>
                    <w:adjustRightInd w:val="0"/>
                    <w:jc w:val="center"/>
                    <w:textAlignment w:val="baseline"/>
                    <w:rPr>
                      <w:rFonts w:hint="eastAsia" w:eastAsia="宋体"/>
                      <w:snapToGrid w:val="0"/>
                      <w:color w:val="000000" w:themeColor="text1"/>
                      <w:kern w:val="21"/>
                      <w:sz w:val="18"/>
                      <w:szCs w:val="18"/>
                      <w:highlight w:val="none"/>
                      <w:lang w:eastAsia="zh-CN"/>
                      <w14:textFill>
                        <w14:solidFill>
                          <w14:schemeClr w14:val="tx1"/>
                        </w14:solidFill>
                      </w14:textFill>
                    </w:rPr>
                  </w:pPr>
                  <w:r>
                    <w:rPr>
                      <w:rFonts w:hint="eastAsia"/>
                      <w:snapToGrid w:val="0"/>
                      <w:color w:val="000000" w:themeColor="text1"/>
                      <w:kern w:val="21"/>
                      <w:sz w:val="18"/>
                      <w:szCs w:val="18"/>
                      <w:highlight w:val="none"/>
                      <w:lang w:eastAsia="zh-CN"/>
                      <w14:textFill>
                        <w14:solidFill>
                          <w14:schemeClr w14:val="tx1"/>
                        </w14:solidFill>
                      </w14:textFill>
                    </w:rPr>
                    <w:t>（</w:t>
                  </w:r>
                  <w:r>
                    <w:rPr>
                      <w:rFonts w:hint="eastAsia"/>
                      <w:snapToGrid w:val="0"/>
                      <w:color w:val="000000" w:themeColor="text1"/>
                      <w:kern w:val="21"/>
                      <w:sz w:val="18"/>
                      <w:szCs w:val="18"/>
                      <w:highlight w:val="none"/>
                      <w:lang w:val="en-US" w:eastAsia="zh-CN"/>
                      <w14:textFill>
                        <w14:solidFill>
                          <w14:schemeClr w14:val="tx1"/>
                        </w14:solidFill>
                      </w14:textFill>
                    </w:rPr>
                    <w:t>本项目依托厂区现有排放口</w:t>
                  </w:r>
                  <w:r>
                    <w:rPr>
                      <w:rFonts w:hint="eastAsia"/>
                      <w:snapToGrid w:val="0"/>
                      <w:color w:val="000000" w:themeColor="text1"/>
                      <w:kern w:val="21"/>
                      <w:sz w:val="18"/>
                      <w:szCs w:val="18"/>
                      <w:highlight w:val="none"/>
                      <w:lang w:eastAsia="zh-CN"/>
                      <w14:textFill>
                        <w14:solidFill>
                          <w14:schemeClr w14:val="tx1"/>
                        </w14:solidFill>
                      </w14:textFill>
                    </w:rPr>
                    <w:t>）</w:t>
                  </w:r>
                </w:p>
              </w:tc>
              <w:tc>
                <w:tcPr>
                  <w:tcW w:w="685"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废水量</w:t>
                  </w:r>
                </w:p>
              </w:tc>
              <w:tc>
                <w:tcPr>
                  <w:tcW w:w="981"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w:t>
                  </w:r>
                </w:p>
              </w:tc>
              <w:tc>
                <w:tcPr>
                  <w:tcW w:w="1066" w:type="pct"/>
                  <w:tcBorders>
                    <w:tl2br w:val="nil"/>
                    <w:tr2bl w:val="nil"/>
                  </w:tcBorders>
                  <w:noWrap w:val="0"/>
                  <w:vAlign w:val="center"/>
                </w:tcPr>
                <w:p>
                  <w:pPr>
                    <w:adjustRightInd w:val="0"/>
                    <w:jc w:val="center"/>
                    <w:textAlignment w:val="baseline"/>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1.247</w:t>
                  </w:r>
                </w:p>
              </w:tc>
              <w:tc>
                <w:tcPr>
                  <w:tcW w:w="1027" w:type="pct"/>
                  <w:tcBorders>
                    <w:tl2br w:val="nil"/>
                    <w:tr2bl w:val="nil"/>
                  </w:tcBorders>
                  <w:noWrap w:val="0"/>
                  <w:vAlign w:val="center"/>
                </w:tcPr>
                <w:p>
                  <w:pPr>
                    <w:adjustRightInd w:val="0"/>
                    <w:jc w:val="center"/>
                    <w:textAlignment w:val="baseline"/>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374.186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9"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2</w:t>
                  </w:r>
                </w:p>
              </w:tc>
              <w:tc>
                <w:tcPr>
                  <w:tcW w:w="809"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c>
                <w:tcPr>
                  <w:tcW w:w="685" w:type="pct"/>
                  <w:tcBorders>
                    <w:tl2br w:val="nil"/>
                    <w:tr2bl w:val="nil"/>
                  </w:tcBorders>
                  <w:noWrap w:val="0"/>
                  <w:vAlign w:val="center"/>
                </w:tcPr>
                <w:p>
                  <w:pPr>
                    <w:spacing w:before="12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化学需氧量(CODcr)</w:t>
                  </w:r>
                </w:p>
              </w:tc>
              <w:tc>
                <w:tcPr>
                  <w:tcW w:w="981" w:type="pct"/>
                  <w:tcBorders>
                    <w:tl2br w:val="nil"/>
                    <w:tr2bl w:val="nil"/>
                  </w:tcBorders>
                  <w:noWrap w:val="0"/>
                  <w:vAlign w:val="center"/>
                </w:tcPr>
                <w:p>
                  <w:pPr>
                    <w:adjustRightInd w:val="0"/>
                    <w:jc w:val="center"/>
                    <w:textAlignment w:val="baseline"/>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350</w:t>
                  </w:r>
                </w:p>
              </w:tc>
              <w:tc>
                <w:tcPr>
                  <w:tcW w:w="1066" w:type="pct"/>
                  <w:tcBorders>
                    <w:tl2br w:val="nil"/>
                    <w:tr2bl w:val="nil"/>
                  </w:tcBorders>
                  <w:noWrap w:val="0"/>
                  <w:vAlign w:val="center"/>
                </w:tcPr>
                <w:p>
                  <w:pPr>
                    <w:adjustRightInd w:val="0"/>
                    <w:jc w:val="center"/>
                    <w:textAlignment w:val="baseline"/>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0.0004</w:t>
                  </w:r>
                </w:p>
              </w:tc>
              <w:tc>
                <w:tcPr>
                  <w:tcW w:w="1027" w:type="pct"/>
                  <w:tcBorders>
                    <w:tl2br w:val="nil"/>
                    <w:tr2bl w:val="nil"/>
                  </w:tcBorders>
                  <w:noWrap w:val="0"/>
                  <w:vAlign w:val="center"/>
                </w:tcPr>
                <w:p>
                  <w:pPr>
                    <w:widowControl/>
                    <w:adjustRightInd w:val="0"/>
                    <w:jc w:val="center"/>
                    <w:textAlignment w:val="center"/>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0.131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9" w:type="pct"/>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3</w:t>
                  </w:r>
                </w:p>
              </w:tc>
              <w:tc>
                <w:tcPr>
                  <w:tcW w:w="809" w:type="pct"/>
                  <w:vMerge w:val="continue"/>
                  <w:tcBorders>
                    <w:tl2br w:val="nil"/>
                    <w:tr2bl w:val="nil"/>
                  </w:tcBorders>
                  <w:noWrap w:val="0"/>
                  <w:vAlign w:val="center"/>
                </w:tcPr>
                <w:p>
                  <w:pPr>
                    <w:adjustRightInd w:val="0"/>
                    <w:jc w:val="center"/>
                    <w:textAlignment w:val="baseline"/>
                    <w:rPr>
                      <w:snapToGrid w:val="0"/>
                      <w:color w:val="000000" w:themeColor="text1"/>
                      <w:kern w:val="21"/>
                      <w:sz w:val="18"/>
                      <w:szCs w:val="18"/>
                      <w:highlight w:val="none"/>
                      <w14:textFill>
                        <w14:solidFill>
                          <w14:schemeClr w14:val="tx1"/>
                        </w14:solidFill>
                      </w14:textFill>
                    </w:rPr>
                  </w:pPr>
                </w:p>
              </w:tc>
              <w:tc>
                <w:tcPr>
                  <w:tcW w:w="685" w:type="pct"/>
                  <w:tcBorders>
                    <w:tl2br w:val="nil"/>
                    <w:tr2bl w:val="nil"/>
                  </w:tcBorders>
                  <w:noWrap w:val="0"/>
                  <w:vAlign w:val="center"/>
                </w:tcPr>
                <w:p>
                  <w:pPr>
                    <w:spacing w:before="120"/>
                    <w:jc w:val="center"/>
                    <w:textAlignment w:val="baseline"/>
                    <w:rPr>
                      <w:snapToGrid w:val="0"/>
                      <w:color w:val="000000" w:themeColor="text1"/>
                      <w:kern w:val="21"/>
                      <w:sz w:val="18"/>
                      <w:szCs w:val="18"/>
                      <w:highlight w:val="none"/>
                      <w14:textFill>
                        <w14:solidFill>
                          <w14:schemeClr w14:val="tx1"/>
                        </w14:solidFill>
                      </w14:textFill>
                    </w:rPr>
                  </w:pPr>
                  <w:r>
                    <w:rPr>
                      <w:snapToGrid w:val="0"/>
                      <w:color w:val="000000" w:themeColor="text1"/>
                      <w:kern w:val="21"/>
                      <w:sz w:val="18"/>
                      <w:szCs w:val="18"/>
                      <w:highlight w:val="none"/>
                      <w14:textFill>
                        <w14:solidFill>
                          <w14:schemeClr w14:val="tx1"/>
                        </w14:solidFill>
                      </w14:textFill>
                    </w:rPr>
                    <w:t>氨氮(以N计)</w:t>
                  </w:r>
                </w:p>
              </w:tc>
              <w:tc>
                <w:tcPr>
                  <w:tcW w:w="981" w:type="pct"/>
                  <w:tcBorders>
                    <w:tl2br w:val="nil"/>
                    <w:tr2bl w:val="nil"/>
                  </w:tcBorders>
                  <w:noWrap w:val="0"/>
                  <w:vAlign w:val="center"/>
                </w:tcPr>
                <w:p>
                  <w:pPr>
                    <w:adjustRightInd w:val="0"/>
                    <w:jc w:val="center"/>
                    <w:textAlignment w:val="baseline"/>
                    <w:rPr>
                      <w:rFonts w:hint="default"/>
                      <w:snapToGrid w:val="0"/>
                      <w:color w:val="000000" w:themeColor="text1"/>
                      <w:kern w:val="21"/>
                      <w:sz w:val="18"/>
                      <w:szCs w:val="18"/>
                      <w:highlight w:val="none"/>
                      <w:lang w:val="en-US"/>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25</w:t>
                  </w:r>
                </w:p>
              </w:tc>
              <w:tc>
                <w:tcPr>
                  <w:tcW w:w="1066" w:type="pct"/>
                  <w:tcBorders>
                    <w:tl2br w:val="nil"/>
                    <w:tr2bl w:val="nil"/>
                  </w:tcBorders>
                  <w:noWrap w:val="0"/>
                  <w:vAlign w:val="center"/>
                </w:tcPr>
                <w:p>
                  <w:pPr>
                    <w:adjustRightInd w:val="0"/>
                    <w:jc w:val="center"/>
                    <w:textAlignment w:val="baseline"/>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0.00003</w:t>
                  </w:r>
                </w:p>
              </w:tc>
              <w:tc>
                <w:tcPr>
                  <w:tcW w:w="1027" w:type="pct"/>
                  <w:tcBorders>
                    <w:tl2br w:val="nil"/>
                    <w:tr2bl w:val="nil"/>
                  </w:tcBorders>
                  <w:noWrap w:val="0"/>
                  <w:vAlign w:val="center"/>
                </w:tcPr>
                <w:p>
                  <w:pPr>
                    <w:widowControl/>
                    <w:adjustRightInd w:val="0"/>
                    <w:jc w:val="center"/>
                    <w:textAlignment w:val="center"/>
                    <w:rPr>
                      <w:rFonts w:hint="default" w:eastAsia="宋体"/>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0.009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6"/>
                  <w:tcBorders>
                    <w:tl2br w:val="nil"/>
                    <w:tr2bl w:val="nil"/>
                  </w:tcBorders>
                  <w:noWrap w:val="0"/>
                  <w:vAlign w:val="center"/>
                </w:tcPr>
                <w:p>
                  <w:pPr>
                    <w:widowControl/>
                    <w:adjustRightInd w:val="0"/>
                    <w:jc w:val="both"/>
                    <w:textAlignment w:val="center"/>
                    <w:rPr>
                      <w:rFonts w:hint="default"/>
                      <w:snapToGrid w:val="0"/>
                      <w:color w:val="000000" w:themeColor="text1"/>
                      <w:kern w:val="21"/>
                      <w:sz w:val="18"/>
                      <w:szCs w:val="18"/>
                      <w:highlight w:val="none"/>
                      <w:lang w:val="en-US" w:eastAsia="zh-CN"/>
                      <w14:textFill>
                        <w14:solidFill>
                          <w14:schemeClr w14:val="tx1"/>
                        </w14:solidFill>
                      </w14:textFill>
                    </w:rPr>
                  </w:pPr>
                  <w:r>
                    <w:rPr>
                      <w:rFonts w:hint="eastAsia"/>
                      <w:snapToGrid w:val="0"/>
                      <w:color w:val="000000" w:themeColor="text1"/>
                      <w:kern w:val="21"/>
                      <w:sz w:val="18"/>
                      <w:szCs w:val="18"/>
                      <w:highlight w:val="none"/>
                      <w:lang w:val="en-US" w:eastAsia="zh-CN"/>
                      <w14:textFill>
                        <w14:solidFill>
                          <w14:schemeClr w14:val="tx1"/>
                        </w14:solidFill>
                      </w14:textFill>
                    </w:rPr>
                    <w:t>注：</w:t>
                  </w:r>
                  <w:r>
                    <w:rPr>
                      <w:rFonts w:hint="eastAsia" w:cs="Times New Roman"/>
                      <w:i w:val="0"/>
                      <w:iCs w:val="0"/>
                      <w:color w:val="000000" w:themeColor="text1"/>
                      <w:sz w:val="21"/>
                      <w:szCs w:val="21"/>
                      <w:highlight w:val="none"/>
                      <w:u w:val="none"/>
                      <w:lang w:val="en-US" w:eastAsia="zh-CN"/>
                      <w14:textFill>
                        <w14:solidFill>
                          <w14:schemeClr w14:val="tx1"/>
                        </w14:solidFill>
                      </w14:textFill>
                    </w:rPr>
                    <w:t>该表中排放浓度为厂区污水处理站处理后的排放浓度</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000000" w:themeColor="text1"/>
                <w:kern w:val="0"/>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kern w:val="0"/>
                <w:sz w:val="24"/>
                <w:highlight w:val="none"/>
                <w14:textFill>
                  <w14:solidFill>
                    <w14:schemeClr w14:val="tx1"/>
                  </w14:solidFill>
                </w14:textFill>
              </w:rPr>
              <w:t>、监测计划</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000000" w:themeColor="text1"/>
                <w:kern w:val="0"/>
                <w:sz w:val="24"/>
                <w:highlight w:val="none"/>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项目废水依托</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本厂区污水处理站预处理，然后再排入园区污水处理厂进行深度处理</w:t>
            </w:r>
            <w:r>
              <w:rPr>
                <w:rFonts w:hint="eastAsia" w:cs="Times New Roman"/>
                <w:bCs/>
                <w:color w:val="000000" w:themeColor="text1"/>
                <w:sz w:val="24"/>
                <w:szCs w:val="24"/>
                <w:highlight w:val="none"/>
                <w:lang w:val="en-US" w:eastAsia="zh-CN"/>
                <w14:textFill>
                  <w14:solidFill>
                    <w14:schemeClr w14:val="tx1"/>
                  </w14:solidFill>
                </w14:textFill>
              </w:rPr>
              <w:t>，不新增排放口，不新增污染物</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。根据《排污单位自行监测技术指南总则》（HJ819-2017）</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同时结合企业二期厂区排污许可证，</w:t>
            </w:r>
            <w:r>
              <w:rPr>
                <w:rFonts w:hint="eastAsia" w:ascii="Times New Roman" w:hAnsi="Times New Roman" w:eastAsia="宋体" w:cs="Times New Roman"/>
                <w:color w:val="000000" w:themeColor="text1"/>
                <w:kern w:val="0"/>
                <w:sz w:val="24"/>
                <w:highlight w:val="none"/>
                <w14:textFill>
                  <w14:solidFill>
                    <w14:schemeClr w14:val="tx1"/>
                  </w14:solidFill>
                </w14:textFill>
              </w:rPr>
              <w:t>本项目污水排放口监测计划</w:t>
            </w:r>
            <w:r>
              <w:rPr>
                <w:rFonts w:hint="eastAsia" w:cs="Times New Roman"/>
                <w:color w:val="000000" w:themeColor="text1"/>
                <w:kern w:val="0"/>
                <w:sz w:val="24"/>
                <w:highlight w:val="none"/>
                <w:lang w:val="en-US" w:eastAsia="zh-CN"/>
                <w14:textFill>
                  <w14:solidFill>
                    <w14:schemeClr w14:val="tx1"/>
                  </w14:solidFill>
                </w14:textFill>
              </w:rPr>
              <w:t>参照排污许可证执行</w:t>
            </w:r>
            <w:r>
              <w:rPr>
                <w:rFonts w:hint="eastAsia" w:ascii="Times New Roman" w:hAnsi="Times New Roman" w:eastAsia="宋体" w:cs="Times New Roman"/>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pP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表4-</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1</w:t>
            </w:r>
            <w:r>
              <w:rPr>
                <w:rFonts w:hint="eastAsia" w:cs="Times New Roman"/>
                <w:b/>
                <w:bCs/>
                <w:color w:val="000000" w:themeColor="text1"/>
                <w:kern w:val="0"/>
                <w:sz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 xml:space="preserve">  污水排放口监测计划一览表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3659"/>
              <w:gridCol w:w="1107"/>
              <w:gridCol w:w="1150"/>
              <w:gridCol w:w="1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监测点位</w:t>
                  </w:r>
                </w:p>
              </w:tc>
              <w:tc>
                <w:tcPr>
                  <w:tcW w:w="2061" w:type="pc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监测项目</w:t>
                  </w:r>
                </w:p>
              </w:tc>
              <w:tc>
                <w:tcPr>
                  <w:tcW w:w="623" w:type="pc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监测频次</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报告制度</w:t>
                  </w:r>
                </w:p>
              </w:tc>
              <w:tc>
                <w:tcPr>
                  <w:tcW w:w="9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监督机构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Merge w:val="restar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污水总排口</w:t>
                  </w:r>
                </w:p>
              </w:tc>
              <w:tc>
                <w:tcPr>
                  <w:tcW w:w="2061" w:type="pc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流量、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pH值、化学需氧量、氨氮</w:t>
                  </w:r>
                </w:p>
              </w:tc>
              <w:tc>
                <w:tcPr>
                  <w:tcW w:w="623" w:type="pc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在线监测</w:t>
                  </w:r>
                </w:p>
              </w:tc>
              <w:tc>
                <w:tcPr>
                  <w:tcW w:w="6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生态环境</w:t>
                  </w:r>
                  <w:r>
                    <w:rPr>
                      <w:rFonts w:hint="eastAsia"/>
                      <w:b w:val="0"/>
                      <w:bCs w:val="0"/>
                      <w:color w:val="000000" w:themeColor="text1"/>
                      <w:sz w:val="21"/>
                      <w:szCs w:val="21"/>
                      <w:highlight w:val="none"/>
                      <w14:textFill>
                        <w14:solidFill>
                          <w14:schemeClr w14:val="tx1"/>
                        </w14:solidFill>
                      </w14:textFill>
                    </w:rPr>
                    <w:t>部门</w:t>
                  </w:r>
                </w:p>
              </w:tc>
              <w:tc>
                <w:tcPr>
                  <w:tcW w:w="9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当地</w:t>
                  </w:r>
                  <w:r>
                    <w:rPr>
                      <w:rFonts w:hint="eastAsia"/>
                      <w:b w:val="0"/>
                      <w:bCs w:val="0"/>
                      <w:color w:val="000000" w:themeColor="text1"/>
                      <w:sz w:val="21"/>
                      <w:szCs w:val="21"/>
                      <w:highlight w:val="none"/>
                      <w:lang w:val="en-US" w:eastAsia="zh-CN"/>
                      <w14:textFill>
                        <w14:solidFill>
                          <w14:schemeClr w14:val="tx1"/>
                        </w14:solidFill>
                      </w14:textFill>
                    </w:rPr>
                    <w:t>生态环境</w:t>
                  </w:r>
                  <w:r>
                    <w:rPr>
                      <w:rFonts w:hint="eastAsia"/>
                      <w:b w:val="0"/>
                      <w:bCs w:val="0"/>
                      <w:color w:val="000000" w:themeColor="text1"/>
                      <w:sz w:val="21"/>
                      <w:szCs w:val="21"/>
                      <w:highlight w:val="none"/>
                      <w14:textFill>
                        <w14:solidFill>
                          <w14:schemeClr w14:val="tx1"/>
                        </w14:solidFill>
                      </w14:textFill>
                    </w:rPr>
                    <w:t>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Merge w:val="continue"/>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61" w:type="pc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总氮、总磷、悬浮物</w:t>
                  </w:r>
                </w:p>
              </w:tc>
              <w:tc>
                <w:tcPr>
                  <w:tcW w:w="623" w:type="pc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1次/月</w:t>
                  </w: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val="0"/>
                      <w:bCs w:val="0"/>
                      <w:color w:val="000000" w:themeColor="text1"/>
                      <w:sz w:val="21"/>
                      <w:szCs w:val="21"/>
                      <w:highlight w:val="none"/>
                      <w:lang w:val="en-US" w:eastAsia="zh-CN"/>
                      <w14:textFill>
                        <w14:solidFill>
                          <w14:schemeClr w14:val="tx1"/>
                        </w14:solidFill>
                      </w14:textFill>
                    </w:rPr>
                  </w:pPr>
                </w:p>
              </w:tc>
              <w:tc>
                <w:tcPr>
                  <w:tcW w:w="9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val="0"/>
                      <w:bCs w:val="0"/>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Merge w:val="continue"/>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61" w:type="pc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五日生化需氧量</w:t>
                  </w:r>
                  <w:r>
                    <w:rPr>
                      <w:rFonts w:hint="eastAsia" w:cs="Times New Roman"/>
                      <w:color w:val="000000" w:themeColor="text1"/>
                      <w:sz w:val="21"/>
                      <w:szCs w:val="21"/>
                      <w:highlight w:val="none"/>
                      <w:lang w:val="en-US" w:eastAsia="zh-CN"/>
                      <w14:textFill>
                        <w14:solidFill>
                          <w14:schemeClr w14:val="tx1"/>
                        </w14:solidFill>
                      </w14:textFill>
                    </w:rPr>
                    <w:t>、全盐量</w:t>
                  </w:r>
                </w:p>
              </w:tc>
              <w:tc>
                <w:tcPr>
                  <w:tcW w:w="623" w:type="pct"/>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1次/季度</w:t>
                  </w: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val="0"/>
                      <w:bCs w:val="0"/>
                      <w:color w:val="000000" w:themeColor="text1"/>
                      <w:sz w:val="21"/>
                      <w:szCs w:val="21"/>
                      <w:highlight w:val="none"/>
                      <w:lang w:val="en-US" w:eastAsia="zh-CN"/>
                      <w14:textFill>
                        <w14:solidFill>
                          <w14:schemeClr w14:val="tx1"/>
                        </w14:solidFill>
                      </w14:textFill>
                    </w:rPr>
                  </w:pPr>
                </w:p>
              </w:tc>
              <w:tc>
                <w:tcPr>
                  <w:tcW w:w="9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val="0"/>
                      <w:bCs w:val="0"/>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000000" w:themeColor="text1"/>
                <w:kern w:val="0"/>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kern w:val="0"/>
                <w:sz w:val="24"/>
                <w:highlight w:val="none"/>
                <w14:textFill>
                  <w14:solidFill>
                    <w14:schemeClr w14:val="tx1"/>
                  </w14:solidFill>
                </w14:textFill>
              </w:rPr>
              <w:t>、废水总量核算</w:t>
            </w:r>
          </w:p>
          <w:p>
            <w:pPr>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4-</w:t>
            </w:r>
            <w:r>
              <w:rPr>
                <w:rFonts w:hint="eastAsia"/>
                <w:b/>
                <w:bCs/>
                <w:color w:val="000000" w:themeColor="text1"/>
                <w:sz w:val="24"/>
                <w:highlight w:val="none"/>
                <w:lang w:val="en-US" w:eastAsia="zh-CN"/>
                <w14:textFill>
                  <w14:solidFill>
                    <w14:schemeClr w14:val="tx1"/>
                  </w14:solidFill>
                </w14:textFill>
              </w:rPr>
              <w:t>16</w:t>
            </w:r>
            <w:r>
              <w:rPr>
                <w:rFonts w:hint="eastAsia"/>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lang w:val="en-US" w:eastAsia="zh-CN"/>
                <w14:textFill>
                  <w14:solidFill>
                    <w14:schemeClr w14:val="tx1"/>
                  </w14:solidFill>
                </w14:textFill>
              </w:rPr>
              <w:t xml:space="preserve"> </w:t>
            </w:r>
            <w:r>
              <w:rPr>
                <w:rFonts w:hint="eastAsia"/>
                <w:b/>
                <w:bCs/>
                <w:color w:val="000000" w:themeColor="text1"/>
                <w:sz w:val="24"/>
                <w:highlight w:val="none"/>
                <w14:textFill>
                  <w14:solidFill>
                    <w14:schemeClr w14:val="tx1"/>
                  </w14:solidFill>
                </w14:textFill>
              </w:rPr>
              <w:t>本项目</w:t>
            </w:r>
            <w:r>
              <w:rPr>
                <w:b/>
                <w:bCs/>
                <w:color w:val="000000" w:themeColor="text1"/>
                <w:sz w:val="24"/>
                <w:highlight w:val="none"/>
                <w14:textFill>
                  <w14:solidFill>
                    <w14:schemeClr w14:val="tx1"/>
                  </w14:solidFill>
                </w14:textFill>
              </w:rPr>
              <w:t>废水</w:t>
            </w:r>
            <w:r>
              <w:rPr>
                <w:rFonts w:hint="eastAsia"/>
                <w:b/>
                <w:bCs/>
                <w:color w:val="000000" w:themeColor="text1"/>
                <w:sz w:val="24"/>
                <w:highlight w:val="none"/>
                <w14:textFill>
                  <w14:solidFill>
                    <w14:schemeClr w14:val="tx1"/>
                  </w14:solidFill>
                </w14:textFill>
              </w:rPr>
              <w:t>总量核算</w:t>
            </w:r>
            <w:r>
              <w:rPr>
                <w:b/>
                <w:bCs/>
                <w:color w:val="000000" w:themeColor="text1"/>
                <w:sz w:val="24"/>
                <w:highlight w:val="none"/>
                <w14:textFill>
                  <w14:solidFill>
                    <w14:schemeClr w14:val="tx1"/>
                  </w14:solidFill>
                </w14:textFill>
              </w:rPr>
              <w:t>情况一览表</w:t>
            </w: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31"/>
              <w:gridCol w:w="1950"/>
              <w:gridCol w:w="1459"/>
              <w:gridCol w:w="2564"/>
              <w:gridCol w:w="21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73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9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产污环节</w:t>
                  </w:r>
                </w:p>
              </w:tc>
              <w:tc>
                <w:tcPr>
                  <w:tcW w:w="14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水量</w:t>
                  </w:r>
                </w:p>
              </w:tc>
              <w:tc>
                <w:tcPr>
                  <w:tcW w:w="473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主要污染物浓度（</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mg/L</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）及排放量（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t/a</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731"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1950"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14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/a</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c>
                <w:tcPr>
                  <w:tcW w:w="25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CODcr</w:t>
                  </w:r>
                </w:p>
              </w:tc>
              <w:tc>
                <w:tcPr>
                  <w:tcW w:w="217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9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污水处理站处理后综合废水</w:t>
                  </w:r>
                </w:p>
              </w:tc>
              <w:tc>
                <w:tcPr>
                  <w:tcW w:w="145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374.186</w:t>
                  </w:r>
                </w:p>
              </w:tc>
              <w:tc>
                <w:tcPr>
                  <w:tcW w:w="25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350</w:t>
                  </w:r>
                </w:p>
              </w:tc>
              <w:tc>
                <w:tcPr>
                  <w:tcW w:w="2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73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5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45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0.131</w:t>
                  </w:r>
                </w:p>
              </w:tc>
              <w:tc>
                <w:tcPr>
                  <w:tcW w:w="2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73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9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园区污水处理厂处理后废水</w:t>
                  </w:r>
                </w:p>
              </w:tc>
              <w:tc>
                <w:tcPr>
                  <w:tcW w:w="145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374.186</w:t>
                  </w:r>
                </w:p>
              </w:tc>
              <w:tc>
                <w:tcPr>
                  <w:tcW w:w="25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2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73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5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145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2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w:t>
                  </w:r>
                </w:p>
              </w:tc>
            </w:tr>
          </w:tbl>
          <w:p>
            <w:pPr>
              <w:pStyle w:val="16"/>
              <w:spacing w:line="360" w:lineRule="auto"/>
              <w:ind w:firstLine="482" w:firstLineChars="200"/>
              <w:rPr>
                <w:rFonts w:hint="eastAsia" w:ascii="Times New Roman" w:hAnsi="Times New Roman" w:cs="Times New Roman"/>
                <w:b/>
                <w:color w:val="000000" w:themeColor="text1"/>
                <w:sz w:val="24"/>
                <w:szCs w:val="24"/>
                <w:highlight w:val="none"/>
                <w14:textFill>
                  <w14:solidFill>
                    <w14:schemeClr w14:val="tx1"/>
                  </w14:solidFill>
                </w14:textFill>
              </w:rPr>
            </w:pP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7</w:t>
            </w:r>
            <w:r>
              <w:rPr>
                <w:rFonts w:ascii="Times New Roman" w:hAnsi="Times New Roman" w:cs="Times New Roman"/>
                <w:b/>
                <w:color w:val="000000" w:themeColor="text1"/>
                <w:sz w:val="24"/>
                <w:szCs w:val="24"/>
                <w:highlight w:val="none"/>
                <w14:textFill>
                  <w14:solidFill>
                    <w14:schemeClr w14:val="tx1"/>
                  </w14:solidFill>
                </w14:textFill>
              </w:rPr>
              <w:t>、达标分析</w:t>
            </w:r>
          </w:p>
          <w:p>
            <w:pPr>
              <w:spacing w:line="360" w:lineRule="auto"/>
              <w:ind w:firstLine="480" w:firstLineChars="200"/>
              <w:rPr>
                <w:rFonts w:hint="eastAsia"/>
                <w:b w:val="0"/>
                <w:bCs w:val="0"/>
                <w:color w:val="000000" w:themeColor="text1"/>
                <w:sz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项目运营期排放的废水主要为</w:t>
            </w:r>
            <w:r>
              <w:rPr>
                <w:rFonts w:hint="eastAsia"/>
                <w:color w:val="000000" w:themeColor="text1"/>
                <w:sz w:val="24"/>
                <w:highlight w:val="none"/>
                <w14:textFill>
                  <w14:solidFill>
                    <w14:schemeClr w14:val="tx1"/>
                  </w14:solidFill>
                </w14:textFill>
              </w:rPr>
              <w:t>本项目生产废水主要为</w:t>
            </w:r>
            <w:r>
              <w:rPr>
                <w:rFonts w:hint="eastAsia"/>
                <w:color w:val="000000" w:themeColor="text1"/>
                <w:sz w:val="24"/>
                <w:highlight w:val="none"/>
                <w:lang w:val="en-US" w:eastAsia="zh-CN"/>
                <w14:textFill>
                  <w14:solidFill>
                    <w14:schemeClr w14:val="tx1"/>
                  </w14:solidFill>
                </w14:textFill>
              </w:rPr>
              <w:t>实验仪器</w:t>
            </w:r>
            <w:r>
              <w:rPr>
                <w:rFonts w:hint="eastAsia"/>
                <w:color w:val="000000" w:themeColor="text1"/>
                <w:sz w:val="24"/>
                <w:highlight w:val="none"/>
                <w14:textFill>
                  <w14:solidFill>
                    <w14:schemeClr w14:val="tx1"/>
                  </w14:solidFill>
                </w14:textFill>
              </w:rPr>
              <w:t>清洗废水、地面清洁废水、纯水制备废水。经本厂区污水处理站预处理，然后再排入园区污水处理厂进行深度处理</w:t>
            </w:r>
            <w:r>
              <w:rPr>
                <w:rFonts w:hint="eastAsia"/>
                <w:b w:val="0"/>
                <w:bCs w:val="0"/>
                <w:color w:val="000000" w:themeColor="text1"/>
                <w:sz w:val="24"/>
                <w:highlight w:val="none"/>
                <w:lang w:val="en-US" w:eastAsia="zh-CN"/>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1"/>
                <w:highlight w:val="none"/>
                <w14:textFill>
                  <w14:solidFill>
                    <w14:schemeClr w14:val="tx1"/>
                  </w14:solidFill>
                </w14:textFill>
              </w:rPr>
              <w:t>排放水质满足</w:t>
            </w:r>
            <w:r>
              <w:rPr>
                <w:rFonts w:hint="eastAsia" w:cs="Times New Roman"/>
                <w:color w:val="000000" w:themeColor="text1"/>
                <w:sz w:val="24"/>
                <w:highlight w:val="none"/>
                <w:lang w:eastAsia="zh-CN"/>
                <w14:textFill>
                  <w14:solidFill>
                    <w14:schemeClr w14:val="tx1"/>
                  </w14:solidFill>
                </w14:textFill>
              </w:rPr>
              <w:t>园区污水处理厂（嘉祥阳光水务有限公司）接管标准要求。</w: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t>经</w:t>
            </w:r>
            <w:r>
              <w:rPr>
                <w:rFonts w:hint="eastAsia"/>
                <w:b w:val="0"/>
                <w:bCs w:val="0"/>
                <w:color w:val="000000" w:themeColor="text1"/>
                <w:sz w:val="24"/>
                <w:highlight w:val="none"/>
                <w:lang w:val="en-US" w:eastAsia="zh-CN"/>
                <w14:textFill>
                  <w14:solidFill>
                    <w14:schemeClr w14:val="tx1"/>
                  </w14:solidFill>
                </w14:textFill>
              </w:rPr>
              <w:t>园区污水处理厂处</w: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t>理后</w:t>
            </w:r>
            <w:r>
              <w:rPr>
                <w:rFonts w:hint="eastAsia" w:cs="Times New Roman"/>
                <w:color w:val="000000" w:themeColor="text1"/>
                <w:sz w:val="24"/>
                <w:szCs w:val="21"/>
                <w:highlight w:val="none"/>
                <w:lang w:eastAsia="zh-CN"/>
                <w14:textFill>
                  <w14:solidFill>
                    <w14:schemeClr w14:val="tx1"/>
                  </w14:solidFill>
                </w14:textFill>
              </w:rPr>
              <w:t>，</w:t>
            </w:r>
            <w:r>
              <w:rPr>
                <w:rFonts w:hint="eastAsia" w:cs="Times New Roman"/>
                <w:color w:val="000000" w:themeColor="text1"/>
                <w:sz w:val="24"/>
                <w:highlight w:val="none"/>
                <w:lang w:eastAsia="zh-CN"/>
                <w14:textFill>
                  <w14:solidFill>
                    <w14:schemeClr w14:val="tx1"/>
                  </w14:solidFill>
                </w14:textFill>
              </w:rPr>
              <w:t>排入配套的人工湿地进行进一步净化，经人工湿地净化处理后排入薛公岔河，流入洙水河，对周围地表水环境影响较小。</w:t>
            </w:r>
          </w:p>
          <w:p>
            <w:pPr>
              <w:widowControl/>
              <w:spacing w:line="360" w:lineRule="auto"/>
              <w:ind w:firstLine="482" w:firstLineChars="200"/>
              <w:jc w:val="left"/>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三、噪声</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1、源强分析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val="0"/>
                <w:bCs/>
                <w:color w:val="000000" w:themeColor="text1"/>
                <w:kern w:val="0"/>
                <w:sz w:val="24"/>
                <w:highlight w:val="none"/>
                <w:lang w:val="en-US" w:eastAsia="zh-CN"/>
                <w14:textFill>
                  <w14:solidFill>
                    <w14:schemeClr w14:val="tx1"/>
                  </w14:solidFill>
                </w14:textFill>
              </w:rPr>
              <w:t>本项目的噪声主要来自于通风橱风机和其他实验设备等噪声，</w:t>
            </w:r>
            <w:r>
              <w:rPr>
                <w:rFonts w:hint="default" w:ascii="Times New Roman" w:hAnsi="Times New Roman" w:cs="Times New Roman"/>
                <w:color w:val="000000" w:themeColor="text1"/>
                <w:sz w:val="24"/>
                <w:highlight w:val="none"/>
                <w14:textFill>
                  <w14:solidFill>
                    <w14:schemeClr w14:val="tx1"/>
                  </w14:solidFill>
                </w14:textFill>
              </w:rPr>
              <w:t>主要噪声设备及其噪声级情况详见表4-</w:t>
            </w:r>
            <w:r>
              <w:rPr>
                <w:rFonts w:hint="eastAsia" w:cs="Times New Roman"/>
                <w:color w:val="000000" w:themeColor="text1"/>
                <w:sz w:val="24"/>
                <w:highlight w:val="none"/>
                <w:lang w:val="en-US" w:eastAsia="zh-CN"/>
                <w14:textFill>
                  <w14:solidFill>
                    <w14:schemeClr w14:val="tx1"/>
                  </w14:solidFill>
                </w14:textFill>
              </w:rPr>
              <w:t>17</w:t>
            </w:r>
            <w:r>
              <w:rPr>
                <w:rFonts w:hint="default" w:ascii="Times New Roman" w:hAnsi="Times New Roman" w:cs="Times New Roman"/>
                <w:color w:val="000000" w:themeColor="text1"/>
                <w:sz w:val="24"/>
                <w:highlight w:val="none"/>
                <w14:textFill>
                  <w14:solidFill>
                    <w14:schemeClr w14:val="tx1"/>
                  </w14:solidFill>
                </w14:textFill>
              </w:rPr>
              <w:t>。</w:t>
            </w:r>
          </w:p>
          <w:p>
            <w:pPr>
              <w:spacing w:line="360" w:lineRule="auto"/>
              <w:jc w:val="center"/>
              <w:rPr>
                <w:rFonts w:hint="eastAsia"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表4-</w:t>
            </w:r>
            <w:r>
              <w:rPr>
                <w:rFonts w:hint="eastAsia" w:cs="Times New Roman"/>
                <w:b/>
                <w:bCs/>
                <w:color w:val="000000" w:themeColor="text1"/>
                <w:sz w:val="24"/>
                <w:highlight w:val="none"/>
                <w:lang w:val="en-US" w:eastAsia="zh-CN"/>
                <w14:textFill>
                  <w14:solidFill>
                    <w14:schemeClr w14:val="tx1"/>
                  </w14:solidFill>
                </w14:textFill>
              </w:rPr>
              <w:t>17（1）</w:t>
            </w:r>
            <w:r>
              <w:rPr>
                <w:rFonts w:hint="default" w:ascii="Times New Roman" w:hAnsi="Times New Roman" w:cs="Times New Roman"/>
                <w:b/>
                <w:bCs/>
                <w:color w:val="000000" w:themeColor="text1"/>
                <w:sz w:val="24"/>
                <w:highlight w:val="none"/>
                <w14:textFill>
                  <w14:solidFill>
                    <w14:schemeClr w14:val="tx1"/>
                  </w14:solidFill>
                </w14:textFill>
              </w:rPr>
              <w:t xml:space="preserve">  本项目噪声源强情况一览表</w:t>
            </w:r>
            <w:r>
              <w:rPr>
                <w:rFonts w:hint="eastAsia" w:cs="Times New Roman"/>
                <w:b/>
                <w:bCs/>
                <w:color w:val="000000" w:themeColor="text1"/>
                <w:sz w:val="24"/>
                <w:highlight w:val="none"/>
                <w:lang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室内声源</w:t>
            </w:r>
            <w:r>
              <w:rPr>
                <w:rFonts w:hint="eastAsia" w:cs="Times New Roman"/>
                <w:b/>
                <w:bCs/>
                <w:color w:val="000000" w:themeColor="text1"/>
                <w:sz w:val="24"/>
                <w:highlight w:val="none"/>
                <w:lang w:eastAsia="zh-CN"/>
                <w14:textFill>
                  <w14:solidFill>
                    <w14:schemeClr w14:val="tx1"/>
                  </w14:solidFill>
                </w14:textFill>
              </w:rPr>
              <w:t>）</w:t>
            </w:r>
          </w:p>
          <w:tbl>
            <w:tblPr>
              <w:tblStyle w:val="36"/>
              <w:tblW w:w="8905" w:type="dxa"/>
              <w:tblInd w:w="-2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14"/>
              <w:gridCol w:w="900"/>
              <w:gridCol w:w="423"/>
              <w:gridCol w:w="764"/>
              <w:gridCol w:w="845"/>
              <w:gridCol w:w="504"/>
              <w:gridCol w:w="587"/>
              <w:gridCol w:w="777"/>
              <w:gridCol w:w="737"/>
              <w:gridCol w:w="886"/>
              <w:gridCol w:w="886"/>
              <w:gridCol w:w="8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1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建筑物名称</w:t>
                  </w:r>
                </w:p>
              </w:tc>
              <w:tc>
                <w:tcPr>
                  <w:tcW w:w="2087"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声源源强</w:t>
                  </w:r>
                </w:p>
              </w:tc>
              <w:tc>
                <w:tcPr>
                  <w:tcW w:w="84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声源控制措施</w:t>
                  </w:r>
                </w:p>
              </w:tc>
              <w:tc>
                <w:tcPr>
                  <w:tcW w:w="1091"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距室内边界距离</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w:t>
                  </w:r>
                </w:p>
              </w:tc>
              <w:tc>
                <w:tcPr>
                  <w:tcW w:w="77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室内边界声级/dB（A）</w:t>
                  </w:r>
                </w:p>
              </w:tc>
              <w:tc>
                <w:tcPr>
                  <w:tcW w:w="73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运行时段</w:t>
                  </w:r>
                </w:p>
              </w:tc>
              <w:tc>
                <w:tcPr>
                  <w:tcW w:w="88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建筑物插入损失</w:t>
                  </w:r>
                </w:p>
              </w:tc>
              <w:tc>
                <w:tcPr>
                  <w:tcW w:w="1768"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10"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声源名称</w:t>
                  </w:r>
                </w:p>
              </w:tc>
              <w:tc>
                <w:tcPr>
                  <w:tcW w:w="4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台数</w:t>
                  </w:r>
                </w:p>
              </w:tc>
              <w:tc>
                <w:tcPr>
                  <w:tcW w:w="76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声功率级</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dB</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A</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c>
                <w:tcPr>
                  <w:tcW w:w="845"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1091" w:type="dxa"/>
                  <w:gridSpan w:val="2"/>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777"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737"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声压级</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dB</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（A））</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建筑物外距离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五楼化验室</w:t>
                  </w:r>
                </w:p>
              </w:tc>
              <w:tc>
                <w:tcPr>
                  <w:tcW w:w="90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电热鼓风干燥箱</w:t>
                  </w:r>
                </w:p>
              </w:tc>
              <w:tc>
                <w:tcPr>
                  <w:tcW w:w="42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76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84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隔声、减振</w:t>
                  </w: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东</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21.2</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44.5</w:t>
                  </w:r>
                </w:p>
              </w:tc>
              <w:tc>
                <w:tcPr>
                  <w:tcW w:w="73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昼间、夜间</w:t>
                  </w:r>
                </w:p>
              </w:tc>
              <w:tc>
                <w:tcPr>
                  <w:tcW w:w="88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29.5</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4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南</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9.6</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51.4</w:t>
                  </w:r>
                </w:p>
              </w:tc>
              <w:tc>
                <w:tcPr>
                  <w:tcW w:w="7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36.4</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4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26.6</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42.5</w:t>
                  </w:r>
                </w:p>
              </w:tc>
              <w:tc>
                <w:tcPr>
                  <w:tcW w:w="7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27.5</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4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北</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69.4</w:t>
                  </w:r>
                </w:p>
              </w:tc>
              <w:tc>
                <w:tcPr>
                  <w:tcW w:w="7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54.4</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六楼研发室</w:t>
                  </w:r>
                </w:p>
              </w:tc>
              <w:tc>
                <w:tcPr>
                  <w:tcW w:w="90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真空泵</w:t>
                  </w:r>
                </w:p>
              </w:tc>
              <w:tc>
                <w:tcPr>
                  <w:tcW w:w="42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76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78</w:t>
                  </w:r>
                </w:p>
              </w:tc>
              <w:tc>
                <w:tcPr>
                  <w:tcW w:w="84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隔声、减振</w:t>
                  </w: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东</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61.5</w:t>
                  </w:r>
                </w:p>
              </w:tc>
              <w:tc>
                <w:tcPr>
                  <w:tcW w:w="73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昼间、夜间</w:t>
                  </w:r>
                </w:p>
              </w:tc>
              <w:tc>
                <w:tcPr>
                  <w:tcW w:w="88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46.5</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4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南</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85.2</w:t>
                  </w:r>
                </w:p>
              </w:tc>
              <w:tc>
                <w:tcPr>
                  <w:tcW w:w="7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70.2</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4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9.5</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67.9</w:t>
                  </w:r>
                </w:p>
              </w:tc>
              <w:tc>
                <w:tcPr>
                  <w:tcW w:w="7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52.9</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4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北</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85.9</w:t>
                  </w:r>
                </w:p>
              </w:tc>
              <w:tc>
                <w:tcPr>
                  <w:tcW w:w="7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70.9</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循环泵</w:t>
                  </w:r>
                </w:p>
              </w:tc>
              <w:tc>
                <w:tcPr>
                  <w:tcW w:w="42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76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78</w:t>
                  </w:r>
                </w:p>
              </w:tc>
              <w:tc>
                <w:tcPr>
                  <w:tcW w:w="84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隔声、减振</w:t>
                  </w: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东</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62.1</w:t>
                  </w:r>
                </w:p>
              </w:tc>
              <w:tc>
                <w:tcPr>
                  <w:tcW w:w="73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昼间、夜间</w:t>
                  </w:r>
                </w:p>
              </w:tc>
              <w:tc>
                <w:tcPr>
                  <w:tcW w:w="88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47.1</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4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南</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9.2</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65.7</w:t>
                  </w:r>
                </w:p>
              </w:tc>
              <w:tc>
                <w:tcPr>
                  <w:tcW w:w="7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50.7</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4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58.5</w:t>
                  </w:r>
                </w:p>
              </w:tc>
              <w:tc>
                <w:tcPr>
                  <w:tcW w:w="7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43.5</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15" w:hRule="atLeast"/>
              </w:trPr>
              <w:tc>
                <w:tcPr>
                  <w:tcW w:w="714"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90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4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北</w:t>
                  </w:r>
                </w:p>
              </w:tc>
              <w:tc>
                <w:tcPr>
                  <w:tcW w:w="5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83.4</w:t>
                  </w:r>
                </w:p>
              </w:tc>
              <w:tc>
                <w:tcPr>
                  <w:tcW w:w="7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8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68.4</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bl>
          <w:p>
            <w:pPr>
              <w:spacing w:line="360" w:lineRule="auto"/>
              <w:jc w:val="center"/>
              <w:rPr>
                <w:rFonts w:hint="eastAsia"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表4-</w:t>
            </w:r>
            <w:r>
              <w:rPr>
                <w:rFonts w:hint="eastAsia" w:cs="Times New Roman"/>
                <w:b/>
                <w:bCs/>
                <w:color w:val="000000" w:themeColor="text1"/>
                <w:sz w:val="24"/>
                <w:highlight w:val="none"/>
                <w:lang w:val="en-US" w:eastAsia="zh-CN"/>
                <w14:textFill>
                  <w14:solidFill>
                    <w14:schemeClr w14:val="tx1"/>
                  </w14:solidFill>
                </w14:textFill>
              </w:rPr>
              <w:t>17（2）</w:t>
            </w:r>
            <w:r>
              <w:rPr>
                <w:rFonts w:hint="default" w:ascii="Times New Roman" w:hAnsi="Times New Roman" w:cs="Times New Roman"/>
                <w:b/>
                <w:bCs/>
                <w:color w:val="000000" w:themeColor="text1"/>
                <w:sz w:val="24"/>
                <w:highlight w:val="none"/>
                <w14:textFill>
                  <w14:solidFill>
                    <w14:schemeClr w14:val="tx1"/>
                  </w14:solidFill>
                </w14:textFill>
              </w:rPr>
              <w:t xml:space="preserve">  本项目噪声源强情况一览表</w:t>
            </w:r>
            <w:r>
              <w:rPr>
                <w:rFonts w:hint="eastAsia" w:cs="Times New Roman"/>
                <w:b/>
                <w:bCs/>
                <w:color w:val="000000" w:themeColor="text1"/>
                <w:sz w:val="24"/>
                <w:highlight w:val="none"/>
                <w:lang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室外声源</w:t>
            </w:r>
            <w:r>
              <w:rPr>
                <w:rFonts w:hint="eastAsia" w:cs="Times New Roman"/>
                <w:b/>
                <w:bCs/>
                <w:color w:val="000000" w:themeColor="text1"/>
                <w:sz w:val="24"/>
                <w:highlight w:val="none"/>
                <w:lang w:eastAsia="zh-CN"/>
                <w14:textFill>
                  <w14:solidFill>
                    <w14:schemeClr w14:val="tx1"/>
                  </w14:solidFill>
                </w14:textFill>
              </w:rPr>
              <w:t>）</w:t>
            </w:r>
          </w:p>
          <w:tbl>
            <w:tblPr>
              <w:tblStyle w:val="36"/>
              <w:tblW w:w="8905" w:type="dxa"/>
              <w:tblInd w:w="-2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52"/>
              <w:gridCol w:w="832"/>
              <w:gridCol w:w="423"/>
              <w:gridCol w:w="1063"/>
              <w:gridCol w:w="2387"/>
              <w:gridCol w:w="2400"/>
              <w:gridCol w:w="12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5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8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声源名称</w:t>
                  </w:r>
                </w:p>
              </w:tc>
              <w:tc>
                <w:tcPr>
                  <w:tcW w:w="42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台数</w:t>
                  </w:r>
                </w:p>
              </w:tc>
              <w:tc>
                <w:tcPr>
                  <w:tcW w:w="3450"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声源源强</w:t>
                  </w:r>
                </w:p>
              </w:tc>
              <w:tc>
                <w:tcPr>
                  <w:tcW w:w="240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声源控制措施</w:t>
                  </w:r>
                </w:p>
              </w:tc>
              <w:tc>
                <w:tcPr>
                  <w:tcW w:w="124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运行时段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52"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832"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423"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核算方法</w:t>
                  </w:r>
                </w:p>
              </w:tc>
              <w:tc>
                <w:tcPr>
                  <w:tcW w:w="23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声功率级</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dB</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A</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w:t>
                  </w:r>
                </w:p>
              </w:tc>
              <w:tc>
                <w:tcPr>
                  <w:tcW w:w="2400"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1248"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5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8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风机</w:t>
                  </w:r>
                </w:p>
              </w:tc>
              <w:tc>
                <w:tcPr>
                  <w:tcW w:w="4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类比法</w:t>
                  </w:r>
                </w:p>
              </w:tc>
              <w:tc>
                <w:tcPr>
                  <w:tcW w:w="23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24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基础减振、隔声罩</w:t>
                  </w:r>
                </w:p>
              </w:tc>
              <w:tc>
                <w:tcPr>
                  <w:tcW w:w="124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昼间、夜间</w:t>
                  </w:r>
                </w:p>
              </w:tc>
            </w:tr>
          </w:tbl>
          <w:p>
            <w:pPr>
              <w:widowControl/>
              <w:spacing w:line="360" w:lineRule="auto"/>
              <w:ind w:firstLine="482" w:firstLineChars="200"/>
              <w:jc w:val="left"/>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2、预测</w:t>
            </w:r>
            <w:r>
              <w:rPr>
                <w:rFonts w:hint="default" w:ascii="Times New Roman" w:hAnsi="Times New Roman" w:cs="Times New Roman"/>
                <w:b/>
                <w:color w:val="000000" w:themeColor="text1"/>
                <w:kern w:val="0"/>
                <w:sz w:val="24"/>
                <w:highlight w:val="none"/>
                <w14:textFill>
                  <w14:solidFill>
                    <w14:schemeClr w14:val="tx1"/>
                  </w14:solidFill>
                </w14:textFill>
              </w:rPr>
              <w:t>分析</w:t>
            </w:r>
          </w:p>
          <w:p>
            <w:pPr>
              <w:pStyle w:val="6"/>
              <w:keepNext/>
              <w:keepLines/>
              <w:pageBreakBefore w:val="0"/>
              <w:widowControl w:val="0"/>
              <w:numPr>
                <w:ilvl w:val="3"/>
                <w:numId w:val="0"/>
              </w:numPr>
              <w:tabs>
                <w:tab w:val="left" w:pos="6195"/>
              </w:tabs>
              <w:kinsoku/>
              <w:wordWrap/>
              <w:overflowPunct/>
              <w:topLinePunct w:val="0"/>
              <w:autoSpaceDE/>
              <w:autoSpaceDN/>
              <w:bidi w:val="0"/>
              <w:adjustRightInd w:val="0"/>
              <w:spacing w:line="360" w:lineRule="auto"/>
              <w:ind w:leftChars="0" w:firstLine="482" w:firstLineChars="200"/>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噪声预测模式</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本次环评采用《环境影响评价技术导则—声环境》（HJ2.4-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2021</w:t>
            </w:r>
            <w:r>
              <w:rPr>
                <w:rFonts w:hint="default" w:ascii="Times New Roman" w:hAnsi="Times New Roman" w:eastAsia="宋体" w:cs="Times New Roman"/>
                <w:color w:val="000000" w:themeColor="text1"/>
                <w:sz w:val="24"/>
                <w:szCs w:val="24"/>
                <w:highlight w:val="none"/>
                <w14:textFill>
                  <w14:solidFill>
                    <w14:schemeClr w14:val="tx1"/>
                  </w14:solidFill>
                </w14:textFill>
              </w:rPr>
              <w:t>）中推荐的模式进行预测，用A声级计算，模式如下：</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（1）室外声源在预测点的A声级</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14"/>
                <w:sz w:val="24"/>
                <w:szCs w:val="24"/>
                <w:highlight w:val="none"/>
                <w14:textFill>
                  <w14:solidFill>
                    <w14:schemeClr w14:val="tx1"/>
                  </w14:solidFill>
                </w14:textFill>
              </w:rPr>
              <w:object>
                <v:shape id="_x0000_i1031" o:spt="75" type="#_x0000_t75" style="height:19pt;width:250pt;" o:ole="t" filled="f" o:preferrelative="t" stroked="f" coordsize="21600,21600">
                  <v:path/>
                  <v:fill on="f" focussize="0,0"/>
                  <v:stroke on="f"/>
                  <v:imagedata r:id="rId24" o:title=""/>
                  <o:lock v:ext="edit" aspectratio="t"/>
                  <w10:wrap type="none"/>
                  <w10:anchorlock/>
                </v:shape>
                <o:OLEObject Type="Embed" ProgID="Equation.3" ShapeID="_x0000_i1031" DrawAspect="Content" ObjectID="_1468075731" r:id="rId23">
                  <o:LockedField>false</o:LockedField>
                </o:OLEObject>
              </w:objec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w:t>
            </w:r>
            <w:r>
              <w:rPr>
                <w:rFonts w:hint="default" w:ascii="Times New Roman" w:hAnsi="Times New Roman" w:eastAsia="宋体" w:cs="Times New Roman"/>
                <w:color w:val="000000" w:themeColor="text1"/>
                <w:position w:val="-14"/>
                <w:sz w:val="24"/>
                <w:szCs w:val="24"/>
                <w:highlight w:val="none"/>
                <w14:textFill>
                  <w14:solidFill>
                    <w14:schemeClr w14:val="tx1"/>
                  </w14:solidFill>
                </w14:textFill>
              </w:rPr>
              <w:object>
                <v:shape id="_x0000_i1032" o:spt="75" type="#_x0000_t75" style="height:19pt;width:30pt;" o:ole="t" fillcolor="#6D6D6D" filled="f" o:preferrelative="t" stroked="f" coordsize="21600,21600">
                  <v:path/>
                  <v:fill on="f" alignshape="1" focussize="0,0"/>
                  <v:stroke on="f"/>
                  <v:imagedata r:id="rId26" o:title=""/>
                  <o:lock v:ext="edit" aspectratio="t"/>
                  <w10:wrap type="none"/>
                  <w10:anchorlock/>
                </v:shape>
                <o:OLEObject Type="Embed" ProgID="Equation.3" ShapeID="_x0000_i1032" DrawAspect="Content" ObjectID="_1468075732" r:id="rId25">
                  <o:LockedField>false</o:LockedField>
                </o:OLEObject>
              </w:object>
            </w:r>
            <w:r>
              <w:rPr>
                <w:rFonts w:hint="default" w:ascii="Times New Roman" w:hAnsi="Times New Roman" w:eastAsia="宋体" w:cs="Times New Roman"/>
                <w:color w:val="000000" w:themeColor="text1"/>
                <w:sz w:val="24"/>
                <w:szCs w:val="24"/>
                <w:highlight w:val="none"/>
                <w14:textFill>
                  <w14:solidFill>
                    <w14:schemeClr w14:val="tx1"/>
                  </w14:solidFill>
                </w14:textFill>
              </w:rPr>
              <w:t>——距声源</w:t>
            </w:r>
            <w:r>
              <w:rPr>
                <w:rFonts w:hint="default" w:ascii="Times New Roman" w:hAnsi="Times New Roman" w:eastAsia="宋体" w:cs="Times New Roman"/>
                <w:color w:val="000000" w:themeColor="text1"/>
                <w:sz w:val="24"/>
                <w:szCs w:val="24"/>
                <w:highlight w:val="none"/>
                <w14:textFill>
                  <w14:solidFill>
                    <w14:schemeClr w14:val="tx1"/>
                  </w14:solidFill>
                </w14:textFill>
              </w:rPr>
              <w:object>
                <v:shape id="_x0000_i1033" o:spt="75" type="#_x0000_t75" style="height:10pt;width:9pt;" o:ole="t" fillcolor="#6D6D6D" filled="f" stroked="f" coordsize="21600,21600">
                  <v:path/>
                  <v:fill on="f" alignshape="1" focussize="0,0"/>
                  <v:stroke on="f"/>
                  <v:imagedata r:id="rId28" o:title=""/>
                  <o:lock v:ext="edit" aspectratio="t"/>
                  <w10:wrap type="none"/>
                  <w10:anchorlock/>
                </v:shape>
                <o:OLEObject Type="Embed" ProgID="Equation.3" ShapeID="_x0000_i1033" DrawAspect="Content" ObjectID="_1468075733" r:id="rId27">
                  <o:LockedField>false</o:LockedField>
                </o:OLEObject>
              </w:object>
            </w:r>
            <w:r>
              <w:rPr>
                <w:rFonts w:hint="default" w:ascii="Times New Roman" w:hAnsi="Times New Roman" w:eastAsia="宋体" w:cs="Times New Roman"/>
                <w:color w:val="000000" w:themeColor="text1"/>
                <w:sz w:val="24"/>
                <w:szCs w:val="24"/>
                <w:highlight w:val="none"/>
                <w14:textFill>
                  <w14:solidFill>
                    <w14:schemeClr w14:val="tx1"/>
                  </w14:solidFill>
                </w14:textFill>
              </w:rPr>
              <w:t>处的A声级，dB；</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(r0)</w:t>
            </w:r>
            <w:r>
              <w:rPr>
                <w:rFonts w:hint="default" w:ascii="Times New Roman" w:hAnsi="Times New Roman" w:eastAsia="宋体" w:cs="Times New Roman"/>
                <w:color w:val="000000" w:themeColor="text1"/>
                <w:sz w:val="24"/>
                <w:szCs w:val="24"/>
                <w:highlight w:val="none"/>
                <w14:textFill>
                  <w14:solidFill>
                    <w14:schemeClr w14:val="tx1"/>
                  </w14:solidFill>
                </w14:textFill>
              </w:rPr>
              <w:t>——参考位置r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处的A声级，dB；</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Dc—指向性校正，它描述点声源的等效连续声压级与产生声功率级Lw的全向点源再规定方向的声级的偏差程度，dB；</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 w:val="24"/>
                <w:szCs w:val="24"/>
                <w:highlight w:val="none"/>
                <w14:textFill>
                  <w14:solidFill>
                    <w14:schemeClr w14:val="tx1"/>
                  </w14:solidFill>
                </w14:textFill>
              </w:rPr>
              <w:t>——声波几何发散引起的A声级衰减量，dB，A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 w:val="24"/>
                <w:szCs w:val="24"/>
                <w:highlight w:val="none"/>
                <w14:textFill>
                  <w14:solidFill>
                    <w14:schemeClr w14:val="tx1"/>
                  </w14:solidFill>
                </w14:textFill>
              </w:rPr>
              <w:t>=20lg(r/r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bar</w:t>
            </w:r>
            <w:r>
              <w:rPr>
                <w:rFonts w:hint="default" w:ascii="Times New Roman" w:hAnsi="Times New Roman" w:eastAsia="宋体" w:cs="Times New Roman"/>
                <w:color w:val="000000" w:themeColor="text1"/>
                <w:sz w:val="24"/>
                <w:szCs w:val="24"/>
                <w:highlight w:val="none"/>
                <w14:textFill>
                  <w14:solidFill>
                    <w14:schemeClr w14:val="tx1"/>
                  </w14:solidFill>
                </w14:textFill>
              </w:rPr>
              <w:t>——遮挡物引起的A声级衰减量dB；</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atm</w:t>
            </w:r>
            <w:r>
              <w:rPr>
                <w:rFonts w:hint="default" w:ascii="Times New Roman" w:hAnsi="Times New Roman" w:eastAsia="宋体" w:cs="Times New Roman"/>
                <w:color w:val="000000" w:themeColor="text1"/>
                <w:sz w:val="24"/>
                <w:szCs w:val="24"/>
                <w:highlight w:val="none"/>
                <w14:textFill>
                  <w14:solidFill>
                    <w14:schemeClr w14:val="tx1"/>
                  </w14:solidFill>
                </w14:textFill>
              </w:rPr>
              <w:t>——空气吸收引起的A声级衰减量dB；</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gr</w:t>
            </w:r>
            <w:r>
              <w:rPr>
                <w:rFonts w:hint="default" w:ascii="Times New Roman" w:hAnsi="Times New Roman" w:eastAsia="宋体" w:cs="Times New Roman"/>
                <w:color w:val="000000" w:themeColor="text1"/>
                <w:sz w:val="24"/>
                <w:szCs w:val="24"/>
                <w:highlight w:val="none"/>
                <w14:textFill>
                  <w14:solidFill>
                    <w14:schemeClr w14:val="tx1"/>
                  </w14:solidFill>
                </w14:textFill>
              </w:rPr>
              <w:t>——地面效应引起的倍频带衰减量dB；</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misc</w:t>
            </w:r>
            <w:r>
              <w:rPr>
                <w:rFonts w:hint="default" w:ascii="Times New Roman" w:hAnsi="Times New Roman" w:eastAsia="宋体" w:cs="Times New Roman"/>
                <w:color w:val="000000" w:themeColor="text1"/>
                <w:sz w:val="24"/>
                <w:szCs w:val="24"/>
                <w:highlight w:val="none"/>
                <w14:textFill>
                  <w14:solidFill>
                    <w14:schemeClr w14:val="tx1"/>
                  </w14:solidFill>
                </w14:textFill>
              </w:rPr>
              <w:t>——附加A声级衰减量dB，A</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misc</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=5lg(r-r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（2）室内声源在预测点的声压级计算</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首先计算某个室内声源在靠近围护结构处产生的倍频带声压级：</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24"/>
                <w:sz w:val="24"/>
                <w:szCs w:val="24"/>
                <w:highlight w:val="none"/>
                <w14:textFill>
                  <w14:solidFill>
                    <w14:schemeClr w14:val="tx1"/>
                  </w14:solidFill>
                </w14:textFill>
              </w:rPr>
              <w:object>
                <v:shape id="_x0000_i1034" o:spt="75" type="#_x0000_t75" style="height:31pt;width:134pt;" o:ole="t" fillcolor="#6D6D6D" filled="f" o:preferrelative="t" stroked="f" coordsize="21600,21600">
                  <v:path/>
                  <v:fill on="f" alignshape="1" focussize="0,0"/>
                  <v:stroke on="f"/>
                  <v:imagedata r:id="rId30" o:title=""/>
                  <o:lock v:ext="edit" aspectratio="t"/>
                  <w10:wrap type="none"/>
                  <w10:anchorlock/>
                </v:shape>
                <o:OLEObject Type="Embed" ProgID="Word.Picture.8" ShapeID="_x0000_i1034" DrawAspect="Content" ObjectID="_1468075734" r:id="rId29">
                  <o:LockedField>false</o:LockedField>
                </o:OLEObject>
              </w:objec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p1—</w:t>
            </w:r>
            <w:r>
              <w:rPr>
                <w:rFonts w:hint="default" w:ascii="Times New Roman" w:hAnsi="Times New Roman" w:eastAsia="宋体" w:cs="Times New Roman"/>
                <w:color w:val="000000" w:themeColor="text1"/>
                <w:sz w:val="24"/>
                <w:szCs w:val="24"/>
                <w:highlight w:val="none"/>
                <w14:textFill>
                  <w14:solidFill>
                    <w14:schemeClr w14:val="tx1"/>
                  </w14:solidFill>
                </w14:textFill>
              </w:rPr>
              <w:t>某个室内声源在靠近围护结构处产生的A声级，dB（A）；</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Lw—某个声源的声功率级，dB（A）;</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Q—指向性因数；通常对无指向性声源，当声源放在房间中心时，Q=1；当放在一面墙的中心时，Q=2；当放在两面墙夹角处时，Q=4；当放在三面墙夹角处时，Q=8。 </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R—房间常数；R =S α/(1-α)，S 为房间内表面面积，m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；α为平均吸声系数。 </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r—声源到靠近围护结构某点处的距离，m。</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计算所有室内声源在靠近围护结构处产生的总声压级</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pe</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=10×lg[</w:t>
            </w:r>
            <w:r>
              <w:rPr>
                <w:rFonts w:hint="default" w:ascii="Times New Roman" w:hAnsi="Times New Roman" w:eastAsia="宋体" w:cs="Times New Roman"/>
                <w:color w:val="000000" w:themeColor="text1"/>
                <w:position w:val="-28"/>
                <w:sz w:val="24"/>
                <w:szCs w:val="24"/>
                <w:highlight w:val="none"/>
                <w14:textFill>
                  <w14:solidFill>
                    <w14:schemeClr w14:val="tx1"/>
                  </w14:solidFill>
                </w14:textFill>
              </w:rPr>
              <w:object>
                <v:shape id="_x0000_i1035" o:spt="75" type="#_x0000_t75" style="height:34pt;width:23pt;" o:ole="t" fillcolor="#6D6D6D" filled="f" stroked="f" coordsize="21600,21600">
                  <v:path/>
                  <v:fill on="f" alignshape="1" focussize="0,0"/>
                  <v:stroke on="f"/>
                  <v:imagedata r:id="rId32" o:title=""/>
                  <o:lock v:ext="edit" aspectratio="t"/>
                  <w10:wrap type="none"/>
                  <w10:anchorlock/>
                </v:shape>
                <o:OLEObject Type="Embed" ProgID="Equation.3" ShapeID="_x0000_i1035" DrawAspect="Content" ObjectID="_1468075735" r:id="rId31">
                  <o:LockedField>false</o:LockedField>
                </o:OLEObject>
              </w:object>
            </w:r>
            <w:r>
              <w:rPr>
                <w:rFonts w:hint="default" w:ascii="Times New Roman" w:hAnsi="Times New Roman" w:eastAsia="宋体" w:cs="Times New Roman"/>
                <w:color w:val="000000" w:themeColor="text1"/>
                <w:position w:val="-6"/>
                <w:sz w:val="24"/>
                <w:szCs w:val="24"/>
                <w:highlight w:val="none"/>
                <w14:textFill>
                  <w14:solidFill>
                    <w14:schemeClr w14:val="tx1"/>
                  </w14:solidFill>
                </w14:textFill>
              </w:rPr>
              <w:object>
                <v:shape id="_x0000_i1036" o:spt="75" type="#_x0000_t75" style="height:24.95pt;width:27pt;" o:ole="t" fillcolor="#6D6D6D" filled="f" stroked="f" coordsize="21600,21600">
                  <v:path/>
                  <v:fill on="f" alignshape="1" focussize="0,0"/>
                  <v:stroke on="f"/>
                  <v:imagedata r:id="rId34" o:title=""/>
                  <o:lock v:ext="edit" aspectratio="t"/>
                  <w10:wrap type="none"/>
                  <w10:anchorlock/>
                </v:shape>
                <o:OLEObject Type="Embed" ProgID="Equation.3" ShapeID="_x0000_i1036" DrawAspect="Content" ObjectID="_1468075736" r:id="rId33">
                  <o:LockedField>false</o:LockedField>
                </o:OLEObject>
              </w:objec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pe</w:t>
            </w:r>
            <w:r>
              <w:rPr>
                <w:rFonts w:hint="default" w:ascii="Times New Roman" w:hAnsi="Times New Roman" w:eastAsia="宋体" w:cs="Times New Roman"/>
                <w:color w:val="000000" w:themeColor="text1"/>
                <w:sz w:val="24"/>
                <w:szCs w:val="24"/>
                <w:highlight w:val="none"/>
                <w14:textFill>
                  <w14:solidFill>
                    <w14:schemeClr w14:val="tx1"/>
                  </w14:solidFill>
                </w14:textFill>
              </w:rPr>
              <w:t>—叠加后总声级，dB(A)；</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pi</w:t>
            </w:r>
            <w:r>
              <w:rPr>
                <w:rFonts w:hint="default" w:ascii="Times New Roman" w:hAnsi="Times New Roman" w:eastAsia="宋体" w:cs="Times New Roman"/>
                <w:color w:val="000000" w:themeColor="text1"/>
                <w:sz w:val="24"/>
                <w:szCs w:val="24"/>
                <w:highlight w:val="none"/>
                <w14:textFill>
                  <w14:solidFill>
                    <w14:schemeClr w14:val="tx1"/>
                  </w14:solidFill>
                </w14:textFill>
              </w:rPr>
              <w:t>—i声源至基准预测点的声级，dB(A)；</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n—噪声源数目。</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计算室外靠近围护结构处的声压级</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（T）－（TL＋6）</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式中：TL——窗户平均隔声量，dB(A)；</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将室外声级L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（T）和透声面积换算成等效的室外声源，计算出等效声源的声功率级Lw：</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 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（T）＋10lgS</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式中：S——透声面积，m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等效室外声源的位置为围护结构的位置，其声功率级为Lw，由此计算等效声源在预测点产生的声级。</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（3）总声级的计算</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设第i个室外声源在预测点产生的A声级为LA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in,i</w:t>
            </w:r>
            <w:r>
              <w:rPr>
                <w:rFonts w:hint="default" w:ascii="Times New Roman" w:hAnsi="Times New Roman" w:eastAsia="宋体" w:cs="Times New Roman"/>
                <w:color w:val="000000" w:themeColor="text1"/>
                <w:sz w:val="24"/>
                <w:szCs w:val="24"/>
                <w:highlight w:val="none"/>
                <w14:textFill>
                  <w14:solidFill>
                    <w14:schemeClr w14:val="tx1"/>
                  </w14:solidFill>
                </w14:textFill>
              </w:rPr>
              <w:t>，在T时间内该声源工作时间为t</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 xml:space="preserve"> in,i</w:t>
            </w:r>
            <w:r>
              <w:rPr>
                <w:rFonts w:hint="default" w:ascii="Times New Roman" w:hAnsi="Times New Roman" w:eastAsia="宋体" w:cs="Times New Roman"/>
                <w:color w:val="000000" w:themeColor="text1"/>
                <w:sz w:val="24"/>
                <w:szCs w:val="24"/>
                <w:highlight w:val="none"/>
                <w14:textFill>
                  <w14:solidFill>
                    <w14:schemeClr w14:val="tx1"/>
                  </w14:solidFill>
                </w14:textFill>
              </w:rPr>
              <w:t>；设第j个等效室外声源在预测点产生的A声级为LA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jout,j</w:t>
            </w:r>
            <w:r>
              <w:rPr>
                <w:rFonts w:hint="default" w:ascii="Times New Roman" w:hAnsi="Times New Roman" w:eastAsia="宋体" w:cs="Times New Roman"/>
                <w:color w:val="000000" w:themeColor="text1"/>
                <w:sz w:val="24"/>
                <w:szCs w:val="24"/>
                <w:highlight w:val="none"/>
                <w14:textFill>
                  <w14:solidFill>
                    <w14:schemeClr w14:val="tx1"/>
                  </w14:solidFill>
                </w14:textFill>
              </w:rPr>
              <w:t>，在T时间内该声源工作时间为t</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 xml:space="preserve"> in,j</w:t>
            </w:r>
            <w:r>
              <w:rPr>
                <w:rFonts w:hint="default" w:ascii="Times New Roman" w:hAnsi="Times New Roman" w:eastAsia="宋体" w:cs="Times New Roman"/>
                <w:color w:val="000000" w:themeColor="text1"/>
                <w:sz w:val="24"/>
                <w:szCs w:val="24"/>
                <w:highlight w:val="none"/>
                <w14:textFill>
                  <w14:solidFill>
                    <w14:schemeClr w14:val="tx1"/>
                  </w14:solidFill>
                </w14:textFill>
              </w:rPr>
              <w:t>，则预测点的总有效声级为：</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Leq（T）=10lg（1/T）[</w:t>
            </w:r>
            <w:r>
              <w:rPr>
                <w:rFonts w:hint="default" w:ascii="Times New Roman" w:hAnsi="Times New Roman" w:eastAsia="宋体" w:cs="Times New Roman"/>
                <w:color w:val="000000" w:themeColor="text1"/>
                <w:position w:val="-28"/>
                <w:sz w:val="24"/>
                <w:szCs w:val="24"/>
                <w:highlight w:val="none"/>
                <w14:textFill>
                  <w14:solidFill>
                    <w14:schemeClr w14:val="tx1"/>
                  </w14:solidFill>
                </w14:textFill>
              </w:rPr>
              <w:object>
                <v:shape id="_x0000_i1037" o:spt="75" type="#_x0000_t75" style="height:34pt;width:23pt;" o:ole="t" fillcolor="#6D6D6D" filled="f" stroked="f" coordsize="21600,21600">
                  <v:path/>
                  <v:fill on="f" alignshape="1" focussize="0,0"/>
                  <v:stroke on="f"/>
                  <v:imagedata r:id="rId32" o:title=""/>
                  <o:lock v:ext="edit" aspectratio="t"/>
                  <w10:wrap type="none"/>
                  <w10:anchorlock/>
                </v:shape>
                <o:OLEObject Type="Embed" ProgID="Equation.3" ShapeID="_x0000_i1037" DrawAspect="Content" ObjectID="_1468075737" r:id="rId35">
                  <o:LockedField>false</o:LockedField>
                </o:OLEObject>
              </w:objec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 xml:space="preserve"> in,i</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0.1LAin,i</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position w:val="-28"/>
                <w:sz w:val="24"/>
                <w:szCs w:val="24"/>
                <w:highlight w:val="none"/>
                <w14:textFill>
                  <w14:solidFill>
                    <w14:schemeClr w14:val="tx1"/>
                  </w14:solidFill>
                </w14:textFill>
              </w:rPr>
              <w:object>
                <v:shape id="_x0000_i1038" o:spt="75" type="#_x0000_t75" style="height:34pt;width:23pt;" o:ole="t" fillcolor="#6D6D6D" filled="f" stroked="f" coordsize="21600,21600">
                  <v:path/>
                  <v:fill on="f" alignshape="1" focussize="0,0"/>
                  <v:stroke on="f"/>
                  <v:imagedata r:id="rId32" o:title=""/>
                  <o:lock v:ext="edit" aspectratio="t"/>
                  <w10:wrap type="none"/>
                  <w10:anchorlock/>
                </v:shape>
                <o:OLEObject Type="Embed" ProgID="Equation.3" ShapeID="_x0000_i1038" DrawAspect="Content" ObjectID="_1468075738" r:id="rId36">
                  <o:LockedField>false</o:LockedField>
                </o:OLEObject>
              </w:object>
            </w:r>
            <w:r>
              <w:rPr>
                <w:rFonts w:hint="default" w:ascii="Times New Roman" w:hAnsi="Times New Roman" w:eastAsia="宋体" w:cs="Times New Roman"/>
                <w:color w:val="000000" w:themeColor="text1"/>
                <w:sz w:val="24"/>
                <w:szCs w:val="24"/>
                <w:highlight w:val="none"/>
                <w14:textFill>
                  <w14:solidFill>
                    <w14:schemeClr w14:val="tx1"/>
                  </w14:solidFill>
                </w14:textFill>
              </w:rPr>
              <w:t>LA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jout,j</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0.1LAjout,j</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式中：T——计算等效声级的时间；</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N——室外声源的个数；</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M——等效室外声源的个数。</w:t>
            </w:r>
          </w:p>
          <w:p>
            <w:pPr>
              <w:pStyle w:val="6"/>
              <w:keepNext/>
              <w:keepLines/>
              <w:pageBreakBefore w:val="0"/>
              <w:widowControl w:val="0"/>
              <w:numPr>
                <w:ilvl w:val="3"/>
                <w:numId w:val="0"/>
              </w:numPr>
              <w:tabs>
                <w:tab w:val="left" w:pos="6195"/>
              </w:tabs>
              <w:kinsoku/>
              <w:wordWrap/>
              <w:overflowPunct/>
              <w:topLinePunct w:val="0"/>
              <w:autoSpaceDE/>
              <w:autoSpaceDN/>
              <w:bidi w:val="0"/>
              <w:adjustRightInd w:val="0"/>
              <w:spacing w:line="360" w:lineRule="auto"/>
              <w:ind w:leftChars="0" w:firstLine="482" w:firstLineChars="200"/>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参数的确定</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（1）窗户的平均隔声量TL取经验值，10—20 dB(A)。</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（2）声波几何发散引起的A声级衰减量：</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a、点声源；</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i/>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i/>
                <w:color w:val="000000" w:themeColor="text1"/>
                <w:sz w:val="24"/>
                <w:szCs w:val="24"/>
                <w:highlight w:val="none"/>
                <w14:textFill>
                  <w14:solidFill>
                    <w14:schemeClr w14:val="tx1"/>
                  </w14:solidFill>
                </w14:textFill>
              </w:rPr>
              <w:t>20lg(</w:t>
            </w:r>
            <w:r>
              <w:rPr>
                <w:rFonts w:hint="default" w:ascii="Times New Roman" w:hAnsi="Times New Roman" w:eastAsia="宋体" w:cs="Times New Roman"/>
                <w:i/>
                <w:color w:val="000000" w:themeColor="text1"/>
                <w:position w:val="-30"/>
                <w:sz w:val="24"/>
                <w:szCs w:val="24"/>
                <w:highlight w:val="none"/>
                <w14:textFill>
                  <w14:solidFill>
                    <w14:schemeClr w14:val="tx1"/>
                  </w14:solidFill>
                </w14:textFill>
              </w:rPr>
              <w:object>
                <v:shape id="_x0000_i1039" o:spt="75" type="#_x0000_t75" style="height:34pt;width:13.95pt;" o:ole="t" fillcolor="#6D6D6D" filled="f" stroked="f" coordsize="21600,21600">
                  <v:path/>
                  <v:fill on="f" alignshape="1" focussize="0,0"/>
                  <v:stroke on="f"/>
                  <v:imagedata r:id="rId38" o:title=""/>
                  <o:lock v:ext="edit" aspectratio="t"/>
                  <w10:wrap type="none"/>
                  <w10:anchorlock/>
                </v:shape>
                <o:OLEObject Type="Embed" ProgID="Equation.3" ShapeID="_x0000_i1039" DrawAspect="Content" ObjectID="_1468075739" r:id="rId37">
                  <o:LockedField>false</o:LockedField>
                </o:OLEObject>
              </w:object>
            </w:r>
            <w:r>
              <w:rPr>
                <w:rFonts w:hint="default" w:ascii="Times New Roman" w:hAnsi="Times New Roman" w:eastAsia="宋体" w:cs="Times New Roman"/>
                <w:i/>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b、有限长（长度L。，m）线声源A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div：</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当r &gt; 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且r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 xml:space="preserve">0 </w:t>
            </w:r>
            <w:r>
              <w:rPr>
                <w:rFonts w:hint="default" w:ascii="Times New Roman" w:hAnsi="Times New Roman" w:eastAsia="宋体" w:cs="Times New Roman"/>
                <w:color w:val="000000" w:themeColor="text1"/>
                <w:sz w:val="24"/>
                <w:szCs w:val="24"/>
                <w:highlight w:val="none"/>
                <w14:textFill>
                  <w14:solidFill>
                    <w14:schemeClr w14:val="tx1"/>
                  </w14:solidFill>
                </w14:textFill>
              </w:rPr>
              <w:t>&gt; 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时：</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i/>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i/>
                <w:color w:val="000000" w:themeColor="text1"/>
                <w:sz w:val="24"/>
                <w:szCs w:val="24"/>
                <w:highlight w:val="none"/>
                <w14:textFill>
                  <w14:solidFill>
                    <w14:schemeClr w14:val="tx1"/>
                  </w14:solidFill>
                </w14:textFill>
              </w:rPr>
              <w:t>20lg(</w:t>
            </w:r>
            <w:r>
              <w:rPr>
                <w:rFonts w:hint="default" w:ascii="Times New Roman" w:hAnsi="Times New Roman" w:eastAsia="宋体" w:cs="Times New Roman"/>
                <w:i/>
                <w:color w:val="000000" w:themeColor="text1"/>
                <w:position w:val="-30"/>
                <w:sz w:val="24"/>
                <w:szCs w:val="24"/>
                <w:highlight w:val="none"/>
                <w14:textFill>
                  <w14:solidFill>
                    <w14:schemeClr w14:val="tx1"/>
                  </w14:solidFill>
                </w14:textFill>
              </w:rPr>
              <w:object>
                <v:shape id="_x0000_i1040" o:spt="75" type="#_x0000_t75" style="height:34pt;width:13.95pt;" o:ole="t" fillcolor="#6D6D6D" filled="f" stroked="f" coordsize="21600,21600">
                  <v:path/>
                  <v:fill on="f" alignshape="1" focussize="0,0"/>
                  <v:stroke on="f"/>
                  <v:imagedata r:id="rId38" o:title=""/>
                  <o:lock v:ext="edit" aspectratio="t"/>
                  <w10:wrap type="none"/>
                  <w10:anchorlock/>
                </v:shape>
                <o:OLEObject Type="Embed" ProgID="Equation.3" ShapeID="_x0000_i1040" DrawAspect="Content" ObjectID="_1468075740" r:id="rId39">
                  <o:LockedField>false</o:LockedField>
                </o:OLEObject>
              </w:object>
            </w:r>
            <w:r>
              <w:rPr>
                <w:rFonts w:hint="default" w:ascii="Times New Roman" w:hAnsi="Times New Roman" w:eastAsia="宋体" w:cs="Times New Roman"/>
                <w:i/>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当r &lt; 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/3且r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 xml:space="preserve">0 </w:t>
            </w:r>
            <w:r>
              <w:rPr>
                <w:rFonts w:hint="default" w:ascii="Times New Roman" w:hAnsi="Times New Roman" w:eastAsia="宋体" w:cs="Times New Roman"/>
                <w:color w:val="000000" w:themeColor="text1"/>
                <w:sz w:val="24"/>
                <w:szCs w:val="24"/>
                <w:highlight w:val="none"/>
                <w14:textFill>
                  <w14:solidFill>
                    <w14:schemeClr w14:val="tx1"/>
                  </w14:solidFill>
                </w14:textFill>
              </w:rPr>
              <w:t>&lt;L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/3时：</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i/>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i/>
                <w:color w:val="000000" w:themeColor="text1"/>
                <w:sz w:val="24"/>
                <w:szCs w:val="24"/>
                <w:highlight w:val="none"/>
                <w14:textFill>
                  <w14:solidFill>
                    <w14:schemeClr w14:val="tx1"/>
                  </w14:solidFill>
                </w14:textFill>
              </w:rPr>
              <w:t>10lg(</w:t>
            </w:r>
            <w:r>
              <w:rPr>
                <w:rFonts w:hint="default" w:ascii="Times New Roman" w:hAnsi="Times New Roman" w:eastAsia="宋体" w:cs="Times New Roman"/>
                <w:i/>
                <w:color w:val="000000" w:themeColor="text1"/>
                <w:position w:val="-30"/>
                <w:sz w:val="24"/>
                <w:szCs w:val="24"/>
                <w:highlight w:val="none"/>
                <w14:textFill>
                  <w14:solidFill>
                    <w14:schemeClr w14:val="tx1"/>
                  </w14:solidFill>
                </w14:textFill>
              </w:rPr>
              <w:object>
                <v:shape id="_x0000_i1041" o:spt="75" type="#_x0000_t75" style="height:34pt;width:13.95pt;" o:ole="t" fillcolor="#6D6D6D" filled="f" stroked="f" coordsize="21600,21600">
                  <v:path/>
                  <v:fill on="f" alignshape="1" focussize="0,0"/>
                  <v:stroke on="f"/>
                  <v:imagedata r:id="rId38" o:title=""/>
                  <o:lock v:ext="edit" aspectratio="t"/>
                  <w10:wrap type="none"/>
                  <w10:anchorlock/>
                </v:shape>
                <o:OLEObject Type="Embed" ProgID="Equation.3" ShapeID="_x0000_i1041" DrawAspect="Content" ObjectID="_1468075741" r:id="rId40">
                  <o:LockedField>false</o:LockedField>
                </o:OLEObject>
              </w:object>
            </w:r>
            <w:r>
              <w:rPr>
                <w:rFonts w:hint="default" w:ascii="Times New Roman" w:hAnsi="Times New Roman" w:eastAsia="宋体" w:cs="Times New Roman"/>
                <w:i/>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当L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/3&lt;r &lt; 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且L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/3&lt;r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 xml:space="preserve">0 </w:t>
            </w:r>
            <w:r>
              <w:rPr>
                <w:rFonts w:hint="default" w:ascii="Times New Roman" w:hAnsi="Times New Roman" w:eastAsia="宋体" w:cs="Times New Roman"/>
                <w:color w:val="000000" w:themeColor="text1"/>
                <w:sz w:val="24"/>
                <w:szCs w:val="24"/>
                <w:highlight w:val="none"/>
                <w14:textFill>
                  <w14:solidFill>
                    <w14:schemeClr w14:val="tx1"/>
                  </w14:solidFill>
                </w14:textFill>
              </w:rPr>
              <w:t>&lt;L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时：</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i/>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i/>
                <w:color w:val="000000" w:themeColor="text1"/>
                <w:sz w:val="24"/>
                <w:szCs w:val="24"/>
                <w:highlight w:val="none"/>
                <w14:textFill>
                  <w14:solidFill>
                    <w14:schemeClr w14:val="tx1"/>
                  </w14:solidFill>
                </w14:textFill>
              </w:rPr>
              <w:t>15lg(</w:t>
            </w:r>
            <w:r>
              <w:rPr>
                <w:rFonts w:hint="default" w:ascii="Times New Roman" w:hAnsi="Times New Roman" w:eastAsia="宋体" w:cs="Times New Roman"/>
                <w:i/>
                <w:color w:val="000000" w:themeColor="text1"/>
                <w:position w:val="-30"/>
                <w:sz w:val="24"/>
                <w:szCs w:val="24"/>
                <w:highlight w:val="none"/>
                <w14:textFill>
                  <w14:solidFill>
                    <w14:schemeClr w14:val="tx1"/>
                  </w14:solidFill>
                </w14:textFill>
              </w:rPr>
              <w:object>
                <v:shape id="_x0000_i1042" o:spt="75" type="#_x0000_t75" style="height:34pt;width:13.95pt;" o:ole="t" fillcolor="#6D6D6D" filled="f" stroked="f" coordsize="21600,21600">
                  <v:path/>
                  <v:fill on="f" alignshape="1" focussize="0,0"/>
                  <v:stroke on="f"/>
                  <v:imagedata r:id="rId38" o:title=""/>
                  <o:lock v:ext="edit" aspectratio="t"/>
                  <w10:wrap type="none"/>
                  <w10:anchorlock/>
                </v:shape>
                <o:OLEObject Type="Embed" ProgID="Equation.3" ShapeID="_x0000_i1042" DrawAspect="Content" ObjectID="_1468075742" r:id="rId41">
                  <o:LockedField>false</o:LockedField>
                </o:OLEObject>
              </w:object>
            </w:r>
            <w:r>
              <w:rPr>
                <w:rFonts w:hint="default" w:ascii="Times New Roman" w:hAnsi="Times New Roman" w:eastAsia="宋体" w:cs="Times New Roman"/>
                <w:i/>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（3）空气吸收衰减量A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atm</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atm</w:t>
            </w:r>
            <w:r>
              <w:rPr>
                <w:rFonts w:hint="default" w:ascii="Times New Roman" w:hAnsi="Times New Roman" w:eastAsia="宋体" w:cs="Times New Roman"/>
                <w:color w:val="000000" w:themeColor="text1"/>
                <w:sz w:val="24"/>
                <w:szCs w:val="24"/>
                <w:highlight w:val="none"/>
                <w14:textFill>
                  <w14:solidFill>
                    <w14:schemeClr w14:val="tx1"/>
                  </w14:solidFill>
                </w14:textFill>
              </w:rPr>
              <w:t>=a（r-r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/1000）</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式中：r——预测点到声源的距离，m；</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——参考点到声源的距离，m；</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a——空气吸收系数，它随频率和距离的增大而增大，项目噪声以中低频率为主，空气吸收性衰减很小，预测时忽略不计。</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（4）遮挡物引起的衰减量A</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bar：</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噪声在向外传播过程中将受到厂房或其它车间的阻挡影响，从而引起能量的衰减，具体衰减根据不同声级的传播途径而定，一般取0～10dB(A)。</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（5）附加衰减量A</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misc</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wordWrap/>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主要考虑地面效应引起的附加衰减量，根据厂区布置和噪声源强从外环境状况，可以忽略本项附加衰减量。</w:t>
            </w:r>
          </w:p>
          <w:p>
            <w:pPr>
              <w:widowControl/>
              <w:spacing w:line="360" w:lineRule="auto"/>
              <w:ind w:firstLine="482" w:firstLineChars="200"/>
              <w:jc w:val="left"/>
              <w:rPr>
                <w:rFonts w:hint="default" w:ascii="Times New Roman" w:hAnsi="Times New Roman" w:cs="Times New Roman"/>
                <w:b/>
                <w:color w:val="000000" w:themeColor="text1"/>
                <w:kern w:val="0"/>
                <w:sz w:val="24"/>
                <w:highlight w:val="none"/>
                <w:lang w:val="en-US"/>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预测</w:t>
            </w:r>
            <w:r>
              <w:rPr>
                <w:rFonts w:hint="eastAsia" w:ascii="Times New Roman" w:hAnsi="Times New Roman" w:cs="Times New Roman"/>
                <w:b/>
                <w:color w:val="000000" w:themeColor="text1"/>
                <w:kern w:val="0"/>
                <w:sz w:val="24"/>
                <w:highlight w:val="none"/>
                <w:lang w:val="en-US" w:eastAsia="zh-CN"/>
                <w14:textFill>
                  <w14:solidFill>
                    <w14:schemeClr w14:val="tx1"/>
                  </w14:solidFill>
                </w14:textFill>
              </w:rPr>
              <w:t>结果</w:t>
            </w:r>
          </w:p>
          <w:p>
            <w:pPr>
              <w:widowControl/>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本项目厂界外</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0m范围内无声环境敏感点，厂界预测结果详见下表。</w:t>
            </w:r>
          </w:p>
          <w:p>
            <w:pPr>
              <w:widowControl/>
              <w:spacing w:line="360" w:lineRule="auto"/>
              <w:jc w:val="center"/>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表4-</w:t>
            </w:r>
            <w:r>
              <w:rPr>
                <w:rFonts w:hint="eastAsia" w:cs="Times New Roman"/>
                <w:b/>
                <w:bCs/>
                <w:color w:val="000000" w:themeColor="text1"/>
                <w:sz w:val="24"/>
                <w:highlight w:val="none"/>
                <w:lang w:val="en-US" w:eastAsia="zh-CN"/>
                <w14:textFill>
                  <w14:solidFill>
                    <w14:schemeClr w14:val="tx1"/>
                  </w14:solidFill>
                </w14:textFill>
              </w:rPr>
              <w:t>18</w:t>
            </w:r>
            <w:r>
              <w:rPr>
                <w:rFonts w:hint="default" w:ascii="Times New Roman" w:hAnsi="Times New Roman" w:cs="Times New Roman"/>
                <w:b/>
                <w:bCs/>
                <w:color w:val="000000" w:themeColor="text1"/>
                <w:sz w:val="24"/>
                <w:highlight w:val="none"/>
                <w14:textFill>
                  <w14:solidFill>
                    <w14:schemeClr w14:val="tx1"/>
                  </w14:solidFill>
                </w14:textFill>
              </w:rPr>
              <w:t xml:space="preserve">  厂界噪声预测结果</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0"/>
              <w:gridCol w:w="1007"/>
              <w:gridCol w:w="1429"/>
              <w:gridCol w:w="1575"/>
              <w:gridCol w:w="1429"/>
              <w:gridCol w:w="1358"/>
              <w:gridCol w:w="1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1120"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预测方位</w:t>
                  </w:r>
                </w:p>
              </w:tc>
              <w:tc>
                <w:tcPr>
                  <w:tcW w:w="1054"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时段</w:t>
                  </w:r>
                </w:p>
              </w:tc>
              <w:tc>
                <w:tcPr>
                  <w:tcW w:w="1496"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拟建项目</w:t>
                  </w:r>
                </w:p>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贡献值（dB(A)）</w:t>
                  </w:r>
                </w:p>
              </w:tc>
              <w:tc>
                <w:tcPr>
                  <w:tcW w:w="1648"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已建</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项目</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环评预测</w:t>
                  </w:r>
                  <w:r>
                    <w:rPr>
                      <w:rFonts w:hint="default" w:ascii="Times New Roman" w:hAnsi="Times New Roman" w:cs="Times New Roman"/>
                      <w:b/>
                      <w:bCs/>
                      <w:color w:val="000000" w:themeColor="text1"/>
                      <w:sz w:val="21"/>
                      <w:szCs w:val="21"/>
                      <w:highlight w:val="none"/>
                      <w14:textFill>
                        <w14:solidFill>
                          <w14:schemeClr w14:val="tx1"/>
                        </w14:solidFill>
                      </w14:textFill>
                    </w:rPr>
                    <w:t>贡献值（dB(A)）</w:t>
                  </w:r>
                </w:p>
              </w:tc>
              <w:tc>
                <w:tcPr>
                  <w:tcW w:w="1496"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叠加贡献值</w:t>
                  </w:r>
                  <w:r>
                    <w:rPr>
                      <w:rFonts w:hint="default" w:ascii="Times New Roman" w:hAnsi="Times New Roman" w:cs="Times New Roman"/>
                      <w:b/>
                      <w:bCs/>
                      <w:color w:val="000000" w:themeColor="text1"/>
                      <w:sz w:val="21"/>
                      <w:szCs w:val="21"/>
                      <w:highlight w:val="none"/>
                      <w14:textFill>
                        <w14:solidFill>
                          <w14:schemeClr w14:val="tx1"/>
                        </w14:solidFill>
                      </w14:textFill>
                    </w:rPr>
                    <w:t>（dB(A)）</w:t>
                  </w:r>
                </w:p>
              </w:tc>
              <w:tc>
                <w:tcPr>
                  <w:tcW w:w="1421"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标准限值（dB(A)）</w:t>
                  </w:r>
                </w:p>
              </w:tc>
              <w:tc>
                <w:tcPr>
                  <w:tcW w:w="1053"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9" w:hRule="atLeast"/>
                <w:jc w:val="center"/>
              </w:trPr>
              <w:tc>
                <w:tcPr>
                  <w:tcW w:w="1120"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54"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496"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648"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496"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421"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53"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9" w:hRule="exact"/>
                <w:jc w:val="center"/>
              </w:trPr>
              <w:tc>
                <w:tcPr>
                  <w:tcW w:w="1120"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东侧</w:t>
                  </w:r>
                </w:p>
              </w:tc>
              <w:tc>
                <w:tcPr>
                  <w:tcW w:w="1054"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52.8</w:t>
                  </w:r>
                </w:p>
              </w:tc>
              <w:tc>
                <w:tcPr>
                  <w:tcW w:w="1648" w:type="dxa"/>
                  <w:tcBorders>
                    <w:tl2br w:val="nil"/>
                    <w:tr2bl w:val="nil"/>
                  </w:tcBorders>
                  <w:shd w:val="clear" w:color="auto" w:fill="auto"/>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40.2</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53.03</w:t>
                  </w:r>
                </w:p>
              </w:tc>
              <w:tc>
                <w:tcPr>
                  <w:tcW w:w="1421"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65</w:t>
                  </w:r>
                </w:p>
              </w:tc>
              <w:tc>
                <w:tcPr>
                  <w:tcW w:w="1053"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1120"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东侧</w:t>
                  </w:r>
                </w:p>
              </w:tc>
              <w:tc>
                <w:tcPr>
                  <w:tcW w:w="1054"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52.8</w:t>
                  </w:r>
                </w:p>
              </w:tc>
              <w:tc>
                <w:tcPr>
                  <w:tcW w:w="164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40.2</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53.03</w:t>
                  </w:r>
                </w:p>
              </w:tc>
              <w:tc>
                <w:tcPr>
                  <w:tcW w:w="1421"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55</w:t>
                  </w:r>
                </w:p>
              </w:tc>
              <w:tc>
                <w:tcPr>
                  <w:tcW w:w="1053"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1120"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南侧</w:t>
                  </w:r>
                </w:p>
              </w:tc>
              <w:tc>
                <w:tcPr>
                  <w:tcW w:w="1054"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41.9</w:t>
                  </w:r>
                </w:p>
              </w:tc>
              <w:tc>
                <w:tcPr>
                  <w:tcW w:w="164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43.8</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45.96</w:t>
                  </w:r>
                </w:p>
              </w:tc>
              <w:tc>
                <w:tcPr>
                  <w:tcW w:w="1421"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65</w:t>
                  </w:r>
                </w:p>
              </w:tc>
              <w:tc>
                <w:tcPr>
                  <w:tcW w:w="1053"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1120"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南侧</w:t>
                  </w:r>
                </w:p>
              </w:tc>
              <w:tc>
                <w:tcPr>
                  <w:tcW w:w="1054"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41.9</w:t>
                  </w:r>
                </w:p>
              </w:tc>
              <w:tc>
                <w:tcPr>
                  <w:tcW w:w="164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43.8</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45.96</w:t>
                  </w:r>
                </w:p>
              </w:tc>
              <w:tc>
                <w:tcPr>
                  <w:tcW w:w="1421"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55</w:t>
                  </w:r>
                </w:p>
              </w:tc>
              <w:tc>
                <w:tcPr>
                  <w:tcW w:w="1053"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1120"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西侧</w:t>
                  </w:r>
                </w:p>
              </w:tc>
              <w:tc>
                <w:tcPr>
                  <w:tcW w:w="1054"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33</w:t>
                  </w:r>
                </w:p>
              </w:tc>
              <w:tc>
                <w:tcPr>
                  <w:tcW w:w="164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34.5</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36.82</w:t>
                  </w:r>
                </w:p>
              </w:tc>
              <w:tc>
                <w:tcPr>
                  <w:tcW w:w="1421"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65</w:t>
                  </w:r>
                </w:p>
              </w:tc>
              <w:tc>
                <w:tcPr>
                  <w:tcW w:w="1053"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1120"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西侧</w:t>
                  </w:r>
                </w:p>
              </w:tc>
              <w:tc>
                <w:tcPr>
                  <w:tcW w:w="1054"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33</w:t>
                  </w:r>
                </w:p>
              </w:tc>
              <w:tc>
                <w:tcPr>
                  <w:tcW w:w="164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34.5</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36.82</w:t>
                  </w:r>
                </w:p>
              </w:tc>
              <w:tc>
                <w:tcPr>
                  <w:tcW w:w="1421"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55</w:t>
                  </w:r>
                </w:p>
              </w:tc>
              <w:tc>
                <w:tcPr>
                  <w:tcW w:w="1053"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1120" w:type="dxa"/>
                  <w:vMerge w:val="restart"/>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北侧</w:t>
                  </w:r>
                </w:p>
              </w:tc>
              <w:tc>
                <w:tcPr>
                  <w:tcW w:w="1054"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50</w:t>
                  </w:r>
                </w:p>
              </w:tc>
              <w:tc>
                <w:tcPr>
                  <w:tcW w:w="1648" w:type="dxa"/>
                  <w:tcBorders>
                    <w:tl2br w:val="nil"/>
                    <w:tr2bl w:val="nil"/>
                  </w:tcBorders>
                  <w:shd w:val="clear" w:color="auto" w:fill="auto"/>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52.3</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54.3</w:t>
                  </w:r>
                </w:p>
              </w:tc>
              <w:tc>
                <w:tcPr>
                  <w:tcW w:w="1421"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65</w:t>
                  </w:r>
                </w:p>
              </w:tc>
              <w:tc>
                <w:tcPr>
                  <w:tcW w:w="1053"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9" w:hRule="exact"/>
                <w:jc w:val="center"/>
              </w:trPr>
              <w:tc>
                <w:tcPr>
                  <w:tcW w:w="1120" w:type="dxa"/>
                  <w:vMerge w:val="continue"/>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北侧</w:t>
                  </w:r>
                </w:p>
              </w:tc>
              <w:tc>
                <w:tcPr>
                  <w:tcW w:w="1054"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50</w:t>
                  </w:r>
                </w:p>
              </w:tc>
              <w:tc>
                <w:tcPr>
                  <w:tcW w:w="1648" w:type="dxa"/>
                  <w:tcBorders>
                    <w:tl2br w:val="nil"/>
                    <w:tr2bl w:val="nil"/>
                  </w:tcBorders>
                  <w:shd w:val="clear" w:color="auto" w:fill="auto"/>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52.3</w:t>
                  </w:r>
                </w:p>
              </w:tc>
              <w:tc>
                <w:tcPr>
                  <w:tcW w:w="1496"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54.3</w:t>
                  </w:r>
                </w:p>
              </w:tc>
              <w:tc>
                <w:tcPr>
                  <w:tcW w:w="1421"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55</w:t>
                  </w:r>
                </w:p>
              </w:tc>
              <w:tc>
                <w:tcPr>
                  <w:tcW w:w="1053" w:type="dxa"/>
                  <w:tcBorders>
                    <w:tl2br w:val="nil"/>
                    <w:tr2bl w:val="nil"/>
                  </w:tcBorders>
                  <w:shd w:val="clear" w:color="auto" w:fill="auto"/>
                  <w:vAlign w:val="center"/>
                </w:tcPr>
                <w:p>
                  <w:pPr>
                    <w:pStyle w:val="16"/>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bl>
          <w:p>
            <w:pPr>
              <w:widowControl/>
              <w:spacing w:line="360" w:lineRule="auto"/>
              <w:ind w:firstLine="482" w:firstLineChars="20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b/>
                <w:color w:val="000000" w:themeColor="text1"/>
                <w:kern w:val="0"/>
                <w:sz w:val="24"/>
                <w:highlight w:val="none"/>
                <w14:textFill>
                  <w14:solidFill>
                    <w14:schemeClr w14:val="tx1"/>
                  </w14:solidFill>
                </w14:textFill>
              </w:rPr>
              <w:t>、</w:t>
            </w:r>
            <w:r>
              <w:rPr>
                <w:rFonts w:hint="default" w:ascii="Times New Roman" w:hAnsi="Times New Roman" w:cs="Times New Roman"/>
                <w:b/>
                <w:color w:val="000000" w:themeColor="text1"/>
                <w:sz w:val="24"/>
                <w:highlight w:val="none"/>
                <w:lang w:val="en-US" w:eastAsia="zh-CN"/>
                <w14:textFill>
                  <w14:solidFill>
                    <w14:schemeClr w14:val="tx1"/>
                  </w14:solidFill>
                </w14:textFill>
              </w:rPr>
              <w:t>噪声达标分析</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根据噪声预测分析，本项目各噪声源在加强采取相应的噪声污染治理措施后，经过几何发散衰减和距离衰减，厂界噪声能满足《工业企业厂界环境噪声排放标准》（GB12348-2008）中</w:t>
            </w:r>
            <w:r>
              <w:rPr>
                <w:rFonts w:hint="eastAsia"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3</w:t>
            </w: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类区标准要求</w:t>
            </w:r>
            <w:r>
              <w:rPr>
                <w:rFonts w:hint="eastAsia"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对周边环境影响较小。</w:t>
            </w:r>
          </w:p>
          <w:p>
            <w:pPr>
              <w:widowControl/>
              <w:spacing w:line="360" w:lineRule="auto"/>
              <w:ind w:firstLine="482" w:firstLineChars="200"/>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b/>
                <w:color w:val="000000" w:themeColor="text1"/>
                <w:kern w:val="0"/>
                <w:sz w:val="24"/>
                <w:highlight w:val="none"/>
                <w14:textFill>
                  <w14:solidFill>
                    <w14:schemeClr w14:val="tx1"/>
                  </w14:solidFill>
                </w14:textFill>
              </w:rPr>
              <w:t>、</w:t>
            </w:r>
            <w:r>
              <w:rPr>
                <w:rFonts w:hint="default" w:ascii="Times New Roman" w:hAnsi="Times New Roman" w:cs="Times New Roman"/>
                <w:b/>
                <w:color w:val="000000" w:themeColor="text1"/>
                <w:sz w:val="24"/>
                <w:highlight w:val="none"/>
                <w14:textFill>
                  <w14:solidFill>
                    <w14:schemeClr w14:val="tx1"/>
                  </w14:solidFill>
                </w14:textFill>
              </w:rPr>
              <w:t>噪声控制措施</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为了降低噪声污染本项目主要采取以下措施：</w:t>
            </w:r>
          </w:p>
          <w:p>
            <w:pPr>
              <w:pStyle w:val="91"/>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a.从治理噪声源入手，选择先进的低噪声设备，在订购设备时，作为技术参数向厂家提出要求；</w:t>
            </w:r>
          </w:p>
          <w:p>
            <w:pPr>
              <w:pStyle w:val="91"/>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b.用隔声法降低噪声，合理布局车间，设置隔声门窗。</w:t>
            </w:r>
          </w:p>
          <w:p>
            <w:pPr>
              <w:pStyle w:val="91"/>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c.设备使用中要加强维修保养，适时添加润滑油防止设备老化产生机械摩擦，使设备处于良好的运行状态，避免因不正常运行所导致的噪声增大。</w:t>
            </w:r>
          </w:p>
          <w:p>
            <w:pPr>
              <w:widowControl/>
              <w:spacing w:line="360" w:lineRule="auto"/>
              <w:ind w:firstLine="480" w:firstLineChars="200"/>
              <w:jc w:val="left"/>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项目厂界外周边</w:t>
            </w:r>
            <w:r>
              <w:rPr>
                <w:rFonts w:hint="eastAsia" w:cs="Times New Roman"/>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color w:val="000000" w:themeColor="text1"/>
                <w:kern w:val="0"/>
                <w:sz w:val="24"/>
                <w:highlight w:val="none"/>
                <w14:textFill>
                  <w14:solidFill>
                    <w14:schemeClr w14:val="tx1"/>
                  </w14:solidFill>
                </w14:textFill>
              </w:rPr>
              <w:t>0米范围没有敏感目标，在采取上述措施后，项目厂界噪声能够达到《工业企业厂界环境噪声排放标准》（GB12348-2008）</w:t>
            </w:r>
            <w:r>
              <w:rPr>
                <w:rFonts w:hint="eastAsia"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类标准（昼间</w:t>
            </w:r>
            <w:bookmarkStart w:id="21" w:name="OLE_LINK18"/>
            <w:r>
              <w:rPr>
                <w:rFonts w:hint="eastAsia" w:cs="Times New Roman"/>
                <w:color w:val="000000" w:themeColor="text1"/>
                <w:kern w:val="0"/>
                <w:sz w:val="24"/>
                <w:highlight w:val="none"/>
                <w:lang w:val="en-US" w:eastAsia="zh-CN"/>
                <w14:textFill>
                  <w14:solidFill>
                    <w14:schemeClr w14:val="tx1"/>
                  </w14:solidFill>
                </w14:textFill>
              </w:rPr>
              <w:t>≤</w:t>
            </w:r>
            <w:bookmarkEnd w:id="21"/>
            <w:r>
              <w:rPr>
                <w:rFonts w:hint="default" w:ascii="Times New Roman" w:hAnsi="Times New Roman" w:cs="Times New Roman"/>
                <w:color w:val="000000" w:themeColor="text1"/>
                <w:kern w:val="0"/>
                <w:sz w:val="24"/>
                <w:highlight w:val="none"/>
                <w14:textFill>
                  <w14:solidFill>
                    <w14:schemeClr w14:val="tx1"/>
                  </w14:solidFill>
                </w14:textFill>
              </w:rPr>
              <w:t>6</w:t>
            </w:r>
            <w:r>
              <w:rPr>
                <w:rFonts w:hint="eastAsia" w:cs="Times New Roman"/>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color w:val="000000" w:themeColor="text1"/>
                <w:kern w:val="0"/>
                <w:sz w:val="24"/>
                <w:highlight w:val="none"/>
                <w14:textFill>
                  <w14:solidFill>
                    <w14:schemeClr w14:val="tx1"/>
                  </w14:solidFill>
                </w14:textFill>
              </w:rPr>
              <w:t>dB（A）、夜间</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5</w:t>
            </w:r>
            <w:r>
              <w:rPr>
                <w:rFonts w:hint="eastAsia" w:cs="Times New Roman"/>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color w:val="000000" w:themeColor="text1"/>
                <w:kern w:val="0"/>
                <w:sz w:val="24"/>
                <w:highlight w:val="none"/>
                <w14:textFill>
                  <w14:solidFill>
                    <w14:schemeClr w14:val="tx1"/>
                  </w14:solidFill>
                </w14:textFill>
              </w:rPr>
              <w:t>dB（A））的要求，项目噪声治理措施可行。</w:t>
            </w:r>
          </w:p>
          <w:p>
            <w:pPr>
              <w:widowControl/>
              <w:spacing w:line="360" w:lineRule="auto"/>
              <w:ind w:firstLine="482" w:firstLineChars="200"/>
              <w:jc w:val="left"/>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b/>
                <w:color w:val="000000" w:themeColor="text1"/>
                <w:kern w:val="0"/>
                <w:sz w:val="24"/>
                <w:highlight w:val="none"/>
                <w14:textFill>
                  <w14:solidFill>
                    <w14:schemeClr w14:val="tx1"/>
                  </w14:solidFill>
                </w14:textFill>
              </w:rPr>
              <w:t>、环境噪声监测要求</w:t>
            </w:r>
          </w:p>
          <w:p>
            <w:pPr>
              <w:widowControl/>
              <w:spacing w:line="360" w:lineRule="auto"/>
              <w:ind w:firstLine="480" w:firstLineChars="200"/>
              <w:jc w:val="left"/>
              <w:rPr>
                <w:rFonts w:hint="default" w:ascii="Times New Roman" w:hAnsi="Times New Roman" w:cs="Times New Roman"/>
                <w:color w:val="000000" w:themeColor="text1"/>
                <w:kern w:val="0"/>
                <w:sz w:val="24"/>
                <w:highlight w:val="none"/>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根据《排污单位自行监测技术指南总则》（HJ819-2017）</w:t>
            </w:r>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bookmarkStart w:id="22" w:name="OLE_LINK19"/>
            <w:r>
              <w:rPr>
                <w:rFonts w:hint="default" w:ascii="Times New Roman" w:hAnsi="Times New Roman" w:cs="Times New Roman"/>
                <w:color w:val="000000" w:themeColor="text1"/>
                <w:kern w:val="0"/>
                <w:sz w:val="24"/>
                <w:highlight w:val="none"/>
                <w:lang w:eastAsia="zh-CN"/>
                <w14:textFill>
                  <w14:solidFill>
                    <w14:schemeClr w14:val="tx1"/>
                  </w14:solidFill>
                </w14:textFill>
              </w:rPr>
              <w:t>排污许可证申请与核发技术规范</w:t>
            </w:r>
            <w:r>
              <w:rPr>
                <w:rFonts w:hint="eastAsia" w:cs="Times New Roman"/>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kern w:val="0"/>
                <w:sz w:val="24"/>
                <w:highlight w:val="none"/>
                <w:lang w:eastAsia="zh-CN"/>
                <w14:textFill>
                  <w14:solidFill>
                    <w14:schemeClr w14:val="tx1"/>
                  </w14:solidFill>
                </w14:textFill>
              </w:rPr>
              <w:t>工业噪声</w:t>
            </w:r>
            <w:bookmarkEnd w:id="22"/>
            <w:r>
              <w:rPr>
                <w:rFonts w:hint="default" w:ascii="Times New Roman" w:hAnsi="Times New Roman" w:cs="Times New Roman"/>
                <w:color w:val="000000" w:themeColor="text1"/>
                <w:kern w:val="0"/>
                <w:sz w:val="24"/>
                <w:highlight w:val="none"/>
                <w:lang w:eastAsia="zh-CN"/>
                <w14:textFill>
                  <w14:solidFill>
                    <w14:schemeClr w14:val="tx1"/>
                  </w14:solidFill>
                </w14:textFill>
              </w:rPr>
              <w:t>》（HJ1301-2023）</w:t>
            </w:r>
            <w:r>
              <w:rPr>
                <w:rFonts w:hint="default" w:ascii="Times New Roman" w:hAnsi="Times New Roman" w:cs="Times New Roman"/>
                <w:color w:val="000000" w:themeColor="text1"/>
                <w:kern w:val="0"/>
                <w:sz w:val="24"/>
                <w:highlight w:val="none"/>
                <w14:textFill>
                  <w14:solidFill>
                    <w14:schemeClr w14:val="tx1"/>
                  </w14:solidFill>
                </w14:textFill>
              </w:rPr>
              <w:t>，项目厂界环境噪声每季度开展一次监测。</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表4-1</w:t>
            </w:r>
            <w:r>
              <w:rPr>
                <w:rFonts w:hint="eastAsia" w:cs="Times New Roman"/>
                <w:b/>
                <w:bCs/>
                <w:color w:val="000000" w:themeColor="text1"/>
                <w:sz w:val="24"/>
                <w:highlight w:val="none"/>
                <w:lang w:val="en-US" w:eastAsia="zh-CN"/>
                <w14:textFill>
                  <w14:solidFill>
                    <w14:schemeClr w14:val="tx1"/>
                  </w14:solidFill>
                </w14:textFill>
              </w:rPr>
              <w:t>9</w:t>
            </w:r>
            <w:r>
              <w:rPr>
                <w:rFonts w:hint="default" w:ascii="Times New Roman" w:hAnsi="Times New Roman" w:cs="Times New Roman"/>
                <w:b/>
                <w:bCs/>
                <w:color w:val="000000" w:themeColor="text1"/>
                <w:sz w:val="24"/>
                <w:highlight w:val="none"/>
                <w14:textFill>
                  <w14:solidFill>
                    <w14:schemeClr w14:val="tx1"/>
                  </w14:solidFill>
                </w14:textFill>
              </w:rPr>
              <w:t xml:space="preserve">  噪声例行</w:t>
            </w:r>
            <w:r>
              <w:rPr>
                <w:rFonts w:hint="eastAsia" w:ascii="Times New Roman" w:hAnsi="Times New Roman" w:eastAsia="宋体" w:cs="Times New Roman"/>
                <w:b/>
                <w:bCs/>
                <w:color w:val="000000" w:themeColor="text1"/>
                <w:kern w:val="0"/>
                <w:sz w:val="24"/>
                <w:highlight w:val="none"/>
                <w:lang w:val="zh-CN"/>
                <w14:textFill>
                  <w14:solidFill>
                    <w14:schemeClr w14:val="tx1"/>
                  </w14:solidFill>
                </w14:textFill>
              </w:rPr>
              <w:t>监测计划一览表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931"/>
              <w:gridCol w:w="1340"/>
              <w:gridCol w:w="1133"/>
              <w:gridCol w:w="4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Align w:val="center"/>
                </w:tcPr>
                <w:p>
                  <w:pPr>
                    <w:widowControl/>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监测项目</w:t>
                  </w:r>
                </w:p>
              </w:tc>
              <w:tc>
                <w:tcPr>
                  <w:tcW w:w="524" w:type="pct"/>
                  <w:vAlign w:val="center"/>
                </w:tcPr>
                <w:p>
                  <w:pPr>
                    <w:widowControl/>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监测点</w:t>
                  </w:r>
                </w:p>
              </w:tc>
              <w:tc>
                <w:tcPr>
                  <w:tcW w:w="755" w:type="pct"/>
                  <w:vAlign w:val="center"/>
                </w:tcPr>
                <w:p>
                  <w:pPr>
                    <w:widowControl/>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监测内容</w:t>
                  </w:r>
                </w:p>
              </w:tc>
              <w:tc>
                <w:tcPr>
                  <w:tcW w:w="638" w:type="pct"/>
                  <w:vAlign w:val="center"/>
                </w:tcPr>
                <w:p>
                  <w:pPr>
                    <w:widowControl/>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监测频次</w:t>
                  </w:r>
                </w:p>
              </w:tc>
              <w:tc>
                <w:tcPr>
                  <w:tcW w:w="2402" w:type="pct"/>
                  <w:vAlign w:val="center"/>
                </w:tcPr>
                <w:p>
                  <w:pPr>
                    <w:widowControl/>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噪声</w:t>
                  </w:r>
                </w:p>
              </w:tc>
              <w:tc>
                <w:tcPr>
                  <w:tcW w:w="524"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厂界四周</w:t>
                  </w:r>
                </w:p>
              </w:tc>
              <w:tc>
                <w:tcPr>
                  <w:tcW w:w="755"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等效连续 A 声级 Leq</w:t>
                  </w:r>
                </w:p>
              </w:tc>
              <w:tc>
                <w:tcPr>
                  <w:tcW w:w="638"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1次/季度</w:t>
                  </w:r>
                </w:p>
              </w:tc>
              <w:tc>
                <w:tcPr>
                  <w:tcW w:w="2402" w:type="pct"/>
                  <w:vAlign w:val="center"/>
                </w:tcPr>
                <w:p>
                  <w:pPr>
                    <w:widowControl/>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《工业企业厂界环境噪声排放标准》（GB12348-2008）</w:t>
                  </w:r>
                  <w:r>
                    <w:rPr>
                      <w:rFonts w:hint="eastAsia" w:cs="Times New Roman"/>
                      <w:color w:val="000000" w:themeColor="text1"/>
                      <w:kern w:val="0"/>
                      <w:szCs w:val="21"/>
                      <w:highlight w:val="none"/>
                      <w:lang w:val="en-US" w:eastAsia="zh-CN"/>
                      <w14:textFill>
                        <w14:solidFill>
                          <w14:schemeClr w14:val="tx1"/>
                        </w14:solidFill>
                      </w14:textFill>
                    </w:rPr>
                    <w:t>3</w:t>
                  </w:r>
                  <w:r>
                    <w:rPr>
                      <w:rFonts w:hint="default" w:ascii="Times New Roman" w:hAnsi="Times New Roman" w:cs="Times New Roman"/>
                      <w:color w:val="000000" w:themeColor="text1"/>
                      <w:kern w:val="0"/>
                      <w:szCs w:val="21"/>
                      <w:highlight w:val="none"/>
                      <w14:textFill>
                        <w14:solidFill>
                          <w14:schemeClr w14:val="tx1"/>
                        </w14:solidFill>
                      </w14:textFill>
                    </w:rPr>
                    <w:t>类标准</w:t>
                  </w:r>
                </w:p>
              </w:tc>
            </w:tr>
          </w:tbl>
          <w:p>
            <w:pPr>
              <w:widowControl/>
              <w:spacing w:line="360" w:lineRule="auto"/>
              <w:ind w:firstLine="482" w:firstLineChars="200"/>
              <w:jc w:val="left"/>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四、固</w:t>
            </w:r>
            <w:r>
              <w:rPr>
                <w:rFonts w:hint="eastAsia" w:cs="Times New Roman"/>
                <w:b/>
                <w:color w:val="000000" w:themeColor="text1"/>
                <w:kern w:val="0"/>
                <w:sz w:val="24"/>
                <w:highlight w:val="none"/>
                <w:lang w:val="en-US" w:eastAsia="zh-CN"/>
                <w14:textFill>
                  <w14:solidFill>
                    <w14:schemeClr w14:val="tx1"/>
                  </w14:solidFill>
                </w14:textFill>
              </w:rPr>
              <w:t>体废物</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新宋体" w:cs="Times New Roman"/>
                <w:b/>
                <w:bCs/>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bCs/>
                <w:color w:val="000000" w:themeColor="text1"/>
                <w:sz w:val="24"/>
                <w:szCs w:val="22"/>
                <w:highlight w:val="none"/>
                <w:lang w:val="en-US" w:eastAsia="zh-CN"/>
                <w14:textFill>
                  <w14:solidFill>
                    <w14:schemeClr w14:val="tx1"/>
                  </w14:solidFill>
                </w14:textFill>
              </w:rPr>
              <w:t>1、固体废物产生情况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本项目运营期固体废物主要为生活垃圾</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一般工业固体废物</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和</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危险废物。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（1）</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劳动定员</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26</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人，生活垃圾产生量按0.5kg/人·d计算，生活垃圾产生量为</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3.9</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t/a，由环卫部门定期清运。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（2）</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一般工业固体废物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项目检测样品及部分试剂原料外包装会产生废纸箱、废塑料袋等废包装材料，</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对照</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《固体废物分类与代码目录》</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，属于SW17可再生类废物（900-099-S17，其他可再生类废物。工业生产活动中产生的其他可再生类废物。）</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根据企业提供资料，产生量约为0.1t/a，集中收集后外售物资回收部门。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eastAsia" w:ascii="宋体" w:hAnsi="宋体" w:eastAsia="宋体" w:cs="宋体"/>
                <w:b/>
                <w:bCs/>
                <w:color w:val="000000" w:themeColor="text1"/>
                <w:sz w:val="24"/>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2"/>
                <w:highlight w:val="none"/>
                <w:lang w:val="en-US" w:eastAsia="zh-CN"/>
                <w14:textFill>
                  <w14:solidFill>
                    <w14:schemeClr w14:val="tx1"/>
                  </w14:solidFill>
                </w14:textFill>
              </w:rPr>
              <w:t>（3）危险废物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①</w:t>
            </w:r>
            <w:r>
              <w:rPr>
                <w:rFonts w:hint="eastAsia" w:ascii="宋体" w:hAnsi="宋体" w:eastAsia="宋体" w:cs="宋体"/>
                <w:b w:val="0"/>
                <w:bCs w:val="0"/>
                <w:color w:val="000000" w:themeColor="text1"/>
                <w:sz w:val="24"/>
                <w:szCs w:val="22"/>
                <w:highlight w:val="none"/>
                <w:lang w:val="en-US" w:eastAsia="zh-CN"/>
                <w14:textFill>
                  <w14:solidFill>
                    <w14:schemeClr w14:val="tx1"/>
                  </w14:solidFill>
                </w14:textFill>
              </w:rPr>
              <w:t>废试剂容器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2"/>
                <w:highlight w:val="none"/>
                <w:lang w:val="en-US" w:eastAsia="zh-CN"/>
                <w14:textFill>
                  <w14:solidFill>
                    <w14:schemeClr w14:val="tx1"/>
                  </w14:solidFill>
                </w14:textFill>
              </w:rPr>
              <w:t>废试剂容器</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主要是</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实验试剂的</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内包装，来源于与试剂直接接触的废弃包装物</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废试剂瓶，属于《国家危险废物名录（202</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5</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 xml:space="preserve"> 年版）》中的“HW49 其他废物 非特定行业 900-047-49”，产生量约0.</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1</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t/a</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，集中收集后暂存</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厂区危废库</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依托已建焚烧炉焚烧处置</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②</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废</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试剂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项目按需求采购试剂，有些试剂使用量很少，可能会产生过期的废试剂，根据建设单位提供资料，同时参考同类型项目，本项目过期的废试剂产生量约为0.0</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2</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t/a，</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属于《国家危险废物名录（202</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5</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年版）》中的“HW49 其他废物 非特定行业 900-047-49”，</w:t>
            </w:r>
            <w:bookmarkStart w:id="23" w:name="OLE_LINK14"/>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集中收集后暂存</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厂区危废库</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依托已建焚烧炉焚烧处置</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p>
          <w:bookmarkEnd w:id="23"/>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2"/>
                <w:highlight w:val="none"/>
                <w:lang w:val="en-US" w:eastAsia="zh-CN"/>
                <w14:textFill>
                  <w14:solidFill>
                    <w14:schemeClr w14:val="tx1"/>
                  </w14:solidFill>
                </w14:textFill>
              </w:rPr>
              <w:t>③</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实验废液、</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废渣及第一步</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清洗废液</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项目实验过程会产生少量样品实验废液、废渣，根据企业提供资料，产生量约为</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30</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t/a。根据实验室常用的仪器清洗方法，每个容器分两步清洗，第一步利用新鲜水将实验仪器附着物清洗干净，清洗废水产生量约为</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4.86</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t/a</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实验废液、</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废渣及第一步</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清洗废液属于《国家危险废物名录（2025年版）》中的“HW49 其他废物 非特定行业 900-047-49”，集中收集后暂存</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厂区危废库</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依托已建焚烧炉焚烧处置</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2"/>
                <w:highlight w:val="none"/>
                <w:lang w:val="en-US" w:eastAsia="zh-CN"/>
                <w14:textFill>
                  <w14:solidFill>
                    <w14:schemeClr w14:val="tx1"/>
                  </w14:solidFill>
                </w14:textFill>
              </w:rPr>
              <w:t>④</w:t>
            </w:r>
            <w:r>
              <w:rPr>
                <w:rFonts w:hint="eastAsia"/>
                <w:color w:val="000000" w:themeColor="text1"/>
                <w:sz w:val="24"/>
                <w:highlight w:val="none"/>
                <w:lang w:bidi="ar"/>
                <w14:textFill>
                  <w14:solidFill>
                    <w14:schemeClr w14:val="tx1"/>
                  </w14:solidFill>
                </w14:textFill>
              </w:rPr>
              <w:t>废耗材：主要为试验过程中产生的</w:t>
            </w:r>
            <w:r>
              <w:rPr>
                <w:rFonts w:hint="eastAsia"/>
                <w:color w:val="000000" w:themeColor="text1"/>
                <w:sz w:val="24"/>
                <w:highlight w:val="none"/>
                <w:lang w:val="en-US" w:eastAsia="zh-CN" w:bidi="ar"/>
                <w14:textFill>
                  <w14:solidFill>
                    <w14:schemeClr w14:val="tx1"/>
                  </w14:solidFill>
                </w14:textFill>
              </w:rPr>
              <w:t>废一次性滴管、</w:t>
            </w:r>
            <w:r>
              <w:rPr>
                <w:rFonts w:hint="eastAsia"/>
                <w:color w:val="000000" w:themeColor="text1"/>
                <w:sz w:val="24"/>
                <w:highlight w:val="none"/>
                <w:lang w:bidi="ar"/>
                <w14:textFill>
                  <w14:solidFill>
                    <w14:schemeClr w14:val="tx1"/>
                  </w14:solidFill>
                </w14:textFill>
              </w:rPr>
              <w:t>废</w:t>
            </w:r>
            <w:r>
              <w:rPr>
                <w:rFonts w:hint="eastAsia"/>
                <w:color w:val="000000" w:themeColor="text1"/>
                <w:sz w:val="24"/>
                <w:highlight w:val="none"/>
                <w:lang w:val="en-US" w:eastAsia="zh-CN" w:bidi="ar"/>
                <w14:textFill>
                  <w14:solidFill>
                    <w14:schemeClr w14:val="tx1"/>
                  </w14:solidFill>
                </w14:textFill>
              </w:rPr>
              <w:t>一次性注射器</w:t>
            </w:r>
            <w:r>
              <w:rPr>
                <w:rFonts w:hint="eastAsia"/>
                <w:color w:val="000000" w:themeColor="text1"/>
                <w:sz w:val="24"/>
                <w:highlight w:val="none"/>
                <w:lang w:bidi="ar"/>
                <w14:textFill>
                  <w14:solidFill>
                    <w14:schemeClr w14:val="tx1"/>
                  </w14:solidFill>
                </w14:textFill>
              </w:rPr>
              <w:t>等，</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属于《国家危险废物名录（202</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5</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 xml:space="preserve"> 年版）》中的“HW49 其他废物 非特定行业 900-047-49”，</w:t>
            </w:r>
            <w:r>
              <w:rPr>
                <w:rFonts w:hint="eastAsia"/>
                <w:color w:val="000000" w:themeColor="text1"/>
                <w:sz w:val="24"/>
                <w:highlight w:val="none"/>
                <w:lang w:bidi="ar"/>
                <w14:textFill>
                  <w14:solidFill>
                    <w14:schemeClr w14:val="tx1"/>
                  </w14:solidFill>
                </w14:textFill>
              </w:rPr>
              <w:t>根据企业提供资料</w:t>
            </w:r>
            <w:r>
              <w:rPr>
                <w:rFonts w:hint="eastAsia"/>
                <w:color w:val="000000" w:themeColor="text1"/>
                <w:sz w:val="24"/>
                <w:highlight w:val="none"/>
                <w:lang w:eastAsia="zh-CN" w:bidi="ar"/>
                <w14:textFill>
                  <w14:solidFill>
                    <w14:schemeClr w14:val="tx1"/>
                  </w14:solidFill>
                </w14:textFill>
              </w:rPr>
              <w:t>，</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产生量约0.</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1</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t/a</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，集中收集后暂存</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厂区危废库</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依托已建焚烧炉焚烧处置</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⑤</w:t>
            </w:r>
            <w:r>
              <w:rPr>
                <w:rFonts w:hint="eastAsia"/>
                <w:color w:val="000000" w:themeColor="text1"/>
                <w:sz w:val="24"/>
                <w:highlight w:val="none"/>
                <w:lang w:bidi="ar"/>
                <w14:textFill>
                  <w14:solidFill>
                    <w14:schemeClr w14:val="tx1"/>
                  </w14:solidFill>
                </w14:textFill>
              </w:rPr>
              <w:t>废</w:t>
            </w:r>
            <w:r>
              <w:rPr>
                <w:rFonts w:hint="eastAsia"/>
                <w:color w:val="000000" w:themeColor="text1"/>
                <w:sz w:val="24"/>
                <w:highlight w:val="none"/>
                <w:lang w:val="en-US" w:eastAsia="zh-CN" w:bidi="ar"/>
                <w14:textFill>
                  <w14:solidFill>
                    <w14:schemeClr w14:val="tx1"/>
                  </w14:solidFill>
                </w14:textFill>
              </w:rPr>
              <w:t>劳保用品</w:t>
            </w:r>
            <w:r>
              <w:rPr>
                <w:rFonts w:hint="eastAsia"/>
                <w:color w:val="000000" w:themeColor="text1"/>
                <w:sz w:val="24"/>
                <w:highlight w:val="none"/>
                <w:lang w:bidi="ar"/>
                <w14:textFill>
                  <w14:solidFill>
                    <w14:schemeClr w14:val="tx1"/>
                  </w14:solidFill>
                </w14:textFill>
              </w:rPr>
              <w:t>：主要为试验过程中产生的沾染试剂的废手套、废口罩等，</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属于《国家危险废物名录（202</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5</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 xml:space="preserve"> 年版）》中的“HW49 其他废物 非特定行业 900-047-49”，</w:t>
            </w:r>
            <w:r>
              <w:rPr>
                <w:rFonts w:hint="eastAsia"/>
                <w:color w:val="000000" w:themeColor="text1"/>
                <w:sz w:val="24"/>
                <w:highlight w:val="none"/>
                <w:lang w:bidi="ar"/>
                <w14:textFill>
                  <w14:solidFill>
                    <w14:schemeClr w14:val="tx1"/>
                  </w14:solidFill>
                </w14:textFill>
              </w:rPr>
              <w:t>根据企业提供资料</w:t>
            </w:r>
            <w:r>
              <w:rPr>
                <w:rFonts w:hint="eastAsia"/>
                <w:color w:val="000000" w:themeColor="text1"/>
                <w:sz w:val="24"/>
                <w:highlight w:val="none"/>
                <w:lang w:eastAsia="zh-CN" w:bidi="ar"/>
                <w14:textFill>
                  <w14:solidFill>
                    <w14:schemeClr w14:val="tx1"/>
                  </w14:solidFill>
                </w14:textFill>
              </w:rPr>
              <w:t>，</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产生量约0.</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15</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t/a</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，集中收集后暂存</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厂区危废库</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r>
              <w:rPr>
                <w:rFonts w:hint="eastAsia" w:eastAsia="新宋体" w:cs="Times New Roman"/>
                <w:b w:val="0"/>
                <w:bCs w:val="0"/>
                <w:color w:val="000000" w:themeColor="text1"/>
                <w:sz w:val="24"/>
                <w:szCs w:val="22"/>
                <w:highlight w:val="none"/>
                <w:lang w:val="en-US" w:eastAsia="zh-CN"/>
                <w14:textFill>
                  <w14:solidFill>
                    <w14:schemeClr w14:val="tx1"/>
                  </w14:solidFill>
                </w14:textFill>
              </w:rPr>
              <w:t>依托已建焚烧炉焚烧处置</w:t>
            </w:r>
            <w:r>
              <w:rPr>
                <w:rFonts w:hint="eastAsia"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2"/>
                <w:highlight w:val="none"/>
                <w:lang w:val="en-US" w:eastAsia="zh-CN"/>
                <w14:textFill>
                  <w14:solidFill>
                    <w14:schemeClr w14:val="tx1"/>
                  </w14:solidFill>
                </w14:textFill>
              </w:rPr>
              <w:t>⑥</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废活性炭</w:t>
            </w:r>
          </w:p>
          <w:p>
            <w:pPr>
              <w:pStyle w:val="3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2"/>
                <w:highlight w:val="none"/>
                <w:lang w:val="en-US" w:eastAsia="zh-CN" w:bidi="ar-SA"/>
                <w14:textFill>
                  <w14:solidFill>
                    <w14:schemeClr w14:val="tx1"/>
                  </w14:solidFill>
                </w14:textFill>
              </w:rPr>
              <w:t>本项目有机废气收集后采用活性炭吸附装置进行处理，活性炭定期更换。本项目选用优质蜂窝活性炭，活性炭采用</w:t>
            </w:r>
            <w:r>
              <w:rPr>
                <w:rFonts w:hint="default" w:ascii="Times New Roman" w:hAnsi="Times New Roman" w:cs="Times New Roman"/>
                <w:b w:val="0"/>
                <w:bCs w:val="0"/>
                <w:color w:val="000000" w:themeColor="text1"/>
                <w:kern w:val="2"/>
                <w:sz w:val="24"/>
                <w:szCs w:val="22"/>
                <w:highlight w:val="none"/>
                <w:lang w:val="en-US" w:eastAsia="zh-CN" w:bidi="ar-SA"/>
                <w14:textFill>
                  <w14:solidFill>
                    <w14:schemeClr w14:val="tx1"/>
                  </w14:solidFill>
                </w14:textFill>
              </w:rPr>
              <w:t>一</w:t>
            </w:r>
            <w:r>
              <w:rPr>
                <w:rFonts w:hint="default" w:ascii="Times New Roman" w:hAnsi="Times New Roman" w:eastAsia="宋体" w:cs="Times New Roman"/>
                <w:b w:val="0"/>
                <w:bCs w:val="0"/>
                <w:color w:val="000000" w:themeColor="text1"/>
                <w:kern w:val="2"/>
                <w:sz w:val="24"/>
                <w:szCs w:val="22"/>
                <w:highlight w:val="none"/>
                <w:lang w:val="en-US" w:eastAsia="zh-CN" w:bidi="ar-SA"/>
                <w14:textFill>
                  <w14:solidFill>
                    <w14:schemeClr w14:val="tx1"/>
                  </w14:solidFill>
                </w14:textFill>
              </w:rPr>
              <w:t>级吸附</w:t>
            </w:r>
            <w:r>
              <w:rPr>
                <w:rFonts w:hint="eastAsia" w:cs="Times New Roman"/>
                <w:b w:val="0"/>
                <w:bCs w:val="0"/>
                <w:color w:val="000000" w:themeColor="text1"/>
                <w:kern w:val="2"/>
                <w:sz w:val="24"/>
                <w:szCs w:val="22"/>
                <w:highlight w:val="none"/>
                <w:lang w:val="en-US" w:eastAsia="zh-CN" w:bidi="ar-SA"/>
                <w14:textFill>
                  <w14:solidFill>
                    <w14:schemeClr w14:val="tx1"/>
                  </w14:solidFill>
                </w14:textFill>
              </w:rPr>
              <w:t>（内置三层吸附）</w:t>
            </w:r>
            <w:r>
              <w:rPr>
                <w:rFonts w:hint="default" w:ascii="Times New Roman" w:hAnsi="Times New Roman" w:eastAsia="宋体" w:cs="Times New Roman"/>
                <w:b w:val="0"/>
                <w:bCs w:val="0"/>
                <w:color w:val="000000" w:themeColor="text1"/>
                <w:kern w:val="2"/>
                <w:sz w:val="24"/>
                <w:szCs w:val="22"/>
                <w:highlight w:val="none"/>
                <w:lang w:val="en-US" w:eastAsia="zh-CN" w:bidi="ar-SA"/>
                <w14:textFill>
                  <w14:solidFill>
                    <w14:schemeClr w14:val="tx1"/>
                  </w14:solidFill>
                </w14:textFill>
              </w:rPr>
              <w:t>。更换时严格按照更换说明进行，每月安排人员对活性炭进行检查，如出现活性炭破损，变色，通透性变差，进行及时更换。根据广东工业大学工程研究，活性炭吸附效率为250g/kg活性炭，考虑到活性炭吸附的有机废气量</w:t>
            </w:r>
            <w:r>
              <w:rPr>
                <w:rFonts w:hint="default" w:ascii="Times New Roman" w:hAnsi="Times New Roman" w:cs="Times New Roman"/>
                <w:b w:val="0"/>
                <w:bCs w:val="0"/>
                <w:color w:val="000000" w:themeColor="text1"/>
                <w:kern w:val="2"/>
                <w:sz w:val="24"/>
                <w:szCs w:val="22"/>
                <w:highlight w:val="none"/>
                <w:lang w:val="en-US" w:eastAsia="zh-CN" w:bidi="ar-SA"/>
                <w14:textFill>
                  <w14:solidFill>
                    <w14:schemeClr w14:val="tx1"/>
                  </w14:solidFill>
                </w14:textFill>
              </w:rPr>
              <w:t>117.66kg/a</w:t>
            </w:r>
            <w:r>
              <w:rPr>
                <w:rFonts w:hint="default" w:ascii="Times New Roman" w:hAnsi="Times New Roman" w:eastAsia="宋体" w:cs="Times New Roman"/>
                <w:b w:val="0"/>
                <w:bCs w:val="0"/>
                <w:color w:val="000000" w:themeColor="text1"/>
                <w:kern w:val="2"/>
                <w:sz w:val="24"/>
                <w:szCs w:val="22"/>
                <w:highlight w:val="none"/>
                <w:lang w:val="en-US" w:eastAsia="zh-CN" w:bidi="ar-SA"/>
                <w14:textFill>
                  <w14:solidFill>
                    <w14:schemeClr w14:val="tx1"/>
                  </w14:solidFill>
                </w14:textFill>
              </w:rPr>
              <w:t>，废活性炭产生量为</w:t>
            </w:r>
            <w:r>
              <w:rPr>
                <w:rFonts w:hint="default" w:ascii="Times New Roman" w:hAnsi="Times New Roman" w:cs="Times New Roman"/>
                <w:b w:val="0"/>
                <w:bCs w:val="0"/>
                <w:color w:val="000000" w:themeColor="text1"/>
                <w:kern w:val="2"/>
                <w:sz w:val="24"/>
                <w:szCs w:val="22"/>
                <w:highlight w:val="none"/>
                <w:lang w:val="en-US" w:eastAsia="zh-CN" w:bidi="ar-SA"/>
                <w14:textFill>
                  <w14:solidFill>
                    <w14:schemeClr w14:val="tx1"/>
                  </w14:solidFill>
                </w14:textFill>
              </w:rPr>
              <w:t>588.3kg</w:t>
            </w:r>
            <w:r>
              <w:rPr>
                <w:rFonts w:hint="default" w:ascii="Times New Roman" w:hAnsi="Times New Roman" w:eastAsia="宋体" w:cs="Times New Roman"/>
                <w:b w:val="0"/>
                <w:bCs w:val="0"/>
                <w:color w:val="000000" w:themeColor="text1"/>
                <w:kern w:val="2"/>
                <w:sz w:val="24"/>
                <w:szCs w:val="22"/>
                <w:highlight w:val="none"/>
                <w:lang w:val="en-US" w:eastAsia="zh-CN" w:bidi="ar-SA"/>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2"/>
                <w:highlight w:val="none"/>
                <w:lang w:val="en-US" w:eastAsia="zh-CN" w:bidi="ar-SA"/>
                <w14:textFill>
                  <w14:solidFill>
                    <w14:schemeClr w14:val="tx1"/>
                  </w14:solidFill>
                </w14:textFill>
              </w:rPr>
              <w:t>根据《国家危险废物名录（2025年版）》，危废类别HW49，废物代码900-039-49</w:t>
            </w:r>
            <w:r>
              <w:rPr>
                <w:rFonts w:hint="default" w:ascii="Times New Roman" w:hAnsi="Times New Roman" w:cs="Times New Roman"/>
                <w:b w:val="0"/>
                <w:bCs w:val="0"/>
                <w:color w:val="000000" w:themeColor="text1"/>
                <w:kern w:val="2"/>
                <w:sz w:val="24"/>
                <w:szCs w:val="22"/>
                <w:highlight w:val="none"/>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z w:val="24"/>
                <w:szCs w:val="22"/>
                <w:highlight w:val="none"/>
                <w:lang w:val="en-US" w:eastAsia="zh-CN"/>
                <w14:textFill>
                  <w14:solidFill>
                    <w14:schemeClr w14:val="tx1"/>
                  </w14:solidFill>
                </w14:textFill>
              </w:rPr>
              <w:t>集中收集后暂存厂区危废库，依托已建焚烧炉焚烧处置。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项目固体废物产排情况及治理措施见下表。</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eastAsia" w:cs="Times New Roman"/>
                <w:b/>
                <w:bCs/>
                <w:color w:val="000000" w:themeColor="text1"/>
                <w:sz w:val="24"/>
                <w:szCs w:val="24"/>
                <w:highlight w:val="none"/>
                <w:lang w:val="en-US" w:eastAsia="zh-CN"/>
                <w14:textFill>
                  <w14:solidFill>
                    <w14:schemeClr w14:val="tx1"/>
                  </w14:solidFill>
                </w14:textFill>
              </w:rPr>
              <w:t>20</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highlight w:val="none"/>
                <w14:textFill>
                  <w14:solidFill>
                    <w14:schemeClr w14:val="tx1"/>
                  </w14:solidFill>
                </w14:textFill>
              </w:rPr>
              <w:t>固体废物产生及处置</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情况</w:t>
            </w:r>
            <w:r>
              <w:rPr>
                <w:rFonts w:hint="default" w:ascii="Times New Roman" w:hAnsi="Times New Roman" w:cs="Times New Roman"/>
                <w:b/>
                <w:bCs/>
                <w:color w:val="000000" w:themeColor="text1"/>
                <w:sz w:val="24"/>
                <w:szCs w:val="24"/>
                <w:highlight w:val="none"/>
                <w14:textFill>
                  <w14:solidFill>
                    <w14:schemeClr w14:val="tx1"/>
                  </w14:solidFill>
                </w14:textFill>
              </w:rPr>
              <w:t>一览表</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28"/>
              <w:gridCol w:w="939"/>
              <w:gridCol w:w="964"/>
              <w:gridCol w:w="608"/>
              <w:gridCol w:w="1266"/>
              <w:gridCol w:w="783"/>
              <w:gridCol w:w="1024"/>
              <w:gridCol w:w="1168"/>
              <w:gridCol w:w="14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vAlign w:val="center"/>
                </w:tcPr>
                <w:p>
                  <w:pPr>
                    <w:snapToGrid w:val="0"/>
                    <w:spacing w:line="240" w:lineRule="auto"/>
                    <w:jc w:val="center"/>
                    <w:rPr>
                      <w:rFonts w:hint="default" w:ascii="Times New Roman" w:hAnsi="Times New Roman"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产生</w:t>
                  </w:r>
                </w:p>
                <w:p>
                  <w:pPr>
                    <w:snapToGrid w:val="0"/>
                    <w:spacing w:line="240" w:lineRule="auto"/>
                    <w:jc w:val="center"/>
                    <w:rPr>
                      <w:rFonts w:hint="default" w:ascii="Times New Roman" w:hAnsi="Times New Roman"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环节</w:t>
                  </w:r>
                </w:p>
              </w:tc>
              <w:tc>
                <w:tcPr>
                  <w:tcW w:w="529"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543"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有害成分</w:t>
                  </w:r>
                </w:p>
              </w:tc>
              <w:tc>
                <w:tcPr>
                  <w:tcW w:w="342"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物理性状</w:t>
                  </w:r>
                </w:p>
              </w:tc>
              <w:tc>
                <w:tcPr>
                  <w:tcW w:w="713"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固</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废类别及编码</w:t>
                  </w:r>
                </w:p>
              </w:tc>
              <w:tc>
                <w:tcPr>
                  <w:tcW w:w="441"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环境危险特性</w:t>
                  </w:r>
                </w:p>
              </w:tc>
              <w:tc>
                <w:tcPr>
                  <w:tcW w:w="576"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产生量</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贮存</w:t>
                  </w:r>
                </w:p>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方式</w:t>
                  </w:r>
                </w:p>
              </w:tc>
              <w:tc>
                <w:tcPr>
                  <w:tcW w:w="841"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处置措施</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职工</w:t>
                  </w:r>
                </w:p>
                <w:p>
                  <w:pPr>
                    <w:snapToGrid w:val="0"/>
                    <w:spacing w:line="270" w:lineRule="exact"/>
                    <w:jc w:val="center"/>
                    <w:rPr>
                      <w:rFonts w:hint="default" w:ascii="Times New Roman" w:hAnsi="Times New Roman"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生活</w:t>
                  </w:r>
                </w:p>
              </w:tc>
              <w:tc>
                <w:tcPr>
                  <w:tcW w:w="529"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生活垃圾</w:t>
                  </w:r>
                </w:p>
              </w:tc>
              <w:tc>
                <w:tcPr>
                  <w:tcW w:w="543"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42"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固态</w:t>
                  </w:r>
                </w:p>
              </w:tc>
              <w:tc>
                <w:tcPr>
                  <w:tcW w:w="713" w:type="pct"/>
                  <w:tcBorders>
                    <w:tl2br w:val="nil"/>
                    <w:tr2bl w:val="nil"/>
                  </w:tcBorders>
                  <w:noWrap w:val="0"/>
                  <w:vAlign w:val="center"/>
                </w:tcPr>
                <w:p>
                  <w:pPr>
                    <w:snapToGrid w:val="0"/>
                    <w:spacing w:line="270" w:lineRule="exact"/>
                    <w:jc w:val="cente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41"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76" w:type="pct"/>
                  <w:tcBorders>
                    <w:tl2br w:val="nil"/>
                    <w:tr2bl w:val="nil"/>
                  </w:tcBorders>
                  <w:noWrap w:val="0"/>
                  <w:vAlign w:val="center"/>
                </w:tcPr>
                <w:p>
                  <w:pPr>
                    <w:snapToGrid w:val="0"/>
                    <w:spacing w:line="270" w:lineRule="exact"/>
                    <w:jc w:val="cente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3</w:t>
                  </w:r>
                  <w:r>
                    <w:rPr>
                      <w:rFonts w:hint="eastAsia" w:cs="Times New Roman"/>
                      <w:b w:val="0"/>
                      <w:bCs w:val="0"/>
                      <w:color w:val="000000" w:themeColor="text1"/>
                      <w:sz w:val="21"/>
                      <w:szCs w:val="21"/>
                      <w:highlight w:val="none"/>
                      <w:lang w:val="en-US" w:eastAsia="zh-CN"/>
                      <w14:textFill>
                        <w14:solidFill>
                          <w14:schemeClr w14:val="tx1"/>
                        </w14:solidFill>
                      </w14:textFill>
                    </w:rPr>
                    <w:t>.9</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垃圾桶</w:t>
                  </w:r>
                </w:p>
              </w:tc>
              <w:tc>
                <w:tcPr>
                  <w:tcW w:w="841" w:type="pct"/>
                  <w:tcBorders>
                    <w:tl2br w:val="nil"/>
                    <w:tr2bl w:val="nil"/>
                  </w:tcBorders>
                  <w:noWrap w:val="0"/>
                  <w:vAlign w:val="center"/>
                </w:tcPr>
                <w:p>
                  <w:pPr>
                    <w:snapToGrid w:val="0"/>
                    <w:spacing w:line="270" w:lineRule="exact"/>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环卫部门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清运</w:t>
                  </w:r>
                  <w:r>
                    <w:rPr>
                      <w:rFonts w:hint="default" w:ascii="Times New Roman" w:hAnsi="Times New Roman" w:cs="Times New Roman"/>
                      <w:color w:val="000000" w:themeColor="text1"/>
                      <w:sz w:val="21"/>
                      <w:szCs w:val="21"/>
                      <w:highlight w:val="none"/>
                      <w14:textFill>
                        <w14:solidFill>
                          <w14:schemeClr w14:val="tx1"/>
                        </w14:solidFill>
                      </w14:textFill>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9"/>
                  <w:tcBorders>
                    <w:tl2br w:val="nil"/>
                    <w:tr2bl w:val="nil"/>
                  </w:tcBorders>
                  <w:noWrap w:val="0"/>
                  <w:vAlign w:val="center"/>
                </w:tcPr>
                <w:p>
                  <w:pPr>
                    <w:snapToGrid w:val="0"/>
                    <w:spacing w:line="270" w:lineRule="exact"/>
                    <w:jc w:val="cente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一般</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工业</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包装</w:t>
                  </w:r>
                </w:p>
              </w:tc>
              <w:tc>
                <w:tcPr>
                  <w:tcW w:w="529"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废包装材料</w:t>
                  </w:r>
                </w:p>
              </w:tc>
              <w:tc>
                <w:tcPr>
                  <w:tcW w:w="543"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42"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固态</w:t>
                  </w:r>
                </w:p>
              </w:tc>
              <w:tc>
                <w:tcPr>
                  <w:tcW w:w="713"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SW17，</w:t>
                  </w: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900-0</w:t>
                  </w:r>
                  <w:r>
                    <w:rPr>
                      <w:rFonts w:hint="eastAsia"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99</w:t>
                  </w: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-S17</w:t>
                  </w:r>
                </w:p>
              </w:tc>
              <w:tc>
                <w:tcPr>
                  <w:tcW w:w="441"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76" w:type="pct"/>
                  <w:tcBorders>
                    <w:tl2br w:val="nil"/>
                    <w:tr2bl w:val="nil"/>
                  </w:tcBorders>
                  <w:noWrap w:val="0"/>
                  <w:vAlign w:val="center"/>
                </w:tcPr>
                <w:p>
                  <w:pPr>
                    <w:snapToGrid w:val="0"/>
                    <w:spacing w:line="270" w:lineRule="exact"/>
                    <w:jc w:val="cente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一般</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工业</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固废暂存处</w:t>
                  </w:r>
                </w:p>
              </w:tc>
              <w:tc>
                <w:tcPr>
                  <w:tcW w:w="841"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外售物资回收部门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9"/>
                  <w:tcBorders>
                    <w:tl2br w:val="nil"/>
                    <w:tr2bl w:val="nil"/>
                  </w:tcBorders>
                  <w:noWrap w:val="0"/>
                  <w:vAlign w:val="center"/>
                </w:tcPr>
                <w:p>
                  <w:pPr>
                    <w:jc w:val="cente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vAlign w:val="center"/>
                </w:tcPr>
                <w:p>
                  <w:pPr>
                    <w:snapToGrid w:val="0"/>
                    <w:spacing w:line="270" w:lineRule="exact"/>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原料包装</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废试剂容器</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废酸、废碱、废有机试剂</w:t>
                  </w:r>
                </w:p>
              </w:tc>
              <w:tc>
                <w:tcPr>
                  <w:tcW w:w="342" w:type="pct"/>
                  <w:tcBorders>
                    <w:tl2br w:val="nil"/>
                    <w:tr2bl w:val="nil"/>
                  </w:tcBorders>
                  <w:noWrap w:val="0"/>
                  <w:vAlign w:val="center"/>
                </w:tcPr>
                <w:p>
                  <w:pPr>
                    <w:snapToGrid w:val="0"/>
                    <w:spacing w:line="270" w:lineRule="exact"/>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固态</w:t>
                  </w:r>
                </w:p>
              </w:tc>
              <w:tc>
                <w:tcPr>
                  <w:tcW w:w="713"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HW</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49</w:t>
                  </w:r>
                </w:p>
                <w:p>
                  <w:pPr>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900-0</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47</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-49</w:t>
                  </w:r>
                </w:p>
              </w:tc>
              <w:tc>
                <w:tcPr>
                  <w:tcW w:w="441" w:type="pct"/>
                  <w:tcBorders>
                    <w:tl2br w:val="nil"/>
                    <w:tr2bl w:val="nil"/>
                  </w:tcBorders>
                  <w:noWrap w:val="0"/>
                  <w:vAlign w:val="center"/>
                </w:tcPr>
                <w:p>
                  <w:pPr>
                    <w:snapToGrid w:val="0"/>
                    <w:spacing w:line="270" w:lineRule="exact"/>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T/C/I/R</w:t>
                  </w:r>
                </w:p>
              </w:tc>
              <w:tc>
                <w:tcPr>
                  <w:tcW w:w="576" w:type="pct"/>
                  <w:tcBorders>
                    <w:tl2br w:val="nil"/>
                    <w:tr2bl w:val="nil"/>
                  </w:tcBorders>
                  <w:noWrap w:val="0"/>
                  <w:vAlign w:val="center"/>
                </w:tcPr>
                <w:p>
                  <w:pPr>
                    <w:jc w:val="center"/>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0.1</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密封袋装</w:t>
                  </w:r>
                </w:p>
              </w:tc>
              <w:tc>
                <w:tcPr>
                  <w:tcW w:w="841" w:type="pct"/>
                  <w:tcBorders>
                    <w:tl2br w:val="nil"/>
                    <w:tr2bl w:val="nil"/>
                  </w:tcBorders>
                  <w:noWrap w:val="0"/>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分类收集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暂存危废库，</w:t>
                  </w:r>
                  <w:r>
                    <w:rPr>
                      <w:rFonts w:hint="eastAsia" w:cs="Times New Roman"/>
                      <w:color w:val="000000" w:themeColor="text1"/>
                      <w:sz w:val="21"/>
                      <w:szCs w:val="21"/>
                      <w:highlight w:val="none"/>
                      <w:lang w:val="en-US" w:eastAsia="zh-CN"/>
                      <w14:textFill>
                        <w14:solidFill>
                          <w14:schemeClr w14:val="tx1"/>
                        </w14:solidFill>
                      </w14:textFill>
                    </w:rPr>
                    <w:t>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vAlign w:val="center"/>
                </w:tcPr>
                <w:p>
                  <w:pPr>
                    <w:snapToGrid w:val="0"/>
                    <w:spacing w:line="270" w:lineRule="exact"/>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实验用原料</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废试剂</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各类试剂</w:t>
                  </w:r>
                </w:p>
              </w:tc>
              <w:tc>
                <w:tcPr>
                  <w:tcW w:w="342" w:type="pct"/>
                  <w:tcBorders>
                    <w:tl2br w:val="nil"/>
                    <w:tr2bl w:val="nil"/>
                  </w:tcBorders>
                  <w:noWrap w:val="0"/>
                  <w:vAlign w:val="center"/>
                </w:tcPr>
                <w:p>
                  <w:pPr>
                    <w:snapToGrid w:val="0"/>
                    <w:spacing w:line="270" w:lineRule="exact"/>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液</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态</w:t>
                  </w:r>
                </w:p>
              </w:tc>
              <w:tc>
                <w:tcPr>
                  <w:tcW w:w="713"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HW</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49</w:t>
                  </w:r>
                </w:p>
                <w:p>
                  <w:pPr>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900-0</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47</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-49</w:t>
                  </w:r>
                </w:p>
              </w:tc>
              <w:tc>
                <w:tcPr>
                  <w:tcW w:w="441" w:type="pct"/>
                  <w:tcBorders>
                    <w:tl2br w:val="nil"/>
                    <w:tr2bl w:val="nil"/>
                  </w:tcBorders>
                  <w:noWrap w:val="0"/>
                  <w:vAlign w:val="center"/>
                </w:tcPr>
                <w:p>
                  <w:pPr>
                    <w:snapToGrid w:val="0"/>
                    <w:spacing w:line="270" w:lineRule="exact"/>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T/C/I/R</w:t>
                  </w:r>
                </w:p>
              </w:tc>
              <w:tc>
                <w:tcPr>
                  <w:tcW w:w="576" w:type="pct"/>
                  <w:tcBorders>
                    <w:tl2br w:val="nil"/>
                    <w:tr2bl w:val="nil"/>
                  </w:tcBorders>
                  <w:noWrap w:val="0"/>
                  <w:vAlign w:val="center"/>
                </w:tcPr>
                <w:p>
                  <w:pPr>
                    <w:jc w:val="center"/>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0.02</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密闭</w:t>
                  </w:r>
                </w:p>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桶装</w:t>
                  </w:r>
                </w:p>
              </w:tc>
              <w:tc>
                <w:tcPr>
                  <w:tcW w:w="841" w:type="pct"/>
                  <w:tcBorders>
                    <w:tl2br w:val="nil"/>
                    <w:tr2bl w:val="nil"/>
                  </w:tcBorders>
                  <w:noWrap w:val="0"/>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分类收集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暂存危废库，</w:t>
                  </w:r>
                  <w:r>
                    <w:rPr>
                      <w:rFonts w:hint="eastAsia" w:cs="Times New Roman"/>
                      <w:color w:val="000000" w:themeColor="text1"/>
                      <w:sz w:val="21"/>
                      <w:szCs w:val="21"/>
                      <w:highlight w:val="none"/>
                      <w:lang w:val="en-US" w:eastAsia="zh-CN"/>
                      <w14:textFill>
                        <w14:solidFill>
                          <w14:schemeClr w14:val="tx1"/>
                        </w14:solidFill>
                      </w14:textFill>
                    </w:rPr>
                    <w:t>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vMerge w:val="restart"/>
                  <w:tcBorders>
                    <w:tl2br w:val="nil"/>
                    <w:tr2bl w:val="nil"/>
                  </w:tcBorders>
                  <w:noWrap w:val="0"/>
                  <w:vAlign w:val="center"/>
                </w:tcPr>
                <w:p>
                  <w:pPr>
                    <w:snapToGrid w:val="0"/>
                    <w:spacing w:line="270" w:lineRule="exact"/>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实验过程</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实验废液、废渣</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酸、碱、有机试剂</w:t>
                  </w:r>
                </w:p>
              </w:tc>
              <w:tc>
                <w:tcPr>
                  <w:tcW w:w="342" w:type="pct"/>
                  <w:tcBorders>
                    <w:tl2br w:val="nil"/>
                    <w:tr2bl w:val="nil"/>
                  </w:tcBorders>
                  <w:noWrap w:val="0"/>
                  <w:vAlign w:val="center"/>
                </w:tcPr>
                <w:p>
                  <w:pPr>
                    <w:snapToGrid w:val="0"/>
                    <w:spacing w:line="270" w:lineRule="exact"/>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液</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态</w:t>
                  </w:r>
                </w:p>
              </w:tc>
              <w:tc>
                <w:tcPr>
                  <w:tcW w:w="713"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HW</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49</w:t>
                  </w:r>
                </w:p>
                <w:p>
                  <w:pPr>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900-0</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47</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-49</w:t>
                  </w:r>
                </w:p>
              </w:tc>
              <w:tc>
                <w:tcPr>
                  <w:tcW w:w="441" w:type="pct"/>
                  <w:tcBorders>
                    <w:tl2br w:val="nil"/>
                    <w:tr2bl w:val="nil"/>
                  </w:tcBorders>
                  <w:noWrap w:val="0"/>
                  <w:vAlign w:val="center"/>
                </w:tcPr>
                <w:p>
                  <w:pPr>
                    <w:snapToGrid w:val="0"/>
                    <w:spacing w:line="270" w:lineRule="exact"/>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T/C/I/R</w:t>
                  </w:r>
                </w:p>
              </w:tc>
              <w:tc>
                <w:tcPr>
                  <w:tcW w:w="576" w:type="pct"/>
                  <w:tcBorders>
                    <w:tl2br w:val="nil"/>
                    <w:tr2bl w:val="nil"/>
                  </w:tcBorders>
                  <w:noWrap w:val="0"/>
                  <w:vAlign w:val="center"/>
                </w:tcPr>
                <w:p>
                  <w:pPr>
                    <w:jc w:val="center"/>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密闭</w:t>
                  </w:r>
                </w:p>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桶装</w:t>
                  </w:r>
                </w:p>
              </w:tc>
              <w:tc>
                <w:tcPr>
                  <w:tcW w:w="841" w:type="pct"/>
                  <w:tcBorders>
                    <w:tl2br w:val="nil"/>
                    <w:tr2bl w:val="nil"/>
                  </w:tcBorders>
                  <w:noWrap w:val="0"/>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分类收集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暂存危废库，</w:t>
                  </w:r>
                  <w:r>
                    <w:rPr>
                      <w:rFonts w:hint="eastAsia" w:cs="Times New Roman"/>
                      <w:color w:val="000000" w:themeColor="text1"/>
                      <w:sz w:val="21"/>
                      <w:szCs w:val="21"/>
                      <w:highlight w:val="none"/>
                      <w:lang w:val="en-US" w:eastAsia="zh-CN"/>
                      <w14:textFill>
                        <w14:solidFill>
                          <w14:schemeClr w14:val="tx1"/>
                        </w14:solidFill>
                      </w14:textFill>
                    </w:rPr>
                    <w:t>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vMerge w:val="continue"/>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清洗废液</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废酸、废碱、废有机试剂</w:t>
                  </w:r>
                </w:p>
              </w:tc>
              <w:tc>
                <w:tcPr>
                  <w:tcW w:w="342" w:type="pct"/>
                  <w:tcBorders>
                    <w:tl2br w:val="nil"/>
                    <w:tr2bl w:val="nil"/>
                  </w:tcBorders>
                  <w:noWrap w:val="0"/>
                  <w:vAlign w:val="center"/>
                </w:tcPr>
                <w:p>
                  <w:pPr>
                    <w:snapToGrid w:val="0"/>
                    <w:spacing w:line="270" w:lineRule="exact"/>
                    <w:jc w:val="cente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液</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态</w:t>
                  </w:r>
                </w:p>
              </w:tc>
              <w:tc>
                <w:tcPr>
                  <w:tcW w:w="713"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HW</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49</w:t>
                  </w:r>
                </w:p>
                <w:p>
                  <w:pPr>
                    <w:snapToGrid w:val="0"/>
                    <w:spacing w:line="240" w:lineRule="auto"/>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900-0</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47</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-49</w:t>
                  </w:r>
                </w:p>
              </w:tc>
              <w:tc>
                <w:tcPr>
                  <w:tcW w:w="441"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T/C/I/R</w:t>
                  </w:r>
                </w:p>
              </w:tc>
              <w:tc>
                <w:tcPr>
                  <w:tcW w:w="576" w:type="pct"/>
                  <w:tcBorders>
                    <w:tl2br w:val="nil"/>
                    <w:tr2bl w:val="nil"/>
                  </w:tcBorders>
                  <w:noWrap w:val="0"/>
                  <w:vAlign w:val="center"/>
                </w:tcPr>
                <w:p>
                  <w:pPr>
                    <w:jc w:val="cente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4.86</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密闭</w:t>
                  </w:r>
                </w:p>
                <w:p>
                  <w:pPr>
                    <w:snapToGrid w:val="0"/>
                    <w:spacing w:line="270" w:lineRule="exact"/>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桶装</w:t>
                  </w:r>
                </w:p>
              </w:tc>
              <w:tc>
                <w:tcPr>
                  <w:tcW w:w="841" w:type="pct"/>
                  <w:tcBorders>
                    <w:tl2br w:val="nil"/>
                    <w:tr2bl w:val="nil"/>
                  </w:tcBorders>
                  <w:noWrap w:val="0"/>
                  <w:vAlign w:val="center"/>
                </w:tcPr>
                <w:p>
                  <w:pPr>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分类收集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暂存危废库，</w:t>
                  </w:r>
                  <w:r>
                    <w:rPr>
                      <w:rFonts w:hint="eastAsia" w:cs="Times New Roman"/>
                      <w:color w:val="000000" w:themeColor="text1"/>
                      <w:sz w:val="21"/>
                      <w:szCs w:val="21"/>
                      <w:highlight w:val="none"/>
                      <w:lang w:val="en-US" w:eastAsia="zh-CN"/>
                      <w14:textFill>
                        <w14:solidFill>
                          <w14:schemeClr w14:val="tx1"/>
                        </w14:solidFill>
                      </w14:textFill>
                    </w:rPr>
                    <w:t>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vMerge w:val="continue"/>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废耗材</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废酸、废碱、废有机试剂</w:t>
                  </w:r>
                </w:p>
              </w:tc>
              <w:tc>
                <w:tcPr>
                  <w:tcW w:w="342" w:type="pct"/>
                  <w:tcBorders>
                    <w:tl2br w:val="nil"/>
                    <w:tr2bl w:val="nil"/>
                  </w:tcBorders>
                  <w:noWrap w:val="0"/>
                  <w:vAlign w:val="center"/>
                </w:tcPr>
                <w:p>
                  <w:pPr>
                    <w:snapToGrid w:val="0"/>
                    <w:spacing w:line="270" w:lineRule="exact"/>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固态</w:t>
                  </w:r>
                </w:p>
              </w:tc>
              <w:tc>
                <w:tcPr>
                  <w:tcW w:w="713"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HW</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49</w:t>
                  </w:r>
                </w:p>
                <w:p>
                  <w:pPr>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900-0</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47</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-49</w:t>
                  </w:r>
                </w:p>
              </w:tc>
              <w:tc>
                <w:tcPr>
                  <w:tcW w:w="441" w:type="pct"/>
                  <w:tcBorders>
                    <w:tl2br w:val="nil"/>
                    <w:tr2bl w:val="nil"/>
                  </w:tcBorders>
                  <w:noWrap w:val="0"/>
                  <w:vAlign w:val="center"/>
                </w:tcPr>
                <w:p>
                  <w:pPr>
                    <w:snapToGrid w:val="0"/>
                    <w:spacing w:line="270" w:lineRule="exact"/>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T/C/I/R</w:t>
                  </w:r>
                </w:p>
              </w:tc>
              <w:tc>
                <w:tcPr>
                  <w:tcW w:w="576" w:type="pct"/>
                  <w:tcBorders>
                    <w:tl2br w:val="nil"/>
                    <w:tr2bl w:val="nil"/>
                  </w:tcBorders>
                  <w:noWrap w:val="0"/>
                  <w:vAlign w:val="center"/>
                </w:tcPr>
                <w:p>
                  <w:pPr>
                    <w:jc w:val="cente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0.1</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密封袋装</w:t>
                  </w:r>
                </w:p>
              </w:tc>
              <w:tc>
                <w:tcPr>
                  <w:tcW w:w="841" w:type="pct"/>
                  <w:tcBorders>
                    <w:tl2br w:val="nil"/>
                    <w:tr2bl w:val="nil"/>
                  </w:tcBorders>
                  <w:noWrap w:val="0"/>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分类收集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暂存危废库，</w:t>
                  </w:r>
                  <w:r>
                    <w:rPr>
                      <w:rFonts w:hint="eastAsia" w:cs="Times New Roman"/>
                      <w:color w:val="000000" w:themeColor="text1"/>
                      <w:sz w:val="21"/>
                      <w:szCs w:val="21"/>
                      <w:highlight w:val="none"/>
                      <w:lang w:val="en-US" w:eastAsia="zh-CN"/>
                      <w14:textFill>
                        <w14:solidFill>
                          <w14:schemeClr w14:val="tx1"/>
                        </w14:solidFill>
                      </w14:textFill>
                    </w:rPr>
                    <w:t>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vMerge w:val="continue"/>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废劳保用品</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废酸、废碱、废有机试剂</w:t>
                  </w:r>
                </w:p>
              </w:tc>
              <w:tc>
                <w:tcPr>
                  <w:tcW w:w="342" w:type="pct"/>
                  <w:tcBorders>
                    <w:tl2br w:val="nil"/>
                    <w:tr2bl w:val="nil"/>
                  </w:tcBorders>
                  <w:noWrap w:val="0"/>
                  <w:vAlign w:val="center"/>
                </w:tcPr>
                <w:p>
                  <w:pPr>
                    <w:snapToGrid w:val="0"/>
                    <w:spacing w:line="270" w:lineRule="exact"/>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固态</w:t>
                  </w:r>
                </w:p>
              </w:tc>
              <w:tc>
                <w:tcPr>
                  <w:tcW w:w="713"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HW</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49</w:t>
                  </w:r>
                </w:p>
                <w:p>
                  <w:pPr>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900-0</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47</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-49</w:t>
                  </w:r>
                </w:p>
              </w:tc>
              <w:tc>
                <w:tcPr>
                  <w:tcW w:w="441" w:type="pct"/>
                  <w:tcBorders>
                    <w:tl2br w:val="nil"/>
                    <w:tr2bl w:val="nil"/>
                  </w:tcBorders>
                  <w:noWrap w:val="0"/>
                  <w:vAlign w:val="center"/>
                </w:tcPr>
                <w:p>
                  <w:pPr>
                    <w:snapToGrid w:val="0"/>
                    <w:spacing w:line="270" w:lineRule="exact"/>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T/C/I/R</w:t>
                  </w:r>
                </w:p>
              </w:tc>
              <w:tc>
                <w:tcPr>
                  <w:tcW w:w="576" w:type="pct"/>
                  <w:tcBorders>
                    <w:tl2br w:val="nil"/>
                    <w:tr2bl w:val="nil"/>
                  </w:tcBorders>
                  <w:noWrap w:val="0"/>
                  <w:vAlign w:val="center"/>
                </w:tcPr>
                <w:p>
                  <w:pPr>
                    <w:jc w:val="cente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0.15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密封袋装</w:t>
                  </w:r>
                </w:p>
              </w:tc>
              <w:tc>
                <w:tcPr>
                  <w:tcW w:w="841" w:type="pct"/>
                  <w:tcBorders>
                    <w:tl2br w:val="nil"/>
                    <w:tr2bl w:val="nil"/>
                  </w:tcBorders>
                  <w:noWrap w:val="0"/>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分类收集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暂存危废库，</w:t>
                  </w:r>
                  <w:r>
                    <w:rPr>
                      <w:rFonts w:hint="eastAsia" w:cs="Times New Roman"/>
                      <w:color w:val="000000" w:themeColor="text1"/>
                      <w:sz w:val="21"/>
                      <w:szCs w:val="21"/>
                      <w:highlight w:val="none"/>
                      <w:lang w:val="en-US" w:eastAsia="zh-CN"/>
                      <w14:textFill>
                        <w14:solidFill>
                          <w14:schemeClr w14:val="tx1"/>
                        </w14:solidFill>
                      </w14:textFill>
                    </w:rPr>
                    <w:t>焚烧处置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废气治理</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废活性炭</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废有机物</w:t>
                  </w:r>
                </w:p>
              </w:tc>
              <w:tc>
                <w:tcPr>
                  <w:tcW w:w="342" w:type="pct"/>
                  <w:tcBorders>
                    <w:tl2br w:val="nil"/>
                    <w:tr2bl w:val="nil"/>
                  </w:tcBorders>
                  <w:noWrap w:val="0"/>
                  <w:vAlign w:val="center"/>
                </w:tcPr>
                <w:p>
                  <w:pPr>
                    <w:snapToGrid w:val="0"/>
                    <w:spacing w:line="270" w:lineRule="exact"/>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固态</w:t>
                  </w:r>
                </w:p>
              </w:tc>
              <w:tc>
                <w:tcPr>
                  <w:tcW w:w="713"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HW</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49</w:t>
                  </w:r>
                </w:p>
                <w:p>
                  <w:pPr>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900-0</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39</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-49</w:t>
                  </w:r>
                </w:p>
              </w:tc>
              <w:tc>
                <w:tcPr>
                  <w:tcW w:w="441" w:type="pct"/>
                  <w:tcBorders>
                    <w:tl2br w:val="nil"/>
                    <w:tr2bl w:val="nil"/>
                  </w:tcBorders>
                  <w:noWrap w:val="0"/>
                  <w:vAlign w:val="center"/>
                </w:tcPr>
                <w:p>
                  <w:pPr>
                    <w:snapToGrid w:val="0"/>
                    <w:spacing w:line="270" w:lineRule="exact"/>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spacing w:val="-17"/>
                      <w:highlight w:val="none"/>
                      <w14:textFill>
                        <w14:solidFill>
                          <w14:schemeClr w14:val="tx1"/>
                        </w14:solidFill>
                      </w14:textFill>
                    </w:rPr>
                    <w:t>T</w:t>
                  </w:r>
                </w:p>
              </w:tc>
              <w:tc>
                <w:tcPr>
                  <w:tcW w:w="576" w:type="pct"/>
                  <w:tcBorders>
                    <w:tl2br w:val="nil"/>
                    <w:tr2bl w:val="nil"/>
                  </w:tcBorders>
                  <w:noWrap w:val="0"/>
                  <w:vAlign w:val="center"/>
                </w:tcPr>
                <w:p>
                  <w:pPr>
                    <w:jc w:val="cente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588.3kg/a</w:t>
                  </w:r>
                </w:p>
              </w:tc>
              <w:tc>
                <w:tcPr>
                  <w:tcW w:w="658" w:type="pct"/>
                  <w:tcBorders>
                    <w:tl2br w:val="nil"/>
                    <w:tr2bl w:val="nil"/>
                  </w:tcBorders>
                  <w:noWrap w:val="0"/>
                  <w:vAlign w:val="center"/>
                </w:tcPr>
                <w:p>
                  <w:pPr>
                    <w:snapToGrid w:val="0"/>
                    <w:spacing w:line="27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密封袋装</w:t>
                  </w:r>
                </w:p>
              </w:tc>
              <w:tc>
                <w:tcPr>
                  <w:tcW w:w="841" w:type="pct"/>
                  <w:tcBorders>
                    <w:tl2br w:val="nil"/>
                    <w:tr2bl w:val="nil"/>
                  </w:tcBorders>
                  <w:noWrap w:val="0"/>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分类收集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暂存危废库，</w:t>
                  </w:r>
                  <w:r>
                    <w:rPr>
                      <w:rFonts w:hint="eastAsia" w:cs="Times New Roman"/>
                      <w:color w:val="000000" w:themeColor="text1"/>
                      <w:sz w:val="21"/>
                      <w:szCs w:val="21"/>
                      <w:highlight w:val="none"/>
                      <w:lang w:val="en-US" w:eastAsia="zh-CN"/>
                      <w14:textFill>
                        <w14:solidFill>
                          <w14:schemeClr w14:val="tx1"/>
                        </w14:solidFill>
                      </w14:textFill>
                    </w:rPr>
                    <w:t>焚烧处置</w:t>
                  </w:r>
                </w:p>
              </w:tc>
            </w:tr>
          </w:tbl>
          <w:p>
            <w:pPr>
              <w:pStyle w:val="14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注：T毒性；</w:t>
            </w:r>
            <w:r>
              <w:rPr>
                <w:rFonts w:hint="eastAsia" w:cs="Times New Roman"/>
                <w:b/>
                <w:bCs/>
                <w:color w:val="000000" w:themeColor="text1"/>
                <w:sz w:val="21"/>
                <w:szCs w:val="21"/>
                <w:highlight w:val="none"/>
                <w:lang w:val="en-US" w:eastAsia="zh-CN"/>
                <w14:textFill>
                  <w14:solidFill>
                    <w14:schemeClr w14:val="tx1"/>
                  </w14:solidFill>
                </w14:textFill>
              </w:rPr>
              <w:t>C</w:t>
            </w:r>
            <w:r>
              <w:rPr>
                <w:rFonts w:hint="default" w:ascii="Times New Roman" w:hAnsi="Times New Roman" w:cs="Times New Roman"/>
                <w:b/>
                <w:bCs/>
                <w:color w:val="000000" w:themeColor="text1"/>
                <w:sz w:val="21"/>
                <w:szCs w:val="21"/>
                <w:highlight w:val="none"/>
                <w14:textFill>
                  <w14:solidFill>
                    <w14:schemeClr w14:val="tx1"/>
                  </w14:solidFill>
                </w14:textFill>
              </w:rPr>
              <w:t>腐蚀性</w:t>
            </w:r>
            <w:r>
              <w:rPr>
                <w:rFonts w:hint="eastAsia"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14:textFill>
                  <w14:solidFill>
                    <w14:schemeClr w14:val="tx1"/>
                  </w14:solidFill>
                </w14:textFill>
              </w:rPr>
              <w:t>I易燃性</w:t>
            </w:r>
            <w:r>
              <w:rPr>
                <w:rFonts w:hint="eastAsia" w:cs="Times New Roman"/>
                <w:b/>
                <w:bCs/>
                <w:color w:val="000000" w:themeColor="text1"/>
                <w:sz w:val="21"/>
                <w:szCs w:val="21"/>
                <w:highlight w:val="none"/>
                <w:lang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R反应性</w:t>
            </w:r>
            <w:r>
              <w:rPr>
                <w:rFonts w:hint="default" w:ascii="Times New Roman" w:hAnsi="Times New Roman"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建设一套回转窑组合焚烧装置，该装置处理系统主体工艺：无轴螺旋进料/推杆喂料器+回转窑+二燃室+余热锅炉（SNCR，氨水）+半干急冷塔+干式吸收装置+袋式除尘器+二级碱洗塔+湿电除尘器+SCR+引风机+烟囱。处理能力：固体废物650kg/h、废液900kg/h，合计1550kg/h，按照年最大运行7200h计算，回转窑处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固体废物</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最大能力4680t/a、二燃室处理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废液</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最大能力6480t/a，合计11160t/a。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本项目废试剂、实验废液、废渣、实验仪器第一步清洗废液合计34.88t/a进焚烧炉二燃室焚烧处置，废气治理产生的废活性炭</w:t>
            </w:r>
            <w:r>
              <w:rPr>
                <w:rFonts w:hint="eastAsia" w:cs="Times New Roman"/>
                <w:color w:val="000000" w:themeColor="text1"/>
                <w:sz w:val="24"/>
                <w:highlight w:val="none"/>
                <w:lang w:val="en-US" w:eastAsia="zh-CN"/>
                <w14:textFill>
                  <w14:solidFill>
                    <w14:schemeClr w14:val="tx1"/>
                  </w14:solidFill>
                </w14:textFill>
              </w:rPr>
              <w:t>、实验室废化学试剂容器、废耗材、沾染化学试剂的废劳保用品合计</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w:t>
            </w:r>
            <w:r>
              <w:rPr>
                <w:rFonts w:hint="eastAsia" w:cs="Times New Roman"/>
                <w:color w:val="000000" w:themeColor="text1"/>
                <w:sz w:val="24"/>
                <w:highlight w:val="none"/>
                <w:lang w:val="en-US" w:eastAsia="zh-CN"/>
                <w14:textFill>
                  <w14:solidFill>
                    <w14:schemeClr w14:val="tx1"/>
                  </w14:solidFill>
                </w14:textFill>
              </w:rPr>
              <w:t>93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83t/a进焚烧炉回转窑焚烧处置。根据现有环保手续，焚烧炉剩余处理能力：二燃室处理废液54.574t/a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回转窑处理固废77.236t/a。可满足本项目需求。</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、环境管理要求</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一般</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一般工业固废的暂存场所需按照</w:t>
            </w:r>
            <w:r>
              <w:rPr>
                <w:rFonts w:hint="default" w:ascii="Times New Roman" w:hAnsi="Times New Roman" w:eastAsia="新宋体" w:cs="Times New Roman"/>
                <w:color w:val="000000" w:themeColor="text1"/>
                <w:sz w:val="24"/>
                <w:szCs w:val="22"/>
                <w:highlight w:val="none"/>
                <w14:textFill>
                  <w14:solidFill>
                    <w14:schemeClr w14:val="tx1"/>
                  </w14:solidFill>
                </w14:textFill>
              </w:rPr>
              <w:t>《中华人民共和国固体废物污染环境防治法》中关于一般工业固体废物贮存相关要求，并参照执行《一般工业固体废物贮存和填埋污染控制标准》（GB18599-2020）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要求建设，具体要求如下：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①贮存、处置场的建设类型必须与将要堆放的一般工业固体废物的类别相一致。</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b/>
                <w:bCs/>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②贮存、处置场应采取防止</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异味</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污染的措施。对于有酒糟堆场等应进行覆盖，及时清理堆场、道路上抛洒的酒糟等。</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③防止雨水径流进入贮存、处置场内。</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b/>
                <w:bCs/>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④张贴一般工业固废暂存间的环保标识。</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危险废物</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b w:val="0"/>
                <w:color w:val="000000" w:themeColor="text1"/>
                <w:kern w:val="2"/>
                <w:sz w:val="24"/>
                <w:szCs w:val="24"/>
                <w:highlight w:val="none"/>
                <w14:textFill>
                  <w14:solidFill>
                    <w14:schemeClr w14:val="tx1"/>
                  </w14:solidFill>
                </w14:textFill>
              </w:rPr>
              <w:t>危险废物应按照《危险废物贮存污染物控制标准》（GB18597-2023）要求设置：</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eastAsia="Times New Roman"/>
                <w:b w:val="0"/>
                <w:color w:val="000000" w:themeColor="text1"/>
                <w:kern w:val="2"/>
                <w:sz w:val="24"/>
                <w:szCs w:val="24"/>
                <w:highlight w:val="none"/>
                <w14:textFill>
                  <w14:solidFill>
                    <w14:schemeClr w14:val="tx1"/>
                  </w14:solidFill>
                </w14:textFill>
              </w:rPr>
              <w:t>①</w:t>
            </w:r>
            <w:r>
              <w:rPr>
                <w:rFonts w:hint="eastAsia"/>
                <w:b w:val="0"/>
                <w:color w:val="000000" w:themeColor="text1"/>
                <w:kern w:val="2"/>
                <w:sz w:val="24"/>
                <w:szCs w:val="24"/>
                <w:highlight w:val="none"/>
                <w14:textFill>
                  <w14:solidFill>
                    <w14:schemeClr w14:val="tx1"/>
                  </w14:solidFill>
                </w14:textFill>
              </w:rPr>
              <w:t>危险废物的收集</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b w:val="0"/>
                <w:color w:val="000000" w:themeColor="text1"/>
                <w:kern w:val="2"/>
                <w:sz w:val="24"/>
                <w:szCs w:val="24"/>
                <w:highlight w:val="none"/>
                <w14:textFill>
                  <w14:solidFill>
                    <w14:schemeClr w14:val="tx1"/>
                  </w14:solidFill>
                </w14:textFill>
              </w:rPr>
              <w:t>危险废物应该分类收集，分区存放于危废库。</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eastAsia="Times New Roman"/>
                <w:b w:val="0"/>
                <w:color w:val="000000" w:themeColor="text1"/>
                <w:kern w:val="2"/>
                <w:sz w:val="24"/>
                <w:szCs w:val="24"/>
                <w:highlight w:val="none"/>
                <w14:textFill>
                  <w14:solidFill>
                    <w14:schemeClr w14:val="tx1"/>
                  </w14:solidFill>
                </w14:textFill>
              </w:rPr>
              <w:t>②</w:t>
            </w:r>
            <w:r>
              <w:rPr>
                <w:rFonts w:hint="eastAsia"/>
                <w:b w:val="0"/>
                <w:color w:val="000000" w:themeColor="text1"/>
                <w:kern w:val="2"/>
                <w:sz w:val="24"/>
                <w:szCs w:val="24"/>
                <w:highlight w:val="none"/>
                <w14:textFill>
                  <w14:solidFill>
                    <w14:schemeClr w14:val="tx1"/>
                  </w14:solidFill>
                </w14:textFill>
              </w:rPr>
              <w:t>危险废物储存、运输要求</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b w:val="0"/>
                <w:color w:val="000000" w:themeColor="text1"/>
                <w:kern w:val="2"/>
                <w:sz w:val="24"/>
                <w:szCs w:val="24"/>
                <w:highlight w:val="none"/>
                <w14:textFill>
                  <w14:solidFill>
                    <w14:schemeClr w14:val="tx1"/>
                  </w14:solidFill>
                </w14:textFill>
              </w:rPr>
              <w:t>根据《中华人民共和国固体废物环境污染防治法》规定：对于危险废物，企业应按照国家有关规定进行申报登记，执行联单制度；对危险废物的容器和包装桶以及收集、储存、运输、处置危险废物的设施、场所必须设置危险废物识别标志，并且危险废物的储存地应远离生产区，注意通风、防火以免引起火灾，运输过程中必须采取密闭运输等防止污染环境的措施，遵守国家有关危险货物运输管理的规定。严禁在雨天进行危废的运输和转运工作。</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eastAsia="Times New Roman"/>
                <w:b w:val="0"/>
                <w:color w:val="000000" w:themeColor="text1"/>
                <w:kern w:val="2"/>
                <w:sz w:val="24"/>
                <w:szCs w:val="24"/>
                <w:highlight w:val="none"/>
                <w14:textFill>
                  <w14:solidFill>
                    <w14:schemeClr w14:val="tx1"/>
                  </w14:solidFill>
                </w14:textFill>
              </w:rPr>
              <w:t>③</w:t>
            </w:r>
            <w:r>
              <w:rPr>
                <w:rFonts w:hint="eastAsia"/>
                <w:b w:val="0"/>
                <w:color w:val="000000" w:themeColor="text1"/>
                <w:kern w:val="2"/>
                <w:sz w:val="24"/>
                <w:szCs w:val="24"/>
                <w:highlight w:val="none"/>
                <w14:textFill>
                  <w14:solidFill>
                    <w14:schemeClr w14:val="tx1"/>
                  </w14:solidFill>
                </w14:textFill>
              </w:rPr>
              <w:t>危废库的建设要求</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b w:val="0"/>
                <w:color w:val="000000" w:themeColor="text1"/>
                <w:kern w:val="2"/>
                <w:sz w:val="24"/>
                <w:szCs w:val="24"/>
                <w:highlight w:val="none"/>
                <w14:textFill>
                  <w14:solidFill>
                    <w14:schemeClr w14:val="tx1"/>
                  </w14:solidFill>
                </w14:textFill>
              </w:rPr>
              <w:t>根据《中华人民共和国固体废物环境污染防治法》规定：对危险废物的容器和包装桶以及收集、储存、运输、处置危险废物的设施、场所必须设置危险废物识别标志，并且危险废物的储存地应远离生产区，注意通风、防火以免引起火灾，运输过程中必须采取密闭运输等防止污染环境的措施，遵守国家有关危险货物运输管理的规定。严禁在雨天进行危废的运输和转运工作。</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b w:val="0"/>
                <w:color w:val="000000" w:themeColor="text1"/>
                <w:kern w:val="2"/>
                <w:sz w:val="24"/>
                <w:szCs w:val="24"/>
                <w:highlight w:val="none"/>
                <w14:textFill>
                  <w14:solidFill>
                    <w14:schemeClr w14:val="tx1"/>
                  </w14:solidFill>
                </w14:textFill>
              </w:rPr>
              <w:t>危废库场地标高应高于车间地面标高，并在仓库内设置围堰或者托盘，应进行防雨设计。</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b w:val="0"/>
                <w:color w:val="000000" w:themeColor="text1"/>
                <w:kern w:val="2"/>
                <w:sz w:val="24"/>
                <w:szCs w:val="24"/>
                <w:highlight w:val="none"/>
                <w14:textFill>
                  <w14:solidFill>
                    <w14:schemeClr w14:val="tx1"/>
                  </w14:solidFill>
                </w14:textFill>
              </w:rPr>
              <w:t>危险废物暂存区场地防渗处理后，渗透系数要小于1×10</w:t>
            </w:r>
            <w:r>
              <w:rPr>
                <w:rFonts w:hint="eastAsia"/>
                <w:b w:val="0"/>
                <w:color w:val="000000" w:themeColor="text1"/>
                <w:kern w:val="2"/>
                <w:sz w:val="24"/>
                <w:szCs w:val="24"/>
                <w:highlight w:val="none"/>
                <w:vertAlign w:val="superscript"/>
                <w14:textFill>
                  <w14:solidFill>
                    <w14:schemeClr w14:val="tx1"/>
                  </w14:solidFill>
                </w14:textFill>
              </w:rPr>
              <w:t>-10</w:t>
            </w:r>
            <w:r>
              <w:rPr>
                <w:rFonts w:hint="eastAsia"/>
                <w:b w:val="0"/>
                <w:color w:val="000000" w:themeColor="text1"/>
                <w:kern w:val="2"/>
                <w:sz w:val="24"/>
                <w:szCs w:val="24"/>
                <w:highlight w:val="none"/>
                <w14:textFill>
                  <w14:solidFill>
                    <w14:schemeClr w14:val="tx1"/>
                  </w14:solidFill>
                </w14:textFill>
              </w:rPr>
              <w:t>cm/s。</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b w:val="0"/>
                <w:color w:val="000000" w:themeColor="text1"/>
                <w:kern w:val="2"/>
                <w:sz w:val="24"/>
                <w:szCs w:val="24"/>
                <w:highlight w:val="none"/>
                <w14:textFill>
                  <w14:solidFill>
                    <w14:schemeClr w14:val="tx1"/>
                  </w14:solidFill>
                </w14:textFill>
              </w:rPr>
              <w:t>危废库门按要求设置提示性和和警示性图形标志。</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eastAsia="Times New Roman"/>
                <w:b w:val="0"/>
                <w:color w:val="000000" w:themeColor="text1"/>
                <w:kern w:val="2"/>
                <w:sz w:val="24"/>
                <w:szCs w:val="24"/>
                <w:highlight w:val="none"/>
                <w14:textFill>
                  <w14:solidFill>
                    <w14:schemeClr w14:val="tx1"/>
                  </w14:solidFill>
                </w14:textFill>
              </w:rPr>
              <w:t>④</w:t>
            </w:r>
            <w:r>
              <w:rPr>
                <w:rFonts w:hint="eastAsia"/>
                <w:b w:val="0"/>
                <w:color w:val="000000" w:themeColor="text1"/>
                <w:kern w:val="2"/>
                <w:sz w:val="24"/>
                <w:szCs w:val="24"/>
                <w:highlight w:val="none"/>
                <w14:textFill>
                  <w14:solidFill>
                    <w14:schemeClr w14:val="tx1"/>
                  </w14:solidFill>
                </w14:textFill>
              </w:rPr>
              <w:t>应建立档案制度，将存放的固体废物的种类和数量，以及存放设施的检查维护等资料详细记录在案，长期保存，供随时查阅。除此之外，危险废物暂存区还要记录危险废物的名称、来源、数量、特性和包装容器的类别、入库日期、存放库位、出库日期及接受单位名称。</w:t>
            </w:r>
          </w:p>
          <w:p>
            <w:pPr>
              <w:pStyle w:val="114"/>
              <w:numPr>
                <w:ilvl w:val="0"/>
                <w:numId w:val="0"/>
              </w:numPr>
              <w:ind w:firstLine="480"/>
              <w:rPr>
                <w:rFonts w:hint="eastAsia" w:eastAsia="Times New Roman"/>
                <w:b w:val="0"/>
                <w:color w:val="000000" w:themeColor="text1"/>
                <w:kern w:val="2"/>
                <w:sz w:val="24"/>
                <w:szCs w:val="24"/>
                <w:highlight w:val="none"/>
                <w14:textFill>
                  <w14:solidFill>
                    <w14:schemeClr w14:val="tx1"/>
                  </w14:solidFill>
                </w14:textFill>
              </w:rPr>
            </w:pPr>
            <w:r>
              <w:rPr>
                <w:rFonts w:hint="eastAsia" w:eastAsia="Times New Roman"/>
                <w:b w:val="0"/>
                <w:color w:val="000000" w:themeColor="text1"/>
                <w:kern w:val="2"/>
                <w:sz w:val="24"/>
                <w:szCs w:val="24"/>
                <w:highlight w:val="none"/>
                <w14:textFill>
                  <w14:solidFill>
                    <w14:schemeClr w14:val="tx1"/>
                  </w14:solidFill>
                </w14:textFill>
              </w:rPr>
              <w:t>⑤</w:t>
            </w:r>
            <w:r>
              <w:rPr>
                <w:rFonts w:hint="eastAsia"/>
                <w:b w:val="0"/>
                <w:color w:val="000000" w:themeColor="text1"/>
                <w:kern w:val="2"/>
                <w:sz w:val="24"/>
                <w:szCs w:val="24"/>
                <w:highlight w:val="none"/>
                <w14:textFill>
                  <w14:solidFill>
                    <w14:schemeClr w14:val="tx1"/>
                  </w14:solidFill>
                </w14:textFill>
              </w:rPr>
              <w:t>危险废物暂存区特定要求：a.在常温常压下不水解、不挥发的固体废物可在暂存区内分别堆放，其它危险废物要装入容器内，并禁止将不相容(相互反应)的危险废物在同一容器内混装。装载液体、半固体危险废物的容器顶部与液体表面之间保留100mm以上的空间；无法装入正常容器的危险废物可用防漏胶袋盛装；容器上必须粘贴危险废物标签。b.装载危险废物的容器必须完好无损，材质要满足相应的强度要求，容器材质与衬里要与危险废物相容(不相互反应)，液体危险废物可注入开孔直径不超过70mm并有放气孔的桶中。c.危险废物暂存区地面与墙裙要用坚固、防渗的材料建筑，并必须与危险废物相容；必须有泄漏液体的收集装置；内部要有安全照明设施和观察窗口；内部场地要有耐腐蚀的硬化地面且表面无裂隙；不相容的危险废物必须分开存放并设有隔离间隔离。本项目危废首先分类收集，暂存于危废暂存库，定期</w:t>
            </w:r>
            <w:r>
              <w:rPr>
                <w:rFonts w:hint="eastAsia"/>
                <w:b w:val="0"/>
                <w:color w:val="000000" w:themeColor="text1"/>
                <w:kern w:val="2"/>
                <w:sz w:val="24"/>
                <w:szCs w:val="24"/>
                <w:highlight w:val="none"/>
                <w:lang w:val="en-US" w:eastAsia="zh-CN"/>
                <w14:textFill>
                  <w14:solidFill>
                    <w14:schemeClr w14:val="tx1"/>
                  </w14:solidFill>
                </w14:textFill>
              </w:rPr>
              <w:t>焚烧</w:t>
            </w:r>
            <w:r>
              <w:rPr>
                <w:rFonts w:hint="eastAsia"/>
                <w:b w:val="0"/>
                <w:color w:val="000000" w:themeColor="text1"/>
                <w:kern w:val="2"/>
                <w:sz w:val="24"/>
                <w:szCs w:val="24"/>
                <w:highlight w:val="none"/>
                <w14:textFill>
                  <w14:solidFill>
                    <w14:schemeClr w14:val="tx1"/>
                  </w14:solidFill>
                </w14:textFill>
              </w:rPr>
              <w:t>处置。</w:t>
            </w:r>
          </w:p>
          <w:p>
            <w:pPr>
              <w:pStyle w:val="114"/>
              <w:numPr>
                <w:ilvl w:val="0"/>
                <w:numId w:val="0"/>
              </w:numPr>
              <w:ind w:firstLine="480"/>
              <w:rPr>
                <w:rFonts w:hint="eastAsia" w:eastAsia="Times New Roman"/>
                <w:b w:val="0"/>
                <w:color w:val="000000" w:themeColor="text1"/>
                <w:kern w:val="2"/>
                <w:sz w:val="24"/>
                <w:szCs w:val="24"/>
                <w:highlight w:val="none"/>
                <w:lang w:val="en-GB"/>
                <w14:textFill>
                  <w14:solidFill>
                    <w14:schemeClr w14:val="tx1"/>
                  </w14:solidFill>
                </w14:textFill>
              </w:rPr>
            </w:pPr>
            <w:r>
              <w:rPr>
                <w:rFonts w:hint="eastAsia"/>
                <w:b w:val="0"/>
                <w:color w:val="000000" w:themeColor="text1"/>
                <w:kern w:val="2"/>
                <w:sz w:val="24"/>
                <w:szCs w:val="24"/>
                <w:highlight w:val="none"/>
                <w14:textFill>
                  <w14:solidFill>
                    <w14:schemeClr w14:val="tx1"/>
                  </w14:solidFill>
                </w14:textFill>
              </w:rPr>
              <w:t>经上述处理后，固体废物能够合理处置，固体废物只在厂内作短时间的堆放，对环境产生影响较小。固体废物处置符合《一般工业固体废物贮存和填埋污染控制标准》（GB18599-2020）和《危险废物贮存污染控制标准》（GB18597-2023）要求</w:t>
            </w:r>
            <w:r>
              <w:rPr>
                <w:rFonts w:hint="eastAsia"/>
                <w:b w:val="0"/>
                <w:color w:val="000000" w:themeColor="text1"/>
                <w:kern w:val="2"/>
                <w:sz w:val="24"/>
                <w:szCs w:val="24"/>
                <w:highlight w:val="none"/>
                <w:lang w:val="en-GB"/>
                <w14:textFill>
                  <w14:solidFill>
                    <w14:schemeClr w14:val="tx1"/>
                  </w14:solidFill>
                </w14:textFill>
              </w:rPr>
              <w:t>，对周围环境影响较小。</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表4-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 xml:space="preserve">  固废环境管理要求</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5"/>
              <w:gridCol w:w="79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 w:type="pct"/>
                  <w:noWrap w:val="0"/>
                  <w:vAlign w:val="center"/>
                </w:tcPr>
                <w:p>
                  <w:pPr>
                    <w:pStyle w:val="112"/>
                    <w:spacing w:before="0" w:line="300" w:lineRule="exact"/>
                    <w:rPr>
                      <w:rFonts w:hint="eastAsia" w:cs="Times New Roman"/>
                      <w:b/>
                      <w:color w:val="000000" w:themeColor="text1"/>
                      <w:highlight w:val="none"/>
                      <w14:textFill>
                        <w14:solidFill>
                          <w14:schemeClr w14:val="tx1"/>
                        </w14:solidFill>
                      </w14:textFill>
                    </w:rPr>
                  </w:pPr>
                  <w:r>
                    <w:rPr>
                      <w:rFonts w:hint="eastAsia" w:cs="Times New Roman"/>
                      <w:b/>
                      <w:color w:val="000000" w:themeColor="text1"/>
                      <w:highlight w:val="none"/>
                      <w14:textFill>
                        <w14:solidFill>
                          <w14:schemeClr w14:val="tx1"/>
                        </w14:solidFill>
                      </w14:textFill>
                    </w:rPr>
                    <w:t>项目</w:t>
                  </w:r>
                </w:p>
              </w:tc>
              <w:tc>
                <w:tcPr>
                  <w:tcW w:w="4495" w:type="pct"/>
                  <w:noWrap w:val="0"/>
                  <w:vAlign w:val="center"/>
                </w:tcPr>
                <w:p>
                  <w:pPr>
                    <w:pStyle w:val="112"/>
                    <w:spacing w:before="0" w:line="300" w:lineRule="exact"/>
                    <w:rPr>
                      <w:rFonts w:hint="eastAsia" w:eastAsia="Times New Roman" w:cs="Times New Roman"/>
                      <w:b/>
                      <w:color w:val="000000" w:themeColor="text1"/>
                      <w:highlight w:val="none"/>
                      <w14:textFill>
                        <w14:solidFill>
                          <w14:schemeClr w14:val="tx1"/>
                        </w14:solidFill>
                      </w14:textFill>
                    </w:rPr>
                  </w:pPr>
                  <w:r>
                    <w:rPr>
                      <w:rFonts w:hint="eastAsia" w:cs="Times New Roman"/>
                      <w:b/>
                      <w:color w:val="000000" w:themeColor="text1"/>
                      <w:highlight w:val="none"/>
                      <w14:textFill>
                        <w14:solidFill>
                          <w14:schemeClr w14:val="tx1"/>
                        </w14:solidFill>
                      </w14:textFill>
                    </w:rPr>
                    <w:t>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 w:type="pct"/>
                  <w:vMerge w:val="restart"/>
                  <w:noWrap w:val="0"/>
                  <w:vAlign w:val="center"/>
                </w:tcPr>
                <w:p>
                  <w:pPr>
                    <w:pStyle w:val="112"/>
                    <w:spacing w:before="0" w:line="300" w:lineRule="exact"/>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固废</w:t>
                  </w:r>
                </w:p>
              </w:tc>
              <w:tc>
                <w:tcPr>
                  <w:tcW w:w="4495" w:type="pct"/>
                  <w:noWrap w:val="0"/>
                  <w:vAlign w:val="center"/>
                </w:tcPr>
                <w:p>
                  <w:pPr>
                    <w:pStyle w:val="112"/>
                    <w:spacing w:before="0" w:line="300" w:lineRule="exact"/>
                    <w:rPr>
                      <w:rFonts w:hint="eastAsia" w:eastAsia="Times New Roman"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统计固体废物种类、产生量、处理方式（去向）等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 w:type="pct"/>
                  <w:vMerge w:val="continue"/>
                  <w:noWrap w:val="0"/>
                  <w:vAlign w:val="center"/>
                </w:tcPr>
                <w:p>
                  <w:pPr>
                    <w:pStyle w:val="112"/>
                    <w:spacing w:before="0" w:line="300" w:lineRule="exact"/>
                    <w:rPr>
                      <w:rFonts w:cs="Times New Roman"/>
                      <w:color w:val="000000" w:themeColor="text1"/>
                      <w:highlight w:val="none"/>
                      <w14:textFill>
                        <w14:solidFill>
                          <w14:schemeClr w14:val="tx1"/>
                        </w14:solidFill>
                      </w14:textFill>
                    </w:rPr>
                  </w:pPr>
                </w:p>
              </w:tc>
              <w:tc>
                <w:tcPr>
                  <w:tcW w:w="4495" w:type="pct"/>
                  <w:noWrap w:val="0"/>
                  <w:vAlign w:val="center"/>
                </w:tcPr>
                <w:p>
                  <w:pPr>
                    <w:pStyle w:val="112"/>
                    <w:spacing w:line="300" w:lineRule="exact"/>
                    <w:rPr>
                      <w:rFonts w:hint="eastAsia" w:eastAsia="Times New Roman"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周期与频率：每月一次</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）其他要求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要求企业按照《危险废物管理计划和管理台账制定技术导则》（HJ1259—2022）制定管理计划和台账。企业应按年度制定危险废物管理计划。包括单位基本信息、危险废物产生情况信息、危险废物贮存情况信息、危废物减量化计划和措施、危险废物转移情况信息。根据危险废物产生、贮存、利用、处置等环节的动态流向，如实建立各环节的危险废物管理台账。定期通过国家危险废物信息管理系统向所在地生态环境主管部门申报危险废物的种类、产生量、流向、贮存、利用、处置等有关资料。</w:t>
            </w:r>
          </w:p>
          <w:p>
            <w:pPr>
              <w:tabs>
                <w:tab w:val="left" w:pos="5319"/>
              </w:tabs>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"http://www.mee.gov.cn/ywgz/fgbz/bz/bzwb/pwxk/202111/W020211112510629890553.pdf" </w:instrText>
            </w:r>
            <w:r>
              <w:rPr>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排污许可证申请与核发技术规范 工业固体废物（试行）》（HJ 1200—2021）</w:t>
            </w:r>
            <w:r>
              <w:rPr>
                <w:rFonts w:hint="eastAsia"/>
                <w:color w:val="000000" w:themeColor="text1"/>
                <w:sz w:val="24"/>
                <w:szCs w:val="24"/>
                <w:highlight w:val="none"/>
                <w14:textFill>
                  <w14:solidFill>
                    <w14:schemeClr w14:val="tx1"/>
                  </w14:solidFill>
                </w14:textFill>
              </w:rPr>
              <w:fldChar w:fldCharType="end"/>
            </w:r>
            <w:r>
              <w:rPr>
                <w:rFonts w:hint="eastAsia"/>
                <w:color w:val="000000" w:themeColor="text1"/>
                <w:sz w:val="24"/>
                <w:szCs w:val="24"/>
                <w:highlight w:val="none"/>
                <w14:textFill>
                  <w14:solidFill>
                    <w14:schemeClr w14:val="tx1"/>
                  </w14:solidFill>
                </w14:textFill>
              </w:rPr>
              <w:t>的要求在申请排污许可证时完善固废相关内容</w:t>
            </w:r>
            <w:r>
              <w:rPr>
                <w:color w:val="000000" w:themeColor="text1"/>
                <w:sz w:val="24"/>
                <w:szCs w:val="24"/>
                <w:highlight w:val="none"/>
                <w14:textFill>
                  <w14:solidFill>
                    <w14:schemeClr w14:val="tx1"/>
                  </w14:solidFill>
                </w14:textFill>
              </w:rPr>
              <w:t>。因此，项目固体废物对周围环境影响很小。</w:t>
            </w:r>
          </w:p>
          <w:p>
            <w:pPr>
              <w:numPr>
                <w:ilvl w:val="0"/>
                <w:numId w:val="0"/>
              </w:numPr>
              <w:spacing w:line="360" w:lineRule="auto"/>
              <w:ind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eastAsia" w:cs="Times New Roman"/>
                <w:b/>
                <w:color w:val="000000" w:themeColor="text1"/>
                <w:sz w:val="24"/>
                <w:highlight w:val="none"/>
                <w:lang w:val="en-US" w:eastAsia="zh-CN"/>
                <w14:textFill>
                  <w14:solidFill>
                    <w14:schemeClr w14:val="tx1"/>
                  </w14:solidFill>
                </w14:textFill>
              </w:rPr>
              <w:t>五、</w:t>
            </w:r>
            <w:r>
              <w:rPr>
                <w:rFonts w:hint="default" w:ascii="Times New Roman" w:hAnsi="Times New Roman" w:cs="Times New Roman"/>
                <w:b/>
                <w:color w:val="000000" w:themeColor="text1"/>
                <w:sz w:val="24"/>
                <w:highlight w:val="none"/>
                <w14:textFill>
                  <w14:solidFill>
                    <w14:schemeClr w14:val="tx1"/>
                  </w14:solidFill>
                </w14:textFill>
              </w:rPr>
              <w:t>地下水、土壤影响分析</w:t>
            </w:r>
          </w:p>
          <w:p>
            <w:pPr>
              <w:tabs>
                <w:tab w:val="left" w:pos="900"/>
              </w:tabs>
              <w:adjustRightInd w:val="0"/>
              <w:snapToGrid w:val="0"/>
              <w:spacing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szCs w:val="24"/>
                <w:highlight w:val="none"/>
                <w14:textFill>
                  <w14:solidFill>
                    <w14:schemeClr w14:val="tx1"/>
                  </w14:solidFill>
                </w14:textFill>
              </w:rPr>
              <w:t>污染源</w:t>
            </w:r>
          </w:p>
          <w:p>
            <w:pPr>
              <w:tabs>
                <w:tab w:val="left" w:pos="900"/>
              </w:tabs>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本项目涉及到的</w:t>
            </w:r>
            <w:r>
              <w:rPr>
                <w:rFonts w:hint="default" w:ascii="Times New Roman" w:hAnsi="Times New Roman" w:cs="Times New Roman"/>
                <w:color w:val="000000" w:themeColor="text1"/>
                <w:sz w:val="24"/>
                <w:szCs w:val="24"/>
                <w:highlight w:val="none"/>
                <w14:textFill>
                  <w14:solidFill>
                    <w14:schemeClr w14:val="tx1"/>
                  </w14:solidFill>
                </w14:textFill>
              </w:rPr>
              <w:t>主要污染源为危废</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暂存间</w:t>
            </w:r>
            <w:r>
              <w:rPr>
                <w:rFonts w:hint="default" w:ascii="Times New Roman" w:hAnsi="Times New Roman" w:cs="Times New Roman"/>
                <w:color w:val="000000" w:themeColor="text1"/>
                <w:sz w:val="24"/>
                <w:szCs w:val="24"/>
                <w:highlight w:val="none"/>
                <w14:textFill>
                  <w14:solidFill>
                    <w14:schemeClr w14:val="tx1"/>
                  </w14:solidFill>
                </w14:textFill>
              </w:rPr>
              <w:t>。</w:t>
            </w:r>
          </w:p>
          <w:p>
            <w:pPr>
              <w:tabs>
                <w:tab w:val="left" w:pos="900"/>
              </w:tabs>
              <w:adjustRightInd w:val="0"/>
              <w:snapToGrid w:val="0"/>
              <w:spacing w:line="360" w:lineRule="auto"/>
              <w:ind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14:textFill>
                  <w14:solidFill>
                    <w14:schemeClr w14:val="tx1"/>
                  </w14:solidFill>
                </w14:textFill>
              </w:rPr>
              <w:t>2、污染途径</w:t>
            </w:r>
          </w:p>
          <w:p>
            <w:pPr>
              <w:tabs>
                <w:tab w:val="left" w:pos="900"/>
              </w:tabs>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本项目在正常工况下，危废间等处均按标准进行了严格的防渗处理，污染途径被切断，对地下水和土壤均无影响，影响的发生主要是在危险物质泄露、防渗层破坏等事故状态下。</w:t>
            </w:r>
          </w:p>
          <w:p>
            <w:pPr>
              <w:tabs>
                <w:tab w:val="left" w:pos="900"/>
              </w:tabs>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本项目非正常情况下，项目主要污染途径：危废库地面防渗不当，造成危废渗滤液下渗污染地下水和土壤。</w:t>
            </w:r>
          </w:p>
          <w:p>
            <w:pPr>
              <w:tabs>
                <w:tab w:val="left" w:pos="900"/>
              </w:tabs>
              <w:adjustRightInd w:val="0"/>
              <w:snapToGrid w:val="0"/>
              <w:spacing w:line="360" w:lineRule="auto"/>
              <w:ind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lang w:val="en-US" w:eastAsia="zh-CN"/>
                <w14:textFill>
                  <w14:solidFill>
                    <w14:schemeClr w14:val="tx1"/>
                  </w14:solidFill>
                </w14:textFill>
              </w:rPr>
              <w:t>3、</w:t>
            </w:r>
            <w:r>
              <w:rPr>
                <w:rFonts w:hint="eastAsia"/>
                <w:b/>
                <w:bCs w:val="0"/>
                <w:color w:val="000000" w:themeColor="text1"/>
                <w:sz w:val="24"/>
                <w:highlight w:val="none"/>
                <w14:textFill>
                  <w14:solidFill>
                    <w14:schemeClr w14:val="tx1"/>
                  </w14:solidFill>
                </w14:textFill>
              </w:rPr>
              <w:t>污染物类型及危害</w:t>
            </w:r>
          </w:p>
          <w:p>
            <w:pPr>
              <w:numPr>
                <w:ilvl w:val="0"/>
                <w:numId w:val="0"/>
              </w:numPr>
              <w:tabs>
                <w:tab w:val="left" w:pos="900"/>
              </w:tabs>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本项目可能对地下水和土壤造成影响的途径为事故状态下防渗失效导致泄漏物下渗影响地下水和土壤，项目占地范围内可能产生的渗漏环节详见表4-</w:t>
            </w:r>
            <w:r>
              <w:rPr>
                <w:rFonts w:hint="eastAsia"/>
                <w:color w:val="000000" w:themeColor="text1"/>
                <w:sz w:val="24"/>
                <w:highlight w:val="none"/>
                <w:lang w:val="en-US" w:eastAsia="zh-CN"/>
                <w14:textFill>
                  <w14:solidFill>
                    <w14:schemeClr w14:val="tx1"/>
                  </w14:solidFill>
                </w14:textFill>
              </w:rPr>
              <w:t>22</w:t>
            </w:r>
            <w:r>
              <w:rPr>
                <w:rFonts w:hint="eastAsia"/>
                <w:color w:val="000000" w:themeColor="text1"/>
                <w:sz w:val="24"/>
                <w:highlight w:val="none"/>
                <w14:textFill>
                  <w14:solidFill>
                    <w14:schemeClr w14:val="tx1"/>
                  </w14:solidFill>
                </w14:textFill>
              </w:rPr>
              <w:t>。</w:t>
            </w:r>
          </w:p>
          <w:p>
            <w:pPr>
              <w:keepNext w:val="0"/>
              <w:keepLines w:val="0"/>
              <w:widowControl/>
              <w:suppressLineNumbers w:val="0"/>
              <w:jc w:val="center"/>
              <w:rPr>
                <w:color w:val="000000" w:themeColor="text1"/>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4-</w:t>
            </w:r>
            <w:r>
              <w:rPr>
                <w:rFonts w:hint="eastAsia" w:cs="Times New Roman"/>
                <w:b/>
                <w:bCs/>
                <w:color w:val="000000" w:themeColor="text1"/>
                <w:kern w:val="0"/>
                <w:sz w:val="24"/>
                <w:szCs w:val="24"/>
                <w:highlight w:val="none"/>
                <w:lang w:val="en-US" w:eastAsia="zh-CN" w:bidi="ar"/>
                <w14:textFill>
                  <w14:solidFill>
                    <w14:schemeClr w14:val="tx1"/>
                  </w14:solidFill>
                </w14:textFill>
              </w:rPr>
              <w:t>22</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污染物类型及危害</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2243"/>
              <w:gridCol w:w="1841"/>
              <w:gridCol w:w="3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pPr>
                    <w:jc w:val="center"/>
                    <w:rPr>
                      <w:rFonts w:hint="eastAsia" w:eastAsia="宋体"/>
                      <w:b/>
                      <w:color w:val="000000" w:themeColor="text1"/>
                      <w:szCs w:val="21"/>
                      <w:highlight w:val="none"/>
                      <w:lang w:eastAsia="zh-CN"/>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污染源</w:t>
                  </w:r>
                </w:p>
              </w:tc>
              <w:tc>
                <w:tcPr>
                  <w:tcW w:w="2087" w:type="dxa"/>
                  <w:tcBorders>
                    <w:tl2br w:val="nil"/>
                    <w:tr2bl w:val="nil"/>
                  </w:tcBorders>
                  <w:noWrap w:val="0"/>
                  <w:vAlign w:val="center"/>
                </w:tcPr>
                <w:p>
                  <w:pPr>
                    <w:jc w:val="center"/>
                    <w:rPr>
                      <w:rFonts w:hint="eastAsia" w:eastAsia="宋体"/>
                      <w:b/>
                      <w:color w:val="000000" w:themeColor="text1"/>
                      <w:szCs w:val="21"/>
                      <w:highlight w:val="none"/>
                      <w:lang w:eastAsia="zh-CN"/>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污染物类型</w:t>
                  </w:r>
                </w:p>
              </w:tc>
              <w:tc>
                <w:tcPr>
                  <w:tcW w:w="1713" w:type="dxa"/>
                  <w:tcBorders>
                    <w:tl2br w:val="nil"/>
                    <w:tr2bl w:val="nil"/>
                  </w:tcBorders>
                  <w:noWrap w:val="0"/>
                  <w:vAlign w:val="center"/>
                </w:tcPr>
                <w:p>
                  <w:pPr>
                    <w:jc w:val="center"/>
                    <w:rPr>
                      <w:rFonts w:hint="eastAsia" w:eastAsia="宋体"/>
                      <w:b/>
                      <w:color w:val="000000" w:themeColor="text1"/>
                      <w:szCs w:val="21"/>
                      <w:highlight w:val="none"/>
                      <w:lang w:eastAsia="zh-CN"/>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污染途径</w:t>
                  </w:r>
                </w:p>
              </w:tc>
              <w:tc>
                <w:tcPr>
                  <w:tcW w:w="3274" w:type="dxa"/>
                  <w:tcBorders>
                    <w:tl2br w:val="nil"/>
                    <w:tr2bl w:val="nil"/>
                  </w:tcBorders>
                  <w:noWrap w:val="0"/>
                  <w:vAlign w:val="center"/>
                </w:tcPr>
                <w:p>
                  <w:pPr>
                    <w:jc w:val="center"/>
                    <w:rPr>
                      <w:rFonts w:hint="eastAsia" w:eastAsia="宋体"/>
                      <w:b/>
                      <w:color w:val="000000" w:themeColor="text1"/>
                      <w:szCs w:val="21"/>
                      <w:highlight w:val="none"/>
                      <w:lang w:eastAsia="zh-CN"/>
                      <w14:textFill>
                        <w14:solidFill>
                          <w14:schemeClr w14:val="tx1"/>
                        </w14:solidFill>
                      </w14:textFill>
                    </w:rPr>
                  </w:pPr>
                  <w:r>
                    <w:rPr>
                      <w:rFonts w:hint="eastAsia"/>
                      <w:b/>
                      <w:color w:val="000000" w:themeColor="text1"/>
                      <w:szCs w:val="21"/>
                      <w:highlight w:val="none"/>
                      <w:lang w:val="en-US" w:eastAsia="zh-CN"/>
                      <w14:textFill>
                        <w14:solidFill>
                          <w14:schemeClr w14:val="tx1"/>
                        </w14:solidFill>
                      </w14:textFill>
                    </w:rPr>
                    <w:t>主要影响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危废间</w:t>
                  </w:r>
                </w:p>
              </w:tc>
              <w:tc>
                <w:tcPr>
                  <w:tcW w:w="2087" w:type="dxa"/>
                  <w:tcBorders>
                    <w:tl2br w:val="nil"/>
                    <w:tr2bl w:val="nil"/>
                  </w:tcBorders>
                  <w:noWrap w:val="0"/>
                  <w:vAlign w:val="center"/>
                </w:tcPr>
                <w:p>
                  <w:pPr>
                    <w:keepNext w:val="0"/>
                    <w:keepLines w:val="0"/>
                    <w:widowControl/>
                    <w:suppressLineNumbers w:val="0"/>
                    <w:jc w:val="center"/>
                    <w:rPr>
                      <w:color w:val="000000" w:themeColor="text1"/>
                      <w:szCs w:val="21"/>
                      <w:highlight w:val="none"/>
                      <w14:textFill>
                        <w14:solidFill>
                          <w14:schemeClr w14:val="tx1"/>
                        </w14:solidFill>
                      </w14:textFill>
                    </w:rPr>
                  </w:pPr>
                  <w:r>
                    <w:rPr>
                      <w:rFonts w:hint="eastAsia" w:ascii="宋体" w:hAnsi="宋体" w:cs="宋体"/>
                      <w:color w:val="000000" w:themeColor="text1"/>
                      <w:kern w:val="0"/>
                      <w:sz w:val="20"/>
                      <w:szCs w:val="20"/>
                      <w:highlight w:val="none"/>
                      <w:lang w:val="en-US" w:eastAsia="zh-CN" w:bidi="ar"/>
                      <w14:textFill>
                        <w14:solidFill>
                          <w14:schemeClr w14:val="tx1"/>
                        </w14:solidFill>
                      </w14:textFill>
                    </w:rPr>
                    <w:t>实验废液等</w:t>
                  </w:r>
                  <w:r>
                    <w:rPr>
                      <w:rFonts w:hint="eastAsia" w:ascii="宋体" w:hAnsi="宋体" w:eastAsia="宋体" w:cs="宋体"/>
                      <w:color w:val="000000" w:themeColor="text1"/>
                      <w:kern w:val="0"/>
                      <w:sz w:val="20"/>
                      <w:szCs w:val="20"/>
                      <w:highlight w:val="none"/>
                      <w:lang w:val="en-US" w:eastAsia="zh-CN" w:bidi="ar"/>
                      <w14:textFill>
                        <w14:solidFill>
                          <w14:schemeClr w14:val="tx1"/>
                        </w14:solidFill>
                      </w14:textFill>
                    </w:rPr>
                    <w:t>危险废物</w:t>
                  </w:r>
                </w:p>
              </w:tc>
              <w:tc>
                <w:tcPr>
                  <w:tcW w:w="1713" w:type="dxa"/>
                  <w:tcBorders>
                    <w:tl2br w:val="nil"/>
                    <w:tr2bl w:val="nil"/>
                  </w:tcBorders>
                  <w:noWrap w:val="0"/>
                  <w:vAlign w:val="center"/>
                </w:tcPr>
                <w:p>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垂直入渗</w:t>
                  </w:r>
                </w:p>
              </w:tc>
              <w:tc>
                <w:tcPr>
                  <w:tcW w:w="3274" w:type="dxa"/>
                  <w:tcBorders>
                    <w:tl2br w:val="nil"/>
                    <w:tr2bl w:val="nil"/>
                  </w:tcBorders>
                  <w:noWrap w:val="0"/>
                  <w:vAlign w:val="center"/>
                </w:tcPr>
                <w:p>
                  <w:pPr>
                    <w:keepNext w:val="0"/>
                    <w:keepLines w:val="0"/>
                    <w:widowControl/>
                    <w:suppressLineNumbers w:val="0"/>
                    <w:jc w:val="center"/>
                    <w:rPr>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0"/>
                      <w:szCs w:val="20"/>
                      <w:highlight w:val="none"/>
                      <w:lang w:val="en-US" w:eastAsia="zh-CN" w:bidi="ar"/>
                      <w14:textFill>
                        <w14:solidFill>
                          <w14:schemeClr w14:val="tx1"/>
                        </w14:solidFill>
                      </w14:textFill>
                    </w:rPr>
                    <w:t>危废泄漏污染地下水和土壤</w:t>
                  </w:r>
                </w:p>
              </w:tc>
            </w:tr>
          </w:tbl>
          <w:p>
            <w:pPr>
              <w:numPr>
                <w:ilvl w:val="0"/>
                <w:numId w:val="0"/>
              </w:numPr>
              <w:tabs>
                <w:tab w:val="left" w:pos="900"/>
              </w:tabs>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本项目危废库等处可能会对地下水和土壤造成污染，应建设严格的防渗漏设施，使可能产生渗漏的环节均得到有效控制，从而避免跑、冒、滴、漏现象的发生。</w:t>
            </w:r>
          </w:p>
          <w:p>
            <w:pPr>
              <w:tabs>
                <w:tab w:val="left" w:pos="900"/>
              </w:tabs>
              <w:adjustRightInd w:val="0"/>
              <w:snapToGrid w:val="0"/>
              <w:spacing w:line="360" w:lineRule="auto"/>
              <w:ind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lang w:val="en-US" w:eastAsia="zh-CN"/>
                <w14:textFill>
                  <w14:solidFill>
                    <w14:schemeClr w14:val="tx1"/>
                  </w14:solidFill>
                </w14:textFill>
              </w:rPr>
              <w:t>4</w:t>
            </w:r>
            <w:r>
              <w:rPr>
                <w:rFonts w:hint="eastAsia"/>
                <w:b/>
                <w:bCs w:val="0"/>
                <w:color w:val="000000" w:themeColor="text1"/>
                <w:sz w:val="24"/>
                <w:highlight w:val="none"/>
                <w14:textFill>
                  <w14:solidFill>
                    <w14:schemeClr w14:val="tx1"/>
                  </w14:solidFill>
                </w14:textFill>
              </w:rPr>
              <w:t>、防控措施</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本项目</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位于</w:t>
            </w:r>
            <w:r>
              <w:rPr>
                <w:rFonts w:hint="eastAsia" w:cs="Times New Roman"/>
                <w:bCs/>
                <w:color w:val="000000" w:themeColor="text1"/>
                <w:sz w:val="24"/>
                <w:highlight w:val="none"/>
                <w:lang w:val="en-US" w:eastAsia="zh-CN"/>
                <w14:textFill>
                  <w14:solidFill>
                    <w14:schemeClr w14:val="tx1"/>
                  </w14:solidFill>
                </w14:textFill>
              </w:rPr>
              <w:t>五楼、六楼</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14:textFill>
                  <w14:solidFill>
                    <w14:schemeClr w14:val="tx1"/>
                  </w14:solidFill>
                </w14:textFill>
              </w:rPr>
              <w:t>涉及的有毒有害物质</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均位于专门存放试剂的试剂柜内</w:t>
            </w:r>
            <w:r>
              <w:rPr>
                <w:rFonts w:hint="eastAsia" w:ascii="Times New Roman" w:hAnsi="Times New Roman" w:eastAsia="宋体" w:cs="Times New Roman"/>
                <w:bCs/>
                <w:color w:val="000000" w:themeColor="text1"/>
                <w:sz w:val="24"/>
                <w:highlight w:val="none"/>
                <w14:textFill>
                  <w14:solidFill>
                    <w14:schemeClr w14:val="tx1"/>
                  </w14:solidFill>
                </w14:textFill>
              </w:rPr>
              <w:t>，</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发生泄漏的可能性极小，</w:t>
            </w:r>
            <w:r>
              <w:rPr>
                <w:rFonts w:hint="eastAsia" w:ascii="Times New Roman" w:hAnsi="Times New Roman" w:eastAsia="宋体" w:cs="Times New Roman"/>
                <w:bCs/>
                <w:color w:val="000000" w:themeColor="text1"/>
                <w:sz w:val="24"/>
                <w:highlight w:val="none"/>
                <w14:textFill>
                  <w14:solidFill>
                    <w14:schemeClr w14:val="tx1"/>
                  </w14:solidFill>
                </w14:textFill>
              </w:rPr>
              <w:t>为了防治本项目的建设对土壤和地下水造成污染，本项目环评要求企业按照《环境影响评价技术导则地下水环境》(HJ 610-2016)和《危险废物贮存污染控制标准》（GB18597-2023）要求进行专项防渗设计和分区防渗处理。</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各个实验室、</w:t>
            </w:r>
            <w:r>
              <w:rPr>
                <w:rFonts w:hint="eastAsia" w:cs="Times New Roman"/>
                <w:bCs/>
                <w:color w:val="000000" w:themeColor="text1"/>
                <w:sz w:val="24"/>
                <w:highlight w:val="none"/>
                <w:lang w:val="en-US" w:eastAsia="zh-CN"/>
                <w14:textFill>
                  <w14:solidFill>
                    <w14:schemeClr w14:val="tx1"/>
                  </w14:solidFill>
                </w14:textFill>
              </w:rPr>
              <w:t>留样间、</w:t>
            </w:r>
            <w:r>
              <w:rPr>
                <w:rFonts w:hint="eastAsia" w:ascii="Times New Roman" w:hAnsi="Times New Roman" w:eastAsia="宋体" w:cs="Times New Roman"/>
                <w:bCs/>
                <w:color w:val="000000" w:themeColor="text1"/>
                <w:sz w:val="24"/>
                <w:highlight w:val="none"/>
                <w14:textFill>
                  <w14:solidFill>
                    <w14:schemeClr w14:val="tx1"/>
                  </w14:solidFill>
                </w14:textFill>
              </w:rPr>
              <w:t>试剂</w:t>
            </w:r>
            <w:r>
              <w:rPr>
                <w:rFonts w:hint="eastAsia" w:cs="Times New Roman"/>
                <w:bCs/>
                <w:color w:val="000000" w:themeColor="text1"/>
                <w:sz w:val="24"/>
                <w:highlight w:val="none"/>
                <w:lang w:val="en-US" w:eastAsia="zh-CN"/>
                <w14:textFill>
                  <w14:solidFill>
                    <w14:schemeClr w14:val="tx1"/>
                  </w14:solidFill>
                </w14:textFill>
              </w:rPr>
              <w:t>间、化学药品间</w:t>
            </w:r>
            <w:r>
              <w:rPr>
                <w:rFonts w:hint="eastAsia" w:ascii="Times New Roman" w:hAnsi="Times New Roman" w:eastAsia="宋体" w:cs="Times New Roman"/>
                <w:bCs/>
                <w:color w:val="000000" w:themeColor="text1"/>
                <w:sz w:val="24"/>
                <w:highlight w:val="none"/>
                <w14:textFill>
                  <w14:solidFill>
                    <w14:schemeClr w14:val="tx1"/>
                  </w14:solidFill>
                </w14:textFill>
              </w:rPr>
              <w:t>等为一般防渗区；走廊通道及办公室等均为简单防渗区，地面进行一般硬化；危废</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贮存</w:t>
            </w:r>
            <w:r>
              <w:rPr>
                <w:rFonts w:hint="eastAsia" w:ascii="Times New Roman" w:hAnsi="Times New Roman" w:eastAsia="宋体" w:cs="Times New Roman"/>
                <w:bCs/>
                <w:color w:val="000000" w:themeColor="text1"/>
                <w:sz w:val="24"/>
                <w:highlight w:val="none"/>
                <w14:textFill>
                  <w14:solidFill>
                    <w14:schemeClr w14:val="tx1"/>
                  </w14:solidFill>
                </w14:textFill>
              </w:rPr>
              <w:t>点为重点防渗区，防渗措施为：危废</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贮存</w:t>
            </w:r>
            <w:r>
              <w:rPr>
                <w:rFonts w:hint="eastAsia" w:ascii="Times New Roman" w:hAnsi="Times New Roman" w:eastAsia="宋体" w:cs="Times New Roman"/>
                <w:bCs/>
                <w:color w:val="000000" w:themeColor="text1"/>
                <w:sz w:val="24"/>
                <w:highlight w:val="none"/>
                <w14:textFill>
                  <w14:solidFill>
                    <w14:schemeClr w14:val="tx1"/>
                  </w14:solidFill>
                </w14:textFill>
              </w:rPr>
              <w:t>点地面及裙角刷涂环氧树脂地坪，液体危险废物存放于防渗托盘中，不同危险废物分类分区存放，安排人员巡检，危废暂存点的设计应满足《危险废物贮存污染控制标准》（GB18597-2023）、《危险废物识别标至设置技术规范（HJ1276-2022）《环境保护图形标志—固体废物贮存（处置）场B15562.2-1995)修改单》的要求。</w:t>
            </w:r>
          </w:p>
          <w:p>
            <w:pPr>
              <w:keepNext w:val="0"/>
              <w:keepLines w:val="0"/>
              <w:pageBreakBefore w:val="0"/>
              <w:widowControl w:val="0"/>
              <w:kinsoku/>
              <w:wordWrap/>
              <w:overflowPunct/>
              <w:topLinePunct w:val="0"/>
              <w:bidi w:val="0"/>
              <w:adjustRightInd/>
              <w:snapToGrid/>
              <w:spacing w:line="360" w:lineRule="auto"/>
              <w:ind w:firstLine="482" w:firstLineChars="200"/>
              <w:jc w:val="left"/>
              <w:textAlignment w:val="auto"/>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
                <w:bCs w:val="0"/>
                <w:color w:val="000000" w:themeColor="text1"/>
                <w:sz w:val="24"/>
                <w:highlight w:val="none"/>
                <w14:textFill>
                  <w14:solidFill>
                    <w14:schemeClr w14:val="tx1"/>
                  </w14:solidFill>
                </w14:textFill>
              </w:rPr>
              <w:t>重点防渗区：</w:t>
            </w:r>
            <w:r>
              <w:rPr>
                <w:rFonts w:hint="eastAsia" w:ascii="Times New Roman" w:hAnsi="Times New Roman" w:eastAsia="宋体" w:cs="Times New Roman"/>
                <w:bCs/>
                <w:color w:val="000000" w:themeColor="text1"/>
                <w:sz w:val="24"/>
                <w:highlight w:val="none"/>
                <w14:textFill>
                  <w14:solidFill>
                    <w14:schemeClr w14:val="tx1"/>
                  </w14:solidFill>
                </w14:textFill>
              </w:rPr>
              <w:t>危险废物</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贮存</w:t>
            </w:r>
            <w:r>
              <w:rPr>
                <w:rFonts w:hint="eastAsia" w:ascii="Times New Roman" w:hAnsi="Times New Roman" w:eastAsia="宋体" w:cs="Times New Roman"/>
                <w:bCs/>
                <w:color w:val="000000" w:themeColor="text1"/>
                <w:sz w:val="24"/>
                <w:highlight w:val="none"/>
                <w14:textFill>
                  <w14:solidFill>
                    <w14:schemeClr w14:val="tx1"/>
                  </w14:solidFill>
                </w14:textFill>
              </w:rPr>
              <w:t>点。</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危废</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贮存</w:t>
            </w:r>
            <w:r>
              <w:rPr>
                <w:rFonts w:hint="eastAsia" w:ascii="Times New Roman" w:hAnsi="Times New Roman" w:eastAsia="宋体" w:cs="Times New Roman"/>
                <w:bCs/>
                <w:color w:val="000000" w:themeColor="text1"/>
                <w:sz w:val="24"/>
                <w:highlight w:val="none"/>
                <w14:textFill>
                  <w14:solidFill>
                    <w14:schemeClr w14:val="tx1"/>
                  </w14:solidFill>
                </w14:textFill>
              </w:rPr>
              <w:t>点地面采用水泥硬化和防渗、防腐措施；危险废物暂存点地面需采用高标号水泥硬化防渗，并采用环氧树脂地面防渗和防腐，并做好防风、雨淋；其等效黏土防渗层Mb≥6.0m，渗透系数小于等于1.0×10</w:t>
            </w:r>
            <w:r>
              <w:rPr>
                <w:rFonts w:hint="eastAsia" w:ascii="Times New Roman" w:hAnsi="Times New Roman" w:eastAsia="宋体" w:cs="Times New Roman"/>
                <w:bCs/>
                <w:color w:val="000000" w:themeColor="text1"/>
                <w:sz w:val="24"/>
                <w:highlight w:val="none"/>
                <w:vertAlign w:val="superscript"/>
                <w14:textFill>
                  <w14:solidFill>
                    <w14:schemeClr w14:val="tx1"/>
                  </w14:solidFill>
                </w14:textFill>
              </w:rPr>
              <w:t>-</w:t>
            </w:r>
            <w:r>
              <w:rPr>
                <w:rFonts w:hint="eastAsia"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10</w:t>
            </w:r>
            <w:r>
              <w:rPr>
                <w:rFonts w:hint="eastAsia" w:ascii="Times New Roman" w:hAnsi="Times New Roman" w:eastAsia="宋体" w:cs="Times New Roman"/>
                <w:bCs/>
                <w:color w:val="000000" w:themeColor="text1"/>
                <w:sz w:val="24"/>
                <w:highlight w:val="none"/>
                <w14:textFill>
                  <w14:solidFill>
                    <w14:schemeClr w14:val="tx1"/>
                  </w14:solidFill>
                </w14:textFill>
              </w:rPr>
              <w:t>cm/s；或参照 GB18598 执行。</w:t>
            </w:r>
          </w:p>
          <w:p>
            <w:pPr>
              <w:keepNext w:val="0"/>
              <w:keepLines w:val="0"/>
              <w:pageBreakBefore w:val="0"/>
              <w:widowControl w:val="0"/>
              <w:kinsoku/>
              <w:wordWrap/>
              <w:overflowPunct/>
              <w:topLinePunct w:val="0"/>
              <w:bidi w:val="0"/>
              <w:adjustRightInd/>
              <w:snapToGrid/>
              <w:spacing w:line="360" w:lineRule="auto"/>
              <w:ind w:firstLine="482" w:firstLineChars="200"/>
              <w:jc w:val="left"/>
              <w:textAlignment w:val="auto"/>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
                <w:bCs w:val="0"/>
                <w:color w:val="000000" w:themeColor="text1"/>
                <w:sz w:val="24"/>
                <w:highlight w:val="none"/>
                <w14:textFill>
                  <w14:solidFill>
                    <w14:schemeClr w14:val="tx1"/>
                  </w14:solidFill>
                </w14:textFill>
              </w:rPr>
              <w:t>一般防渗区：</w:t>
            </w:r>
            <w:r>
              <w:rPr>
                <w:rFonts w:hint="eastAsia" w:ascii="Times New Roman" w:hAnsi="Times New Roman" w:eastAsia="宋体" w:cs="Times New Roman"/>
                <w:bCs/>
                <w:color w:val="000000" w:themeColor="text1"/>
                <w:sz w:val="24"/>
                <w:highlight w:val="none"/>
                <w14:textFill>
                  <w14:solidFill>
                    <w14:schemeClr w14:val="tx1"/>
                  </w14:solidFill>
                </w14:textFill>
              </w:rPr>
              <w:t>实验室</w:t>
            </w:r>
            <w:r>
              <w:rPr>
                <w:rFonts w:hint="eastAsia" w:cs="Times New Roman"/>
                <w:bCs/>
                <w:color w:val="000000" w:themeColor="text1"/>
                <w:sz w:val="24"/>
                <w:highlight w:val="none"/>
                <w:lang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留样间、</w:t>
            </w:r>
            <w:r>
              <w:rPr>
                <w:rFonts w:hint="eastAsia" w:ascii="Times New Roman" w:hAnsi="Times New Roman" w:eastAsia="宋体" w:cs="Times New Roman"/>
                <w:bCs/>
                <w:color w:val="000000" w:themeColor="text1"/>
                <w:sz w:val="24"/>
                <w:highlight w:val="none"/>
                <w14:textFill>
                  <w14:solidFill>
                    <w14:schemeClr w14:val="tx1"/>
                  </w14:solidFill>
                </w14:textFill>
              </w:rPr>
              <w:t>试剂</w:t>
            </w:r>
            <w:r>
              <w:rPr>
                <w:rFonts w:hint="eastAsia" w:cs="Times New Roman"/>
                <w:bCs/>
                <w:color w:val="000000" w:themeColor="text1"/>
                <w:sz w:val="24"/>
                <w:highlight w:val="none"/>
                <w:lang w:val="en-US" w:eastAsia="zh-CN"/>
                <w14:textFill>
                  <w14:solidFill>
                    <w14:schemeClr w14:val="tx1"/>
                  </w14:solidFill>
                </w14:textFill>
              </w:rPr>
              <w:t>间、化学药品间</w:t>
            </w:r>
            <w:r>
              <w:rPr>
                <w:rFonts w:hint="eastAsia" w:ascii="Times New Roman" w:hAnsi="Times New Roman" w:eastAsia="宋体" w:cs="Times New Roman"/>
                <w:bCs/>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需做好地面防渗，其等效黏土防渗层 Mb≥1.5m，渗透系数不大于 1.0×10</w:t>
            </w:r>
            <w:r>
              <w:rPr>
                <w:rFonts w:hint="eastAsia" w:ascii="Times New Roman" w:hAnsi="Times New Roman" w:eastAsia="宋体" w:cs="Times New Roman"/>
                <w:bCs/>
                <w:color w:val="000000" w:themeColor="text1"/>
                <w:sz w:val="24"/>
                <w:highlight w:val="none"/>
                <w:vertAlign w:val="superscript"/>
                <w14:textFill>
                  <w14:solidFill>
                    <w14:schemeClr w14:val="tx1"/>
                  </w14:solidFill>
                </w14:textFill>
              </w:rPr>
              <w:t>-7</w:t>
            </w:r>
            <w:r>
              <w:rPr>
                <w:rFonts w:hint="eastAsia" w:ascii="Times New Roman" w:hAnsi="Times New Roman" w:eastAsia="宋体" w:cs="Times New Roman"/>
                <w:bCs/>
                <w:color w:val="000000" w:themeColor="text1"/>
                <w:sz w:val="24"/>
                <w:highlight w:val="none"/>
                <w14:textFill>
                  <w14:solidFill>
                    <w14:schemeClr w14:val="tx1"/>
                  </w14:solidFill>
                </w14:textFill>
              </w:rPr>
              <w:t>cm/s。</w:t>
            </w:r>
          </w:p>
          <w:p>
            <w:pPr>
              <w:keepNext w:val="0"/>
              <w:keepLines w:val="0"/>
              <w:pageBreakBefore w:val="0"/>
              <w:widowControl w:val="0"/>
              <w:kinsoku/>
              <w:wordWrap/>
              <w:overflowPunct/>
              <w:topLinePunct w:val="0"/>
              <w:bidi w:val="0"/>
              <w:adjustRightInd/>
              <w:snapToGrid/>
              <w:spacing w:line="360" w:lineRule="auto"/>
              <w:ind w:firstLine="482" w:firstLineChars="200"/>
              <w:jc w:val="left"/>
              <w:textAlignment w:val="auto"/>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
                <w:bCs w:val="0"/>
                <w:color w:val="000000" w:themeColor="text1"/>
                <w:sz w:val="24"/>
                <w:highlight w:val="none"/>
                <w14:textFill>
                  <w14:solidFill>
                    <w14:schemeClr w14:val="tx1"/>
                  </w14:solidFill>
                </w14:textFill>
              </w:rPr>
              <w:t>简单防渗区：</w:t>
            </w:r>
            <w:r>
              <w:rPr>
                <w:rFonts w:hint="eastAsia" w:ascii="Times New Roman" w:hAnsi="Times New Roman" w:eastAsia="宋体" w:cs="Times New Roman"/>
                <w:bCs/>
                <w:color w:val="000000" w:themeColor="text1"/>
                <w:sz w:val="24"/>
                <w:highlight w:val="none"/>
                <w14:textFill>
                  <w14:solidFill>
                    <w14:schemeClr w14:val="tx1"/>
                  </w14:solidFill>
                </w14:textFill>
              </w:rPr>
              <w:t>其他区域。做好地面硬化。</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综上所述，本项目建成后应切实加强对危险废物的管理，按照有关的规范要求对场址采取防渗、防漏、防雨等安全措施，可避免项目对周边土壤和地下水产生明显影响。</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cs="Times New Roman"/>
                <w:b/>
                <w:bCs/>
                <w:color w:val="000000" w:themeColor="text1"/>
                <w:sz w:val="24"/>
                <w:szCs w:val="24"/>
                <w:highlight w:val="none"/>
                <w:lang w:val="en-US" w:eastAsia="zh-CN"/>
                <w14:textFill>
                  <w14:solidFill>
                    <w14:schemeClr w14:val="tx1"/>
                  </w14:solidFill>
                </w14:textFill>
              </w:rPr>
              <w:t>23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地下水和土壤污染防渗分区参照表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085"/>
              <w:gridCol w:w="655"/>
              <w:gridCol w:w="712"/>
              <w:gridCol w:w="5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9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序号</w:t>
                  </w:r>
                </w:p>
              </w:tc>
              <w:tc>
                <w:tcPr>
                  <w:tcW w:w="111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主要环节</w:t>
                  </w:r>
                </w:p>
              </w:tc>
              <w:tc>
                <w:tcPr>
                  <w:tcW w:w="668"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分类</w:t>
                  </w:r>
                </w:p>
              </w:tc>
              <w:tc>
                <w:tcPr>
                  <w:tcW w:w="72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污染途径</w:t>
                  </w:r>
                </w:p>
              </w:tc>
              <w:tc>
                <w:tcPr>
                  <w:tcW w:w="6002"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防渗措施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1</w:t>
                  </w:r>
                </w:p>
              </w:tc>
              <w:tc>
                <w:tcPr>
                  <w:tcW w:w="111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危险废物</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贮存</w:t>
                  </w:r>
                  <w:r>
                    <w:rPr>
                      <w:rFonts w:hint="default" w:ascii="Times New Roman" w:hAnsi="Times New Roman" w:cs="Times New Roman"/>
                      <w:b w:val="0"/>
                      <w:bCs/>
                      <w:color w:val="000000" w:themeColor="text1"/>
                      <w:sz w:val="21"/>
                      <w:szCs w:val="21"/>
                      <w:highlight w:val="none"/>
                      <w14:textFill>
                        <w14:solidFill>
                          <w14:schemeClr w14:val="tx1"/>
                        </w14:solidFill>
                      </w14:textFill>
                    </w:rPr>
                    <w:t>点</w:t>
                  </w:r>
                </w:p>
              </w:tc>
              <w:tc>
                <w:tcPr>
                  <w:tcW w:w="668"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重点</w:t>
                  </w:r>
                </w:p>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防渗</w:t>
                  </w:r>
                </w:p>
              </w:tc>
              <w:tc>
                <w:tcPr>
                  <w:tcW w:w="72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污水</w:t>
                  </w:r>
                  <w:r>
                    <w:rPr>
                      <w:rFonts w:hint="default" w:ascii="Times New Roman" w:hAnsi="Times New Roman" w:cs="Times New Roman"/>
                      <w:b w:val="0"/>
                      <w:bCs/>
                      <w:color w:val="000000" w:themeColor="text1"/>
                      <w:sz w:val="21"/>
                      <w:szCs w:val="21"/>
                      <w:highlight w:val="none"/>
                      <w14:textFill>
                        <w14:solidFill>
                          <w14:schemeClr w14:val="tx1"/>
                        </w14:solidFill>
                      </w14:textFill>
                    </w:rPr>
                    <w:t>泄</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漏</w:t>
                  </w:r>
                </w:p>
              </w:tc>
              <w:tc>
                <w:tcPr>
                  <w:tcW w:w="6002"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left"/>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lang w:val="sq-AL"/>
                      <w14:textFill>
                        <w14:solidFill>
                          <w14:schemeClr w14:val="tx1"/>
                        </w14:solidFill>
                      </w14:textFill>
                    </w:rPr>
                    <w:t>采用抗渗钢筋混凝土管沟或HDPE膜防渗层。抗渗钢筋混凝土管沟中应掺加水泥基渗透结晶型防水剂，掺加量宜为0.8%~1.5%，渗透系数不应大于1.0×10</w:t>
                  </w:r>
                  <w:r>
                    <w:rPr>
                      <w:rFonts w:hint="default" w:ascii="Times New Roman" w:hAnsi="Times New Roman" w:cs="Times New Roman"/>
                      <w:b w:val="0"/>
                      <w:bCs/>
                      <w:color w:val="000000" w:themeColor="text1"/>
                      <w:kern w:val="0"/>
                      <w:sz w:val="21"/>
                      <w:szCs w:val="21"/>
                      <w:highlight w:val="none"/>
                      <w:vertAlign w:val="superscript"/>
                      <w:lang w:val="sq-AL"/>
                      <w14:textFill>
                        <w14:solidFill>
                          <w14:schemeClr w14:val="tx1"/>
                        </w14:solidFill>
                      </w14:textFill>
                    </w:rPr>
                    <w:t>-10</w:t>
                  </w:r>
                  <w:r>
                    <w:rPr>
                      <w:rFonts w:hint="default" w:ascii="Times New Roman" w:hAnsi="Times New Roman" w:cs="Times New Roman"/>
                      <w:b w:val="0"/>
                      <w:bCs/>
                      <w:color w:val="000000" w:themeColor="text1"/>
                      <w:kern w:val="0"/>
                      <w:sz w:val="21"/>
                      <w:szCs w:val="21"/>
                      <w:highlight w:val="none"/>
                      <w:lang w:val="sq-AL"/>
                      <w14:textFill>
                        <w14:solidFill>
                          <w14:schemeClr w14:val="tx1"/>
                        </w14:solidFill>
                      </w14:textFill>
                    </w:rPr>
                    <w:t>cm/s，HDPE的渗透系数不应大于1.0×10</w:t>
                  </w:r>
                  <w:r>
                    <w:rPr>
                      <w:rFonts w:hint="default" w:ascii="Times New Roman" w:hAnsi="Times New Roman" w:cs="Times New Roman"/>
                      <w:b w:val="0"/>
                      <w:bCs/>
                      <w:color w:val="000000" w:themeColor="text1"/>
                      <w:kern w:val="0"/>
                      <w:sz w:val="21"/>
                      <w:szCs w:val="21"/>
                      <w:highlight w:val="none"/>
                      <w:vertAlign w:val="superscript"/>
                      <w:lang w:val="sq-AL"/>
                      <w14:textFill>
                        <w14:solidFill>
                          <w14:schemeClr w14:val="tx1"/>
                        </w14:solidFill>
                      </w14:textFill>
                    </w:rPr>
                    <w:t>-12</w:t>
                  </w:r>
                  <w:r>
                    <w:rPr>
                      <w:rFonts w:hint="default" w:ascii="Times New Roman" w:hAnsi="Times New Roman" w:cs="Times New Roman"/>
                      <w:b w:val="0"/>
                      <w:bCs/>
                      <w:color w:val="000000" w:themeColor="text1"/>
                      <w:kern w:val="0"/>
                      <w:sz w:val="21"/>
                      <w:szCs w:val="21"/>
                      <w:highlight w:val="none"/>
                      <w:lang w:val="sq-AL"/>
                      <w14:textFill>
                        <w14:solidFill>
                          <w14:schemeClr w14:val="tx1"/>
                        </w14:solidFill>
                      </w14:textFill>
                    </w:rPr>
                    <w:t>cm/s，厚度不应小于1.5mm。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2</w:t>
                  </w:r>
                </w:p>
              </w:tc>
              <w:tc>
                <w:tcPr>
                  <w:tcW w:w="111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实验室、留样间、试剂间、化学药品间</w:t>
                  </w:r>
                </w:p>
              </w:tc>
              <w:tc>
                <w:tcPr>
                  <w:tcW w:w="668"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一般防渗</w:t>
                  </w:r>
                </w:p>
              </w:tc>
              <w:tc>
                <w:tcPr>
                  <w:tcW w:w="72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val="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14:textFill>
                        <w14:solidFill>
                          <w14:schemeClr w14:val="tx1"/>
                        </w14:solidFill>
                      </w14:textFill>
                    </w:rPr>
                    <w:t>原料泄漏</w:t>
                  </w:r>
                </w:p>
              </w:tc>
              <w:tc>
                <w:tcPr>
                  <w:tcW w:w="6002" w:type="dxa"/>
                  <w:tcBorders>
                    <w:tl2br w:val="nil"/>
                    <w:tr2bl w:val="nil"/>
                  </w:tcBorders>
                  <w:noWrap w:val="0"/>
                  <w:vAlign w:val="center"/>
                </w:tcPr>
                <w:p>
                  <w:pPr>
                    <w:pStyle w:val="51"/>
                    <w:keepNext w:val="0"/>
                    <w:keepLines w:val="0"/>
                    <w:pageBreakBefore w:val="0"/>
                    <w:widowControl w:val="0"/>
                    <w:kinsoku/>
                    <w:wordWrap/>
                    <w:overflowPunct/>
                    <w:topLinePunct w:val="0"/>
                    <w:bidi w:val="0"/>
                    <w:adjustRightInd/>
                    <w:snapToGrid w:val="0"/>
                    <w:spacing w:line="240" w:lineRule="auto"/>
                    <w:textAlignment w:val="auto"/>
                    <w:rPr>
                      <w:rFonts w:hint="default" w:ascii="Times New Roman" w:hAnsi="Times New Roman" w:eastAsia="宋体" w:cs="Times New Roman"/>
                      <w:b w:val="0"/>
                      <w:bCs/>
                      <w:color w:val="000000" w:themeColor="text1"/>
                      <w:kern w:val="0"/>
                      <w:sz w:val="21"/>
                      <w:szCs w:val="21"/>
                      <w:highlight w:val="none"/>
                      <w:lang w:val="sq-AL"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sq-AL" w:eastAsia="zh-CN" w:bidi="ar-SA"/>
                      <w14:textFill>
                        <w14:solidFill>
                          <w14:schemeClr w14:val="tx1"/>
                        </w14:solidFill>
                      </w14:textFill>
                    </w:rPr>
                    <w:t>①抗渗混凝土的抗渗等级不宜小于P10，其厚度不宜小于150mm或</w:t>
                  </w:r>
                </w:p>
                <w:p>
                  <w:pPr>
                    <w:keepNext w:val="0"/>
                    <w:keepLines w:val="0"/>
                    <w:pageBreakBefore w:val="0"/>
                    <w:widowControl w:val="0"/>
                    <w:kinsoku/>
                    <w:wordWrap/>
                    <w:overflowPunct/>
                    <w:topLinePunct w:val="0"/>
                    <w:bidi w:val="0"/>
                    <w:adjustRightInd/>
                    <w:snapToGrid w:val="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sq-AL" w:eastAsia="zh-CN" w:bidi="ar-SA"/>
                      <w14:textFill>
                        <w14:solidFill>
                          <w14:schemeClr w14:val="tx1"/>
                        </w14:solidFill>
                      </w14:textFill>
                    </w:rPr>
                    <w:t>②严格按照建筑防渗设计规范，采用严格的防渗措施，参照《石油化工工程防渗技术规范》（GBT50934</w:t>
                  </w:r>
                  <w:r>
                    <w:rPr>
                      <w:rFonts w:hint="default" w:ascii="Times New Roman" w:hAnsi="Times New Roman" w:cs="Times New Roman"/>
                      <w:b w:val="0"/>
                      <w:bCs/>
                      <w:color w:val="000000" w:themeColor="text1"/>
                      <w:sz w:val="21"/>
                      <w:szCs w:val="21"/>
                      <w:highlight w:val="none"/>
                      <w:lang w:val="sq-AL"/>
                      <w14:textFill>
                        <w14:solidFill>
                          <w14:schemeClr w14:val="tx1"/>
                        </w14:solidFill>
                      </w14:textFill>
                    </w:rPr>
                    <w:t>-2013）属于重点污染防治区，防渗性能与</w:t>
                  </w:r>
                  <w:r>
                    <w:rPr>
                      <w:rFonts w:hint="default" w:ascii="Times New Roman" w:hAnsi="Times New Roman" w:cs="Times New Roman"/>
                      <w:b w:val="0"/>
                      <w:bCs/>
                      <w:color w:val="000000" w:themeColor="text1"/>
                      <w:sz w:val="21"/>
                      <w:szCs w:val="21"/>
                      <w:highlight w:val="none"/>
                      <w14:textFill>
                        <w14:solidFill>
                          <w14:schemeClr w14:val="tx1"/>
                        </w14:solidFill>
                      </w14:textFill>
                    </w:rPr>
                    <w:t>1</w:t>
                  </w:r>
                  <w:r>
                    <w:rPr>
                      <w:rFonts w:hint="default" w:ascii="Times New Roman" w:hAnsi="Times New Roman" w:cs="Times New Roman"/>
                      <w:b w:val="0"/>
                      <w:bCs/>
                      <w:color w:val="000000" w:themeColor="text1"/>
                      <w:sz w:val="21"/>
                      <w:szCs w:val="21"/>
                      <w:highlight w:val="none"/>
                      <w:lang w:val="sq-AL"/>
                      <w14:textFill>
                        <w14:solidFill>
                          <w14:schemeClr w14:val="tx1"/>
                        </w14:solidFill>
                      </w14:textFill>
                    </w:rPr>
                    <w:t>.0m厚粘土层(渗透系数1.0×10</w:t>
                  </w:r>
                  <w:r>
                    <w:rPr>
                      <w:rFonts w:hint="default" w:ascii="Times New Roman" w:hAnsi="Times New Roman" w:cs="Times New Roman"/>
                      <w:b w:val="0"/>
                      <w:bCs/>
                      <w:color w:val="000000" w:themeColor="text1"/>
                      <w:sz w:val="21"/>
                      <w:szCs w:val="21"/>
                      <w:highlight w:val="none"/>
                      <w:vertAlign w:val="superscript"/>
                      <w:lang w:val="sq-AL"/>
                      <w14:textFill>
                        <w14:solidFill>
                          <w14:schemeClr w14:val="tx1"/>
                        </w14:solidFill>
                      </w14:textFill>
                    </w:rPr>
                    <w:t>-7</w:t>
                  </w:r>
                  <w:r>
                    <w:rPr>
                      <w:rFonts w:hint="default" w:ascii="Times New Roman" w:hAnsi="Times New Roman" w:cs="Times New Roman"/>
                      <w:b w:val="0"/>
                      <w:bCs/>
                      <w:color w:val="000000" w:themeColor="text1"/>
                      <w:sz w:val="21"/>
                      <w:szCs w:val="21"/>
                      <w:highlight w:val="none"/>
                      <w:lang w:val="sq-AL"/>
                      <w14:textFill>
                        <w14:solidFill>
                          <w14:schemeClr w14:val="tx1"/>
                        </w14:solidFill>
                      </w14:textFill>
                    </w:rPr>
                    <w:t>cm/s)等效</w:t>
                  </w:r>
                  <w:r>
                    <w:rPr>
                      <w:rFonts w:hint="default" w:ascii="Times New Roman" w:hAnsi="Times New Roman" w:cs="Times New Roman"/>
                      <w:b w:val="0"/>
                      <w:bCs/>
                      <w:color w:val="000000" w:themeColor="text1"/>
                      <w:sz w:val="21"/>
                      <w:szCs w:val="21"/>
                      <w:highlight w:val="none"/>
                      <w:lang w:val="sq-AL" w:eastAsia="zh-CN"/>
                      <w14:textFill>
                        <w14:solidFill>
                          <w14:schemeClr w14:val="tx1"/>
                        </w14:solidFill>
                      </w14:textFill>
                    </w:rPr>
                    <w:t>。</w:t>
                  </w:r>
                </w:p>
              </w:tc>
            </w:tr>
          </w:tbl>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综上，本项目在完善项目区防渗防漏措施下，对周围地下水和土壤的环境影响较小，从环境角度是可行的，项目运营过程对其附近区域地下水和土壤不会造成较大影响。</w:t>
            </w:r>
          </w:p>
          <w:p>
            <w:pPr>
              <w:tabs>
                <w:tab w:val="left" w:pos="900"/>
              </w:tabs>
              <w:adjustRightInd w:val="0"/>
              <w:snapToGrid w:val="0"/>
              <w:spacing w:line="360" w:lineRule="auto"/>
              <w:ind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lang w:val="en-US" w:eastAsia="zh-CN"/>
                <w14:textFill>
                  <w14:solidFill>
                    <w14:schemeClr w14:val="tx1"/>
                  </w14:solidFill>
                </w14:textFill>
              </w:rPr>
              <w:t>5</w:t>
            </w:r>
            <w:r>
              <w:rPr>
                <w:rFonts w:hint="eastAsia"/>
                <w:b/>
                <w:bCs w:val="0"/>
                <w:color w:val="000000" w:themeColor="text1"/>
                <w:sz w:val="24"/>
                <w:highlight w:val="none"/>
                <w14:textFill>
                  <w14:solidFill>
                    <w14:schemeClr w14:val="tx1"/>
                  </w14:solidFill>
                </w14:textFill>
              </w:rPr>
              <w:t>、跟踪监测</w:t>
            </w:r>
          </w:p>
          <w:p>
            <w:pPr>
              <w:adjustRightInd w:val="0"/>
              <w:snapToGrid w:val="0"/>
              <w:spacing w:line="360" w:lineRule="auto"/>
              <w:ind w:firstLine="451" w:firstLineChars="188"/>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由污染途径及对应措施分析可知，拟建工程对可能产生</w:t>
            </w:r>
            <w:r>
              <w:rPr>
                <w:rFonts w:hint="eastAsia"/>
                <w:bCs/>
                <w:color w:val="000000" w:themeColor="text1"/>
                <w:sz w:val="24"/>
                <w:highlight w:val="none"/>
                <w:lang w:val="en-US" w:eastAsia="zh-CN"/>
                <w14:textFill>
                  <w14:solidFill>
                    <w14:schemeClr w14:val="tx1"/>
                  </w14:solidFill>
                </w14:textFill>
              </w:rPr>
              <w:t>土壤</w:t>
            </w:r>
            <w:r>
              <w:rPr>
                <w:rFonts w:hint="eastAsia"/>
                <w:bCs/>
                <w:color w:val="000000" w:themeColor="text1"/>
                <w:sz w:val="24"/>
                <w:highlight w:val="none"/>
                <w14:textFill>
                  <w14:solidFill>
                    <w14:schemeClr w14:val="tx1"/>
                  </w14:solidFill>
                </w14:textFill>
              </w:rPr>
              <w:t>、地下水影响的各项途径均进行有效预防，在确保各项防渗措施得以落实，并加强维护和厂区环境管理的前提下，可有效避免污染土壤、地下水环境，因此拟建工程不会</w:t>
            </w:r>
            <w:r>
              <w:rPr>
                <w:rFonts w:hint="eastAsia"/>
                <w:bCs/>
                <w:color w:val="000000" w:themeColor="text1"/>
                <w:sz w:val="24"/>
                <w:highlight w:val="none"/>
                <w:lang w:val="en-US" w:eastAsia="zh-CN"/>
                <w14:textFill>
                  <w14:solidFill>
                    <w14:schemeClr w14:val="tx1"/>
                  </w14:solidFill>
                </w14:textFill>
              </w:rPr>
              <w:t>对</w:t>
            </w:r>
            <w:r>
              <w:rPr>
                <w:rFonts w:hint="eastAsia"/>
                <w:bCs/>
                <w:color w:val="000000" w:themeColor="text1"/>
                <w:sz w:val="24"/>
                <w:highlight w:val="none"/>
                <w14:textFill>
                  <w14:solidFill>
                    <w14:schemeClr w14:val="tx1"/>
                  </w14:solidFill>
                </w14:textFill>
              </w:rPr>
              <w:t>区域</w:t>
            </w:r>
            <w:r>
              <w:rPr>
                <w:rFonts w:hint="eastAsia"/>
                <w:bCs/>
                <w:color w:val="000000" w:themeColor="text1"/>
                <w:sz w:val="24"/>
                <w:highlight w:val="none"/>
                <w:lang w:val="en-US" w:eastAsia="zh-CN"/>
                <w14:textFill>
                  <w14:solidFill>
                    <w14:schemeClr w14:val="tx1"/>
                  </w14:solidFill>
                </w14:textFill>
              </w:rPr>
              <w:t>土</w:t>
            </w:r>
            <w:r>
              <w:rPr>
                <w:rFonts w:hint="eastAsia"/>
                <w:bCs/>
                <w:color w:val="000000" w:themeColor="text1"/>
                <w:sz w:val="24"/>
                <w:highlight w:val="none"/>
                <w14:textFill>
                  <w14:solidFill>
                    <w14:schemeClr w14:val="tx1"/>
                  </w14:solidFill>
                </w14:textFill>
              </w:rPr>
              <w:t>壤、地下水环境产生明显影响。</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由于本项目不含有重金属以及有毒有害物质，企业按照要求进行严格防渗</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本次评价不再要求进行土壤和地下水跟踪监测。</w:t>
            </w:r>
          </w:p>
          <w:p>
            <w:pPr>
              <w:tabs>
                <w:tab w:val="left" w:pos="900"/>
              </w:tabs>
              <w:adjustRightInd w:val="0"/>
              <w:snapToGrid w:val="0"/>
              <w:spacing w:line="360" w:lineRule="auto"/>
              <w:ind w:firstLine="482" w:firstLineChars="200"/>
              <w:rPr>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六、生态</w:t>
            </w:r>
          </w:p>
          <w:p>
            <w:pPr>
              <w:spacing w:line="360" w:lineRule="auto"/>
              <w:ind w:firstLine="480" w:firstLineChars="200"/>
              <w:rPr>
                <w:color w:val="000000" w:themeColor="text1"/>
                <w:kern w:val="0"/>
                <w:sz w:val="24"/>
                <w:szCs w:val="22"/>
                <w:highlight w:val="none"/>
                <w14:textFill>
                  <w14:solidFill>
                    <w14:schemeClr w14:val="tx1"/>
                  </w14:solidFill>
                </w14:textFill>
              </w:rPr>
            </w:pPr>
            <w:r>
              <w:rPr>
                <w:color w:val="000000" w:themeColor="text1"/>
                <w:kern w:val="0"/>
                <w:sz w:val="24"/>
                <w:szCs w:val="22"/>
                <w:highlight w:val="none"/>
                <w14:textFill>
                  <w14:solidFill>
                    <w14:schemeClr w14:val="tx1"/>
                  </w14:solidFill>
                </w14:textFill>
              </w:rPr>
              <w:t>本项目</w:t>
            </w:r>
            <w:r>
              <w:rPr>
                <w:rFonts w:hint="eastAsia"/>
                <w:color w:val="000000" w:themeColor="text1"/>
                <w:kern w:val="0"/>
                <w:sz w:val="24"/>
                <w:szCs w:val="22"/>
                <w:highlight w:val="none"/>
                <w:lang w:eastAsia="zh-CN"/>
                <w14:textFill>
                  <w14:solidFill>
                    <w14:schemeClr w14:val="tx1"/>
                  </w14:solidFill>
                </w14:textFill>
              </w:rPr>
              <w:t>不新占用土地，现有车间</w:t>
            </w:r>
            <w:r>
              <w:rPr>
                <w:color w:val="000000" w:themeColor="text1"/>
                <w:kern w:val="0"/>
                <w:sz w:val="24"/>
                <w:szCs w:val="22"/>
                <w:highlight w:val="none"/>
                <w14:textFill>
                  <w14:solidFill>
                    <w14:schemeClr w14:val="tx1"/>
                  </w14:solidFill>
                </w14:textFill>
              </w:rPr>
              <w:t>周围无生态环境保护目标，加强厂区绿化。本项目不会对周边生态环境产生影响。</w:t>
            </w:r>
          </w:p>
          <w:p>
            <w:pPr>
              <w:spacing w:line="360" w:lineRule="auto"/>
              <w:ind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七、环境风险分析</w:t>
            </w:r>
          </w:p>
          <w:p>
            <w:pPr>
              <w:snapToGrid w:val="0"/>
              <w:spacing w:line="360" w:lineRule="auto"/>
              <w:ind w:firstLine="482" w:firstLineChars="200"/>
              <w:rPr>
                <w:rFonts w:hint="eastAsia" w:eastAsia="Times New Roman"/>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（1）环境风险潜势判定</w:t>
            </w:r>
          </w:p>
          <w:p>
            <w:pPr>
              <w:snapToGrid w:val="0"/>
              <w:spacing w:line="360" w:lineRule="auto"/>
              <w:ind w:firstLine="480" w:firstLineChars="200"/>
              <w:rPr>
                <w:rFonts w:hint="eastAsia"/>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根据《建设项目环境风险评价技术导则》（HJ 169—2018）附录B，确定危险物质的临界量。本项目涉及的风险物质主要为</w:t>
            </w:r>
            <w:r>
              <w:rPr>
                <w:rFonts w:hint="eastAsia"/>
                <w:snapToGrid w:val="0"/>
                <w:color w:val="000000" w:themeColor="text1"/>
                <w:kern w:val="0"/>
                <w:sz w:val="24"/>
                <w:highlight w:val="none"/>
                <w:lang w:val="en-US" w:eastAsia="zh-CN"/>
                <w14:textFill>
                  <w14:solidFill>
                    <w14:schemeClr w14:val="tx1"/>
                  </w14:solidFill>
                </w14:textFill>
              </w:rPr>
              <w:t>乙腈、乙醇、异丙醇、二氯甲烷</w:t>
            </w:r>
            <w:r>
              <w:rPr>
                <w:rFonts w:hint="eastAsia"/>
                <w:snapToGrid w:val="0"/>
                <w:color w:val="000000" w:themeColor="text1"/>
                <w:kern w:val="0"/>
                <w:sz w:val="24"/>
                <w:highlight w:val="none"/>
                <w14:textFill>
                  <w14:solidFill>
                    <w14:schemeClr w14:val="tx1"/>
                  </w14:solidFill>
                </w14:textFill>
              </w:rPr>
              <w:t>等有机溶剂。</w:t>
            </w:r>
          </w:p>
          <w:p>
            <w:pPr>
              <w:pStyle w:val="35"/>
              <w:adjustRightInd w:val="0"/>
              <w:spacing w:after="0" w:line="360" w:lineRule="auto"/>
              <w:ind w:left="0" w:leftChars="0" w:firstLine="480" w:firstLineChars="0"/>
              <w:jc w:val="both"/>
              <w:rPr>
                <w:rFonts w:hint="eastAsia"/>
                <w:b w:val="0"/>
                <w:bCs w:val="0"/>
                <w:snapToGrid w:val="0"/>
                <w:color w:val="000000" w:themeColor="text1"/>
                <w:szCs w:val="24"/>
                <w:highlight w:val="none"/>
                <w14:textFill>
                  <w14:solidFill>
                    <w14:schemeClr w14:val="tx1"/>
                  </w14:solidFill>
                </w14:textFill>
              </w:rPr>
            </w:pPr>
            <w:r>
              <w:rPr>
                <w:rFonts w:hint="eastAsia"/>
                <w:b w:val="0"/>
                <w:bCs w:val="0"/>
                <w:snapToGrid w:val="0"/>
                <w:color w:val="000000" w:themeColor="text1"/>
                <w:szCs w:val="24"/>
                <w:highlight w:val="none"/>
                <w14:textFill>
                  <w14:solidFill>
                    <w14:schemeClr w14:val="tx1"/>
                  </w14:solidFill>
                </w14:textFill>
              </w:rPr>
              <w:t>①Q值确定</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计算所涉及的每种危险物质在厂界内的最大存在总量与其在附录B 中对应临界量的比值Q。当只涉及一种危险物质时，计算该物质的总量与其临界量比值，即为Q；</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当存在多种危险物质时，则按下式计算物质总量与其临界量比值（Q）：</w:t>
            </w:r>
          </w:p>
          <w:p>
            <w:pPr>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295525" cy="581025"/>
                  <wp:effectExtent l="0" t="0" r="9525" b="9525"/>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pic:cNvPicPr>
                        </pic:nvPicPr>
                        <pic:blipFill>
                          <a:blip r:embed="rId42"/>
                          <a:srcRect t="17493"/>
                          <a:stretch>
                            <a:fillRect/>
                          </a:stretch>
                        </pic:blipFill>
                        <pic:spPr>
                          <a:xfrm>
                            <a:off x="0" y="0"/>
                            <a:ext cx="2295525" cy="581025"/>
                          </a:xfrm>
                          <a:prstGeom prst="rect">
                            <a:avLst/>
                          </a:prstGeom>
                          <a:noFill/>
                          <a:ln>
                            <a:noFill/>
                          </a:ln>
                        </pic:spPr>
                      </pic:pic>
                    </a:graphicData>
                  </a:graphic>
                </wp:inline>
              </w:drawing>
            </w:r>
          </w:p>
          <w:p>
            <w:pPr>
              <w:spacing w:line="360" w:lineRule="auto"/>
              <w:ind w:firstLine="480" w:firstLineChars="200"/>
              <w:rPr>
                <w:rFonts w:hint="eastAsia" w:eastAsia="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式中：q</w:t>
            </w:r>
            <w:r>
              <w:rPr>
                <w:rFonts w:hint="eastAsia" w:eastAsia="Times New Roman"/>
                <w:color w:val="000000" w:themeColor="text1"/>
                <w:sz w:val="24"/>
                <w:highlight w:val="none"/>
                <w:vertAlign w:val="subscript"/>
                <w14:textFill>
                  <w14:solidFill>
                    <w14:schemeClr w14:val="tx1"/>
                  </w14:solidFill>
                </w14:textFill>
              </w:rPr>
              <w:t>1</w:t>
            </w:r>
            <w:r>
              <w:rPr>
                <w:rFonts w:hint="eastAsia"/>
                <w:color w:val="000000" w:themeColor="text1"/>
                <w:sz w:val="24"/>
                <w:highlight w:val="none"/>
                <w14:textFill>
                  <w14:solidFill>
                    <w14:schemeClr w14:val="tx1"/>
                  </w14:solidFill>
                </w14:textFill>
              </w:rPr>
              <w:t>，q</w:t>
            </w:r>
            <w:r>
              <w:rPr>
                <w:rFonts w:hint="eastAsia" w:eastAsia="Times New Roman"/>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，...，qn——每种危险物质的最大存在总量，t；</w:t>
            </w:r>
          </w:p>
          <w:p>
            <w:pPr>
              <w:spacing w:line="360" w:lineRule="auto"/>
              <w:ind w:firstLine="1200" w:firstLineChars="500"/>
              <w:rPr>
                <w:rFonts w:hint="eastAsia" w:eastAsia="Times New Roman"/>
                <w:color w:val="000000" w:themeColor="text1"/>
                <w:sz w:val="24"/>
                <w:highlight w:val="none"/>
                <w14:textFill>
                  <w14:solidFill>
                    <w14:schemeClr w14:val="tx1"/>
                  </w14:solidFill>
                </w14:textFill>
              </w:rPr>
            </w:pPr>
            <w:r>
              <w:rPr>
                <w:rFonts w:hint="eastAsia" w:eastAsia="Times New Roman"/>
                <w:color w:val="000000" w:themeColor="text1"/>
                <w:sz w:val="24"/>
                <w:highlight w:val="none"/>
                <w14:textFill>
                  <w14:solidFill>
                    <w14:schemeClr w14:val="tx1"/>
                  </w14:solidFill>
                </w14:textFill>
              </w:rPr>
              <w:t>Q</w:t>
            </w:r>
            <w:r>
              <w:rPr>
                <w:rFonts w:hint="eastAsia" w:eastAsia="Times New Roman"/>
                <w:color w:val="000000" w:themeColor="text1"/>
                <w:sz w:val="24"/>
                <w:highlight w:val="none"/>
                <w:vertAlign w:val="subscript"/>
                <w14:textFill>
                  <w14:solidFill>
                    <w14:schemeClr w14:val="tx1"/>
                  </w14:solidFill>
                </w14:textFill>
              </w:rPr>
              <w:t>1</w:t>
            </w:r>
            <w:r>
              <w:rPr>
                <w:rFonts w:hint="eastAsia" w:eastAsia="Times New Roman"/>
                <w:color w:val="000000" w:themeColor="text1"/>
                <w:sz w:val="24"/>
                <w:highlight w:val="none"/>
                <w14:textFill>
                  <w14:solidFill>
                    <w14:schemeClr w14:val="tx1"/>
                  </w14:solidFill>
                </w14:textFill>
              </w:rPr>
              <w:t>, Q</w:t>
            </w:r>
            <w:r>
              <w:rPr>
                <w:rFonts w:hint="eastAsia" w:eastAsia="Times New Roman"/>
                <w:color w:val="000000" w:themeColor="text1"/>
                <w:sz w:val="24"/>
                <w:highlight w:val="none"/>
                <w:vertAlign w:val="subscript"/>
                <w14:textFill>
                  <w14:solidFill>
                    <w14:schemeClr w14:val="tx1"/>
                  </w14:solidFill>
                </w14:textFill>
              </w:rPr>
              <w:t>2</w:t>
            </w:r>
            <w:r>
              <w:rPr>
                <w:rFonts w:hint="eastAsia" w:eastAsia="Times New Roman"/>
                <w:color w:val="000000" w:themeColor="text1"/>
                <w:sz w:val="24"/>
                <w:highlight w:val="none"/>
                <w14:textFill>
                  <w14:solidFill>
                    <w14:schemeClr w14:val="tx1"/>
                  </w14:solidFill>
                </w14:textFill>
              </w:rPr>
              <w:t>, ..., Qn——</w:t>
            </w:r>
            <w:r>
              <w:rPr>
                <w:rFonts w:hint="eastAsia"/>
                <w:color w:val="000000" w:themeColor="text1"/>
                <w:sz w:val="24"/>
                <w:highlight w:val="none"/>
                <w14:textFill>
                  <w14:solidFill>
                    <w14:schemeClr w14:val="tx1"/>
                  </w14:solidFill>
                </w14:textFill>
              </w:rPr>
              <w:t>每种危险物质的临界量，t。</w:t>
            </w:r>
          </w:p>
          <w:p>
            <w:pPr>
              <w:spacing w:line="360" w:lineRule="auto"/>
              <w:ind w:firstLine="480" w:firstLineChars="200"/>
              <w:rPr>
                <w:rFonts w:hint="eastAsia" w:eastAsia="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当Q＜1 时，该项目环境风险潜势为Ⅰ。</w:t>
            </w:r>
          </w:p>
          <w:p>
            <w:pPr>
              <w:spacing w:line="360" w:lineRule="auto"/>
              <w:ind w:firstLine="480" w:firstLineChars="200"/>
              <w:rPr>
                <w:rFonts w:hint="eastAsia" w:eastAsia="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当Q</w:t>
            </w:r>
            <w:r>
              <w:rPr>
                <w:rFonts w:hint="eastAsia" w:cs="宋体"/>
                <w:color w:val="000000" w:themeColor="text1"/>
                <w:sz w:val="24"/>
                <w:highlight w:val="none"/>
                <w14:textFill>
                  <w14:solidFill>
                    <w14:schemeClr w14:val="tx1"/>
                  </w14:solidFill>
                </w14:textFill>
              </w:rPr>
              <w:t>≥</w:t>
            </w:r>
            <w:r>
              <w:rPr>
                <w:rFonts w:hint="eastAsia" w:eastAsia="Times New Roman"/>
                <w:color w:val="000000" w:themeColor="text1"/>
                <w:sz w:val="24"/>
                <w:highlight w:val="none"/>
                <w14:textFill>
                  <w14:solidFill>
                    <w14:schemeClr w14:val="tx1"/>
                  </w14:solidFill>
                </w14:textFill>
              </w:rPr>
              <w:t xml:space="preserve">1 </w:t>
            </w:r>
            <w:r>
              <w:rPr>
                <w:rFonts w:hint="eastAsia"/>
                <w:color w:val="000000" w:themeColor="text1"/>
                <w:sz w:val="24"/>
                <w:highlight w:val="none"/>
                <w14:textFill>
                  <w14:solidFill>
                    <w14:schemeClr w14:val="tx1"/>
                  </w14:solidFill>
                </w14:textFill>
              </w:rPr>
              <w:t>时，将Q 值划分为：（1）1</w:t>
            </w:r>
            <w:r>
              <w:rPr>
                <w:rFonts w:hint="eastAsia" w:eastAsia="Times New Roman" w:cs="宋体"/>
                <w:color w:val="000000" w:themeColor="text1"/>
                <w:sz w:val="24"/>
                <w:highlight w:val="none"/>
                <w14:textFill>
                  <w14:solidFill>
                    <w14:schemeClr w14:val="tx1"/>
                  </w14:solidFill>
                </w14:textFill>
              </w:rPr>
              <w:t>≤</w:t>
            </w:r>
            <w:r>
              <w:rPr>
                <w:rFonts w:hint="eastAsia" w:eastAsia="Times New Roman"/>
                <w:color w:val="000000" w:themeColor="text1"/>
                <w:sz w:val="24"/>
                <w:highlight w:val="none"/>
                <w14:textFill>
                  <w14:solidFill>
                    <w14:schemeClr w14:val="tx1"/>
                  </w14:solidFill>
                </w14:textFill>
              </w:rPr>
              <w:t>Q</w:t>
            </w:r>
            <w:r>
              <w:rPr>
                <w:rFonts w:hint="eastAsia"/>
                <w:color w:val="000000" w:themeColor="text1"/>
                <w:sz w:val="24"/>
                <w:highlight w:val="none"/>
                <w14:textFill>
                  <w14:solidFill>
                    <w14:schemeClr w14:val="tx1"/>
                  </w14:solidFill>
                </w14:textFill>
              </w:rPr>
              <w:t>＜10；（2）10</w:t>
            </w:r>
            <w:r>
              <w:rPr>
                <w:rFonts w:hint="eastAsia" w:eastAsia="Times New Roman" w:cs="宋体"/>
                <w:color w:val="000000" w:themeColor="text1"/>
                <w:sz w:val="24"/>
                <w:highlight w:val="none"/>
                <w14:textFill>
                  <w14:solidFill>
                    <w14:schemeClr w14:val="tx1"/>
                  </w14:solidFill>
                </w14:textFill>
              </w:rPr>
              <w:t>≤</w:t>
            </w:r>
            <w:r>
              <w:rPr>
                <w:rFonts w:hint="eastAsia" w:eastAsia="Times New Roman"/>
                <w:color w:val="000000" w:themeColor="text1"/>
                <w:sz w:val="24"/>
                <w:highlight w:val="none"/>
                <w14:textFill>
                  <w14:solidFill>
                    <w14:schemeClr w14:val="tx1"/>
                  </w14:solidFill>
                </w14:textFill>
              </w:rPr>
              <w:t>Q</w:t>
            </w:r>
            <w:r>
              <w:rPr>
                <w:rFonts w:hint="eastAsia"/>
                <w:color w:val="000000" w:themeColor="text1"/>
                <w:sz w:val="24"/>
                <w:highlight w:val="none"/>
                <w14:textFill>
                  <w14:solidFill>
                    <w14:schemeClr w14:val="tx1"/>
                  </w14:solidFill>
                </w14:textFill>
              </w:rPr>
              <w:t>＜100；（3）Q</w:t>
            </w:r>
            <w:r>
              <w:rPr>
                <w:rFonts w:hint="eastAsia" w:eastAsia="Times New Roman" w:cs="宋体"/>
                <w:color w:val="000000" w:themeColor="text1"/>
                <w:sz w:val="24"/>
                <w:highlight w:val="none"/>
                <w14:textFill>
                  <w14:solidFill>
                    <w14:schemeClr w14:val="tx1"/>
                  </w14:solidFill>
                </w14:textFill>
              </w:rPr>
              <w:t>≥</w:t>
            </w:r>
            <w:r>
              <w:rPr>
                <w:rFonts w:hint="eastAsia" w:eastAsia="Times New Roman"/>
                <w:color w:val="000000" w:themeColor="text1"/>
                <w:sz w:val="24"/>
                <w:highlight w:val="none"/>
                <w14:textFill>
                  <w14:solidFill>
                    <w14:schemeClr w14:val="tx1"/>
                  </w14:solidFill>
                </w14:textFill>
              </w:rPr>
              <w:t>100</w:t>
            </w:r>
            <w:r>
              <w:rPr>
                <w:rFonts w:hint="eastAsia"/>
                <w:color w:val="000000" w:themeColor="text1"/>
                <w:sz w:val="24"/>
                <w:highlight w:val="none"/>
                <w14:textFill>
                  <w14:solidFill>
                    <w14:schemeClr w14:val="tx1"/>
                  </w14:solidFill>
                </w14:textFill>
              </w:rPr>
              <w:t>。</w:t>
            </w:r>
          </w:p>
          <w:p>
            <w:pPr>
              <w:pStyle w:val="35"/>
              <w:spacing w:after="0" w:line="360" w:lineRule="auto"/>
              <w:ind w:left="0" w:leftChars="0" w:firstLine="482" w:firstLineChars="0"/>
              <w:jc w:val="both"/>
              <w:rPr>
                <w:rFonts w:hint="eastAsia"/>
                <w:b w:val="0"/>
                <w:bCs w:val="0"/>
                <w:color w:val="000000" w:themeColor="text1"/>
                <w:szCs w:val="24"/>
                <w:highlight w:val="none"/>
                <w14:textFill>
                  <w14:solidFill>
                    <w14:schemeClr w14:val="tx1"/>
                  </w14:solidFill>
                </w14:textFill>
              </w:rPr>
            </w:pPr>
            <w:r>
              <w:rPr>
                <w:rFonts w:hint="eastAsia"/>
                <w:b w:val="0"/>
                <w:bCs w:val="0"/>
                <w:color w:val="000000" w:themeColor="text1"/>
                <w:szCs w:val="24"/>
                <w:highlight w:val="none"/>
                <w14:textFill>
                  <w14:solidFill>
                    <w14:schemeClr w14:val="tx1"/>
                  </w14:solidFill>
                </w14:textFill>
              </w:rPr>
              <w:t>本项目危险物质及Q值计算见下表：</w:t>
            </w:r>
          </w:p>
          <w:p>
            <w:pPr>
              <w:jc w:val="center"/>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表4</w:t>
            </w:r>
            <w:r>
              <w:rPr>
                <w:rFonts w:hint="eastAsia" w:eastAsia="Times New Roman"/>
                <w:b/>
                <w:color w:val="000000" w:themeColor="text1"/>
                <w:sz w:val="24"/>
                <w:highlight w:val="none"/>
                <w14:textFill>
                  <w14:solidFill>
                    <w14:schemeClr w14:val="tx1"/>
                  </w14:solidFill>
                </w14:textFill>
              </w:rPr>
              <w:t>-</w:t>
            </w:r>
            <w:r>
              <w:rPr>
                <w:rFonts w:hint="eastAsia" w:eastAsia="宋体"/>
                <w:b/>
                <w:color w:val="000000" w:themeColor="text1"/>
                <w:sz w:val="24"/>
                <w:highlight w:val="none"/>
                <w:lang w:val="en-US" w:eastAsia="zh-CN"/>
                <w14:textFill>
                  <w14:solidFill>
                    <w14:schemeClr w14:val="tx1"/>
                  </w14:solidFill>
                </w14:textFill>
              </w:rPr>
              <w:t>24</w:t>
            </w:r>
            <w:r>
              <w:rPr>
                <w:rFonts w:hint="eastAsia"/>
                <w:b/>
                <w:color w:val="000000" w:themeColor="text1"/>
                <w:sz w:val="24"/>
                <w:highlight w:val="none"/>
                <w14:textFill>
                  <w14:solidFill>
                    <w14:schemeClr w14:val="tx1"/>
                  </w14:solidFill>
                </w14:textFill>
              </w:rPr>
              <w:t xml:space="preserve"> 项目</w:t>
            </w:r>
            <w:r>
              <w:rPr>
                <w:rFonts w:hint="eastAsia" w:eastAsia="Times New Roman"/>
                <w:b/>
                <w:color w:val="000000" w:themeColor="text1"/>
                <w:sz w:val="24"/>
                <w:highlight w:val="none"/>
                <w14:textFill>
                  <w14:solidFill>
                    <w14:schemeClr w14:val="tx1"/>
                  </w14:solidFill>
                </w14:textFill>
              </w:rPr>
              <w:t>Q</w:t>
            </w:r>
            <w:r>
              <w:rPr>
                <w:rFonts w:hint="eastAsia"/>
                <w:b/>
                <w:color w:val="000000" w:themeColor="text1"/>
                <w:sz w:val="24"/>
                <w:highlight w:val="none"/>
                <w14:textFill>
                  <w14:solidFill>
                    <w14:schemeClr w14:val="tx1"/>
                  </w14:solidFill>
                </w14:textFill>
              </w:rPr>
              <w:t>值计算表</w:t>
            </w:r>
          </w:p>
          <w:tbl>
            <w:tblPr>
              <w:tblStyle w:val="3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88"/>
              <w:gridCol w:w="2482"/>
              <w:gridCol w:w="1390"/>
              <w:gridCol w:w="1705"/>
              <w:gridCol w:w="1255"/>
              <w:gridCol w:w="10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区域</w:t>
                  </w: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物质</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CAS</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号</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最大存储量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临界量</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w:t>
                  </w:r>
                </w:p>
              </w:tc>
              <w:tc>
                <w:tcPr>
                  <w:tcW w:w="105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qn/Qn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五楼化验室</w:t>
                  </w: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乙腈</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75-05-8</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甲醇</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67-56-1</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异丙醇</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67-63-0</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二正丁胺</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乙二醇二甲醚</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二甲基甲酰胺</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68-12-2</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硫酸</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7664-93-9</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盐酸（</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7647-01-0</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硝酸</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7697-37-2</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甲苯</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108-88-3</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丙酮</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67-64-1</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三氯甲烷</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67-66-3</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乙酸酐</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六楼研发室</w:t>
                  </w: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75-09-2</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氯化亚砜</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7719-09-7</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三氟乙醇</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三甲基氯硅烷</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75-77-4</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八甲基环四硅氧烷</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556-67-2</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六亚甲基二异氰酸酯</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甲基异丁基甲酮</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次氯酸钠</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7681-52-9</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二氯乙烷</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107-06-2</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氨水（浓度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1336-21-6</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危废库</w:t>
                  </w: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废试剂</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0.002t/a</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实验废液</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3t/a</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98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清洗废液</w:t>
                  </w:r>
                </w:p>
              </w:tc>
              <w:tc>
                <w:tcPr>
                  <w:tcW w:w="13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0.486t/a</w:t>
                  </w:r>
                </w:p>
              </w:tc>
              <w:tc>
                <w:tcPr>
                  <w:tcW w:w="12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7820" w:type="dxa"/>
                  <w:gridSpan w:val="5"/>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合计</w:t>
                  </w:r>
                </w:p>
              </w:tc>
              <w:tc>
                <w:tcPr>
                  <w:tcW w:w="105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0.091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874" w:type="dxa"/>
                  <w:gridSpan w:val="6"/>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说明：</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危险废物临界值参考《建设项目环境风险评价导则》</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(HJ169-2018)</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B.2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中健康危险急性毒性物质推荐临界值。</w:t>
                  </w:r>
                </w:p>
              </w:tc>
            </w:tr>
          </w:tbl>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②环境风险</w:t>
            </w:r>
            <w:r>
              <w:rPr>
                <w:rFonts w:hint="eastAsia"/>
                <w:color w:val="000000" w:themeColor="text1"/>
                <w:sz w:val="24"/>
                <w:highlight w:val="none"/>
                <w14:textFill>
                  <w14:solidFill>
                    <w14:schemeClr w14:val="tx1"/>
                  </w14:solidFill>
                </w14:textFill>
              </w:rPr>
              <w:t>潜势初判</w:t>
            </w:r>
          </w:p>
          <w:p>
            <w:pPr>
              <w:spacing w:line="360" w:lineRule="auto"/>
              <w:ind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w:t>
            </w:r>
            <w:r>
              <w:rPr>
                <w:rFonts w:hint="eastAsia" w:eastAsia="Times New Roman"/>
                <w:color w:val="000000" w:themeColor="text1"/>
                <w:sz w:val="24"/>
                <w:highlight w:val="none"/>
                <w14:textFill>
                  <w14:solidFill>
                    <w14:schemeClr w14:val="tx1"/>
                  </w14:solidFill>
                </w14:textFill>
              </w:rPr>
              <w:t>Q</w:t>
            </w:r>
            <w:r>
              <w:rPr>
                <w:rFonts w:hint="eastAsia"/>
                <w:color w:val="000000" w:themeColor="text1"/>
                <w:sz w:val="24"/>
                <w:highlight w:val="none"/>
                <w14:textFill>
                  <w14:solidFill>
                    <w14:schemeClr w14:val="tx1"/>
                  </w14:solidFill>
                </w14:textFill>
              </w:rPr>
              <w:t>＜1，环境风险潜势为</w:t>
            </w:r>
            <w:r>
              <w:rPr>
                <w:color w:val="000000" w:themeColor="text1"/>
                <w:sz w:val="24"/>
                <w:highlight w:val="none"/>
                <w14:textFill>
                  <w14:solidFill>
                    <w14:schemeClr w14:val="tx1"/>
                  </w14:solidFill>
                </w14:textFill>
              </w:rPr>
              <w:t>Ⅰ</w:t>
            </w:r>
            <w:r>
              <w:rPr>
                <w:rFonts w:hint="eastAsia"/>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对本项目环境风险进行简单分析</w:t>
            </w:r>
          </w:p>
          <w:p>
            <w:pPr>
              <w:pStyle w:val="35"/>
              <w:adjustRightInd w:val="0"/>
              <w:snapToGrid w:val="0"/>
              <w:spacing w:after="0" w:line="360" w:lineRule="auto"/>
              <w:ind w:firstLine="482" w:firstLineChars="200"/>
              <w:jc w:val="both"/>
              <w:rPr>
                <w:rFonts w:hint="eastAsia"/>
                <w:b/>
                <w:color w:val="000000" w:themeColor="text1"/>
                <w:szCs w:val="24"/>
                <w:highlight w:val="none"/>
                <w14:textFill>
                  <w14:solidFill>
                    <w14:schemeClr w14:val="tx1"/>
                  </w14:solidFill>
                </w14:textFill>
              </w:rPr>
            </w:pPr>
            <w:r>
              <w:rPr>
                <w:rFonts w:hint="eastAsia"/>
                <w:b/>
                <w:color w:val="000000" w:themeColor="text1"/>
                <w:szCs w:val="24"/>
                <w:highlight w:val="none"/>
                <w14:textFill>
                  <w14:solidFill>
                    <w14:schemeClr w14:val="tx1"/>
                  </w14:solidFill>
                </w14:textFill>
              </w:rPr>
              <w:t>（2）环境敏感目标情况</w:t>
            </w:r>
          </w:p>
          <w:p>
            <w:pPr>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项目周边环境敏感目标情况见表3-</w:t>
            </w: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w:t>
            </w:r>
          </w:p>
          <w:p>
            <w:pPr>
              <w:snapToGrid w:val="0"/>
              <w:spacing w:line="360" w:lineRule="auto"/>
              <w:ind w:firstLine="420"/>
              <w:rPr>
                <w:rFonts w:hint="eastAsia" w:eastAsia="Times New Roman"/>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（3）环境风险识别</w:t>
            </w:r>
          </w:p>
          <w:p>
            <w:pPr>
              <w:snapToGrid w:val="0"/>
              <w:spacing w:line="360" w:lineRule="auto"/>
              <w:ind w:firstLine="420"/>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本项目五楼化验室实验过程主要为使用各种检测仪器进行的测试，六楼研发室进行小试实验，所用仪器主要为烧瓶等玻璃仪器，无高温高压设备，风险性较小。</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①根据项目风险特征，本项目主要存在的环境风险事故情形为：实验室有机溶剂、实验废液等桶装液体物料发生泄漏，从而对周边水体环境造成影响。</w:t>
            </w:r>
          </w:p>
          <w:p>
            <w:pPr>
              <w:snapToGrid w:val="0"/>
              <w:spacing w:line="360" w:lineRule="auto"/>
              <w:ind w:firstLine="420"/>
              <w:rPr>
                <w:rFonts w:hint="eastAsia" w:eastAsia="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②上述化学品遇到明火等发生火灾事故，可能产生的次生污染包括火灾消防液及燃烧废气等，这些物质可能会对周围环境造成影响。</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③废气处理设施故障：项目有机废气处理设施故障，有机废气直接排入大气环境，影响周边大气环境。</w:t>
            </w:r>
          </w:p>
          <w:p>
            <w:pPr>
              <w:snapToGrid w:val="0"/>
              <w:spacing w:line="360" w:lineRule="auto"/>
              <w:ind w:firstLine="482" w:firstLineChars="200"/>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w:t>
            </w:r>
            <w:r>
              <w:rPr>
                <w:rFonts w:hint="eastAsia"/>
                <w:b/>
                <w:color w:val="000000" w:themeColor="text1"/>
                <w:sz w:val="24"/>
                <w:highlight w:val="none"/>
                <w:lang w:val="en-US" w:eastAsia="zh-CN"/>
                <w14:textFill>
                  <w14:solidFill>
                    <w14:schemeClr w14:val="tx1"/>
                  </w14:solidFill>
                </w14:textFill>
              </w:rPr>
              <w:t>4</w:t>
            </w:r>
            <w:r>
              <w:rPr>
                <w:rFonts w:hint="eastAsia"/>
                <w:b/>
                <w:color w:val="000000" w:themeColor="text1"/>
                <w:sz w:val="24"/>
                <w:highlight w:val="none"/>
                <w14:textFill>
                  <w14:solidFill>
                    <w14:schemeClr w14:val="tx1"/>
                  </w14:solidFill>
                </w14:textFill>
              </w:rPr>
              <w:t>）环境风险防范措施及应急要求</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①运输、储存及生产过程中风险防范对策与措施</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加强实验室及危废库安全管理，原料及危废库入库前要进行严格检查，并填写入库单，入库后要进行定期检查，保证其安全和质量，并有相应的标识。</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严禁火种带入库房及危废库，在库房及危废库配备一定数量的灭火器。危险废物其在厂内收集和临时储存应严格执行《危险废物贮存污染控制标准》（GB18597-2023）规定，危废须按照《危险废物收集贮存运输技术规范》（</w:t>
            </w:r>
            <w:r>
              <w:rPr>
                <w:rFonts w:hint="eastAsia" w:eastAsia="Times New Roman"/>
                <w:color w:val="000000" w:themeColor="text1"/>
                <w:sz w:val="24"/>
                <w:highlight w:val="none"/>
                <w14:textFill>
                  <w14:solidFill>
                    <w14:schemeClr w14:val="tx1"/>
                  </w14:solidFill>
                </w14:textFill>
              </w:rPr>
              <w:t>HJ2025-2012</w:t>
            </w:r>
            <w:r>
              <w:rPr>
                <w:rFonts w:hint="eastAsia"/>
                <w:color w:val="000000" w:themeColor="text1"/>
                <w:sz w:val="24"/>
                <w:highlight w:val="none"/>
                <w14:textFill>
                  <w14:solidFill>
                    <w14:schemeClr w14:val="tx1"/>
                  </w14:solidFill>
                </w14:textFill>
              </w:rPr>
              <w:t xml:space="preserve">）相关规定执行。 </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②强化管理及安全生产措施 </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强化安全生产管理，必须制订岗位责任制，严格遵守操作规程，以及国家、地方关于易燃、有害物料的储运安全规定。</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强化安全生产及环境保护意识的教育，提高职工的素质，加强操作人员的上岗前的培训，进行安全生产、消防、环保、工业卫生等方面的技术培训教育。按照《建筑设计防火规范》等规范，落实消防相关配套设施。</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加强项目区内的环境管理，积极做好环保、消防等的预防工作，以最大程度降低可能产生的环境风险事故。</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必须经常检查安全消防设施的完好性，使其处于即用状态，以备在事故发生时能及时、高效率的发挥作用。</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③个人防护措施 </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须保持作业场所清洁与通风，须配备个人防护设施，如佩戴防毒面具或防毒口罩等。</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加强员工职业安全培训与教育。</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④环保设备防护措施</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项目设置独立的危废仓库，地面涂刷防腐、防渗涂料，防止废液泄漏污染土壤及地下水。</w:t>
            </w:r>
          </w:p>
          <w:p>
            <w:pPr>
              <w:snapToGrid w:val="0"/>
              <w:spacing w:line="360" w:lineRule="auto"/>
              <w:ind w:firstLine="420"/>
              <w:rPr>
                <w:color w:val="000000" w:themeColor="text1"/>
                <w:sz w:val="21"/>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定期检查维护有机废气处理设施，定期更换活性炭，防止因吸附饱和导致的有机废气排放超标。</w:t>
            </w:r>
          </w:p>
          <w:p>
            <w:pPr>
              <w:snapToGrid w:val="0"/>
              <w:spacing w:line="360" w:lineRule="auto"/>
              <w:ind w:firstLine="482" w:firstLineChars="200"/>
              <w:rPr>
                <w:rFonts w:hint="eastAsia" w:eastAsia="Times New Roman"/>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（4）风险事故应急预案</w:t>
            </w:r>
          </w:p>
          <w:p>
            <w:pPr>
              <w:snapToGrid w:val="0"/>
              <w:spacing w:line="360" w:lineRule="auto"/>
              <w:ind w:firstLine="480" w:firstLineChars="200"/>
              <w:rPr>
                <w:rFonts w:hint="eastAsia" w:eastAsia="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企业应以《建设项目环境风险评价技术导则》（HJ169-2018）为指导，结合《国家突发环境事件应急预案》和《环境污染事故应急预案编制技术指南》相关规定，制定适合企业自身情况的应急预案，切实落实应急预案内容要求，在发生环境风险事故的情况下能够有效组织实施，尽可能降低对环境的损害。</w:t>
            </w:r>
          </w:p>
          <w:p>
            <w:pPr>
              <w:snapToGrid w:val="0"/>
              <w:spacing w:line="360" w:lineRule="auto"/>
              <w:ind w:firstLine="480" w:firstLineChars="200"/>
              <w:rPr>
                <w:rFonts w:hint="eastAsia" w:eastAsia="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本项目应急预案纲要具体见表4-</w:t>
            </w:r>
            <w:r>
              <w:rPr>
                <w:rFonts w:hint="eastAsia"/>
                <w:color w:val="000000" w:themeColor="text1"/>
                <w:sz w:val="24"/>
                <w:highlight w:val="none"/>
                <w:lang w:val="en-US" w:eastAsia="zh-CN"/>
                <w14:textFill>
                  <w14:solidFill>
                    <w14:schemeClr w14:val="tx1"/>
                  </w14:solidFill>
                </w14:textFill>
              </w:rPr>
              <w:t>25</w:t>
            </w:r>
            <w:r>
              <w:rPr>
                <w:rFonts w:hint="eastAsia"/>
                <w:color w:val="000000" w:themeColor="text1"/>
                <w:sz w:val="24"/>
                <w:highlight w:val="none"/>
                <w14:textFill>
                  <w14:solidFill>
                    <w14:schemeClr w14:val="tx1"/>
                  </w14:solidFill>
                </w14:textFill>
              </w:rPr>
              <w:t>。</w:t>
            </w:r>
          </w:p>
          <w:p>
            <w:pPr>
              <w:jc w:val="center"/>
              <w:rPr>
                <w:rFonts w:hint="eastAsia" w:eastAsia="Times New Roman"/>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表4-</w:t>
            </w:r>
            <w:r>
              <w:rPr>
                <w:rFonts w:hint="eastAsia"/>
                <w:b/>
                <w:color w:val="000000" w:themeColor="text1"/>
                <w:sz w:val="24"/>
                <w:highlight w:val="none"/>
                <w:lang w:val="en-US" w:eastAsia="zh-CN"/>
                <w14:textFill>
                  <w14:solidFill>
                    <w14:schemeClr w14:val="tx1"/>
                  </w14:solidFill>
                </w14:textFill>
              </w:rPr>
              <w:t>25</w:t>
            </w:r>
            <w:r>
              <w:rPr>
                <w:rFonts w:hint="eastAsia" w:eastAsia="Times New Roman"/>
                <w:b/>
                <w:color w:val="000000" w:themeColor="text1"/>
                <w:sz w:val="24"/>
                <w:highlight w:val="none"/>
                <w14:textFill>
                  <w14:solidFill>
                    <w14:schemeClr w14:val="tx1"/>
                  </w14:solidFill>
                </w14:textFill>
              </w:rPr>
              <w:t xml:space="preserve"> </w:t>
            </w:r>
            <w:r>
              <w:rPr>
                <w:rFonts w:hint="eastAsia"/>
                <w:b/>
                <w:color w:val="000000" w:themeColor="text1"/>
                <w:sz w:val="24"/>
                <w:highlight w:val="none"/>
                <w14:textFill>
                  <w14:solidFill>
                    <w14:schemeClr w14:val="tx1"/>
                  </w14:solidFill>
                </w14:textFill>
              </w:rPr>
              <w:t>突发事故应急预案纲要一览表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5"/>
              <w:gridCol w:w="1833"/>
              <w:gridCol w:w="6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2" w:hRule="atLeast"/>
                <w:jc w:val="center"/>
              </w:trPr>
              <w:tc>
                <w:tcPr>
                  <w:tcW w:w="638" w:type="dxa"/>
                  <w:noWrap w:val="0"/>
                  <w:vAlign w:val="center"/>
                </w:tcPr>
                <w:p>
                  <w:pPr>
                    <w:spacing w:line="280" w:lineRule="exact"/>
                    <w:jc w:val="center"/>
                    <w:rPr>
                      <w:rFonts w:hint="eastAsia" w:eastAsia="Times New Roman"/>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序号</w:t>
                  </w:r>
                </w:p>
              </w:tc>
              <w:tc>
                <w:tcPr>
                  <w:tcW w:w="1635" w:type="dxa"/>
                  <w:noWrap w:val="0"/>
                  <w:vAlign w:val="center"/>
                </w:tcPr>
                <w:p>
                  <w:pPr>
                    <w:spacing w:line="280" w:lineRule="exact"/>
                    <w:jc w:val="center"/>
                    <w:rPr>
                      <w:rFonts w:hint="eastAsia" w:eastAsia="Times New Roman"/>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项目</w:t>
                  </w:r>
                </w:p>
              </w:tc>
              <w:tc>
                <w:tcPr>
                  <w:tcW w:w="5643" w:type="dxa"/>
                  <w:noWrap w:val="0"/>
                  <w:vAlign w:val="center"/>
                </w:tcPr>
                <w:p>
                  <w:pPr>
                    <w:spacing w:line="280" w:lineRule="exact"/>
                    <w:jc w:val="center"/>
                    <w:rPr>
                      <w:rFonts w:hint="eastAsia" w:eastAsia="Times New Roman"/>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1</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危险源概况</w:t>
                  </w:r>
                </w:p>
              </w:tc>
              <w:tc>
                <w:tcPr>
                  <w:tcW w:w="5643"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详述危险源类型、数量及其分布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2</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应急计划区</w:t>
                  </w:r>
                </w:p>
              </w:tc>
              <w:tc>
                <w:tcPr>
                  <w:tcW w:w="5643"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实验室</w:t>
                  </w:r>
                  <w:r>
                    <w:rPr>
                      <w:rFonts w:hint="eastAsia"/>
                      <w:color w:val="000000" w:themeColor="text1"/>
                      <w:highlight w:val="none"/>
                      <w14:textFill>
                        <w14:solidFill>
                          <w14:schemeClr w14:val="tx1"/>
                        </w14:solidFill>
                      </w14:textFill>
                    </w:rPr>
                    <w:t>各功能区、</w:t>
                  </w:r>
                  <w:r>
                    <w:rPr>
                      <w:rFonts w:hint="eastAsia"/>
                      <w:color w:val="000000" w:themeColor="text1"/>
                      <w:highlight w:val="none"/>
                      <w:lang w:val="en-US" w:eastAsia="zh-CN"/>
                      <w14:textFill>
                        <w14:solidFill>
                          <w14:schemeClr w14:val="tx1"/>
                        </w14:solidFill>
                      </w14:textFill>
                    </w:rPr>
                    <w:t>试剂间</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药品间、</w:t>
                  </w:r>
                  <w:r>
                    <w:rPr>
                      <w:rFonts w:hint="eastAsia"/>
                      <w:color w:val="000000" w:themeColor="text1"/>
                      <w:highlight w:val="none"/>
                      <w14:textFill>
                        <w14:solidFill>
                          <w14:schemeClr w14:val="tx1"/>
                        </w14:solidFill>
                      </w14:textFill>
                    </w:rPr>
                    <w:t>危废库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3</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应急组织</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企业：公司指挥部负责现场全面指挥；专业救援队伍负责事故控制、救援、善后处理</w:t>
                  </w:r>
                </w:p>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地区：地区指挥部负责公司附近地区全面指挥、救援、管制、疏散；专业救援队伍负责对公司专业救援队伍的支援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4</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应急状态分类及应急响应程序</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规定事故的级别及相应的应急分类响应程序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5</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应急设施、设备与材料</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实验</w:t>
                  </w:r>
                  <w:r>
                    <w:rPr>
                      <w:rFonts w:hint="eastAsia"/>
                      <w:color w:val="000000" w:themeColor="text1"/>
                      <w:highlight w:val="none"/>
                      <w14:textFill>
                        <w14:solidFill>
                          <w14:schemeClr w14:val="tx1"/>
                        </w14:solidFill>
                      </w14:textFill>
                    </w:rPr>
                    <w:t>装置及原料存储区：防火灾事故应急设施、设备及材料，主要为消防器材；防有毒有害物质外溢、扩散，主要是抗溶性泡沫、干粉、二氧化碳、喷淋设备等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6</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应急通讯、通知和交通</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应急状态下的通讯方式、通知方式和交通保障、管制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7</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应急环境监测及事故后评估</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由专业队伍负责对事故现场进行侦察监测，对事故性质、参数与后果进行评估，为指挥部门提供决策依据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8</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应急防范措施、清除泄漏措施方法和器材</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事故现场：控制事故、防止扩大、蔓延及链锁反应；清除现场泄漏物，降低危害，相应的设施器材配备</w:t>
                  </w:r>
                </w:p>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邻近区域：控制和清除污染措施及相应设备配备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9</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应急状态终止与恢复措施</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规定应急状态终止程序；事故现场善后处理，恢复措施；临近区域解除事故警戒及善后恢复措施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10</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人员培训与演练</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11</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公众教育和信息</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对公司邻近地区开展公众教育、培训和发布有关信息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12</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记录和报告</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设置应急事故专门记录，建档案和专门报告制度，设专门部门和负责管理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8"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eastAsia="Times New Roman"/>
                      <w:color w:val="000000" w:themeColor="text1"/>
                      <w:highlight w:val="none"/>
                      <w14:textFill>
                        <w14:solidFill>
                          <w14:schemeClr w14:val="tx1"/>
                        </w14:solidFill>
                      </w14:textFill>
                    </w:rPr>
                    <w:t>13</w:t>
                  </w:r>
                </w:p>
              </w:tc>
              <w:tc>
                <w:tcPr>
                  <w:tcW w:w="1635" w:type="dxa"/>
                  <w:noWrap w:val="0"/>
                  <w:vAlign w:val="center"/>
                </w:tcPr>
                <w:p>
                  <w:pPr>
                    <w:spacing w:line="280" w:lineRule="exact"/>
                    <w:jc w:val="center"/>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w:t>
                  </w:r>
                </w:p>
              </w:tc>
              <w:tc>
                <w:tcPr>
                  <w:tcW w:w="5643" w:type="dxa"/>
                  <w:noWrap w:val="0"/>
                  <w:vAlign w:val="center"/>
                </w:tcPr>
                <w:p>
                  <w:pPr>
                    <w:spacing w:line="280" w:lineRule="exact"/>
                    <w:rPr>
                      <w:rFonts w:hint="eastAsia" w:eastAsia="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与应急事故有关的多种附件材料的准备和形成</w:t>
                  </w:r>
                </w:p>
              </w:tc>
            </w:tr>
          </w:tbl>
          <w:p>
            <w:pPr>
              <w:spacing w:line="360" w:lineRule="auto"/>
              <w:ind w:firstLine="482"/>
              <w:rPr>
                <w:rFonts w:hint="eastAsia" w:eastAsia="Times New Roman"/>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（5）环境风险评价结论</w:t>
            </w:r>
          </w:p>
          <w:p>
            <w:pPr>
              <w:snapToGrid w:val="0"/>
              <w:spacing w:line="360" w:lineRule="auto"/>
              <w:ind w:firstLine="42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本项目环境风险</w:t>
            </w:r>
            <w:r>
              <w:rPr>
                <w:rFonts w:hint="eastAsia"/>
                <w:color w:val="000000" w:themeColor="text1"/>
                <w:sz w:val="24"/>
                <w:highlight w:val="none"/>
                <w:lang w:val="en-US" w:eastAsia="zh-CN"/>
                <w14:textFill>
                  <w14:solidFill>
                    <w14:schemeClr w14:val="tx1"/>
                  </w14:solidFill>
                </w14:textFill>
              </w:rPr>
              <w:t>较</w:t>
            </w:r>
            <w:r>
              <w:rPr>
                <w:rFonts w:hint="eastAsia"/>
                <w:color w:val="000000" w:themeColor="text1"/>
                <w:sz w:val="24"/>
                <w:highlight w:val="none"/>
                <w14:textFill>
                  <w14:solidFill>
                    <w14:schemeClr w14:val="tx1"/>
                  </w14:solidFill>
                </w14:textFill>
              </w:rPr>
              <w:t>小，在实施以上的风险减缓措施后，企业的应急处理事故能力对突发性事故是可以控制的。若建设单位通过制定严格的管理规定和岗位责任制，给予足够的重视，参照本评价提出的环境风险的预防及应急措施加强职工的安全生产教育，提高风险意识，能够最大限度地减少可能发生的环境风险。因此，总的来说，其风险是可以接受的。</w:t>
            </w:r>
          </w:p>
          <w:p>
            <w:pPr>
              <w:spacing w:line="360" w:lineRule="auto"/>
              <w:ind w:firstLine="482"/>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4-</w:t>
            </w:r>
            <w:r>
              <w:rPr>
                <w:rFonts w:hint="eastAsia"/>
                <w:b/>
                <w:bCs/>
                <w:color w:val="000000" w:themeColor="text1"/>
                <w:sz w:val="24"/>
                <w:highlight w:val="none"/>
                <w:lang w:val="en-US" w:eastAsia="zh-CN"/>
                <w14:textFill>
                  <w14:solidFill>
                    <w14:schemeClr w14:val="tx1"/>
                  </w14:solidFill>
                </w14:textFill>
              </w:rPr>
              <w:t>26</w:t>
            </w:r>
            <w:r>
              <w:rPr>
                <w:rFonts w:hint="eastAsia"/>
                <w:b/>
                <w:bCs/>
                <w:color w:val="000000" w:themeColor="text1"/>
                <w:sz w:val="24"/>
                <w:highlight w:val="none"/>
                <w14:textFill>
                  <w14:solidFill>
                    <w14:schemeClr w14:val="tx1"/>
                  </w14:solidFill>
                </w14:textFill>
              </w:rPr>
              <w:t xml:space="preserve"> </w:t>
            </w:r>
            <w:r>
              <w:rPr>
                <w:b/>
                <w:bCs/>
                <w:color w:val="000000" w:themeColor="text1"/>
                <w:sz w:val="24"/>
                <w:highlight w:val="none"/>
                <w14:textFill>
                  <w14:solidFill>
                    <w14:schemeClr w14:val="tx1"/>
                  </w14:solidFill>
                </w14:textFill>
              </w:rPr>
              <w:t>建设项目环境风险简单分析内容表</w:t>
            </w:r>
          </w:p>
          <w:tbl>
            <w:tblPr>
              <w:tblStyle w:val="36"/>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80"/>
              <w:gridCol w:w="1425"/>
              <w:gridCol w:w="1600"/>
              <w:gridCol w:w="1338"/>
              <w:gridCol w:w="21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41" w:type="pct"/>
                  <w:noWrap w:val="0"/>
                  <w:vAlign w:val="center"/>
                </w:tcPr>
                <w:p>
                  <w:pPr>
                    <w:jc w:val="center"/>
                    <w:rPr>
                      <w:color w:val="000000" w:themeColor="text1"/>
                      <w:kern w:val="21"/>
                      <w:szCs w:val="21"/>
                      <w:highlight w:val="none"/>
                      <w:lang w:eastAsia="en-US"/>
                      <w14:textFill>
                        <w14:solidFill>
                          <w14:schemeClr w14:val="tx1"/>
                        </w14:solidFill>
                      </w14:textFill>
                    </w:rPr>
                  </w:pPr>
                  <w:r>
                    <w:rPr>
                      <w:color w:val="000000" w:themeColor="text1"/>
                      <w:kern w:val="21"/>
                      <w:szCs w:val="21"/>
                      <w:highlight w:val="none"/>
                      <w:lang w:eastAsia="en-US"/>
                      <w14:textFill>
                        <w14:solidFill>
                          <w14:schemeClr w14:val="tx1"/>
                        </w14:solidFill>
                      </w14:textFill>
                    </w:rPr>
                    <w:t>建设项目名称</w:t>
                  </w:r>
                </w:p>
              </w:tc>
              <w:tc>
                <w:tcPr>
                  <w:tcW w:w="3658" w:type="pct"/>
                  <w:gridSpan w:val="4"/>
                  <w:noWrap w:val="0"/>
                  <w:vAlign w:val="center"/>
                </w:tcPr>
                <w:p>
                  <w:pPr>
                    <w:jc w:val="center"/>
                    <w:rPr>
                      <w:rFonts w:hint="eastAsia" w:eastAsia="宋体"/>
                      <w:color w:val="000000" w:themeColor="text1"/>
                      <w:kern w:val="21"/>
                      <w:szCs w:val="21"/>
                      <w:highlight w:val="none"/>
                      <w:lang w:eastAsia="zh-CN"/>
                      <w14:textFill>
                        <w14:solidFill>
                          <w14:schemeClr w14:val="tx1"/>
                        </w14:solidFill>
                      </w14:textFill>
                    </w:rPr>
                  </w:pPr>
                  <w:r>
                    <w:rPr>
                      <w:rFonts w:hint="eastAsia"/>
                      <w:color w:val="000000" w:themeColor="text1"/>
                      <w:kern w:val="21"/>
                      <w:szCs w:val="21"/>
                      <w:highlight w:val="none"/>
                      <w:lang w:eastAsia="zh-CN"/>
                      <w14:textFill>
                        <w14:solidFill>
                          <w14:schemeClr w14:val="tx1"/>
                        </w14:solidFill>
                      </w14:textFill>
                    </w:rPr>
                    <w:t>山东祺添新材料有限公司二期厂区实验室建设项目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41" w:type="pct"/>
                  <w:noWrap w:val="0"/>
                  <w:vAlign w:val="center"/>
                </w:tcPr>
                <w:p>
                  <w:pPr>
                    <w:jc w:val="center"/>
                    <w:rPr>
                      <w:color w:val="000000" w:themeColor="text1"/>
                      <w:kern w:val="21"/>
                      <w:szCs w:val="21"/>
                      <w:highlight w:val="none"/>
                      <w:lang w:eastAsia="en-US"/>
                      <w14:textFill>
                        <w14:solidFill>
                          <w14:schemeClr w14:val="tx1"/>
                        </w14:solidFill>
                      </w14:textFill>
                    </w:rPr>
                  </w:pPr>
                  <w:r>
                    <w:rPr>
                      <w:color w:val="000000" w:themeColor="text1"/>
                      <w:kern w:val="21"/>
                      <w:szCs w:val="21"/>
                      <w:highlight w:val="none"/>
                      <w:lang w:eastAsia="en-US"/>
                      <w14:textFill>
                        <w14:solidFill>
                          <w14:schemeClr w14:val="tx1"/>
                        </w14:solidFill>
                      </w14:textFill>
                    </w:rPr>
                    <w:t>建设地点</w:t>
                  </w:r>
                </w:p>
              </w:tc>
              <w:tc>
                <w:tcPr>
                  <w:tcW w:w="803" w:type="pct"/>
                  <w:noWrap w:val="0"/>
                  <w:vAlign w:val="center"/>
                </w:tcPr>
                <w:p>
                  <w:pPr>
                    <w:tabs>
                      <w:tab w:val="left" w:pos="656"/>
                    </w:tabs>
                    <w:jc w:val="center"/>
                    <w:rPr>
                      <w:color w:val="000000" w:themeColor="text1"/>
                      <w:kern w:val="21"/>
                      <w:szCs w:val="21"/>
                      <w:highlight w:val="none"/>
                      <w:lang w:eastAsia="en-US"/>
                      <w14:textFill>
                        <w14:solidFill>
                          <w14:schemeClr w14:val="tx1"/>
                        </w14:solidFill>
                      </w14:textFill>
                    </w:rPr>
                  </w:pPr>
                  <w:r>
                    <w:rPr>
                      <w:color w:val="000000" w:themeColor="text1"/>
                      <w:kern w:val="21"/>
                      <w:szCs w:val="21"/>
                      <w:highlight w:val="none"/>
                      <w:lang w:eastAsia="en-US"/>
                      <w14:textFill>
                        <w14:solidFill>
                          <w14:schemeClr w14:val="tx1"/>
                        </w14:solidFill>
                      </w14:textFill>
                    </w:rPr>
                    <w:t>（</w:t>
                  </w:r>
                  <w:r>
                    <w:rPr>
                      <w:color w:val="000000" w:themeColor="text1"/>
                      <w:kern w:val="21"/>
                      <w:szCs w:val="21"/>
                      <w:highlight w:val="none"/>
                      <w14:textFill>
                        <w14:solidFill>
                          <w14:schemeClr w14:val="tx1"/>
                        </w14:solidFill>
                      </w14:textFill>
                    </w:rPr>
                    <w:t>山东</w:t>
                  </w:r>
                  <w:r>
                    <w:rPr>
                      <w:color w:val="000000" w:themeColor="text1"/>
                      <w:kern w:val="21"/>
                      <w:szCs w:val="21"/>
                      <w:highlight w:val="none"/>
                      <w:lang w:eastAsia="en-US"/>
                      <w14:textFill>
                        <w14:solidFill>
                          <w14:schemeClr w14:val="tx1"/>
                        </w14:solidFill>
                      </w14:textFill>
                    </w:rPr>
                    <w:t>）省</w:t>
                  </w:r>
                </w:p>
              </w:tc>
              <w:tc>
                <w:tcPr>
                  <w:tcW w:w="901" w:type="pct"/>
                  <w:noWrap w:val="0"/>
                  <w:vAlign w:val="center"/>
                </w:tcPr>
                <w:p>
                  <w:pPr>
                    <w:jc w:val="center"/>
                    <w:rPr>
                      <w:color w:val="000000" w:themeColor="text1"/>
                      <w:kern w:val="21"/>
                      <w:szCs w:val="21"/>
                      <w:highlight w:val="none"/>
                      <w:lang w:eastAsia="en-US"/>
                      <w14:textFill>
                        <w14:solidFill>
                          <w14:schemeClr w14:val="tx1"/>
                        </w14:solidFill>
                      </w14:textFill>
                    </w:rPr>
                  </w:pPr>
                  <w:r>
                    <w:rPr>
                      <w:color w:val="000000" w:themeColor="text1"/>
                      <w:kern w:val="21"/>
                      <w:szCs w:val="21"/>
                      <w:highlight w:val="none"/>
                      <w:lang w:eastAsia="en-US"/>
                      <w14:textFill>
                        <w14:solidFill>
                          <w14:schemeClr w14:val="tx1"/>
                        </w14:solidFill>
                      </w14:textFill>
                    </w:rPr>
                    <w:t>（</w:t>
                  </w:r>
                  <w:r>
                    <w:rPr>
                      <w:color w:val="000000" w:themeColor="text1"/>
                      <w:kern w:val="21"/>
                      <w:szCs w:val="21"/>
                      <w:highlight w:val="none"/>
                      <w14:textFill>
                        <w14:solidFill>
                          <w14:schemeClr w14:val="tx1"/>
                        </w14:solidFill>
                      </w14:textFill>
                    </w:rPr>
                    <w:t>济宁</w:t>
                  </w:r>
                  <w:r>
                    <w:rPr>
                      <w:color w:val="000000" w:themeColor="text1"/>
                      <w:kern w:val="21"/>
                      <w:szCs w:val="21"/>
                      <w:highlight w:val="none"/>
                      <w:lang w:eastAsia="en-US"/>
                      <w14:textFill>
                        <w14:solidFill>
                          <w14:schemeClr w14:val="tx1"/>
                        </w14:solidFill>
                      </w14:textFill>
                    </w:rPr>
                    <w:t>）市</w:t>
                  </w:r>
                </w:p>
              </w:tc>
              <w:tc>
                <w:tcPr>
                  <w:tcW w:w="754" w:type="pct"/>
                  <w:noWrap w:val="0"/>
                  <w:vAlign w:val="center"/>
                </w:tcPr>
                <w:p>
                  <w:pPr>
                    <w:tabs>
                      <w:tab w:val="left" w:pos="631"/>
                    </w:tabs>
                    <w:jc w:val="center"/>
                    <w:rPr>
                      <w:rFonts w:hint="eastAsia" w:eastAsia="宋体"/>
                      <w:color w:val="000000" w:themeColor="text1"/>
                      <w:kern w:val="21"/>
                      <w:szCs w:val="21"/>
                      <w:highlight w:val="none"/>
                      <w:lang w:eastAsia="zh-CN"/>
                      <w14:textFill>
                        <w14:solidFill>
                          <w14:schemeClr w14:val="tx1"/>
                        </w14:solidFill>
                      </w14:textFill>
                    </w:rPr>
                  </w:pPr>
                  <w:r>
                    <w:rPr>
                      <w:rFonts w:hint="eastAsia"/>
                      <w:color w:val="000000" w:themeColor="text1"/>
                      <w:kern w:val="21"/>
                      <w:szCs w:val="21"/>
                      <w:highlight w:val="none"/>
                      <w:lang w:val="en-US" w:eastAsia="zh-CN"/>
                      <w14:textFill>
                        <w14:solidFill>
                          <w14:schemeClr w14:val="tx1"/>
                        </w14:solidFill>
                      </w14:textFill>
                    </w:rPr>
                    <w:t>嘉祥县</w:t>
                  </w:r>
                </w:p>
              </w:tc>
              <w:tc>
                <w:tcPr>
                  <w:tcW w:w="1199" w:type="pct"/>
                  <w:noWrap w:val="0"/>
                  <w:vAlign w:val="center"/>
                </w:tcPr>
                <w:p>
                  <w:pPr>
                    <w:jc w:val="center"/>
                    <w:rPr>
                      <w:color w:val="000000" w:themeColor="text1"/>
                      <w:kern w:val="21"/>
                      <w:szCs w:val="21"/>
                      <w:highlight w:val="none"/>
                      <w14:textFill>
                        <w14:solidFill>
                          <w14:schemeClr w14:val="tx1"/>
                        </w14:solidFill>
                      </w14:textFill>
                    </w:rPr>
                  </w:pPr>
                  <w:r>
                    <w:rPr>
                      <w:rFonts w:hint="eastAsia"/>
                      <w:color w:val="000000" w:themeColor="text1"/>
                      <w:kern w:val="21"/>
                      <w:szCs w:val="21"/>
                      <w:highlight w:val="none"/>
                      <w:lang w:val="en-US" w:eastAsia="zh-CN"/>
                      <w14:textFill>
                        <w14:solidFill>
                          <w14:schemeClr w14:val="tx1"/>
                        </w14:solidFill>
                      </w14:textFill>
                    </w:rPr>
                    <w:t>嘉祥化工产业园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41" w:type="pct"/>
                  <w:noWrap w:val="0"/>
                  <w:vAlign w:val="center"/>
                </w:tcPr>
                <w:p>
                  <w:pPr>
                    <w:jc w:val="center"/>
                    <w:rPr>
                      <w:rFonts w:hint="default" w:ascii="Times New Roman" w:hAnsi="Times New Roman" w:cs="Times New Roman"/>
                      <w:color w:val="000000" w:themeColor="text1"/>
                      <w:kern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21"/>
                      <w:szCs w:val="21"/>
                      <w:highlight w:val="none"/>
                      <w:lang w:eastAsia="en-US"/>
                      <w14:textFill>
                        <w14:solidFill>
                          <w14:schemeClr w14:val="tx1"/>
                        </w14:solidFill>
                      </w14:textFill>
                    </w:rPr>
                    <w:t>地理坐标</w:t>
                  </w:r>
                </w:p>
              </w:tc>
              <w:tc>
                <w:tcPr>
                  <w:tcW w:w="803" w:type="pct"/>
                  <w:noWrap w:val="0"/>
                  <w:vAlign w:val="center"/>
                </w:tcPr>
                <w:p>
                  <w:pPr>
                    <w:jc w:val="center"/>
                    <w:rPr>
                      <w:rFonts w:hint="default" w:ascii="Times New Roman" w:hAnsi="Times New Roman" w:cs="Times New Roman"/>
                      <w:color w:val="000000" w:themeColor="text1"/>
                      <w:kern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21"/>
                      <w:szCs w:val="21"/>
                      <w:highlight w:val="none"/>
                      <w:lang w:eastAsia="en-US"/>
                      <w14:textFill>
                        <w14:solidFill>
                          <w14:schemeClr w14:val="tx1"/>
                        </w14:solidFill>
                      </w14:textFill>
                    </w:rPr>
                    <w:t>经度</w:t>
                  </w:r>
                </w:p>
              </w:tc>
              <w:tc>
                <w:tcPr>
                  <w:tcW w:w="901" w:type="pct"/>
                  <w:noWrap w:val="0"/>
                  <w:vAlign w:val="center"/>
                </w:tcPr>
                <w:p>
                  <w:pPr>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116°16′6.</w:t>
                  </w:r>
                  <w:r>
                    <w:rPr>
                      <w:rFonts w:hint="default" w:ascii="Times New Roman" w:hAnsi="Times New Roman" w:cs="Times New Roman"/>
                      <w:color w:val="000000" w:themeColor="text1"/>
                      <w:szCs w:val="21"/>
                      <w:highlight w:val="none"/>
                      <w:lang w:val="en-US" w:eastAsia="zh-CN"/>
                      <w14:textFill>
                        <w14:solidFill>
                          <w14:schemeClr w14:val="tx1"/>
                        </w14:solidFill>
                      </w14:textFill>
                    </w:rPr>
                    <w:t>700</w:t>
                  </w:r>
                  <w:r>
                    <w:rPr>
                      <w:rFonts w:hint="default" w:ascii="Times New Roman" w:hAnsi="Times New Roman" w:cs="Times New Roman"/>
                      <w:color w:val="000000" w:themeColor="text1"/>
                      <w:szCs w:val="21"/>
                      <w:highlight w:val="none"/>
                      <w14:textFill>
                        <w14:solidFill>
                          <w14:schemeClr w14:val="tx1"/>
                        </w14:solidFill>
                      </w14:textFill>
                    </w:rPr>
                    <w:t>″</w:t>
                  </w:r>
                </w:p>
              </w:tc>
              <w:tc>
                <w:tcPr>
                  <w:tcW w:w="754" w:type="pct"/>
                  <w:noWrap w:val="0"/>
                  <w:vAlign w:val="center"/>
                </w:tcPr>
                <w:p>
                  <w:pPr>
                    <w:jc w:val="center"/>
                    <w:rPr>
                      <w:rFonts w:hint="default" w:ascii="Times New Roman" w:hAnsi="Times New Roman" w:cs="Times New Roman"/>
                      <w:color w:val="000000" w:themeColor="text1"/>
                      <w:kern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21"/>
                      <w:szCs w:val="21"/>
                      <w:highlight w:val="none"/>
                      <w:lang w:eastAsia="en-US"/>
                      <w14:textFill>
                        <w14:solidFill>
                          <w14:schemeClr w14:val="tx1"/>
                        </w14:solidFill>
                      </w14:textFill>
                    </w:rPr>
                    <w:t>纬度</w:t>
                  </w:r>
                </w:p>
              </w:tc>
              <w:tc>
                <w:tcPr>
                  <w:tcW w:w="1199" w:type="pct"/>
                  <w:noWrap w:val="0"/>
                  <w:vAlign w:val="center"/>
                </w:tcPr>
                <w:p>
                  <w:pPr>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35°21′24.27</w:t>
                  </w:r>
                  <w:r>
                    <w:rPr>
                      <w:rFonts w:hint="default" w:ascii="Times New Roman" w:hAnsi="Times New Roman" w:cs="Times New Roman"/>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41" w:type="pct"/>
                  <w:noWrap w:val="0"/>
                  <w:vAlign w:val="center"/>
                </w:tcPr>
                <w:p>
                  <w:pPr>
                    <w:jc w:val="center"/>
                    <w:rPr>
                      <w:color w:val="000000" w:themeColor="text1"/>
                      <w:kern w:val="21"/>
                      <w:szCs w:val="21"/>
                      <w:highlight w:val="none"/>
                      <w:lang w:eastAsia="en-US"/>
                      <w14:textFill>
                        <w14:solidFill>
                          <w14:schemeClr w14:val="tx1"/>
                        </w14:solidFill>
                      </w14:textFill>
                    </w:rPr>
                  </w:pPr>
                  <w:r>
                    <w:rPr>
                      <w:color w:val="000000" w:themeColor="text1"/>
                      <w:kern w:val="21"/>
                      <w:szCs w:val="21"/>
                      <w:highlight w:val="none"/>
                      <w:lang w:eastAsia="en-US"/>
                      <w14:textFill>
                        <w14:solidFill>
                          <w14:schemeClr w14:val="tx1"/>
                        </w14:solidFill>
                      </w14:textFill>
                    </w:rPr>
                    <w:t>主要危险物质及分布</w:t>
                  </w:r>
                </w:p>
              </w:tc>
              <w:tc>
                <w:tcPr>
                  <w:tcW w:w="3658" w:type="pct"/>
                  <w:gridSpan w:val="4"/>
                  <w:noWrap w:val="0"/>
                  <w:vAlign w:val="center"/>
                </w:tcPr>
                <w:p>
                  <w:pPr>
                    <w:jc w:val="left"/>
                    <w:rPr>
                      <w:color w:val="000000" w:themeColor="text1"/>
                      <w:kern w:val="2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有机试剂储存于仓库中；废试剂、</w:t>
                  </w:r>
                  <w:r>
                    <w:rPr>
                      <w:rFonts w:hint="eastAsia"/>
                      <w:color w:val="000000" w:themeColor="text1"/>
                      <w:kern w:val="0"/>
                      <w:szCs w:val="21"/>
                      <w:highlight w:val="none"/>
                      <w:lang w:val="en-US" w:eastAsia="zh-CN"/>
                      <w14:textFill>
                        <w14:solidFill>
                          <w14:schemeClr w14:val="tx1"/>
                        </w14:solidFill>
                      </w14:textFill>
                    </w:rPr>
                    <w:t>实验废液、清洗废液</w:t>
                  </w:r>
                  <w:r>
                    <w:rPr>
                      <w:rFonts w:hint="eastAsia"/>
                      <w:color w:val="000000" w:themeColor="text1"/>
                      <w:kern w:val="0"/>
                      <w:szCs w:val="21"/>
                      <w:highlight w:val="none"/>
                      <w14:textFill>
                        <w14:solidFill>
                          <w14:schemeClr w14:val="tx1"/>
                        </w14:solidFill>
                      </w14:textFill>
                    </w:rPr>
                    <w:t>等储存于</w:t>
                  </w:r>
                  <w:r>
                    <w:rPr>
                      <w:rFonts w:hint="eastAsia"/>
                      <w:color w:val="000000" w:themeColor="text1"/>
                      <w:kern w:val="0"/>
                      <w:szCs w:val="21"/>
                      <w:highlight w:val="none"/>
                      <w:lang w:val="en-US" w:eastAsia="zh-CN"/>
                      <w14:textFill>
                        <w14:solidFill>
                          <w14:schemeClr w14:val="tx1"/>
                        </w14:solidFill>
                      </w14:textFill>
                    </w:rPr>
                    <w:t>危废</w:t>
                  </w:r>
                  <w:r>
                    <w:rPr>
                      <w:rFonts w:hint="eastAsia"/>
                      <w:color w:val="000000" w:themeColor="text1"/>
                      <w:kern w:val="0"/>
                      <w:szCs w:val="21"/>
                      <w:highlight w:val="none"/>
                      <w14:textFill>
                        <w14:solidFill>
                          <w14:schemeClr w14:val="tx1"/>
                        </w14:solidFill>
                      </w14:textFill>
                    </w:rPr>
                    <w:t>暂存间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41" w:type="pct"/>
                  <w:noWrap w:val="0"/>
                  <w:vAlign w:val="center"/>
                </w:tcPr>
                <w:p>
                  <w:pPr>
                    <w:jc w:val="center"/>
                    <w:rPr>
                      <w:color w:val="000000" w:themeColor="text1"/>
                      <w:kern w:val="21"/>
                      <w:szCs w:val="21"/>
                      <w:highlight w:val="none"/>
                      <w14:textFill>
                        <w14:solidFill>
                          <w14:schemeClr w14:val="tx1"/>
                        </w14:solidFill>
                      </w14:textFill>
                    </w:rPr>
                  </w:pPr>
                  <w:r>
                    <w:rPr>
                      <w:color w:val="000000" w:themeColor="text1"/>
                      <w:kern w:val="21"/>
                      <w:szCs w:val="21"/>
                      <w:highlight w:val="none"/>
                      <w14:textFill>
                        <w14:solidFill>
                          <w14:schemeClr w14:val="tx1"/>
                        </w14:solidFill>
                      </w14:textFill>
                    </w:rPr>
                    <w:t>环境影响途径及危害后果（大气</w:t>
                  </w:r>
                  <w:r>
                    <w:rPr>
                      <w:rFonts w:hint="eastAsia"/>
                      <w:color w:val="000000" w:themeColor="text1"/>
                      <w:kern w:val="21"/>
                      <w:szCs w:val="21"/>
                      <w:highlight w:val="none"/>
                      <w14:textFill>
                        <w14:solidFill>
                          <w14:schemeClr w14:val="tx1"/>
                        </w14:solidFill>
                      </w14:textFill>
                    </w:rPr>
                    <w:t>、地表水、地下水</w:t>
                  </w:r>
                  <w:r>
                    <w:rPr>
                      <w:color w:val="000000" w:themeColor="text1"/>
                      <w:kern w:val="21"/>
                      <w:szCs w:val="21"/>
                      <w:highlight w:val="none"/>
                      <w14:textFill>
                        <w14:solidFill>
                          <w14:schemeClr w14:val="tx1"/>
                        </w14:solidFill>
                      </w14:textFill>
                    </w:rPr>
                    <w:t>等）</w:t>
                  </w:r>
                </w:p>
              </w:tc>
              <w:tc>
                <w:tcPr>
                  <w:tcW w:w="3658" w:type="pct"/>
                  <w:gridSpan w:val="4"/>
                  <w:noWrap w:val="0"/>
                  <w:vAlign w:val="center"/>
                </w:tcPr>
                <w:p>
                  <w:pPr>
                    <w:numPr>
                      <w:ilvl w:val="0"/>
                      <w:numId w:val="5"/>
                    </w:numPr>
                    <w:jc w:val="left"/>
                    <w:rPr>
                      <w:rFonts w:hint="eastAsia"/>
                      <w:color w:val="000000" w:themeColor="text1"/>
                      <w:kern w:val="21"/>
                      <w:szCs w:val="21"/>
                      <w:highlight w:val="none"/>
                      <w14:textFill>
                        <w14:solidFill>
                          <w14:schemeClr w14:val="tx1"/>
                        </w14:solidFill>
                      </w14:textFill>
                    </w:rPr>
                  </w:pPr>
                  <w:r>
                    <w:rPr>
                      <w:rFonts w:hint="eastAsia"/>
                      <w:color w:val="000000" w:themeColor="text1"/>
                      <w:kern w:val="21"/>
                      <w:szCs w:val="21"/>
                      <w:highlight w:val="none"/>
                      <w14:textFill>
                        <w14:solidFill>
                          <w14:schemeClr w14:val="tx1"/>
                        </w14:solidFill>
                      </w14:textFill>
                    </w:rPr>
                    <w:t>存储的有机溶剂原辅材料发生泄漏，可能引发火灾事故；项目使用的化学品和产生的生产废液泄露进入水体，对附近水体造成污染。</w:t>
                  </w:r>
                </w:p>
                <w:p>
                  <w:pPr>
                    <w:numPr>
                      <w:ilvl w:val="0"/>
                      <w:numId w:val="5"/>
                    </w:numPr>
                    <w:jc w:val="left"/>
                    <w:rPr>
                      <w:color w:val="000000" w:themeColor="text1"/>
                      <w:kern w:val="21"/>
                      <w:szCs w:val="21"/>
                      <w:highlight w:val="none"/>
                      <w14:textFill>
                        <w14:solidFill>
                          <w14:schemeClr w14:val="tx1"/>
                        </w14:solidFill>
                      </w14:textFill>
                    </w:rPr>
                  </w:pPr>
                  <w:r>
                    <w:rPr>
                      <w:rFonts w:hint="eastAsia"/>
                      <w:color w:val="000000" w:themeColor="text1"/>
                      <w:kern w:val="21"/>
                      <w:szCs w:val="21"/>
                      <w:highlight w:val="none"/>
                      <w14:textFill>
                        <w14:solidFill>
                          <w14:schemeClr w14:val="tx1"/>
                        </w14:solidFill>
                      </w14:textFill>
                    </w:rPr>
                    <w:t>VOCs超标</w:t>
                  </w:r>
                  <w:r>
                    <w:rPr>
                      <w:color w:val="000000" w:themeColor="text1"/>
                      <w:kern w:val="21"/>
                      <w:szCs w:val="21"/>
                      <w:highlight w:val="none"/>
                      <w14:textFill>
                        <w14:solidFill>
                          <w14:schemeClr w14:val="tx1"/>
                        </w14:solidFill>
                      </w14:textFill>
                    </w:rPr>
                    <w:t>排放，将会污染空气，对大气环境产生影响。</w:t>
                  </w:r>
                  <w:r>
                    <w:rPr>
                      <w:rFonts w:hint="eastAsia"/>
                      <w:color w:val="000000" w:themeColor="text1"/>
                      <w:szCs w:val="21"/>
                      <w:highlight w:val="none"/>
                      <w14:textFill>
                        <w14:solidFill>
                          <w14:schemeClr w14:val="tx1"/>
                        </w14:solidFill>
                      </w14:textFill>
                    </w:rPr>
                    <w:t>因</w:t>
                  </w:r>
                  <w:r>
                    <w:rPr>
                      <w:rFonts w:hint="eastAsia"/>
                      <w:color w:val="000000" w:themeColor="text1"/>
                      <w:kern w:val="0"/>
                      <w:szCs w:val="21"/>
                      <w:highlight w:val="none"/>
                      <w14:textFill>
                        <w14:solidFill>
                          <w14:schemeClr w14:val="tx1"/>
                        </w14:solidFill>
                      </w14:textFill>
                    </w:rPr>
                    <w:t>废气处理装置（</w:t>
                  </w:r>
                  <w:r>
                    <w:rPr>
                      <w:rFonts w:hint="eastAsia"/>
                      <w:color w:val="000000" w:themeColor="text1"/>
                      <w:szCs w:val="21"/>
                      <w:highlight w:val="none"/>
                      <w14:textFill>
                        <w14:solidFill>
                          <w14:schemeClr w14:val="tx1"/>
                        </w14:solidFill>
                      </w14:textFill>
                    </w:rPr>
                    <w:t>活性炭箱</w:t>
                  </w:r>
                  <w:r>
                    <w:rPr>
                      <w:rFonts w:hint="eastAsia"/>
                      <w:color w:val="000000" w:themeColor="text1"/>
                      <w:kern w:val="0"/>
                      <w:szCs w:val="21"/>
                      <w:highlight w:val="none"/>
                      <w14:textFill>
                        <w14:solidFill>
                          <w14:schemeClr w14:val="tx1"/>
                        </w14:solidFill>
                      </w14:textFill>
                    </w:rPr>
                    <w:t>）发生故障，导致VOCs</w:t>
                  </w:r>
                  <w:r>
                    <w:rPr>
                      <w:rFonts w:hint="eastAsia"/>
                      <w:color w:val="000000" w:themeColor="text1"/>
                      <w:szCs w:val="21"/>
                      <w:highlight w:val="none"/>
                      <w14:textFill>
                        <w14:solidFill>
                          <w14:schemeClr w14:val="tx1"/>
                        </w14:solidFill>
                      </w14:textFill>
                    </w:rPr>
                    <w:t>废气</w:t>
                  </w:r>
                  <w:r>
                    <w:rPr>
                      <w:rFonts w:hint="eastAsia"/>
                      <w:color w:val="000000" w:themeColor="text1"/>
                      <w:kern w:val="0"/>
                      <w:szCs w:val="21"/>
                      <w:highlight w:val="none"/>
                      <w14:textFill>
                        <w14:solidFill>
                          <w14:schemeClr w14:val="tx1"/>
                        </w14:solidFill>
                      </w14:textFill>
                    </w:rPr>
                    <w:t>事故超标排放，</w:t>
                  </w:r>
                  <w:r>
                    <w:rPr>
                      <w:rFonts w:hint="eastAsia"/>
                      <w:color w:val="000000" w:themeColor="text1"/>
                      <w:spacing w:val="1"/>
                      <w:szCs w:val="21"/>
                      <w:highlight w:val="none"/>
                      <w14:textFill>
                        <w14:solidFill>
                          <w14:schemeClr w14:val="tx1"/>
                        </w14:solidFill>
                      </w14:textFill>
                    </w:rPr>
                    <w:t>将会污染空气。</w:t>
                  </w:r>
                </w:p>
                <w:p>
                  <w:pPr>
                    <w:numPr>
                      <w:ilvl w:val="0"/>
                      <w:numId w:val="5"/>
                    </w:numPr>
                    <w:jc w:val="left"/>
                    <w:rPr>
                      <w:color w:val="000000" w:themeColor="text1"/>
                      <w:kern w:val="21"/>
                      <w:szCs w:val="21"/>
                      <w:highlight w:val="none"/>
                      <w14:textFill>
                        <w14:solidFill>
                          <w14:schemeClr w14:val="tx1"/>
                        </w14:solidFill>
                      </w14:textFill>
                    </w:rPr>
                  </w:pPr>
                  <w:r>
                    <w:rPr>
                      <w:rFonts w:hint="eastAsia"/>
                      <w:color w:val="000000" w:themeColor="text1"/>
                      <w:spacing w:val="1"/>
                      <w:szCs w:val="21"/>
                      <w:highlight w:val="none"/>
                      <w:lang w:val="en-US" w:eastAsia="zh-CN"/>
                      <w14:textFill>
                        <w14:solidFill>
                          <w14:schemeClr w14:val="tx1"/>
                        </w14:solidFill>
                      </w14:textFill>
                    </w:rPr>
                    <w:t>危废</w:t>
                  </w:r>
                  <w:r>
                    <w:rPr>
                      <w:rFonts w:hint="eastAsia"/>
                      <w:color w:val="000000" w:themeColor="text1"/>
                      <w:spacing w:val="1"/>
                      <w:szCs w:val="21"/>
                      <w:highlight w:val="none"/>
                      <w14:textFill>
                        <w14:solidFill>
                          <w14:schemeClr w14:val="tx1"/>
                        </w14:solidFill>
                      </w14:textFill>
                    </w:rPr>
                    <w:t>暂存间及危废间储存过程中存在泄露风险，对附近水体造成污染。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41" w:type="pct"/>
                  <w:noWrap w:val="0"/>
                  <w:vAlign w:val="center"/>
                </w:tcPr>
                <w:p>
                  <w:pPr>
                    <w:jc w:val="center"/>
                    <w:rPr>
                      <w:color w:val="000000" w:themeColor="text1"/>
                      <w:kern w:val="21"/>
                      <w:szCs w:val="21"/>
                      <w:highlight w:val="none"/>
                      <w:lang w:eastAsia="en-US"/>
                      <w14:textFill>
                        <w14:solidFill>
                          <w14:schemeClr w14:val="tx1"/>
                        </w14:solidFill>
                      </w14:textFill>
                    </w:rPr>
                  </w:pPr>
                  <w:r>
                    <w:rPr>
                      <w:color w:val="000000" w:themeColor="text1"/>
                      <w:kern w:val="21"/>
                      <w:szCs w:val="21"/>
                      <w:highlight w:val="none"/>
                      <w:lang w:eastAsia="en-US"/>
                      <w14:textFill>
                        <w14:solidFill>
                          <w14:schemeClr w14:val="tx1"/>
                        </w14:solidFill>
                      </w14:textFill>
                    </w:rPr>
                    <w:t>风险防范措施要求</w:t>
                  </w:r>
                </w:p>
              </w:tc>
              <w:tc>
                <w:tcPr>
                  <w:tcW w:w="3658" w:type="pct"/>
                  <w:gridSpan w:val="4"/>
                  <w:noWrap w:val="0"/>
                  <w:vAlign w:val="center"/>
                </w:tcPr>
                <w:p>
                  <w:pPr>
                    <w:numPr>
                      <w:ilvl w:val="0"/>
                      <w:numId w:val="0"/>
                    </w:numPr>
                    <w:autoSpaceDE w:val="0"/>
                    <w:autoSpaceDN w:val="0"/>
                    <w:adjustRightInd w:val="0"/>
                    <w:jc w:val="left"/>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加强原辅料的安全管理，各类原辅材料存放于指定区域内，存放区地面全部硬化。</w:t>
                  </w:r>
                </w:p>
                <w:p>
                  <w:pPr>
                    <w:numPr>
                      <w:ilvl w:val="0"/>
                      <w:numId w:val="0"/>
                    </w:numPr>
                    <w:autoSpaceDE w:val="0"/>
                    <w:autoSpaceDN w:val="0"/>
                    <w:adjustRightInd w:val="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）每月安排人员对活性炭进行检查，如出现活性炭破损，变色，通透性变差，进行及时更换。</w:t>
                  </w:r>
                </w:p>
                <w:p>
                  <w:pPr>
                    <w:numPr>
                      <w:ilvl w:val="0"/>
                      <w:numId w:val="0"/>
                    </w:numPr>
                    <w:autoSpaceDE w:val="0"/>
                    <w:autoSpaceDN w:val="0"/>
                    <w:adjustRightInd w:val="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危废</w:t>
                  </w:r>
                  <w:r>
                    <w:rPr>
                      <w:rFonts w:hint="eastAsia"/>
                      <w:color w:val="000000" w:themeColor="text1"/>
                      <w:highlight w:val="none"/>
                      <w14:textFill>
                        <w14:solidFill>
                          <w14:schemeClr w14:val="tx1"/>
                        </w14:solidFill>
                      </w14:textFill>
                    </w:rPr>
                    <w:t>暂存间及危废库中临时存放的废物应密闭储存，并尽快</w:t>
                  </w:r>
                  <w:r>
                    <w:rPr>
                      <w:rFonts w:hint="eastAsia"/>
                      <w:color w:val="000000" w:themeColor="text1"/>
                      <w:highlight w:val="none"/>
                      <w:lang w:val="en-US" w:eastAsia="zh-CN"/>
                      <w14:textFill>
                        <w14:solidFill>
                          <w14:schemeClr w14:val="tx1"/>
                        </w14:solidFill>
                      </w14:textFill>
                    </w:rPr>
                    <w:t>焚烧或</w:t>
                  </w:r>
                  <w:r>
                    <w:rPr>
                      <w:rFonts w:hint="eastAsia"/>
                      <w:color w:val="000000" w:themeColor="text1"/>
                      <w:highlight w:val="none"/>
                      <w14:textFill>
                        <w14:solidFill>
                          <w14:schemeClr w14:val="tx1"/>
                        </w14:solidFill>
                      </w14:textFill>
                    </w:rPr>
                    <w:t>委托有资质的危废单位处置。</w:t>
                  </w:r>
                </w:p>
                <w:p>
                  <w:pPr>
                    <w:numPr>
                      <w:ilvl w:val="0"/>
                      <w:numId w:val="0"/>
                    </w:numPr>
                    <w:autoSpaceDE w:val="0"/>
                    <w:autoSpaceDN w:val="0"/>
                    <w:adjustRightInd w:val="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）应配备灭火器、消毒面具等应急设备，并定期检查设备的有效性。</w:t>
                  </w:r>
                </w:p>
                <w:p>
                  <w:pPr>
                    <w:numPr>
                      <w:ilvl w:val="0"/>
                      <w:numId w:val="0"/>
                    </w:numPr>
                    <w:autoSpaceDE w:val="0"/>
                    <w:autoSpaceDN w:val="0"/>
                    <w:adjustRightInd w:val="0"/>
                    <w:jc w:val="left"/>
                    <w:rPr>
                      <w:rFonts w:ascii="仿宋_GB2312" w:cs="仿宋_GB2312"/>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编制环境应急预案，成立事故应急处理小组，由实验室安全负责人担任事故应急小组组长，一旦发生泄露、火灾等事故，应立即启动事故应急预案，并向有关环境管理部门汇报情况，协助环境管理部门进行应急监测等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noWrap w:val="0"/>
                  <w:vAlign w:val="center"/>
                </w:tcPr>
                <w:p>
                  <w:pPr>
                    <w:jc w:val="left"/>
                    <w:rPr>
                      <w:color w:val="000000" w:themeColor="text1"/>
                      <w:kern w:val="21"/>
                      <w:szCs w:val="21"/>
                      <w:highlight w:val="none"/>
                      <w14:textFill>
                        <w14:solidFill>
                          <w14:schemeClr w14:val="tx1"/>
                        </w14:solidFill>
                      </w14:textFill>
                    </w:rPr>
                  </w:pPr>
                  <w:r>
                    <w:rPr>
                      <w:color w:val="000000" w:themeColor="text1"/>
                      <w:kern w:val="21"/>
                      <w:szCs w:val="21"/>
                      <w:highlight w:val="none"/>
                      <w14:textFill>
                        <w14:solidFill>
                          <w14:schemeClr w14:val="tx1"/>
                        </w14:solidFill>
                      </w14:textFill>
                    </w:rPr>
                    <w:t>填表说明：项目Q=</w:t>
                  </w:r>
                  <w:r>
                    <w:rPr>
                      <w:rFonts w:hint="eastAsia"/>
                      <w:color w:val="000000" w:themeColor="text1"/>
                      <w:kern w:val="21"/>
                      <w:szCs w:val="21"/>
                      <w:highlight w:val="none"/>
                      <w14:textFill>
                        <w14:solidFill>
                          <w14:schemeClr w14:val="tx1"/>
                        </w14:solidFill>
                      </w14:textFill>
                    </w:rPr>
                    <w:t>0.0</w:t>
                  </w:r>
                  <w:r>
                    <w:rPr>
                      <w:rFonts w:hint="eastAsia"/>
                      <w:color w:val="000000" w:themeColor="text1"/>
                      <w:kern w:val="21"/>
                      <w:szCs w:val="21"/>
                      <w:highlight w:val="none"/>
                      <w:lang w:val="en-US" w:eastAsia="zh-CN"/>
                      <w14:textFill>
                        <w14:solidFill>
                          <w14:schemeClr w14:val="tx1"/>
                        </w14:solidFill>
                      </w14:textFill>
                    </w:rPr>
                    <w:t>9</w:t>
                  </w:r>
                  <w:r>
                    <w:rPr>
                      <w:rFonts w:hint="eastAsia"/>
                      <w:color w:val="000000" w:themeColor="text1"/>
                      <w:kern w:val="21"/>
                      <w:szCs w:val="21"/>
                      <w:highlight w:val="none"/>
                      <w14:textFill>
                        <w14:solidFill>
                          <w14:schemeClr w14:val="tx1"/>
                        </w14:solidFill>
                      </w14:textFill>
                    </w:rPr>
                    <w:t>1</w:t>
                  </w:r>
                  <w:r>
                    <w:rPr>
                      <w:color w:val="000000" w:themeColor="text1"/>
                      <w:kern w:val="21"/>
                      <w:szCs w:val="21"/>
                      <w:highlight w:val="none"/>
                      <w14:textFill>
                        <w14:solidFill>
                          <w14:schemeClr w14:val="tx1"/>
                        </w14:solidFill>
                      </w14:textFill>
                    </w:rPr>
                    <w:t>＜1，环境风险潜势为Ⅰ级，风险程度较小，且建设单位在采取并严格落实相应风险防范措施的前提下，项目风险事故发生的概率较小，风险水平控制在可接受程度内</w:t>
                  </w:r>
                  <w:r>
                    <w:rPr>
                      <w:rFonts w:hint="eastAsia"/>
                      <w:color w:val="000000" w:themeColor="text1"/>
                      <w:kern w:val="21"/>
                      <w:szCs w:val="21"/>
                      <w:highlight w:val="none"/>
                      <w14:textFill>
                        <w14:solidFill>
                          <w14:schemeClr w14:val="tx1"/>
                        </w14:solidFill>
                      </w14:textFill>
                    </w:rPr>
                    <w:t>。</w:t>
                  </w:r>
                </w:p>
              </w:tc>
            </w:tr>
          </w:tbl>
          <w:p>
            <w:pPr>
              <w:pStyle w:val="114"/>
              <w:numPr>
                <w:ilvl w:val="0"/>
                <w:numId w:val="0"/>
              </w:numPr>
              <w:adjustRightInd/>
              <w:ind w:firstLine="482" w:firstLineChars="200"/>
              <w:rPr>
                <w:bCs/>
                <w:color w:val="000000" w:themeColor="text1"/>
                <w:sz w:val="24"/>
                <w:szCs w:val="20"/>
                <w:highlight w:val="none"/>
                <w14:textFill>
                  <w14:solidFill>
                    <w14:schemeClr w14:val="tx1"/>
                  </w14:solidFill>
                </w14:textFill>
              </w:rPr>
            </w:pPr>
            <w:r>
              <w:rPr>
                <w:rFonts w:hint="eastAsia"/>
                <w:bCs/>
                <w:color w:val="000000" w:themeColor="text1"/>
                <w:sz w:val="24"/>
                <w:szCs w:val="20"/>
                <w:highlight w:val="none"/>
                <w:lang w:val="en-US" w:eastAsia="zh-CN"/>
                <w14:textFill>
                  <w14:solidFill>
                    <w14:schemeClr w14:val="tx1"/>
                  </w14:solidFill>
                </w14:textFill>
              </w:rPr>
              <w:t>八</w:t>
            </w:r>
            <w:r>
              <w:rPr>
                <w:rFonts w:hint="eastAsia"/>
                <w:bCs/>
                <w:color w:val="000000" w:themeColor="text1"/>
                <w:sz w:val="24"/>
                <w:szCs w:val="20"/>
                <w:highlight w:val="none"/>
                <w14:textFill>
                  <w14:solidFill>
                    <w14:schemeClr w14:val="tx1"/>
                  </w14:solidFill>
                </w14:textFill>
              </w:rPr>
              <w:t>、</w:t>
            </w:r>
            <w:r>
              <w:rPr>
                <w:bCs/>
                <w:color w:val="000000" w:themeColor="text1"/>
                <w:sz w:val="24"/>
                <w:szCs w:val="20"/>
                <w:highlight w:val="none"/>
                <w14:textFill>
                  <w14:solidFill>
                    <w14:schemeClr w14:val="tx1"/>
                  </w14:solidFill>
                </w14:textFill>
              </w:rPr>
              <w:t>环保设施安全风险</w:t>
            </w:r>
          </w:p>
          <w:p>
            <w:pPr>
              <w:pStyle w:val="114"/>
              <w:numPr>
                <w:ilvl w:val="0"/>
                <w:numId w:val="0"/>
              </w:numPr>
              <w:adjustRightInd/>
              <w:ind w:firstLine="480" w:firstLineChars="200"/>
              <w:rPr>
                <w:b w:val="0"/>
                <w:bCs/>
                <w:color w:val="000000" w:themeColor="text1"/>
                <w:sz w:val="24"/>
                <w:szCs w:val="24"/>
                <w:highlight w:val="none"/>
                <w14:textFill>
                  <w14:solidFill>
                    <w14:schemeClr w14:val="tx1"/>
                  </w14:solidFill>
                </w14:textFill>
              </w:rPr>
            </w:pPr>
            <w:r>
              <w:rPr>
                <w:b w:val="0"/>
                <w:bCs/>
                <w:color w:val="000000" w:themeColor="text1"/>
                <w:sz w:val="24"/>
                <w:szCs w:val="24"/>
                <w:highlight w:val="none"/>
                <w14:textFill>
                  <w14:solidFill>
                    <w14:schemeClr w14:val="tx1"/>
                  </w14:solidFill>
                </w14:textFill>
              </w:rPr>
              <w:t>根据《国务院安委会办公室 生态环境部 应急管理部关于进一步加强环保设备设施安全生产工作的通知》安委办明电〔2022〕17号文的要求，需开展环保设备设施安全</w:t>
            </w:r>
            <w:r>
              <w:rPr>
                <w:rFonts w:hint="eastAsia"/>
                <w:b w:val="0"/>
                <w:bCs/>
                <w:color w:val="000000" w:themeColor="text1"/>
                <w:sz w:val="24"/>
                <w:szCs w:val="24"/>
                <w:highlight w:val="none"/>
                <w14:textFill>
                  <w14:solidFill>
                    <w14:schemeClr w14:val="tx1"/>
                  </w14:solidFill>
                </w14:textFill>
              </w:rPr>
              <w:t>风</w:t>
            </w:r>
            <w:r>
              <w:rPr>
                <w:b w:val="0"/>
                <w:bCs/>
                <w:color w:val="000000" w:themeColor="text1"/>
                <w:sz w:val="24"/>
                <w:szCs w:val="24"/>
                <w:highlight w:val="none"/>
                <w14:textFill>
                  <w14:solidFill>
                    <w14:schemeClr w14:val="tx1"/>
                  </w14:solidFill>
                </w14:textFill>
              </w:rPr>
              <w:t>险辨识评估和隐患排查治理，落实安全生产各项责任措施。</w:t>
            </w:r>
          </w:p>
          <w:p>
            <w:pPr>
              <w:pStyle w:val="114"/>
              <w:numPr>
                <w:ilvl w:val="0"/>
                <w:numId w:val="0"/>
              </w:numPr>
              <w:adjustRightInd/>
              <w:ind w:left="420" w:left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（1）环保设备设施安全风险分析</w:t>
            </w:r>
          </w:p>
          <w:p>
            <w:pPr>
              <w:pStyle w:val="114"/>
              <w:numPr>
                <w:ilvl w:val="0"/>
                <w:numId w:val="0"/>
              </w:numPr>
              <w:adjustRightInd/>
              <w:ind w:firstLine="480" w:firstLineChars="200"/>
              <w:rPr>
                <w:b w:val="0"/>
                <w:bCs/>
                <w:color w:val="000000" w:themeColor="text1"/>
                <w:sz w:val="24"/>
                <w:szCs w:val="24"/>
                <w:highlight w:val="none"/>
                <w14:textFill>
                  <w14:solidFill>
                    <w14:schemeClr w14:val="tx1"/>
                  </w14:solidFill>
                </w14:textFill>
              </w:rPr>
            </w:pPr>
            <w:r>
              <w:rPr>
                <w:rFonts w:hint="eastAsia"/>
                <w:b w:val="0"/>
                <w:bCs/>
                <w:color w:val="000000" w:themeColor="text1"/>
                <w:sz w:val="24"/>
                <w:szCs w:val="24"/>
                <w:highlight w:val="none"/>
                <w14:textFill>
                  <w14:solidFill>
                    <w14:schemeClr w14:val="tx1"/>
                  </w14:solidFill>
                </w14:textFill>
              </w:rPr>
              <w:t>①设备电气线路老化、短路或散热不及时，或过载使用时，可能引起电气火灾。</w:t>
            </w:r>
          </w:p>
          <w:p>
            <w:pPr>
              <w:pStyle w:val="114"/>
              <w:numPr>
                <w:ilvl w:val="0"/>
                <w:numId w:val="0"/>
              </w:numPr>
              <w:adjustRightInd/>
              <w:ind w:firstLine="480" w:firstLineChars="200"/>
              <w:rPr>
                <w:rFonts w:hint="eastAsia" w:ascii="宋体" w:hAnsi="宋体" w:cs="宋体"/>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②设备存在本质缺陷，防护装置不完善、不可靠，安全防护装置功能失效或私自拆除，工人操作失误或违章操作，会导致机械伤害事故发生。</w:t>
            </w:r>
          </w:p>
          <w:p>
            <w:pPr>
              <w:pStyle w:val="114"/>
              <w:numPr>
                <w:ilvl w:val="0"/>
                <w:numId w:val="0"/>
              </w:numPr>
              <w:adjustRightInd/>
              <w:ind w:firstLine="480" w:firstLineChars="200"/>
              <w:rPr>
                <w:rFonts w:ascii="宋体" w:hAnsi="宋体" w:cs="宋体"/>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③污染治理设施失效：活性炭吸附装置因未及时更换活性炭导致吸附效率下降。</w:t>
            </w:r>
          </w:p>
          <w:p>
            <w:pPr>
              <w:pStyle w:val="114"/>
              <w:numPr>
                <w:ilvl w:val="0"/>
                <w:numId w:val="0"/>
              </w:numPr>
              <w:adjustRightInd/>
              <w:ind w:firstLine="480" w:firstLineChars="200"/>
              <w:rPr>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④</w:t>
            </w:r>
            <w:r>
              <w:rPr>
                <w:b w:val="0"/>
                <w:color w:val="000000" w:themeColor="text1"/>
                <w:kern w:val="2"/>
                <w:sz w:val="24"/>
                <w:szCs w:val="24"/>
                <w:highlight w:val="none"/>
                <w14:textFill>
                  <w14:solidFill>
                    <w14:schemeClr w14:val="tx1"/>
                  </w14:solidFill>
                </w14:textFill>
              </w:rPr>
              <w:t>违章作业</w:t>
            </w:r>
            <w:r>
              <w:rPr>
                <w:rFonts w:hint="eastAsia"/>
                <w:b w:val="0"/>
                <w:color w:val="000000" w:themeColor="text1"/>
                <w:kern w:val="2"/>
                <w:sz w:val="24"/>
                <w:szCs w:val="24"/>
                <w:highlight w:val="none"/>
                <w14:textFill>
                  <w14:solidFill>
                    <w14:schemeClr w14:val="tx1"/>
                  </w14:solidFill>
                </w14:textFill>
              </w:rPr>
              <w:t>：</w:t>
            </w:r>
            <w:r>
              <w:rPr>
                <w:b w:val="0"/>
                <w:color w:val="000000" w:themeColor="text1"/>
                <w:kern w:val="2"/>
                <w:sz w:val="24"/>
                <w:szCs w:val="24"/>
                <w:highlight w:val="none"/>
                <w14:textFill>
                  <w14:solidFill>
                    <w14:schemeClr w14:val="tx1"/>
                  </w14:solidFill>
                </w14:textFill>
              </w:rPr>
              <w:t>严重违反规章制度、工作极端不负责任、纪律松驰等人的不安全行为是引起事故的重要原因。作业人员未严格按照设备操作规程使用设备，引发意外事故</w:t>
            </w:r>
            <w:r>
              <w:rPr>
                <w:rFonts w:hint="eastAsia"/>
                <w:b w:val="0"/>
                <w:color w:val="000000" w:themeColor="text1"/>
                <w:kern w:val="2"/>
                <w:sz w:val="24"/>
                <w:szCs w:val="24"/>
                <w:highlight w:val="none"/>
                <w14:textFill>
                  <w14:solidFill>
                    <w14:schemeClr w14:val="tx1"/>
                  </w14:solidFill>
                </w14:textFill>
              </w:rPr>
              <w:t>；</w:t>
            </w:r>
            <w:r>
              <w:rPr>
                <w:b w:val="0"/>
                <w:color w:val="000000" w:themeColor="text1"/>
                <w:kern w:val="2"/>
                <w:sz w:val="24"/>
                <w:szCs w:val="24"/>
                <w:highlight w:val="none"/>
                <w14:textFill>
                  <w14:solidFill>
                    <w14:schemeClr w14:val="tx1"/>
                  </w14:solidFill>
                </w14:textFill>
              </w:rPr>
              <w:t>在设备检修前未进行技术交底，需检修的设备与系统未进行有效的隔离，在现场留有残留物、火种，均会埋下事故隐患</w:t>
            </w:r>
            <w:r>
              <w:rPr>
                <w:rFonts w:hint="eastAsia"/>
                <w:b w:val="0"/>
                <w:color w:val="000000" w:themeColor="text1"/>
                <w:kern w:val="2"/>
                <w:sz w:val="24"/>
                <w:szCs w:val="24"/>
                <w:highlight w:val="none"/>
                <w14:textFill>
                  <w14:solidFill>
                    <w14:schemeClr w14:val="tx1"/>
                  </w14:solidFill>
                </w14:textFill>
              </w:rPr>
              <w:t>；</w:t>
            </w:r>
            <w:r>
              <w:rPr>
                <w:b w:val="0"/>
                <w:color w:val="000000" w:themeColor="text1"/>
                <w:kern w:val="2"/>
                <w:sz w:val="24"/>
                <w:szCs w:val="24"/>
                <w:highlight w:val="none"/>
                <w14:textFill>
                  <w14:solidFill>
                    <w14:schemeClr w14:val="tx1"/>
                  </w14:solidFill>
                </w14:textFill>
              </w:rPr>
              <w:t>违章作业触电事故。如存在设备缺陷、防护设施不到位、防护措施不落实或不遵守操作规程、违章作业等，也会有触电的危险</w:t>
            </w:r>
            <w:r>
              <w:rPr>
                <w:rFonts w:hint="eastAsia"/>
                <w:b w:val="0"/>
                <w:color w:val="000000" w:themeColor="text1"/>
                <w:kern w:val="2"/>
                <w:sz w:val="24"/>
                <w:szCs w:val="24"/>
                <w:highlight w:val="none"/>
                <w14:textFill>
                  <w14:solidFill>
                    <w14:schemeClr w14:val="tx1"/>
                  </w14:solidFill>
                </w14:textFill>
              </w:rPr>
              <w:t>。</w:t>
            </w:r>
          </w:p>
          <w:p>
            <w:pPr>
              <w:pStyle w:val="114"/>
              <w:numPr>
                <w:ilvl w:val="0"/>
                <w:numId w:val="0"/>
              </w:numPr>
              <w:adjustRightInd/>
              <w:ind w:left="420" w:left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14:textFill>
                  <w14:solidFill>
                    <w14:schemeClr w14:val="tx1"/>
                  </w14:solidFill>
                </w14:textFill>
              </w:rPr>
              <w:t>隐患排查治理</w:t>
            </w:r>
            <w:r>
              <w:rPr>
                <w:color w:val="000000" w:themeColor="text1"/>
                <w:sz w:val="24"/>
                <w:szCs w:val="24"/>
                <w:highlight w:val="none"/>
                <w14:textFill>
                  <w14:solidFill>
                    <w14:schemeClr w14:val="tx1"/>
                  </w14:solidFill>
                </w14:textFill>
              </w:rPr>
              <w:t>措施</w:t>
            </w:r>
          </w:p>
          <w:p>
            <w:pPr>
              <w:pStyle w:val="114"/>
              <w:numPr>
                <w:ilvl w:val="0"/>
                <w:numId w:val="0"/>
              </w:numPr>
              <w:adjustRightInd/>
              <w:ind w:firstLine="480" w:firstLineChars="200"/>
              <w:rPr>
                <w:rFonts w:hint="eastAsia"/>
                <w:b w:val="0"/>
                <w:color w:val="000000" w:themeColor="text1"/>
                <w:kern w:val="2"/>
                <w:sz w:val="24"/>
                <w:szCs w:val="24"/>
                <w:highlight w:val="none"/>
                <w14:textFill>
                  <w14:solidFill>
                    <w14:schemeClr w14:val="tx1"/>
                  </w14:solidFill>
                </w14:textFill>
              </w:rPr>
            </w:pPr>
            <w:r>
              <w:rPr>
                <w:b w:val="0"/>
                <w:color w:val="000000" w:themeColor="text1"/>
                <w:kern w:val="2"/>
                <w:sz w:val="24"/>
                <w:szCs w:val="24"/>
                <w:highlight w:val="none"/>
                <w14:textFill>
                  <w14:solidFill>
                    <w14:schemeClr w14:val="tx1"/>
                  </w14:solidFill>
                </w14:textFill>
              </w:rPr>
              <w:t>安全管理是一个系统工程，穿插在企业的生产全过程，包含在工艺管理、操作管理、设备管理、检修作业等方面，任何一个过程出现缺陷都有可能引发事故的发生。</w:t>
            </w:r>
            <w:r>
              <w:rPr>
                <w:rFonts w:hint="eastAsia"/>
                <w:b w:val="0"/>
                <w:color w:val="000000" w:themeColor="text1"/>
                <w:kern w:val="2"/>
                <w:sz w:val="24"/>
                <w:szCs w:val="24"/>
                <w:highlight w:val="none"/>
                <w14:textFill>
                  <w14:solidFill>
                    <w14:schemeClr w14:val="tx1"/>
                  </w14:solidFill>
                </w14:textFill>
              </w:rPr>
              <w:t>因此</w:t>
            </w:r>
            <w:r>
              <w:rPr>
                <w:b w:val="0"/>
                <w:color w:val="000000" w:themeColor="text1"/>
                <w:kern w:val="2"/>
                <w:sz w:val="24"/>
                <w:szCs w:val="24"/>
                <w:highlight w:val="none"/>
                <w14:textFill>
                  <w14:solidFill>
                    <w14:schemeClr w14:val="tx1"/>
                  </w14:solidFill>
                </w14:textFill>
              </w:rPr>
              <w:t>，安全管理在生产过程中</w:t>
            </w:r>
            <w:r>
              <w:rPr>
                <w:rFonts w:hint="eastAsia"/>
                <w:b w:val="0"/>
                <w:color w:val="000000" w:themeColor="text1"/>
                <w:kern w:val="2"/>
                <w:sz w:val="24"/>
                <w:szCs w:val="24"/>
                <w:highlight w:val="none"/>
                <w14:textFill>
                  <w14:solidFill>
                    <w14:schemeClr w14:val="tx1"/>
                  </w14:solidFill>
                </w14:textFill>
              </w:rPr>
              <w:t>非常重要</w:t>
            </w:r>
            <w:r>
              <w:rPr>
                <w:b w:val="0"/>
                <w:color w:val="000000" w:themeColor="text1"/>
                <w:kern w:val="2"/>
                <w:sz w:val="24"/>
                <w:szCs w:val="24"/>
                <w:highlight w:val="none"/>
                <w14:textFill>
                  <w14:solidFill>
                    <w14:schemeClr w14:val="tx1"/>
                  </w14:solidFill>
                </w14:textFill>
              </w:rPr>
              <w:t>。</w:t>
            </w:r>
            <w:r>
              <w:rPr>
                <w:rFonts w:hint="eastAsia"/>
                <w:b w:val="0"/>
                <w:color w:val="000000" w:themeColor="text1"/>
                <w:sz w:val="24"/>
                <w:szCs w:val="24"/>
                <w:highlight w:val="none"/>
                <w14:textFill>
                  <w14:solidFill>
                    <w14:schemeClr w14:val="tx1"/>
                  </w14:solidFill>
                </w14:textFill>
              </w:rPr>
              <w:t>为保证本项目环保设施生产过程安全运行，需进行以下</w:t>
            </w:r>
            <w:r>
              <w:rPr>
                <w:b w:val="0"/>
                <w:color w:val="000000" w:themeColor="text1"/>
                <w:kern w:val="2"/>
                <w:sz w:val="24"/>
                <w:szCs w:val="24"/>
                <w:highlight w:val="none"/>
                <w14:textFill>
                  <w14:solidFill>
                    <w14:schemeClr w14:val="tx1"/>
                  </w14:solidFill>
                </w14:textFill>
              </w:rPr>
              <w:t>安全管理</w:t>
            </w:r>
            <w:r>
              <w:rPr>
                <w:b w:val="0"/>
                <w:color w:val="000000" w:themeColor="text1"/>
                <w:sz w:val="24"/>
                <w:szCs w:val="24"/>
                <w:highlight w:val="none"/>
                <w14:textFill>
                  <w14:solidFill>
                    <w14:schemeClr w14:val="tx1"/>
                  </w14:solidFill>
                </w14:textFill>
              </w:rPr>
              <w:t>措施</w:t>
            </w:r>
            <w:r>
              <w:rPr>
                <w:rFonts w:hint="eastAsia"/>
                <w:b w:val="0"/>
                <w:color w:val="000000" w:themeColor="text1"/>
                <w:sz w:val="24"/>
                <w:szCs w:val="24"/>
                <w:highlight w:val="none"/>
                <w14:textFill>
                  <w14:solidFill>
                    <w14:schemeClr w14:val="tx1"/>
                  </w14:solidFill>
                </w14:textFill>
              </w:rPr>
              <w:t>：</w:t>
            </w:r>
          </w:p>
          <w:p>
            <w:pPr>
              <w:pStyle w:val="114"/>
              <w:numPr>
                <w:ilvl w:val="0"/>
                <w:numId w:val="0"/>
              </w:numPr>
              <w:adjustRightInd/>
              <w:ind w:firstLine="480" w:firstLineChars="200"/>
              <w:rPr>
                <w:rFonts w:ascii="宋体" w:hAnsi="宋体" w:cs="宋体"/>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①</w:t>
            </w:r>
            <w:r>
              <w:rPr>
                <w:rFonts w:ascii="宋体" w:hAnsi="宋体" w:cs="宋体"/>
                <w:b w:val="0"/>
                <w:color w:val="000000" w:themeColor="text1"/>
                <w:kern w:val="2"/>
                <w:sz w:val="24"/>
                <w:szCs w:val="24"/>
                <w:highlight w:val="none"/>
                <w14:textFill>
                  <w14:solidFill>
                    <w14:schemeClr w14:val="tx1"/>
                  </w14:solidFill>
                </w14:textFill>
              </w:rPr>
              <w:t>负责人、安全管理员</w:t>
            </w:r>
            <w:r>
              <w:rPr>
                <w:rFonts w:hint="eastAsia" w:ascii="宋体" w:hAnsi="宋体" w:cs="宋体"/>
                <w:b w:val="0"/>
                <w:color w:val="000000" w:themeColor="text1"/>
                <w:kern w:val="2"/>
                <w:sz w:val="24"/>
                <w:szCs w:val="24"/>
                <w:highlight w:val="none"/>
                <w14:textFill>
                  <w14:solidFill>
                    <w14:schemeClr w14:val="tx1"/>
                  </w14:solidFill>
                </w14:textFill>
              </w:rPr>
              <w:t>和其他</w:t>
            </w:r>
            <w:r>
              <w:rPr>
                <w:rFonts w:ascii="宋体" w:hAnsi="宋体" w:cs="宋体"/>
                <w:b w:val="0"/>
                <w:color w:val="000000" w:themeColor="text1"/>
                <w:kern w:val="2"/>
                <w:sz w:val="24"/>
                <w:szCs w:val="24"/>
                <w:highlight w:val="none"/>
                <w14:textFill>
                  <w14:solidFill>
                    <w14:schemeClr w14:val="tx1"/>
                  </w14:solidFill>
                </w14:textFill>
              </w:rPr>
              <w:t>从业人员</w:t>
            </w:r>
            <w:r>
              <w:rPr>
                <w:rFonts w:hint="eastAsia" w:ascii="宋体" w:hAnsi="宋体" w:cs="宋体"/>
                <w:b w:val="0"/>
                <w:color w:val="000000" w:themeColor="text1"/>
                <w:kern w:val="2"/>
                <w:sz w:val="24"/>
                <w:szCs w:val="24"/>
                <w:highlight w:val="none"/>
                <w14:textFill>
                  <w14:solidFill>
                    <w14:schemeClr w14:val="tx1"/>
                  </w14:solidFill>
                </w14:textFill>
              </w:rPr>
              <w:t>需</w:t>
            </w:r>
            <w:r>
              <w:rPr>
                <w:rFonts w:ascii="宋体" w:hAnsi="宋体" w:cs="宋体"/>
                <w:b w:val="0"/>
                <w:color w:val="000000" w:themeColor="text1"/>
                <w:kern w:val="2"/>
                <w:sz w:val="24"/>
                <w:szCs w:val="24"/>
                <w:highlight w:val="none"/>
                <w14:textFill>
                  <w14:solidFill>
                    <w14:schemeClr w14:val="tx1"/>
                  </w14:solidFill>
                </w14:textFill>
              </w:rPr>
              <w:t>培训上岗作业，从业人员</w:t>
            </w:r>
            <w:r>
              <w:rPr>
                <w:rFonts w:hint="eastAsia" w:ascii="宋体" w:hAnsi="宋体" w:cs="宋体"/>
                <w:b w:val="0"/>
                <w:color w:val="000000" w:themeColor="text1"/>
                <w:kern w:val="2"/>
                <w:sz w:val="24"/>
                <w:szCs w:val="24"/>
                <w:highlight w:val="none"/>
                <w14:textFill>
                  <w14:solidFill>
                    <w14:schemeClr w14:val="tx1"/>
                  </w14:solidFill>
                </w14:textFill>
              </w:rPr>
              <w:t>需持</w:t>
            </w:r>
            <w:r>
              <w:rPr>
                <w:rFonts w:ascii="宋体" w:hAnsi="宋体" w:cs="宋体"/>
                <w:b w:val="0"/>
                <w:color w:val="000000" w:themeColor="text1"/>
                <w:kern w:val="2"/>
                <w:sz w:val="24"/>
                <w:szCs w:val="24"/>
                <w:highlight w:val="none"/>
                <w14:textFill>
                  <w14:solidFill>
                    <w14:schemeClr w14:val="tx1"/>
                  </w14:solidFill>
                </w14:textFill>
              </w:rPr>
              <w:t>证上岗，执行三级安全教育，开展技术培训和安全教育均可</w:t>
            </w:r>
            <w:r>
              <w:rPr>
                <w:rFonts w:hint="eastAsia" w:ascii="宋体" w:hAnsi="宋体" w:cs="宋体"/>
                <w:b w:val="0"/>
                <w:color w:val="000000" w:themeColor="text1"/>
                <w:kern w:val="2"/>
                <w:sz w:val="24"/>
                <w:szCs w:val="24"/>
                <w:highlight w:val="none"/>
                <w14:textFill>
                  <w14:solidFill>
                    <w14:schemeClr w14:val="tx1"/>
                  </w14:solidFill>
                </w14:textFill>
              </w:rPr>
              <w:t>减少</w:t>
            </w:r>
            <w:r>
              <w:rPr>
                <w:rFonts w:ascii="宋体" w:hAnsi="宋体" w:cs="宋体"/>
                <w:b w:val="0"/>
                <w:color w:val="000000" w:themeColor="text1"/>
                <w:kern w:val="2"/>
                <w:sz w:val="24"/>
                <w:szCs w:val="24"/>
                <w:highlight w:val="none"/>
                <w14:textFill>
                  <w14:solidFill>
                    <w14:schemeClr w14:val="tx1"/>
                  </w14:solidFill>
                </w14:textFill>
              </w:rPr>
              <w:t>引发事故</w:t>
            </w:r>
            <w:r>
              <w:rPr>
                <w:rFonts w:hint="eastAsia" w:ascii="宋体" w:hAnsi="宋体" w:cs="宋体"/>
                <w:b w:val="0"/>
                <w:color w:val="000000" w:themeColor="text1"/>
                <w:kern w:val="2"/>
                <w:sz w:val="24"/>
                <w:szCs w:val="24"/>
                <w:highlight w:val="none"/>
                <w14:textFill>
                  <w14:solidFill>
                    <w14:schemeClr w14:val="tx1"/>
                  </w14:solidFill>
                </w14:textFill>
              </w:rPr>
              <w:t>的概率，增加</w:t>
            </w:r>
            <w:r>
              <w:rPr>
                <w:rFonts w:ascii="宋体" w:hAnsi="宋体" w:cs="宋体"/>
                <w:b w:val="0"/>
                <w:color w:val="000000" w:themeColor="text1"/>
                <w:kern w:val="2"/>
                <w:sz w:val="24"/>
                <w:szCs w:val="24"/>
                <w:highlight w:val="none"/>
                <w14:textFill>
                  <w14:solidFill>
                    <w14:schemeClr w14:val="tx1"/>
                  </w14:solidFill>
                </w14:textFill>
              </w:rPr>
              <w:t>从业人员对行业、岗位危险性</w:t>
            </w:r>
            <w:r>
              <w:rPr>
                <w:rFonts w:hint="eastAsia" w:ascii="宋体" w:hAnsi="宋体" w:cs="宋体"/>
                <w:b w:val="0"/>
                <w:color w:val="000000" w:themeColor="text1"/>
                <w:kern w:val="2"/>
                <w:sz w:val="24"/>
                <w:szCs w:val="24"/>
                <w:highlight w:val="none"/>
                <w14:textFill>
                  <w14:solidFill>
                    <w14:schemeClr w14:val="tx1"/>
                  </w14:solidFill>
                </w14:textFill>
              </w:rPr>
              <w:t>进行</w:t>
            </w:r>
            <w:r>
              <w:rPr>
                <w:rFonts w:ascii="宋体" w:hAnsi="宋体" w:cs="宋体"/>
                <w:b w:val="0"/>
                <w:color w:val="000000" w:themeColor="text1"/>
                <w:kern w:val="2"/>
                <w:sz w:val="24"/>
                <w:szCs w:val="24"/>
                <w:highlight w:val="none"/>
                <w14:textFill>
                  <w14:solidFill>
                    <w14:schemeClr w14:val="tx1"/>
                  </w14:solidFill>
                </w14:textFill>
              </w:rPr>
              <w:t>了解，</w:t>
            </w:r>
            <w:r>
              <w:rPr>
                <w:rFonts w:hint="eastAsia" w:ascii="宋体" w:hAnsi="宋体" w:cs="宋体"/>
                <w:b w:val="0"/>
                <w:color w:val="000000" w:themeColor="text1"/>
                <w:kern w:val="2"/>
                <w:sz w:val="24"/>
                <w:szCs w:val="24"/>
                <w:highlight w:val="none"/>
                <w14:textFill>
                  <w14:solidFill>
                    <w14:schemeClr w14:val="tx1"/>
                  </w14:solidFill>
                </w14:textFill>
              </w:rPr>
              <w:t>避免</w:t>
            </w:r>
            <w:r>
              <w:rPr>
                <w:rFonts w:ascii="宋体" w:hAnsi="宋体" w:cs="宋体"/>
                <w:b w:val="0"/>
                <w:color w:val="000000" w:themeColor="text1"/>
                <w:kern w:val="2"/>
                <w:sz w:val="24"/>
                <w:szCs w:val="24"/>
                <w:highlight w:val="none"/>
                <w14:textFill>
                  <w14:solidFill>
                    <w14:schemeClr w14:val="tx1"/>
                  </w14:solidFill>
                </w14:textFill>
              </w:rPr>
              <w:t>引起事故。</w:t>
            </w:r>
          </w:p>
          <w:p>
            <w:pPr>
              <w:pStyle w:val="114"/>
              <w:numPr>
                <w:ilvl w:val="0"/>
                <w:numId w:val="0"/>
              </w:numPr>
              <w:adjustRightInd/>
              <w:ind w:firstLine="480" w:firstLineChars="200"/>
              <w:rPr>
                <w:rFonts w:ascii="宋体" w:hAnsi="宋体" w:cs="宋体"/>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②制定适宜的</w:t>
            </w:r>
            <w:r>
              <w:rPr>
                <w:rFonts w:ascii="宋体" w:hAnsi="宋体" w:cs="宋体"/>
                <w:b w:val="0"/>
                <w:color w:val="000000" w:themeColor="text1"/>
                <w:kern w:val="2"/>
                <w:sz w:val="24"/>
                <w:szCs w:val="24"/>
                <w:highlight w:val="none"/>
                <w14:textFill>
                  <w14:solidFill>
                    <w14:schemeClr w14:val="tx1"/>
                  </w14:solidFill>
                </w14:textFill>
              </w:rPr>
              <w:t>安全操作规程</w:t>
            </w:r>
            <w:r>
              <w:rPr>
                <w:rFonts w:hint="eastAsia" w:ascii="宋体" w:hAnsi="宋体" w:cs="宋体"/>
                <w:b w:val="0"/>
                <w:color w:val="000000" w:themeColor="text1"/>
                <w:kern w:val="2"/>
                <w:sz w:val="24"/>
                <w:szCs w:val="24"/>
                <w:highlight w:val="none"/>
                <w14:textFill>
                  <w14:solidFill>
                    <w14:schemeClr w14:val="tx1"/>
                  </w14:solidFill>
                </w14:textFill>
              </w:rPr>
              <w:t>及检查频次</w:t>
            </w:r>
            <w:r>
              <w:rPr>
                <w:rFonts w:ascii="宋体" w:hAnsi="宋体" w:cs="宋体"/>
                <w:b w:val="0"/>
                <w:color w:val="000000" w:themeColor="text1"/>
                <w:kern w:val="2"/>
                <w:sz w:val="24"/>
                <w:szCs w:val="24"/>
                <w:highlight w:val="none"/>
                <w14:textFill>
                  <w14:solidFill>
                    <w14:schemeClr w14:val="tx1"/>
                  </w14:solidFill>
                </w14:textFill>
              </w:rPr>
              <w:t>，生产过程中</w:t>
            </w:r>
            <w:r>
              <w:rPr>
                <w:rFonts w:hint="eastAsia" w:ascii="宋体" w:hAnsi="宋体" w:cs="宋体"/>
                <w:b w:val="0"/>
                <w:color w:val="000000" w:themeColor="text1"/>
                <w:kern w:val="2"/>
                <w:sz w:val="24"/>
                <w:szCs w:val="24"/>
                <w:highlight w:val="none"/>
                <w14:textFill>
                  <w14:solidFill>
                    <w14:schemeClr w14:val="tx1"/>
                  </w14:solidFill>
                </w14:textFill>
              </w:rPr>
              <w:t>严格</w:t>
            </w:r>
            <w:r>
              <w:rPr>
                <w:rFonts w:ascii="宋体" w:hAnsi="宋体" w:cs="宋体"/>
                <w:b w:val="0"/>
                <w:color w:val="000000" w:themeColor="text1"/>
                <w:kern w:val="2"/>
                <w:sz w:val="24"/>
                <w:szCs w:val="24"/>
                <w:highlight w:val="none"/>
                <w14:textFill>
                  <w14:solidFill>
                    <w14:schemeClr w14:val="tx1"/>
                  </w14:solidFill>
                </w14:textFill>
              </w:rPr>
              <w:t>按操作规程进行操作</w:t>
            </w:r>
            <w:r>
              <w:rPr>
                <w:rFonts w:hint="eastAsia" w:ascii="宋体" w:hAnsi="宋体" w:cs="宋体"/>
                <w:b w:val="0"/>
                <w:color w:val="000000" w:themeColor="text1"/>
                <w:kern w:val="2"/>
                <w:sz w:val="24"/>
                <w:szCs w:val="24"/>
                <w:highlight w:val="none"/>
                <w14:textFill>
                  <w14:solidFill>
                    <w14:schemeClr w14:val="tx1"/>
                  </w14:solidFill>
                </w14:textFill>
              </w:rPr>
              <w:t>，</w:t>
            </w:r>
            <w:r>
              <w:rPr>
                <w:rFonts w:ascii="宋体" w:hAnsi="宋体" w:cs="宋体"/>
                <w:b w:val="0"/>
                <w:color w:val="000000" w:themeColor="text1"/>
                <w:kern w:val="2"/>
                <w:sz w:val="24"/>
                <w:szCs w:val="24"/>
                <w:highlight w:val="none"/>
                <w14:textFill>
                  <w14:solidFill>
                    <w14:schemeClr w14:val="tx1"/>
                  </w14:solidFill>
                </w14:textFill>
              </w:rPr>
              <w:t>按要求进行巡回检查，及时发现现场隐患</w:t>
            </w:r>
            <w:r>
              <w:rPr>
                <w:rFonts w:hint="eastAsia" w:ascii="宋体" w:hAnsi="宋体" w:cs="宋体"/>
                <w:b w:val="0"/>
                <w:color w:val="000000" w:themeColor="text1"/>
                <w:kern w:val="2"/>
                <w:sz w:val="24"/>
                <w:szCs w:val="24"/>
                <w:highlight w:val="none"/>
                <w14:textFill>
                  <w14:solidFill>
                    <w14:schemeClr w14:val="tx1"/>
                  </w14:solidFill>
                </w14:textFill>
              </w:rPr>
              <w:t>等</w:t>
            </w:r>
            <w:r>
              <w:rPr>
                <w:rFonts w:ascii="宋体" w:hAnsi="宋体" w:cs="宋体"/>
                <w:b w:val="0"/>
                <w:color w:val="000000" w:themeColor="text1"/>
                <w:kern w:val="2"/>
                <w:sz w:val="24"/>
                <w:szCs w:val="24"/>
                <w:highlight w:val="none"/>
                <w14:textFill>
                  <w14:solidFill>
                    <w14:schemeClr w14:val="tx1"/>
                  </w14:solidFill>
                </w14:textFill>
              </w:rPr>
              <w:t>存在的问题，</w:t>
            </w:r>
            <w:r>
              <w:rPr>
                <w:rFonts w:hint="eastAsia" w:ascii="宋体" w:hAnsi="宋体" w:cs="宋体"/>
                <w:b w:val="0"/>
                <w:color w:val="000000" w:themeColor="text1"/>
                <w:kern w:val="2"/>
                <w:sz w:val="24"/>
                <w:szCs w:val="24"/>
                <w:highlight w:val="none"/>
                <w14:textFill>
                  <w14:solidFill>
                    <w14:schemeClr w14:val="tx1"/>
                  </w14:solidFill>
                </w14:textFill>
              </w:rPr>
              <w:t>避免因此</w:t>
            </w:r>
            <w:r>
              <w:rPr>
                <w:rFonts w:ascii="宋体" w:hAnsi="宋体" w:cs="宋体"/>
                <w:b w:val="0"/>
                <w:color w:val="000000" w:themeColor="text1"/>
                <w:kern w:val="2"/>
                <w:sz w:val="24"/>
                <w:szCs w:val="24"/>
                <w:highlight w:val="none"/>
                <w14:textFill>
                  <w14:solidFill>
                    <w14:schemeClr w14:val="tx1"/>
                  </w14:solidFill>
                </w14:textFill>
              </w:rPr>
              <w:t>引发各类事故。</w:t>
            </w:r>
          </w:p>
          <w:p>
            <w:pPr>
              <w:pStyle w:val="114"/>
              <w:numPr>
                <w:ilvl w:val="0"/>
                <w:numId w:val="0"/>
              </w:numPr>
              <w:adjustRightInd/>
              <w:ind w:firstLine="480" w:firstLineChars="200"/>
              <w:rPr>
                <w:rFonts w:hint="eastAsia" w:ascii="宋体" w:hAnsi="宋体" w:cs="宋体"/>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③</w:t>
            </w:r>
            <w:r>
              <w:rPr>
                <w:rFonts w:ascii="宋体" w:hAnsi="宋体" w:cs="宋体"/>
                <w:b w:val="0"/>
                <w:color w:val="000000" w:themeColor="text1"/>
                <w:kern w:val="2"/>
                <w:sz w:val="24"/>
                <w:szCs w:val="24"/>
                <w:highlight w:val="none"/>
                <w14:textFill>
                  <w14:solidFill>
                    <w14:schemeClr w14:val="tx1"/>
                  </w14:solidFill>
                </w14:textFill>
              </w:rPr>
              <w:t>配套废气处理装置按规定进行定期</w:t>
            </w:r>
            <w:r>
              <w:rPr>
                <w:rFonts w:hint="eastAsia" w:ascii="宋体" w:hAnsi="宋体" w:cs="宋体"/>
                <w:b w:val="0"/>
                <w:color w:val="000000" w:themeColor="text1"/>
                <w:kern w:val="2"/>
                <w:sz w:val="24"/>
                <w:szCs w:val="24"/>
                <w:highlight w:val="none"/>
                <w14:textFill>
                  <w14:solidFill>
                    <w14:schemeClr w14:val="tx1"/>
                  </w14:solidFill>
                </w14:textFill>
              </w:rPr>
              <w:t>巡查更换</w:t>
            </w:r>
            <w:r>
              <w:rPr>
                <w:rFonts w:ascii="宋体" w:hAnsi="宋体" w:cs="宋体"/>
                <w:b w:val="0"/>
                <w:color w:val="000000" w:themeColor="text1"/>
                <w:kern w:val="2"/>
                <w:sz w:val="24"/>
                <w:szCs w:val="24"/>
                <w:highlight w:val="none"/>
                <w14:textFill>
                  <w14:solidFill>
                    <w14:schemeClr w14:val="tx1"/>
                  </w14:solidFill>
                </w14:textFill>
              </w:rPr>
              <w:t>，</w:t>
            </w:r>
            <w:r>
              <w:rPr>
                <w:rFonts w:hint="eastAsia" w:ascii="宋体" w:hAnsi="宋体" w:cs="宋体"/>
                <w:b w:val="0"/>
                <w:color w:val="000000" w:themeColor="text1"/>
                <w:kern w:val="2"/>
                <w:sz w:val="24"/>
                <w:szCs w:val="24"/>
                <w:highlight w:val="none"/>
                <w14:textFill>
                  <w14:solidFill>
                    <w14:schemeClr w14:val="tx1"/>
                  </w14:solidFill>
                </w14:textFill>
              </w:rPr>
              <w:t>防止因活性炭吸附效率降低</w:t>
            </w:r>
            <w:r>
              <w:rPr>
                <w:rFonts w:hint="eastAsia"/>
                <w:b w:val="0"/>
                <w:bCs/>
                <w:color w:val="000000" w:themeColor="text1"/>
                <w:sz w:val="24"/>
                <w:szCs w:val="24"/>
                <w:highlight w:val="none"/>
                <w14:textFill>
                  <w14:solidFill>
                    <w14:schemeClr w14:val="tx1"/>
                  </w14:solidFill>
                </w14:textFill>
              </w:rPr>
              <w:t>引发废气排放超标事故的发生。</w:t>
            </w:r>
          </w:p>
          <w:p>
            <w:pPr>
              <w:pStyle w:val="114"/>
              <w:numPr>
                <w:ilvl w:val="0"/>
                <w:numId w:val="0"/>
              </w:numPr>
              <w:adjustRightInd/>
              <w:ind w:firstLine="480" w:firstLineChars="200"/>
              <w:rPr>
                <w:rFonts w:ascii="宋体" w:hAnsi="宋体" w:cs="宋体"/>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④</w:t>
            </w:r>
            <w:r>
              <w:rPr>
                <w:rFonts w:ascii="宋体" w:hAnsi="宋体" w:cs="宋体"/>
                <w:b w:val="0"/>
                <w:color w:val="000000" w:themeColor="text1"/>
                <w:kern w:val="2"/>
                <w:sz w:val="24"/>
                <w:szCs w:val="24"/>
                <w:highlight w:val="none"/>
                <w14:textFill>
                  <w14:solidFill>
                    <w14:schemeClr w14:val="tx1"/>
                  </w14:solidFill>
                </w14:textFill>
              </w:rPr>
              <w:t>设备及时进行维护保养，及时进行检查，及时消除隐患，</w:t>
            </w:r>
            <w:r>
              <w:rPr>
                <w:rFonts w:hint="eastAsia" w:ascii="宋体" w:hAnsi="宋体" w:cs="宋体"/>
                <w:b w:val="0"/>
                <w:color w:val="000000" w:themeColor="text1"/>
                <w:kern w:val="2"/>
                <w:sz w:val="24"/>
                <w:szCs w:val="24"/>
                <w:highlight w:val="none"/>
                <w14:textFill>
                  <w14:solidFill>
                    <w14:schemeClr w14:val="tx1"/>
                  </w14:solidFill>
                </w14:textFill>
              </w:rPr>
              <w:t>避免</w:t>
            </w:r>
            <w:r>
              <w:rPr>
                <w:rFonts w:ascii="宋体" w:hAnsi="宋体" w:cs="宋体"/>
                <w:b w:val="0"/>
                <w:color w:val="000000" w:themeColor="text1"/>
                <w:kern w:val="2"/>
                <w:sz w:val="24"/>
                <w:szCs w:val="24"/>
                <w:highlight w:val="none"/>
                <w14:textFill>
                  <w14:solidFill>
                    <w14:schemeClr w14:val="tx1"/>
                  </w14:solidFill>
                </w14:textFill>
              </w:rPr>
              <w:t>设备疲劳运行，</w:t>
            </w:r>
            <w:r>
              <w:rPr>
                <w:rFonts w:hint="eastAsia" w:ascii="宋体" w:hAnsi="宋体" w:cs="宋体"/>
                <w:b w:val="0"/>
                <w:color w:val="000000" w:themeColor="text1"/>
                <w:kern w:val="2"/>
                <w:sz w:val="24"/>
                <w:szCs w:val="24"/>
                <w:highlight w:val="none"/>
                <w14:textFill>
                  <w14:solidFill>
                    <w14:schemeClr w14:val="tx1"/>
                  </w14:solidFill>
                </w14:textFill>
              </w:rPr>
              <w:t>导致</w:t>
            </w:r>
            <w:r>
              <w:rPr>
                <w:rFonts w:ascii="宋体" w:hAnsi="宋体" w:cs="宋体"/>
                <w:b w:val="0"/>
                <w:color w:val="000000" w:themeColor="text1"/>
                <w:kern w:val="2"/>
                <w:sz w:val="24"/>
                <w:szCs w:val="24"/>
                <w:highlight w:val="none"/>
                <w14:textFill>
                  <w14:solidFill>
                    <w14:schemeClr w14:val="tx1"/>
                  </w14:solidFill>
                </w14:textFill>
              </w:rPr>
              <w:t>发生故障，引起事故的发生。</w:t>
            </w:r>
          </w:p>
          <w:p>
            <w:pPr>
              <w:pStyle w:val="114"/>
              <w:numPr>
                <w:ilvl w:val="0"/>
                <w:numId w:val="0"/>
              </w:numPr>
              <w:adjustRightInd/>
              <w:snapToGrid/>
              <w:ind w:firstLine="480" w:firstLineChars="200"/>
              <w:rPr>
                <w:rFonts w:hint="eastAsia" w:ascii="宋体" w:hAnsi="宋体" w:cs="宋体"/>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⑤环保</w:t>
            </w:r>
            <w:r>
              <w:rPr>
                <w:rFonts w:ascii="宋体" w:hAnsi="宋体" w:cs="宋体"/>
                <w:b w:val="0"/>
                <w:color w:val="000000" w:themeColor="text1"/>
                <w:kern w:val="2"/>
                <w:sz w:val="24"/>
                <w:szCs w:val="24"/>
                <w:highlight w:val="none"/>
                <w14:textFill>
                  <w14:solidFill>
                    <w14:schemeClr w14:val="tx1"/>
                  </w14:solidFill>
                </w14:textFill>
              </w:rPr>
              <w:t>设备管理按要求进行，</w:t>
            </w:r>
            <w:r>
              <w:rPr>
                <w:rFonts w:hint="eastAsia" w:ascii="宋体" w:hAnsi="宋体" w:cs="宋体"/>
                <w:b w:val="0"/>
                <w:color w:val="000000" w:themeColor="text1"/>
                <w:kern w:val="2"/>
                <w:sz w:val="24"/>
                <w:szCs w:val="24"/>
                <w:highlight w:val="none"/>
                <w14:textFill>
                  <w14:solidFill>
                    <w14:schemeClr w14:val="tx1"/>
                  </w14:solidFill>
                </w14:textFill>
              </w:rPr>
              <w:t>避免</w:t>
            </w:r>
            <w:r>
              <w:rPr>
                <w:rFonts w:ascii="宋体" w:hAnsi="宋体" w:cs="宋体"/>
                <w:b w:val="0"/>
                <w:color w:val="000000" w:themeColor="text1"/>
                <w:kern w:val="2"/>
                <w:sz w:val="24"/>
                <w:szCs w:val="24"/>
                <w:highlight w:val="none"/>
                <w14:textFill>
                  <w14:solidFill>
                    <w14:schemeClr w14:val="tx1"/>
                  </w14:solidFill>
                </w14:textFill>
              </w:rPr>
              <w:t>引发事故的发生。如防护设施未定期检查、绝缘测试等未按要求进行，存在的隐患不能及时发现，易导致事故的发生。</w:t>
            </w:r>
          </w:p>
          <w:p>
            <w:pPr>
              <w:pStyle w:val="114"/>
              <w:numPr>
                <w:ilvl w:val="0"/>
                <w:numId w:val="0"/>
              </w:numPr>
              <w:adjustRightInd/>
              <w:snapToGrid/>
              <w:ind w:firstLine="480" w:firstLineChars="200"/>
              <w:rPr>
                <w:rFonts w:hint="eastAsia" w:ascii="宋体" w:hAnsi="宋体" w:cs="宋体"/>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⑥</w:t>
            </w:r>
            <w:r>
              <w:rPr>
                <w:rFonts w:ascii="宋体" w:hAnsi="宋体" w:cs="宋体"/>
                <w:b w:val="0"/>
                <w:color w:val="000000" w:themeColor="text1"/>
                <w:kern w:val="2"/>
                <w:sz w:val="24"/>
                <w:szCs w:val="24"/>
                <w:highlight w:val="none"/>
                <w14:textFill>
                  <w14:solidFill>
                    <w14:schemeClr w14:val="tx1"/>
                  </w14:solidFill>
                </w14:textFill>
              </w:rPr>
              <w:t>明确</w:t>
            </w:r>
            <w:r>
              <w:rPr>
                <w:rFonts w:hint="eastAsia" w:ascii="宋体" w:hAnsi="宋体" w:cs="宋体"/>
                <w:b w:val="0"/>
                <w:color w:val="000000" w:themeColor="text1"/>
                <w:kern w:val="2"/>
                <w:sz w:val="24"/>
                <w:szCs w:val="24"/>
                <w:highlight w:val="none"/>
                <w14:textFill>
                  <w14:solidFill>
                    <w14:schemeClr w14:val="tx1"/>
                  </w14:solidFill>
                </w14:textFill>
              </w:rPr>
              <w:t>并</w:t>
            </w:r>
            <w:r>
              <w:rPr>
                <w:rFonts w:ascii="宋体" w:hAnsi="宋体" w:cs="宋体"/>
                <w:b w:val="0"/>
                <w:color w:val="000000" w:themeColor="text1"/>
                <w:kern w:val="2"/>
                <w:sz w:val="24"/>
                <w:szCs w:val="24"/>
                <w:highlight w:val="none"/>
                <w14:textFill>
                  <w14:solidFill>
                    <w14:schemeClr w14:val="tx1"/>
                  </w14:solidFill>
                </w14:textFill>
              </w:rPr>
              <w:t>落实安全管理责任、完善安全管理制度</w:t>
            </w:r>
            <w:r>
              <w:rPr>
                <w:rFonts w:hint="eastAsia" w:ascii="宋体" w:hAnsi="宋体" w:cs="宋体"/>
                <w:b w:val="0"/>
                <w:color w:val="000000" w:themeColor="text1"/>
                <w:kern w:val="2"/>
                <w:sz w:val="24"/>
                <w:szCs w:val="24"/>
                <w:highlight w:val="none"/>
                <w14:textFill>
                  <w14:solidFill>
                    <w14:schemeClr w14:val="tx1"/>
                  </w14:solidFill>
                </w14:textFill>
              </w:rPr>
              <w:t>及</w:t>
            </w:r>
            <w:r>
              <w:rPr>
                <w:rFonts w:ascii="宋体" w:hAnsi="宋体" w:cs="宋体"/>
                <w:b w:val="0"/>
                <w:color w:val="000000" w:themeColor="text1"/>
                <w:kern w:val="2"/>
                <w:sz w:val="24"/>
                <w:szCs w:val="24"/>
                <w:highlight w:val="none"/>
                <w14:textFill>
                  <w14:solidFill>
                    <w14:schemeClr w14:val="tx1"/>
                  </w14:solidFill>
                </w14:textFill>
              </w:rPr>
              <w:t>安全操作规程</w:t>
            </w:r>
            <w:r>
              <w:rPr>
                <w:rFonts w:hint="eastAsia" w:ascii="宋体" w:hAnsi="宋体" w:cs="宋体"/>
                <w:b w:val="0"/>
                <w:color w:val="000000" w:themeColor="text1"/>
                <w:kern w:val="2"/>
                <w:sz w:val="24"/>
                <w:szCs w:val="24"/>
                <w:highlight w:val="none"/>
                <w14:textFill>
                  <w14:solidFill>
                    <w14:schemeClr w14:val="tx1"/>
                  </w14:solidFill>
                </w14:textFill>
              </w:rPr>
              <w:t>，避免</w:t>
            </w:r>
            <w:r>
              <w:rPr>
                <w:rFonts w:ascii="宋体" w:hAnsi="宋体" w:cs="宋体"/>
                <w:b w:val="0"/>
                <w:color w:val="000000" w:themeColor="text1"/>
                <w:kern w:val="2"/>
                <w:sz w:val="24"/>
                <w:szCs w:val="24"/>
                <w:highlight w:val="none"/>
                <w14:textFill>
                  <w14:solidFill>
                    <w14:schemeClr w14:val="tx1"/>
                  </w14:solidFill>
                </w14:textFill>
              </w:rPr>
              <w:t>产生安全管理漏洞</w:t>
            </w:r>
            <w:r>
              <w:rPr>
                <w:rFonts w:hint="eastAsia" w:ascii="宋体" w:hAnsi="宋体" w:cs="宋体"/>
                <w:b w:val="0"/>
                <w:color w:val="000000" w:themeColor="text1"/>
                <w:kern w:val="2"/>
                <w:sz w:val="24"/>
                <w:szCs w:val="24"/>
                <w:highlight w:val="none"/>
                <w14:textFill>
                  <w14:solidFill>
                    <w14:schemeClr w14:val="tx1"/>
                  </w14:solidFill>
                </w14:textFill>
              </w:rPr>
              <w:t>，</w:t>
            </w:r>
            <w:r>
              <w:rPr>
                <w:rFonts w:ascii="宋体" w:hAnsi="宋体" w:cs="宋体"/>
                <w:b w:val="0"/>
                <w:color w:val="000000" w:themeColor="text1"/>
                <w:kern w:val="2"/>
                <w:sz w:val="24"/>
                <w:szCs w:val="24"/>
                <w:highlight w:val="none"/>
                <w14:textFill>
                  <w14:solidFill>
                    <w14:schemeClr w14:val="tx1"/>
                  </w14:solidFill>
                </w14:textFill>
              </w:rPr>
              <w:t>隐患整改</w:t>
            </w:r>
            <w:r>
              <w:rPr>
                <w:rFonts w:hint="eastAsia" w:ascii="宋体" w:hAnsi="宋体" w:cs="宋体"/>
                <w:b w:val="0"/>
                <w:color w:val="000000" w:themeColor="text1"/>
                <w:kern w:val="2"/>
                <w:sz w:val="24"/>
                <w:szCs w:val="24"/>
                <w:highlight w:val="none"/>
                <w14:textFill>
                  <w14:solidFill>
                    <w14:schemeClr w14:val="tx1"/>
                  </w14:solidFill>
                </w14:textFill>
              </w:rPr>
              <w:t>到</w:t>
            </w:r>
            <w:r>
              <w:rPr>
                <w:rFonts w:ascii="宋体" w:hAnsi="宋体" w:cs="宋体"/>
                <w:b w:val="0"/>
                <w:color w:val="000000" w:themeColor="text1"/>
                <w:kern w:val="2"/>
                <w:sz w:val="24"/>
                <w:szCs w:val="24"/>
                <w:highlight w:val="none"/>
                <w14:textFill>
                  <w14:solidFill>
                    <w14:schemeClr w14:val="tx1"/>
                  </w14:solidFill>
                </w14:textFill>
              </w:rPr>
              <w:t>不到位等，导致事故的发生</w:t>
            </w:r>
            <w:r>
              <w:rPr>
                <w:rFonts w:hint="eastAsia" w:ascii="宋体" w:hAnsi="宋体" w:cs="宋体"/>
                <w:b w:val="0"/>
                <w:color w:val="000000" w:themeColor="text1"/>
                <w:kern w:val="2"/>
                <w:sz w:val="24"/>
                <w:szCs w:val="24"/>
                <w:highlight w:val="none"/>
                <w14:textFill>
                  <w14:solidFill>
                    <w14:schemeClr w14:val="tx1"/>
                  </w14:solidFill>
                </w14:textFill>
              </w:rPr>
              <w:t>。</w:t>
            </w:r>
          </w:p>
          <w:p>
            <w:pPr>
              <w:pStyle w:val="114"/>
              <w:numPr>
                <w:ilvl w:val="0"/>
                <w:numId w:val="0"/>
              </w:numPr>
              <w:adjustRightInd/>
              <w:snapToGrid/>
              <w:ind w:firstLine="480" w:firstLineChars="200"/>
              <w:rPr>
                <w:rFonts w:hint="eastAsia" w:ascii="宋体" w:hAnsi="宋体" w:cs="宋体"/>
                <w:b w:val="0"/>
                <w:color w:val="000000" w:themeColor="text1"/>
                <w:kern w:val="2"/>
                <w:sz w:val="24"/>
                <w:szCs w:val="24"/>
                <w:highlight w:val="none"/>
                <w14:textFill>
                  <w14:solidFill>
                    <w14:schemeClr w14:val="tx1"/>
                  </w14:solidFill>
                </w14:textFill>
              </w:rPr>
            </w:pPr>
            <w:r>
              <w:rPr>
                <w:rFonts w:hint="eastAsia" w:ascii="宋体" w:hAnsi="宋体" w:cs="宋体"/>
                <w:b w:val="0"/>
                <w:color w:val="000000" w:themeColor="text1"/>
                <w:kern w:val="2"/>
                <w:sz w:val="24"/>
                <w:szCs w:val="24"/>
                <w:highlight w:val="none"/>
                <w14:textFill>
                  <w14:solidFill>
                    <w14:schemeClr w14:val="tx1"/>
                  </w14:solidFill>
                </w14:textFill>
              </w:rPr>
              <w:t>（3）分析结论</w:t>
            </w:r>
          </w:p>
          <w:p>
            <w:pPr>
              <w:widowControl/>
              <w:spacing w:line="360" w:lineRule="auto"/>
              <w:ind w:firstLine="480" w:firstLineChars="200"/>
              <w:jc w:val="left"/>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通过以上分析，项目采取的风险防范措施已在企业普遍施行，具有可操作性，防范措施有效，项目的环境风险是可防控的。</w:t>
            </w:r>
          </w:p>
          <w:p>
            <w:pPr>
              <w:pStyle w:val="35"/>
              <w:ind w:left="0" w:leftChars="0" w:firstLine="482"/>
              <w:jc w:val="both"/>
              <w:rPr>
                <w:b/>
                <w:bCs/>
                <w:color w:val="000000" w:themeColor="text1"/>
                <w:kern w:val="2"/>
                <w:sz w:val="24"/>
                <w:szCs w:val="24"/>
                <w:highlight w:val="none"/>
                <w:lang w:val="zh-CN"/>
                <w14:textFill>
                  <w14:solidFill>
                    <w14:schemeClr w14:val="tx1"/>
                  </w14:solidFill>
                </w14:textFill>
              </w:rPr>
            </w:pPr>
            <w:r>
              <w:rPr>
                <w:rFonts w:hint="eastAsia"/>
                <w:b/>
                <w:bCs/>
                <w:color w:val="000000" w:themeColor="text1"/>
                <w:kern w:val="2"/>
                <w:sz w:val="24"/>
                <w:szCs w:val="24"/>
                <w:highlight w:val="none"/>
                <w:lang w:val="en-US" w:eastAsia="zh-CN"/>
                <w14:textFill>
                  <w14:solidFill>
                    <w14:schemeClr w14:val="tx1"/>
                  </w14:solidFill>
                </w14:textFill>
              </w:rPr>
              <w:t>九、</w:t>
            </w:r>
            <w:r>
              <w:rPr>
                <w:rFonts w:hint="eastAsia"/>
                <w:b/>
                <w:bCs/>
                <w:color w:val="000000" w:themeColor="text1"/>
                <w:kern w:val="2"/>
                <w:sz w:val="24"/>
                <w:szCs w:val="24"/>
                <w:highlight w:val="none"/>
                <w14:textFill>
                  <w14:solidFill>
                    <w14:schemeClr w14:val="tx1"/>
                  </w14:solidFill>
                </w14:textFill>
              </w:rPr>
              <w:t>、</w:t>
            </w:r>
            <w:r>
              <w:rPr>
                <w:b/>
                <w:bCs/>
                <w:color w:val="000000" w:themeColor="text1"/>
                <w:kern w:val="2"/>
                <w:sz w:val="24"/>
                <w:szCs w:val="24"/>
                <w:highlight w:val="none"/>
                <w:lang w:val="zh-CN"/>
                <w14:textFill>
                  <w14:solidFill>
                    <w14:schemeClr w14:val="tx1"/>
                  </w14:solidFill>
                </w14:textFill>
              </w:rPr>
              <w:t>电磁辐射环境影响分析</w:t>
            </w:r>
          </w:p>
          <w:p>
            <w:pPr>
              <w:pageBreakBefore w:val="0"/>
              <w:kinsoku/>
              <w:wordWrap/>
              <w:overflowPunct/>
              <w:topLinePunct w:val="0"/>
              <w:bidi w:val="0"/>
              <w:snapToGrid w:val="0"/>
              <w:spacing w:line="360" w:lineRule="auto"/>
              <w:ind w:firstLine="480" w:firstLineChars="200"/>
              <w:textAlignment w:val="auto"/>
              <w:rPr>
                <w:b/>
                <w:bCs/>
                <w:color w:val="000000" w:themeColor="text1"/>
                <w:sz w:val="24"/>
                <w:highlight w:val="none"/>
                <w14:textFill>
                  <w14:solidFill>
                    <w14:schemeClr w14:val="tx1"/>
                  </w14:solidFill>
                </w14:textFill>
              </w:rPr>
            </w:pPr>
            <w:r>
              <w:rPr>
                <w:rFonts w:hint="eastAsia"/>
                <w:color w:val="000000" w:themeColor="text1"/>
                <w:kern w:val="2"/>
                <w:sz w:val="24"/>
                <w:szCs w:val="24"/>
                <w:highlight w:val="none"/>
                <w:lang w:val="en-US" w:eastAsia="zh-CN"/>
                <w14:textFill>
                  <w14:solidFill>
                    <w14:schemeClr w14:val="tx1"/>
                  </w14:solidFill>
                </w14:textFill>
              </w:rPr>
              <w:t>本</w:t>
            </w:r>
            <w:r>
              <w:rPr>
                <w:color w:val="000000" w:themeColor="text1"/>
                <w:kern w:val="2"/>
                <w:sz w:val="24"/>
                <w:szCs w:val="24"/>
                <w:highlight w:val="none"/>
                <w:lang w:val="zh-CN"/>
                <w14:textFill>
                  <w14:solidFill>
                    <w14:schemeClr w14:val="tx1"/>
                  </w14:solidFill>
                </w14:textFill>
              </w:rPr>
              <w:t>项目不涉及电磁辐射污染。</w:t>
            </w:r>
          </w:p>
          <w:p>
            <w:pPr>
              <w:pStyle w:val="35"/>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pPr>
            <w:r>
              <w:rPr>
                <w:rFonts w:hint="eastAsia" w:cs="Times New Roman"/>
                <w:b/>
                <w:bCs w:val="0"/>
                <w:color w:val="000000" w:themeColor="text1"/>
                <w:kern w:val="2"/>
                <w:sz w:val="24"/>
                <w:szCs w:val="24"/>
                <w:highlight w:val="none"/>
                <w:lang w:val="en-US" w:eastAsia="zh-CN" w:bidi="ar-SA"/>
                <w14:textFill>
                  <w14:solidFill>
                    <w14:schemeClr w14:val="tx1"/>
                  </w14:solidFill>
                </w14:textFill>
              </w:rPr>
              <w:t>十、</w:t>
            </w:r>
            <w:r>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环境管理与监测计划</w:t>
            </w:r>
          </w:p>
          <w:p>
            <w:pPr>
              <w:pageBreakBefore w:val="0"/>
              <w:kinsoku/>
              <w:wordWrap/>
              <w:overflowPunct/>
              <w:topLinePunct w:val="0"/>
              <w:bidi w:val="0"/>
              <w:snapToGrid w:val="0"/>
              <w:spacing w:line="360" w:lineRule="auto"/>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为了贯彻执行有关环境保护法规，及时了解项目及其周围环境质量变化情况，掌握环境保护措施实施的效果，保证该区域良好的环境质量，建设单位进行相应的环境管理。</w:t>
            </w:r>
          </w:p>
          <w:p>
            <w:pPr>
              <w:pageBreakBefore w:val="0"/>
              <w:kinsoku/>
              <w:wordWrap/>
              <w:overflowPunct/>
              <w:topLinePunct w:val="0"/>
              <w:bidi w:val="0"/>
              <w:snapToGrid w:val="0"/>
              <w:spacing w:line="360" w:lineRule="auto"/>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1、</w:t>
            </w:r>
            <w:r>
              <w:rPr>
                <w:b/>
                <w:bCs/>
                <w:color w:val="000000" w:themeColor="text1"/>
                <w:sz w:val="24"/>
                <w:highlight w:val="none"/>
                <w14:textFill>
                  <w14:solidFill>
                    <w14:schemeClr w14:val="tx1"/>
                  </w14:solidFill>
                </w14:textFill>
              </w:rPr>
              <w:t>环境管理要求</w:t>
            </w:r>
          </w:p>
          <w:p>
            <w:pPr>
              <w:pageBreakBefore w:val="0"/>
              <w:kinsoku/>
              <w:wordWrap/>
              <w:overflowPunct/>
              <w:topLinePunct w:val="0"/>
              <w:bidi w:val="0"/>
              <w:snapToGrid w:val="0"/>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w:t>
            </w:r>
            <w:r>
              <w:rPr>
                <w:color w:val="000000" w:themeColor="text1"/>
                <w:sz w:val="24"/>
                <w:highlight w:val="none"/>
                <w14:textFill>
                  <w14:solidFill>
                    <w14:schemeClr w14:val="tx1"/>
                  </w14:solidFill>
                </w14:textFill>
              </w:rPr>
              <w:t>贯彻落实国家相关法律法规及政策，以国家相关法律法规为依据，落实防治环境污染和生态破坏的措施以及环境保护设施投资概算，及时当地环境保护部门汇报各阶段的情况。</w:t>
            </w:r>
          </w:p>
          <w:p>
            <w:pPr>
              <w:pageBreakBefore w:val="0"/>
              <w:kinsoku/>
              <w:wordWrap/>
              <w:overflowPunct/>
              <w:topLinePunct w:val="0"/>
              <w:bidi w:val="0"/>
              <w:snapToGrid w:val="0"/>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w:t>
            </w:r>
            <w:r>
              <w:rPr>
                <w:color w:val="000000" w:themeColor="text1"/>
                <w:sz w:val="24"/>
                <w:highlight w:val="none"/>
                <w14:textFill>
                  <w14:solidFill>
                    <w14:schemeClr w14:val="tx1"/>
                  </w14:solidFill>
                </w14:textFill>
              </w:rPr>
              <w:t>项目的建设遵循“三同时”制度，即项目环保措施与主体工程同时设计、同时施工、同时投产使用。</w:t>
            </w:r>
          </w:p>
          <w:p>
            <w:pPr>
              <w:pageBreakBefore w:val="0"/>
              <w:kinsoku/>
              <w:wordWrap/>
              <w:overflowPunct/>
              <w:topLinePunct w:val="0"/>
              <w:bidi w:val="0"/>
              <w:snapToGrid w:val="0"/>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③</w:t>
            </w:r>
            <w:r>
              <w:rPr>
                <w:color w:val="000000" w:themeColor="text1"/>
                <w:sz w:val="24"/>
                <w:highlight w:val="none"/>
                <w14:textFill>
                  <w14:solidFill>
                    <w14:schemeClr w14:val="tx1"/>
                  </w14:solidFill>
                </w14:textFill>
              </w:rPr>
              <w:t>排污许可制度衔接。建设单位应按照《排污许可管理条例》、《固定污染源排污许可分类管理名录（2019年版）》等排污许可证相关管理要求，在规定时限内</w:t>
            </w:r>
            <w:r>
              <w:rPr>
                <w:rFonts w:hint="eastAsia"/>
                <w:color w:val="000000" w:themeColor="text1"/>
                <w:sz w:val="24"/>
                <w:highlight w:val="none"/>
                <w:lang w:val="en-US" w:eastAsia="zh-CN"/>
                <w14:textFill>
                  <w14:solidFill>
                    <w14:schemeClr w14:val="tx1"/>
                  </w14:solidFill>
                </w14:textFill>
              </w:rPr>
              <w:t>重新申请</w:t>
            </w:r>
            <w:r>
              <w:rPr>
                <w:color w:val="000000" w:themeColor="text1"/>
                <w:sz w:val="24"/>
                <w:highlight w:val="none"/>
                <w14:textFill>
                  <w14:solidFill>
                    <w14:schemeClr w14:val="tx1"/>
                  </w14:solidFill>
                </w14:textFill>
              </w:rPr>
              <w:t>。</w:t>
            </w:r>
          </w:p>
          <w:p>
            <w:pPr>
              <w:pageBreakBefore w:val="0"/>
              <w:kinsoku/>
              <w:wordWrap/>
              <w:overflowPunct/>
              <w:topLinePunct w:val="0"/>
              <w:bidi w:val="0"/>
              <w:snapToGrid w:val="0"/>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④</w:t>
            </w:r>
            <w:r>
              <w:rPr>
                <w:color w:val="000000" w:themeColor="text1"/>
                <w:sz w:val="24"/>
                <w:highlight w:val="none"/>
                <w14:textFill>
                  <w14:solidFill>
                    <w14:schemeClr w14:val="tx1"/>
                  </w14:solidFill>
                </w14:textFill>
              </w:rPr>
              <w:t>建设项目竣工后，建设单位或者其委托的技术机构应当依照国家有关法律法规。建设项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p>
            <w:pPr>
              <w:pageBreakBefore w:val="0"/>
              <w:widowControl w:val="0"/>
              <w:kinsoku/>
              <w:wordWrap/>
              <w:overflowPunct/>
              <w:topLinePunct w:val="0"/>
              <w:bidi w:val="0"/>
              <w:adjustRightInd/>
              <w:snapToGrid w:val="0"/>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⑤</w:t>
            </w:r>
            <w:r>
              <w:rPr>
                <w:color w:val="000000" w:themeColor="text1"/>
                <w:sz w:val="24"/>
                <w:highlight w:val="none"/>
                <w14:textFill>
                  <w14:solidFill>
                    <w14:schemeClr w14:val="tx1"/>
                  </w14:solidFill>
                </w14:textFill>
              </w:rPr>
              <w:t>验收报告编制完成后，建设单位应组织成立验收工作组。验收工作组由建设单位、设计单位、施工单位、环境影响报告表编制机构、验收报告编制机构等单位代表和专业技术专家组成。建设单位应当对验收工作组提出的问题进行整改，合格后方可出具验收合格的意见。建设项目配套建设的环境保护设施经验收合格后，其主体工程才可以投入生产或者使用，并纳入环境保护管理部门的管理，对项目各阶段工作进行监督、检查。</w:t>
            </w:r>
          </w:p>
          <w:p>
            <w:pPr>
              <w:keepNext/>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outlineLvl w:val="2"/>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建设单位按照《环境保护信息公开办法》进行相关信息的公开。</w:t>
            </w:r>
          </w:p>
          <w:p>
            <w:pPr>
              <w:pageBreakBefore w:val="0"/>
              <w:widowControl w:val="0"/>
              <w:kinsoku/>
              <w:wordWrap/>
              <w:overflowPunct/>
              <w:topLinePunct w:val="0"/>
              <w:bidi w:val="0"/>
              <w:adjustRightInd/>
              <w:snapToGrid w:val="0"/>
              <w:spacing w:line="360" w:lineRule="auto"/>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2、</w:t>
            </w:r>
            <w:r>
              <w:rPr>
                <w:b/>
                <w:bCs/>
                <w:color w:val="000000" w:themeColor="text1"/>
                <w:sz w:val="24"/>
                <w:highlight w:val="none"/>
                <w14:textFill>
                  <w14:solidFill>
                    <w14:schemeClr w14:val="tx1"/>
                  </w14:solidFill>
                </w14:textFill>
              </w:rPr>
              <w:t>排污口规范化管理</w:t>
            </w:r>
          </w:p>
          <w:p>
            <w:pPr>
              <w:pageBreakBefore w:val="0"/>
              <w:widowControl w:val="0"/>
              <w:kinsoku/>
              <w:wordWrap/>
              <w:overflowPunct/>
              <w:topLinePunct w:val="0"/>
              <w:bidi w:val="0"/>
              <w:adjustRightInd/>
              <w:snapToGrid w:val="0"/>
              <w:spacing w:line="360" w:lineRule="auto"/>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对排放口规范化整治的统一要求做到：首先排污口要设立标示管理，按照国家标准规定设立标志牌，根据排放口污染物的排放特点，设置提示性或警告性环境保护图形标志牌。一般污染源设置提示性标志牌。建设项目的污染源需设立提示性标志牌。其次废气排放口应按照国家有关规定，规范排气筒数量，高度。废水排水口应规范化，使排水口清晰可见，便于采样、计量，排水口旁设置环保图形标志牌。此外按照《固定污染源监测质量保证与质量控制技术规范（试行）》（HJ/T373－2007）和《固定污染源排气中颗粒物测定与气态污染物采样方法》（GBT16157-1996），对现场监测条件按规范要求搭设采样监测平台，废气治理措施治理前、后预留监测孔，便于环境管理及监测部门的日常监督、检查及监测。</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对照污染源排放口规范化整治管理相关办法要求，</w:t>
            </w:r>
            <w:r>
              <w:rPr>
                <w:rFonts w:hint="eastAsia"/>
                <w:color w:val="000000" w:themeColor="text1"/>
                <w:sz w:val="24"/>
                <w:highlight w:val="none"/>
                <w:lang w:val="en-US" w:eastAsia="zh-CN"/>
                <w14:textFill>
                  <w14:solidFill>
                    <w14:schemeClr w14:val="tx1"/>
                  </w14:solidFill>
                </w14:textFill>
              </w:rPr>
              <w:t>本项目</w:t>
            </w:r>
            <w:r>
              <w:rPr>
                <w:color w:val="000000" w:themeColor="text1"/>
                <w:sz w:val="24"/>
                <w:highlight w:val="none"/>
                <w14:textFill>
                  <w14:solidFill>
                    <w14:schemeClr w14:val="tx1"/>
                  </w14:solidFill>
                </w14:textFill>
              </w:rPr>
              <w:t>废气排气筒、固废暂存场所必须进行规范化设置。对废气排气筒按规范要求搭设采样监测平台，预留监测孔，便于环境管理及监测部门的日常监督、检查及监测。</w:t>
            </w:r>
          </w:p>
          <w:p>
            <w:pPr>
              <w:spacing w:line="360" w:lineRule="auto"/>
              <w:ind w:firstLine="480" w:firstLineChars="200"/>
              <w:rPr>
                <w:color w:val="000000" w:themeColor="text1"/>
                <w:kern w:val="0"/>
                <w:sz w:val="24"/>
                <w:highlight w:val="none"/>
                <w:lang w:bidi="ar"/>
                <w14:textFill>
                  <w14:solidFill>
                    <w14:schemeClr w14:val="tx1"/>
                  </w14:solidFill>
                </w14:textFill>
              </w:rPr>
            </w:pPr>
            <w:r>
              <w:rPr>
                <w:color w:val="000000" w:themeColor="text1"/>
                <w:kern w:val="0"/>
                <w:sz w:val="24"/>
                <w:highlight w:val="none"/>
                <w:lang w:bidi="ar"/>
                <w14:textFill>
                  <w14:solidFill>
                    <w14:schemeClr w14:val="tx1"/>
                  </w14:solidFill>
                </w14:textFill>
              </w:rPr>
              <w:t>在废气、噪声及固体废物排放点，设置明显标志牌，排污口标志牌的图形标志、图形颜色、外观质量以及字体等要求应符合《固定污染源废气监测点位设置技术规范》（DB37/T 3535-2019）、《环境保护图形标志》（GB 15562.1-1995）及修改单等要求。</w:t>
            </w:r>
          </w:p>
          <w:p>
            <w:pPr>
              <w:adjustRightInd w:val="0"/>
              <w:snapToGrid w:val="0"/>
              <w:spacing w:line="360" w:lineRule="auto"/>
              <w:jc w:val="center"/>
              <w:rPr>
                <w:b/>
                <w:bCs/>
                <w:color w:val="000000" w:themeColor="text1"/>
                <w:sz w:val="24"/>
                <w:szCs w:val="20"/>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表4-</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27  </w:t>
            </w:r>
            <w:r>
              <w:rPr>
                <w:b/>
                <w:bCs/>
                <w:color w:val="000000" w:themeColor="text1"/>
                <w:sz w:val="24"/>
                <w:szCs w:val="20"/>
                <w:highlight w:val="none"/>
                <w14:textFill>
                  <w14:solidFill>
                    <w14:schemeClr w14:val="tx1"/>
                  </w14:solidFill>
                </w14:textFill>
              </w:rPr>
              <w:t>环境保护图形标志一览表</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1" w:type="dxa"/>
                <w:bottom w:w="0" w:type="dxa"/>
                <w:right w:w="51" w:type="dxa"/>
              </w:tblCellMar>
            </w:tblPr>
            <w:tblGrid>
              <w:gridCol w:w="687"/>
              <w:gridCol w:w="3746"/>
              <w:gridCol w:w="1748"/>
              <w:gridCol w:w="269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388" w:type="pct"/>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序号</w:t>
                  </w:r>
                </w:p>
              </w:tc>
              <w:tc>
                <w:tcPr>
                  <w:tcW w:w="2111" w:type="pct"/>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标志牌样式</w:t>
                  </w:r>
                </w:p>
              </w:tc>
              <w:tc>
                <w:tcPr>
                  <w:tcW w:w="985" w:type="pct"/>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名称</w:t>
                  </w:r>
                </w:p>
              </w:tc>
              <w:tc>
                <w:tcPr>
                  <w:tcW w:w="1516" w:type="pct"/>
                  <w:vAlign w:val="center"/>
                </w:tcPr>
                <w:p>
                  <w:pP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功能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388" w:type="pct"/>
                  <w:vAlign w:val="center"/>
                </w:tcPr>
                <w:p>
                  <w:pPr>
                    <w:adjustRightInd w:val="0"/>
                    <w:snapToGrid w:val="0"/>
                    <w:jc w:val="center"/>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1</w:t>
                  </w:r>
                </w:p>
              </w:tc>
              <w:tc>
                <w:tcPr>
                  <w:tcW w:w="2111" w:type="pct"/>
                  <w:vAlign w:val="center"/>
                </w:tcPr>
                <w:p>
                  <w:pPr>
                    <w:adjustRightInd w:val="0"/>
                    <w:snapToGrid w:val="0"/>
                    <w:jc w:val="center"/>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drawing>
                      <wp:inline distT="0" distB="0" distL="0" distR="0">
                        <wp:extent cx="1495425" cy="990600"/>
                        <wp:effectExtent l="0" t="0" r="9525" b="0"/>
                        <wp:docPr id="21" name="图片 21" descr="微信图片_202303081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3081022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95425" cy="990600"/>
                                </a:xfrm>
                                <a:prstGeom prst="rect">
                                  <a:avLst/>
                                </a:prstGeom>
                                <a:noFill/>
                                <a:ln>
                                  <a:noFill/>
                                </a:ln>
                              </pic:spPr>
                            </pic:pic>
                          </a:graphicData>
                        </a:graphic>
                      </wp:inline>
                    </w:drawing>
                  </w:r>
                </w:p>
              </w:tc>
              <w:tc>
                <w:tcPr>
                  <w:tcW w:w="985"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废气排放口</w:t>
                  </w:r>
                </w:p>
              </w:tc>
              <w:tc>
                <w:tcPr>
                  <w:tcW w:w="1516"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表示废气向大气环境排放</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388" w:type="pct"/>
                  <w:vAlign w:val="center"/>
                </w:tcPr>
                <w:p>
                  <w:pPr>
                    <w:adjustRightInd w:val="0"/>
                    <w:snapToGrid w:val="0"/>
                    <w:jc w:val="center"/>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2</w:t>
                  </w:r>
                </w:p>
              </w:tc>
              <w:tc>
                <w:tcPr>
                  <w:tcW w:w="2111" w:type="pct"/>
                  <w:vAlign w:val="center"/>
                </w:tcPr>
                <w:p>
                  <w:pPr>
                    <w:adjustRightInd w:val="0"/>
                    <w:snapToGrid w:val="0"/>
                    <w:jc w:val="center"/>
                    <w:rPr>
                      <w:bCs/>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1574165" cy="989965"/>
                        <wp:effectExtent l="0" t="0" r="698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1574571" cy="990000"/>
                                </a:xfrm>
                                <a:prstGeom prst="rect">
                                  <a:avLst/>
                                </a:prstGeom>
                              </pic:spPr>
                            </pic:pic>
                          </a:graphicData>
                        </a:graphic>
                      </wp:inline>
                    </w:drawing>
                  </w:r>
                </w:p>
              </w:tc>
              <w:tc>
                <w:tcPr>
                  <w:tcW w:w="985"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废水排放口</w:t>
                  </w:r>
                </w:p>
              </w:tc>
              <w:tc>
                <w:tcPr>
                  <w:tcW w:w="1516"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表示废水向外环境排放</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388" w:type="pct"/>
                  <w:vMerge w:val="restart"/>
                  <w:vAlign w:val="center"/>
                </w:tcPr>
                <w:p>
                  <w:pPr>
                    <w:adjustRightInd w:val="0"/>
                    <w:snapToGrid w:val="0"/>
                    <w:jc w:val="center"/>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3</w:t>
                  </w:r>
                </w:p>
              </w:tc>
              <w:tc>
                <w:tcPr>
                  <w:tcW w:w="2111" w:type="pct"/>
                  <w:vAlign w:val="center"/>
                </w:tcPr>
                <w:p>
                  <w:pPr>
                    <w:adjustRightInd w:val="0"/>
                    <w:snapToGrid w:val="0"/>
                    <w:jc w:val="center"/>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drawing>
                      <wp:inline distT="0" distB="0" distL="0" distR="0">
                        <wp:extent cx="1514475" cy="990600"/>
                        <wp:effectExtent l="0" t="0" r="9525" b="0"/>
                        <wp:docPr id="20" name="图片 20" descr="微信图片_20230308102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030810221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514475" cy="990600"/>
                                </a:xfrm>
                                <a:prstGeom prst="rect">
                                  <a:avLst/>
                                </a:prstGeom>
                                <a:noFill/>
                                <a:ln>
                                  <a:noFill/>
                                </a:ln>
                              </pic:spPr>
                            </pic:pic>
                          </a:graphicData>
                        </a:graphic>
                      </wp:inline>
                    </w:drawing>
                  </w:r>
                </w:p>
              </w:tc>
              <w:tc>
                <w:tcPr>
                  <w:tcW w:w="985"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一般固体废物</w:t>
                  </w:r>
                </w:p>
              </w:tc>
              <w:tc>
                <w:tcPr>
                  <w:tcW w:w="1516"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表示一般固体废物贮存场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388" w:type="pct"/>
                  <w:vMerge w:val="continue"/>
                  <w:vAlign w:val="center"/>
                </w:tcPr>
                <w:p>
                  <w:pPr>
                    <w:adjustRightInd w:val="0"/>
                    <w:snapToGrid w:val="0"/>
                    <w:jc w:val="center"/>
                    <w:rPr>
                      <w:bCs/>
                      <w:color w:val="000000" w:themeColor="text1"/>
                      <w:sz w:val="24"/>
                      <w:highlight w:val="none"/>
                      <w14:textFill>
                        <w14:solidFill>
                          <w14:schemeClr w14:val="tx1"/>
                        </w14:solidFill>
                      </w14:textFill>
                    </w:rPr>
                  </w:pPr>
                </w:p>
              </w:tc>
              <w:tc>
                <w:tcPr>
                  <w:tcW w:w="2111" w:type="pct"/>
                  <w:vAlign w:val="center"/>
                </w:tcPr>
                <w:p>
                  <w:pPr>
                    <w:adjustRightInd w:val="0"/>
                    <w:snapToGrid w:val="0"/>
                    <w:jc w:val="center"/>
                    <w:rPr>
                      <w:bCs/>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drawing>
                      <wp:inline distT="0" distB="0" distL="0" distR="0">
                        <wp:extent cx="1571625" cy="10382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71625" cy="1038225"/>
                                </a:xfrm>
                                <a:prstGeom prst="rect">
                                  <a:avLst/>
                                </a:prstGeom>
                                <a:noFill/>
                                <a:ln>
                                  <a:noFill/>
                                </a:ln>
                              </pic:spPr>
                            </pic:pic>
                          </a:graphicData>
                        </a:graphic>
                      </wp:inline>
                    </w:drawing>
                  </w:r>
                </w:p>
              </w:tc>
              <w:tc>
                <w:tcPr>
                  <w:tcW w:w="985"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危险废物</w:t>
                  </w:r>
                </w:p>
              </w:tc>
              <w:tc>
                <w:tcPr>
                  <w:tcW w:w="1516"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表示危险废物贮存场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388"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4</w:t>
                  </w:r>
                </w:p>
              </w:tc>
              <w:tc>
                <w:tcPr>
                  <w:tcW w:w="2111" w:type="pct"/>
                  <w:vAlign w:val="center"/>
                </w:tcPr>
                <w:p>
                  <w:pPr>
                    <w:adjustRightInd w:val="0"/>
                    <w:snapToGrid w:val="0"/>
                    <w:jc w:val="center"/>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drawing>
                      <wp:inline distT="0" distB="0" distL="0" distR="0">
                        <wp:extent cx="1609725" cy="1019175"/>
                        <wp:effectExtent l="0" t="0" r="9525" b="9525"/>
                        <wp:docPr id="18" name="图片 18" descr="微信图片_20230308102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30810221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09725" cy="1019175"/>
                                </a:xfrm>
                                <a:prstGeom prst="rect">
                                  <a:avLst/>
                                </a:prstGeom>
                                <a:noFill/>
                                <a:ln>
                                  <a:noFill/>
                                </a:ln>
                              </pic:spPr>
                            </pic:pic>
                          </a:graphicData>
                        </a:graphic>
                      </wp:inline>
                    </w:drawing>
                  </w:r>
                </w:p>
              </w:tc>
              <w:tc>
                <w:tcPr>
                  <w:tcW w:w="985"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车间噪声源</w:t>
                  </w:r>
                </w:p>
              </w:tc>
              <w:tc>
                <w:tcPr>
                  <w:tcW w:w="1516"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表示噪声向外环境排放</w:t>
                  </w:r>
                </w:p>
              </w:tc>
            </w:tr>
          </w:tbl>
          <w:p>
            <w:pPr>
              <w:pageBreakBefore w:val="0"/>
              <w:kinsoku/>
              <w:wordWrap/>
              <w:overflowPunct/>
              <w:topLinePunct w:val="0"/>
              <w:bidi w:val="0"/>
              <w:snapToGrid w:val="0"/>
              <w:spacing w:line="360" w:lineRule="auto"/>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3、</w:t>
            </w:r>
            <w:r>
              <w:rPr>
                <w:b/>
                <w:bCs/>
                <w:color w:val="000000" w:themeColor="text1"/>
                <w:sz w:val="24"/>
                <w:highlight w:val="none"/>
                <w14:textFill>
                  <w14:solidFill>
                    <w14:schemeClr w14:val="tx1"/>
                  </w14:solidFill>
                </w14:textFill>
              </w:rPr>
              <w:t>环境监测计划</w:t>
            </w:r>
          </w:p>
          <w:p>
            <w:pPr>
              <w:keepNext/>
              <w:keepLines/>
              <w:pageBreakBefore w:val="0"/>
              <w:kinsoku/>
              <w:wordWrap/>
              <w:overflowPunct/>
              <w:topLinePunct w:val="0"/>
              <w:autoSpaceDE w:val="0"/>
              <w:autoSpaceDN w:val="0"/>
              <w:bidi w:val="0"/>
              <w:snapToGrid w:val="0"/>
              <w:spacing w:line="360" w:lineRule="auto"/>
              <w:ind w:firstLine="480" w:firstLineChars="200"/>
              <w:jc w:val="left"/>
              <w:textAlignment w:val="auto"/>
              <w:outlineLvl w:val="2"/>
              <w:rPr>
                <w:rFonts w:hint="eastAsia"/>
                <w:bCs/>
                <w:snapToGrid w:val="0"/>
                <w:color w:val="000000" w:themeColor="text1"/>
                <w:kern w:val="0"/>
                <w:sz w:val="24"/>
                <w:highlight w:val="none"/>
                <w14:textFill>
                  <w14:solidFill>
                    <w14:schemeClr w14:val="tx1"/>
                  </w14:solidFill>
                </w14:textFill>
              </w:rPr>
            </w:pPr>
            <w:r>
              <w:rPr>
                <w:rFonts w:hint="eastAsia"/>
                <w:bCs/>
                <w:snapToGrid w:val="0"/>
                <w:color w:val="000000" w:themeColor="text1"/>
                <w:kern w:val="0"/>
                <w:sz w:val="24"/>
                <w:highlight w:val="none"/>
                <w14:textFill>
                  <w14:solidFill>
                    <w14:schemeClr w14:val="tx1"/>
                  </w14:solidFill>
                </w14:textFill>
              </w:rPr>
              <w:t>根据《排污单位自行监测技术指南 总则》（HJ819-2017）</w:t>
            </w:r>
            <w:r>
              <w:rPr>
                <w:rFonts w:hint="eastAsia"/>
                <w:bCs/>
                <w:snapToGrid w:val="0"/>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 xml:space="preserve">《排污许可证申请与核发技术规范 </w:t>
            </w:r>
            <w:r>
              <w:rPr>
                <w:rFonts w:hint="eastAsia" w:cs="Times New Roman"/>
                <w:color w:val="000000" w:themeColor="text1"/>
                <w:sz w:val="24"/>
                <w:szCs w:val="24"/>
                <w:highlight w:val="none"/>
                <w:lang w:val="en-US" w:eastAsia="zh-CN"/>
                <w14:textFill>
                  <w14:solidFill>
                    <w14:schemeClr w14:val="tx1"/>
                  </w14:solidFill>
                </w14:textFill>
              </w:rPr>
              <w:t>总则</w:t>
            </w:r>
            <w:r>
              <w:rPr>
                <w:rFonts w:hint="default" w:ascii="Times New Roman" w:hAnsi="Times New Roman" w:cs="Times New Roman"/>
                <w:color w:val="000000" w:themeColor="text1"/>
                <w:sz w:val="24"/>
                <w:szCs w:val="24"/>
                <w:highlight w:val="none"/>
                <w14:textFill>
                  <w14:solidFill>
                    <w14:schemeClr w14:val="tx1"/>
                  </w14:solidFill>
                </w14:textFill>
              </w:rPr>
              <w:t>》（HJ</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eastAsia" w:cs="Times New Roman"/>
                <w:color w:val="000000" w:themeColor="text1"/>
                <w:sz w:val="24"/>
                <w:szCs w:val="24"/>
                <w:highlight w:val="none"/>
                <w:lang w:val="en-US" w:eastAsia="zh-CN"/>
                <w14:textFill>
                  <w14:solidFill>
                    <w14:schemeClr w14:val="tx1"/>
                  </w14:solidFill>
                </w14:textFill>
              </w:rPr>
              <w:t>42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-2018</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bCs/>
                <w:snapToGrid w:val="0"/>
                <w:color w:val="000000" w:themeColor="text1"/>
                <w:kern w:val="0"/>
                <w:sz w:val="24"/>
                <w:highlight w:val="none"/>
                <w14:textFill>
                  <w14:solidFill>
                    <w14:schemeClr w14:val="tx1"/>
                  </w14:solidFill>
                </w14:textFill>
              </w:rPr>
              <w:t>要求制定监测计划。运营期环境监测的主要目的是监控排污单位污染物排放及污染治理设施运行效果，防止污染事故发生，为环境管理提供依据。</w:t>
            </w:r>
          </w:p>
          <w:p>
            <w:pPr>
              <w:keepNext/>
              <w:keepLines/>
              <w:pageBreakBefore w:val="0"/>
              <w:kinsoku/>
              <w:wordWrap/>
              <w:overflowPunct/>
              <w:topLinePunct w:val="0"/>
              <w:autoSpaceDE w:val="0"/>
              <w:autoSpaceDN w:val="0"/>
              <w:bidi w:val="0"/>
              <w:snapToGrid w:val="0"/>
              <w:spacing w:line="360" w:lineRule="auto"/>
              <w:ind w:firstLine="480" w:firstLineChars="200"/>
              <w:jc w:val="left"/>
              <w:textAlignment w:val="auto"/>
              <w:outlineLvl w:val="2"/>
              <w:rPr>
                <w:rFonts w:hint="eastAsia"/>
                <w:bCs/>
                <w:snapToGrid w:val="0"/>
                <w:color w:val="000000" w:themeColor="text1"/>
                <w:kern w:val="0"/>
                <w:sz w:val="24"/>
                <w:highlight w:val="none"/>
                <w14:textFill>
                  <w14:solidFill>
                    <w14:schemeClr w14:val="tx1"/>
                  </w14:solidFill>
                </w14:textFill>
              </w:rPr>
            </w:pPr>
            <w:r>
              <w:rPr>
                <w:rFonts w:hint="eastAsia"/>
                <w:bCs/>
                <w:snapToGrid w:val="0"/>
                <w:color w:val="000000" w:themeColor="text1"/>
                <w:kern w:val="0"/>
                <w:sz w:val="24"/>
                <w:highlight w:val="none"/>
                <w14:textFill>
                  <w14:solidFill>
                    <w14:schemeClr w14:val="tx1"/>
                  </w14:solidFill>
                </w14:textFill>
              </w:rPr>
              <w:t>监测的项目可委托有资质的监测单位进行监测。监测方法按环境监测技术规范进行，环境检测机构应将检测结果记录整理存档，并按规定编制表格或报告，监测统计报表根据国家和省、市生态环境局有关规定进行。本项目的监测计划见表</w:t>
            </w:r>
            <w:r>
              <w:rPr>
                <w:rFonts w:hint="eastAsia"/>
                <w:bCs/>
                <w:snapToGrid w:val="0"/>
                <w:color w:val="000000" w:themeColor="text1"/>
                <w:kern w:val="0"/>
                <w:sz w:val="24"/>
                <w:highlight w:val="none"/>
                <w:lang w:val="en-US" w:eastAsia="zh-CN"/>
                <w14:textFill>
                  <w14:solidFill>
                    <w14:schemeClr w14:val="tx1"/>
                  </w14:solidFill>
                </w14:textFill>
              </w:rPr>
              <w:t>4-7、表4-15、表4-19</w:t>
            </w:r>
            <w:r>
              <w:rPr>
                <w:rFonts w:hint="eastAsia"/>
                <w:bCs/>
                <w:snapToGrid w:val="0"/>
                <w:color w:val="000000" w:themeColor="text1"/>
                <w:kern w:val="0"/>
                <w:sz w:val="24"/>
                <w:highlight w:val="none"/>
                <w14:textFill>
                  <w14:solidFill>
                    <w14:schemeClr w14:val="tx1"/>
                  </w14:solidFill>
                </w14:textFill>
              </w:rPr>
              <w:t>。</w:t>
            </w:r>
          </w:p>
          <w:p>
            <w:pPr>
              <w:keepNext/>
              <w:keepLines/>
              <w:pageBreakBefore w:val="0"/>
              <w:kinsoku/>
              <w:wordWrap/>
              <w:overflowPunct/>
              <w:topLinePunct w:val="0"/>
              <w:autoSpaceDE w:val="0"/>
              <w:autoSpaceDN w:val="0"/>
              <w:bidi w:val="0"/>
              <w:snapToGrid w:val="0"/>
              <w:spacing w:line="360" w:lineRule="auto"/>
              <w:ind w:firstLine="480" w:firstLineChars="200"/>
              <w:jc w:val="left"/>
              <w:textAlignment w:val="auto"/>
              <w:outlineLvl w:val="2"/>
              <w:rPr>
                <w:color w:val="000000" w:themeColor="text1"/>
                <w:kern w:val="0"/>
                <w:sz w:val="24"/>
                <w:highlight w:val="none"/>
                <w:lang w:bidi="ar"/>
                <w14:textFill>
                  <w14:solidFill>
                    <w14:schemeClr w14:val="tx1"/>
                  </w14:solidFill>
                </w14:textFill>
              </w:rPr>
            </w:pPr>
            <w:r>
              <w:rPr>
                <w:rFonts w:hint="eastAsia"/>
                <w:bCs/>
                <w:snapToGrid w:val="0"/>
                <w:color w:val="000000" w:themeColor="text1"/>
                <w:kern w:val="0"/>
                <w:sz w:val="24"/>
                <w:highlight w:val="none"/>
                <w14:textFill>
                  <w14:solidFill>
                    <w14:schemeClr w14:val="tx1"/>
                  </w14:solidFill>
                </w14:textFill>
              </w:rPr>
              <w:t>为保证监测工作的顺利实施，必须根据国家规定对各污染源监测点进行规范化设计和施工，以保证采样的方便、安全和准确。污染源监测工作结合当地环境监测站的监测计划进行。</w:t>
            </w:r>
          </w:p>
          <w:p>
            <w:pPr>
              <w:pageBreakBefore w:val="0"/>
              <w:kinsoku/>
              <w:wordWrap/>
              <w:overflowPunct/>
              <w:topLinePunct w:val="0"/>
              <w:bidi w:val="0"/>
              <w:snapToGrid w:val="0"/>
              <w:spacing w:line="360" w:lineRule="auto"/>
              <w:ind w:firstLine="482" w:firstLineChars="200"/>
              <w:textAlignment w:val="auto"/>
              <w:rPr>
                <w:b/>
                <w:color w:val="000000" w:themeColor="text1"/>
                <w:kern w:val="0"/>
                <w:sz w:val="24"/>
                <w:szCs w:val="22"/>
                <w:highlight w:val="none"/>
                <w14:textFill>
                  <w14:solidFill>
                    <w14:schemeClr w14:val="tx1"/>
                  </w14:solidFill>
                </w14:textFill>
              </w:rPr>
            </w:pPr>
            <w:r>
              <w:rPr>
                <w:rFonts w:hint="eastAsia"/>
                <w:b/>
                <w:color w:val="000000" w:themeColor="text1"/>
                <w:kern w:val="0"/>
                <w:sz w:val="24"/>
                <w:szCs w:val="22"/>
                <w:highlight w:val="none"/>
                <w:lang w:val="en-US" w:eastAsia="zh-CN"/>
                <w14:textFill>
                  <w14:solidFill>
                    <w14:schemeClr w14:val="tx1"/>
                  </w14:solidFill>
                </w14:textFill>
              </w:rPr>
              <w:t>十一</w:t>
            </w:r>
            <w:r>
              <w:rPr>
                <w:b/>
                <w:color w:val="000000" w:themeColor="text1"/>
                <w:kern w:val="0"/>
                <w:sz w:val="24"/>
                <w:szCs w:val="22"/>
                <w:highlight w:val="none"/>
                <w14:textFill>
                  <w14:solidFill>
                    <w14:schemeClr w14:val="tx1"/>
                  </w14:solidFill>
                </w14:textFill>
              </w:rPr>
              <w:t>、排污许可</w:t>
            </w:r>
            <w:r>
              <w:rPr>
                <w:rFonts w:hint="eastAsia"/>
                <w:b/>
                <w:color w:val="000000" w:themeColor="text1"/>
                <w:kern w:val="0"/>
                <w:sz w:val="24"/>
                <w:szCs w:val="22"/>
                <w:highlight w:val="none"/>
                <w:lang w:val="en-US" w:eastAsia="zh-CN"/>
                <w14:textFill>
                  <w14:solidFill>
                    <w14:schemeClr w14:val="tx1"/>
                  </w14:solidFill>
                </w14:textFill>
              </w:rPr>
              <w:t>制度</w:t>
            </w:r>
          </w:p>
          <w:p>
            <w:pPr>
              <w:spacing w:line="360" w:lineRule="auto"/>
              <w:ind w:firstLine="480" w:firstLineChars="200"/>
              <w:rPr>
                <w:rFonts w:hint="eastAsia"/>
                <w:color w:val="000000" w:themeColor="text1"/>
                <w:sz w:val="24"/>
                <w:szCs w:val="20"/>
                <w:highlight w:val="none"/>
                <w14:textFill>
                  <w14:solidFill>
                    <w14:schemeClr w14:val="tx1"/>
                  </w14:solidFill>
                </w14:textFill>
              </w:rPr>
            </w:pPr>
            <w:r>
              <w:rPr>
                <w:rFonts w:hint="eastAsia"/>
                <w:color w:val="000000" w:themeColor="text1"/>
                <w:sz w:val="24"/>
                <w:szCs w:val="20"/>
                <w:highlight w:val="none"/>
                <w14:textFill>
                  <w14:solidFill>
                    <w14:schemeClr w14:val="tx1"/>
                  </w14:solidFill>
                </w14:textFill>
              </w:rPr>
              <w:t>根据生态环境部部令第7号《排污许可管理办法（试行）（2019修订）》、国令第736号《排污许可管理条例》的有关规定，对纳入《固定污染源分类管理名录（2019 版）》的企事业单位和其他生产经营者（以下简称“排污单位”）应当按照规定申请并取得排污许可证，未纳入《固定污染源分类管理名录（2019版）》的排污单位，暂不需申领排污许可证。</w:t>
            </w:r>
          </w:p>
          <w:p>
            <w:pPr>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0"/>
                <w:highlight w:val="none"/>
                <w14:textFill>
                  <w14:solidFill>
                    <w14:schemeClr w14:val="tx1"/>
                  </w14:solidFill>
                </w14:textFill>
              </w:rPr>
              <w:t>经查阅《固定污染源排污许可分类管理名录（2019年版）》（生态环境部部令第11号），本项目为实验类型，非工业生产型项目，属于其他行业，项目也不涉及需重点管理、简化管理或登记管理的通用工序，属于“名录”中“第八条本名录未作规定的排污单位，确需纳入排污许可管理的，其排污许可管理类别由省级生态环境主管部门提出建议，报生态环境部确定”</w:t>
            </w:r>
            <w:r>
              <w:rPr>
                <w:rFonts w:hint="eastAsia"/>
                <w:color w:val="000000" w:themeColor="text1"/>
                <w:sz w:val="24"/>
                <w:szCs w:val="20"/>
                <w:highlight w:val="none"/>
                <w:lang w:eastAsia="zh-CN"/>
                <w14:textFill>
                  <w14:solidFill>
                    <w14:schemeClr w14:val="tx1"/>
                  </w14:solidFill>
                </w14:textFill>
              </w:rPr>
              <w:t>。</w:t>
            </w:r>
            <w:r>
              <w:rPr>
                <w:rFonts w:hint="eastAsia"/>
                <w:color w:val="000000" w:themeColor="text1"/>
                <w:sz w:val="24"/>
                <w:szCs w:val="20"/>
                <w:highlight w:val="none"/>
                <w:lang w:val="en-US" w:eastAsia="zh-CN"/>
                <w14:textFill>
                  <w14:solidFill>
                    <w14:schemeClr w14:val="tx1"/>
                  </w14:solidFill>
                </w14:textFill>
              </w:rPr>
              <w:t>本项目建设的实验室为企业内部实验室，现有排污许可证是否需要变更或重新申请，建议根据当地生态环境主管部门的意见开展相关工作。</w:t>
            </w:r>
          </w:p>
        </w:tc>
      </w:tr>
    </w:tbl>
    <w:p>
      <w:pPr>
        <w:pStyle w:val="32"/>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2"/>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24"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24"/>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6"/>
        <w:gridCol w:w="585"/>
        <w:gridCol w:w="691"/>
        <w:gridCol w:w="1397"/>
        <w:gridCol w:w="1745"/>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396" w:type="dxa"/>
            <w:tcBorders>
              <w:tl2br w:val="single" w:color="auto" w:sz="4" w:space="0"/>
            </w:tcBorders>
            <w:noWrap w:val="0"/>
            <w:vAlign w:val="top"/>
          </w:tcPr>
          <w:p>
            <w:pPr>
              <w:adjustRightInd w:val="0"/>
              <w:snapToGrid w:val="0"/>
              <w:jc w:val="center"/>
              <w:rPr>
                <w:b/>
                <w:color w:val="000000" w:themeColor="text1"/>
                <w:spacing w:val="0"/>
                <w:kern w:val="0"/>
                <w:szCs w:val="21"/>
                <w:highlight w:val="none"/>
                <w14:textFill>
                  <w14:solidFill>
                    <w14:schemeClr w14:val="tx1"/>
                  </w14:solidFill>
                </w14:textFill>
              </w:rPr>
            </w:pPr>
            <w:r>
              <w:rPr>
                <w:rFonts w:hint="eastAsia"/>
                <w:b/>
                <w:color w:val="000000" w:themeColor="text1"/>
                <w:spacing w:val="0"/>
                <w:kern w:val="0"/>
                <w:szCs w:val="21"/>
                <w:highlight w:val="none"/>
                <w:lang w:val="en-US" w:eastAsia="zh-CN"/>
                <w14:textFill>
                  <w14:solidFill>
                    <w14:schemeClr w14:val="tx1"/>
                  </w14:solidFill>
                </w14:textFill>
              </w:rPr>
              <w:t xml:space="preserve">     </w:t>
            </w:r>
            <w:r>
              <w:rPr>
                <w:b/>
                <w:color w:val="000000" w:themeColor="text1"/>
                <w:spacing w:val="0"/>
                <w:kern w:val="0"/>
                <w:szCs w:val="21"/>
                <w:highlight w:val="none"/>
                <w14:textFill>
                  <w14:solidFill>
                    <w14:schemeClr w14:val="tx1"/>
                  </w14:solidFill>
                </w14:textFill>
              </w:rPr>
              <w:t>内容</w:t>
            </w:r>
          </w:p>
          <w:p>
            <w:pPr>
              <w:adjustRightInd w:val="0"/>
              <w:snapToGrid w:val="0"/>
              <w:ind w:firstLine="211" w:firstLineChars="100"/>
              <w:jc w:val="left"/>
              <w:rPr>
                <w:b/>
                <w:color w:val="000000" w:themeColor="text1"/>
                <w:spacing w:val="0"/>
                <w:kern w:val="0"/>
                <w:szCs w:val="21"/>
                <w:highlight w:val="none"/>
                <w14:textFill>
                  <w14:solidFill>
                    <w14:schemeClr w14:val="tx1"/>
                  </w14:solidFill>
                </w14:textFill>
              </w:rPr>
            </w:pPr>
            <w:r>
              <w:rPr>
                <w:b/>
                <w:color w:val="000000" w:themeColor="text1"/>
                <w:spacing w:val="0"/>
                <w:kern w:val="0"/>
                <w:szCs w:val="21"/>
                <w:highlight w:val="none"/>
                <w14:textFill>
                  <w14:solidFill>
                    <w14:schemeClr w14:val="tx1"/>
                  </w14:solidFill>
                </w14:textFill>
              </w:rPr>
              <w:t>要素</w:t>
            </w:r>
          </w:p>
        </w:tc>
        <w:tc>
          <w:tcPr>
            <w:tcW w:w="1276" w:type="dxa"/>
            <w:gridSpan w:val="2"/>
            <w:tcBorders>
              <w:tl2br w:val="nil"/>
              <w:tr2bl w:val="nil"/>
            </w:tcBorders>
            <w:noWrap w:val="0"/>
            <w:vAlign w:val="center"/>
          </w:tcPr>
          <w:p>
            <w:pPr>
              <w:adjustRightInd w:val="0"/>
              <w:snapToGrid w:val="0"/>
              <w:jc w:val="center"/>
              <w:rPr>
                <w:b/>
                <w:color w:val="000000" w:themeColor="text1"/>
                <w:spacing w:val="0"/>
                <w:kern w:val="0"/>
                <w:szCs w:val="21"/>
                <w:highlight w:val="none"/>
                <w14:textFill>
                  <w14:solidFill>
                    <w14:schemeClr w14:val="tx1"/>
                  </w14:solidFill>
                </w14:textFill>
              </w:rPr>
            </w:pPr>
            <w:r>
              <w:rPr>
                <w:b/>
                <w:color w:val="000000" w:themeColor="text1"/>
                <w:spacing w:val="0"/>
                <w:kern w:val="0"/>
                <w:szCs w:val="21"/>
                <w:highlight w:val="none"/>
                <w14:textFill>
                  <w14:solidFill>
                    <w14:schemeClr w14:val="tx1"/>
                  </w14:solidFill>
                </w14:textFill>
              </w:rPr>
              <w:t>排放口(编号、</w:t>
            </w:r>
          </w:p>
          <w:p>
            <w:pPr>
              <w:adjustRightInd w:val="0"/>
              <w:snapToGrid w:val="0"/>
              <w:jc w:val="center"/>
              <w:rPr>
                <w:b/>
                <w:color w:val="000000" w:themeColor="text1"/>
                <w:spacing w:val="0"/>
                <w:kern w:val="0"/>
                <w:szCs w:val="21"/>
                <w:highlight w:val="none"/>
                <w14:textFill>
                  <w14:solidFill>
                    <w14:schemeClr w14:val="tx1"/>
                  </w14:solidFill>
                </w14:textFill>
              </w:rPr>
            </w:pPr>
            <w:r>
              <w:rPr>
                <w:b/>
                <w:color w:val="000000" w:themeColor="text1"/>
                <w:spacing w:val="0"/>
                <w:kern w:val="0"/>
                <w:szCs w:val="21"/>
                <w:highlight w:val="none"/>
                <w14:textFill>
                  <w14:solidFill>
                    <w14:schemeClr w14:val="tx1"/>
                  </w14:solidFill>
                </w14:textFill>
              </w:rPr>
              <w:t>名称)/污染源</w:t>
            </w:r>
          </w:p>
        </w:tc>
        <w:tc>
          <w:tcPr>
            <w:tcW w:w="1397" w:type="dxa"/>
            <w:tcBorders>
              <w:tl2br w:val="nil"/>
              <w:tr2bl w:val="nil"/>
            </w:tcBorders>
            <w:noWrap w:val="0"/>
            <w:vAlign w:val="center"/>
          </w:tcPr>
          <w:p>
            <w:pPr>
              <w:adjustRightInd w:val="0"/>
              <w:snapToGrid w:val="0"/>
              <w:jc w:val="center"/>
              <w:rPr>
                <w:b/>
                <w:color w:val="000000" w:themeColor="text1"/>
                <w:spacing w:val="0"/>
                <w:kern w:val="0"/>
                <w:szCs w:val="21"/>
                <w:highlight w:val="none"/>
                <w14:textFill>
                  <w14:solidFill>
                    <w14:schemeClr w14:val="tx1"/>
                  </w14:solidFill>
                </w14:textFill>
              </w:rPr>
            </w:pPr>
            <w:r>
              <w:rPr>
                <w:b/>
                <w:color w:val="000000" w:themeColor="text1"/>
                <w:spacing w:val="0"/>
                <w:kern w:val="0"/>
                <w:szCs w:val="21"/>
                <w:highlight w:val="none"/>
                <w14:textFill>
                  <w14:solidFill>
                    <w14:schemeClr w14:val="tx1"/>
                  </w14:solidFill>
                </w14:textFill>
              </w:rPr>
              <w:t>污染物项目</w:t>
            </w:r>
          </w:p>
        </w:tc>
        <w:tc>
          <w:tcPr>
            <w:tcW w:w="1745" w:type="dxa"/>
            <w:tcBorders>
              <w:tl2br w:val="nil"/>
              <w:tr2bl w:val="nil"/>
            </w:tcBorders>
            <w:noWrap w:val="0"/>
            <w:vAlign w:val="center"/>
          </w:tcPr>
          <w:p>
            <w:pPr>
              <w:adjustRightInd w:val="0"/>
              <w:snapToGrid w:val="0"/>
              <w:jc w:val="center"/>
              <w:rPr>
                <w:b/>
                <w:color w:val="000000" w:themeColor="text1"/>
                <w:spacing w:val="0"/>
                <w:kern w:val="0"/>
                <w:szCs w:val="21"/>
                <w:highlight w:val="none"/>
                <w14:textFill>
                  <w14:solidFill>
                    <w14:schemeClr w14:val="tx1"/>
                  </w14:solidFill>
                </w14:textFill>
              </w:rPr>
            </w:pPr>
            <w:r>
              <w:rPr>
                <w:b/>
                <w:color w:val="000000" w:themeColor="text1"/>
                <w:spacing w:val="0"/>
                <w:kern w:val="0"/>
                <w:szCs w:val="21"/>
                <w:highlight w:val="none"/>
                <w14:textFill>
                  <w14:solidFill>
                    <w14:schemeClr w14:val="tx1"/>
                  </w14:solidFill>
                </w14:textFill>
              </w:rPr>
              <w:t>环境保护措施</w:t>
            </w:r>
          </w:p>
        </w:tc>
        <w:tc>
          <w:tcPr>
            <w:tcW w:w="2986" w:type="dxa"/>
            <w:tcBorders>
              <w:tl2br w:val="nil"/>
              <w:tr2bl w:val="nil"/>
            </w:tcBorders>
            <w:noWrap w:val="0"/>
            <w:vAlign w:val="center"/>
          </w:tcPr>
          <w:p>
            <w:pPr>
              <w:adjustRightInd w:val="0"/>
              <w:snapToGrid w:val="0"/>
              <w:jc w:val="center"/>
              <w:rPr>
                <w:b/>
                <w:color w:val="000000" w:themeColor="text1"/>
                <w:spacing w:val="0"/>
                <w:kern w:val="0"/>
                <w:szCs w:val="21"/>
                <w:highlight w:val="none"/>
                <w14:textFill>
                  <w14:solidFill>
                    <w14:schemeClr w14:val="tx1"/>
                  </w14:solidFill>
                </w14:textFill>
              </w:rPr>
            </w:pPr>
            <w:r>
              <w:rPr>
                <w:b/>
                <w:color w:val="000000" w:themeColor="text1"/>
                <w:spacing w:val="0"/>
                <w:kern w:val="0"/>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restart"/>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大气环境</w:t>
            </w:r>
          </w:p>
        </w:tc>
        <w:tc>
          <w:tcPr>
            <w:tcW w:w="585" w:type="dxa"/>
            <w:vMerge w:val="restart"/>
            <w:tcBorders>
              <w:tl2br w:val="nil"/>
              <w:tr2bl w:val="nil"/>
            </w:tcBorders>
            <w:noWrap w:val="0"/>
            <w:vAlign w:val="center"/>
          </w:tcPr>
          <w:p>
            <w:pPr>
              <w:adjustRightInd w:val="0"/>
              <w:snapToGrid w:val="0"/>
              <w:jc w:val="center"/>
              <w:rPr>
                <w:rFonts w:hint="eastAsia" w:eastAsia="宋体"/>
                <w:color w:val="000000" w:themeColor="text1"/>
                <w:spacing w:val="0"/>
                <w:kern w:val="0"/>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691" w:type="dxa"/>
            <w:vMerge w:val="restart"/>
            <w:tcBorders>
              <w:tl2br w:val="nil"/>
              <w:tr2bl w:val="nil"/>
            </w:tcBorders>
            <w:noWrap w:val="0"/>
            <w:vAlign w:val="center"/>
          </w:tcPr>
          <w:p>
            <w:pPr>
              <w:adjustRightInd w:val="0"/>
              <w:snapToGrid w:val="0"/>
              <w:jc w:val="center"/>
              <w:rPr>
                <w:rFonts w:hint="default"/>
                <w:color w:val="000000" w:themeColor="text1"/>
                <w:spacing w:val="0"/>
                <w:kern w:val="0"/>
                <w:sz w:val="21"/>
                <w:szCs w:val="21"/>
                <w:highlight w:val="none"/>
                <w:lang w:val="en-US" w:eastAsia="zh-CN" w:bidi="ar-SA"/>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五楼化验室实验废气</w:t>
            </w:r>
          </w:p>
        </w:tc>
        <w:tc>
          <w:tcPr>
            <w:tcW w:w="1397" w:type="dxa"/>
            <w:tcBorders>
              <w:tl2br w:val="nil"/>
              <w:tr2bl w:val="nil"/>
            </w:tcBorders>
            <w:noWrap w:val="0"/>
            <w:vAlign w:val="center"/>
          </w:tcPr>
          <w:p>
            <w:pPr>
              <w:adjustRightInd w:val="0"/>
              <w:snapToGrid w:val="0"/>
              <w:jc w:val="center"/>
              <w:rPr>
                <w:rFonts w:hint="eastAsia" w:eastAsia="宋体"/>
                <w:color w:val="000000" w:themeColor="text1"/>
                <w:spacing w:val="0"/>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
                <w14:textFill>
                  <w14:solidFill>
                    <w14:schemeClr w14:val="tx1"/>
                  </w14:solidFill>
                </w14:textFill>
              </w:rPr>
              <w:t>VOC</w:t>
            </w:r>
            <w:r>
              <w:rPr>
                <w:rFonts w:hint="eastAsia" w:cs="Times New Roman"/>
                <w:snapToGrid w:val="0"/>
                <w:color w:val="000000" w:themeColor="text1"/>
                <w:kern w:val="0"/>
                <w:sz w:val="21"/>
                <w:szCs w:val="21"/>
                <w:highlight w:val="none"/>
                <w:vertAlign w:val="subscript"/>
                <w:lang w:val="en-US" w:eastAsia="zh-CN" w:bidi="ar"/>
                <w14:textFill>
                  <w14:solidFill>
                    <w14:schemeClr w14:val="tx1"/>
                  </w14:solidFill>
                </w14:textFill>
              </w:rPr>
              <w:t>S</w:t>
            </w:r>
            <w:r>
              <w:rPr>
                <w:rFonts w:hint="eastAsia"/>
                <w:color w:val="000000" w:themeColor="text1"/>
                <w:spacing w:val="0"/>
                <w:kern w:val="0"/>
                <w:szCs w:val="21"/>
                <w:highlight w:val="none"/>
                <w:lang w:val="en-US" w:eastAsia="zh-CN"/>
                <w14:textFill>
                  <w14:solidFill>
                    <w14:schemeClr w14:val="tx1"/>
                  </w14:solidFill>
                </w14:textFill>
              </w:rPr>
              <w:t>、甲醇</w:t>
            </w:r>
          </w:p>
        </w:tc>
        <w:tc>
          <w:tcPr>
            <w:tcW w:w="1745" w:type="dxa"/>
            <w:vMerge w:val="restart"/>
            <w:tcBorders>
              <w:tl2br w:val="nil"/>
              <w:tr2bl w:val="nil"/>
            </w:tcBorders>
            <w:noWrap w:val="0"/>
            <w:vAlign w:val="center"/>
          </w:tcPr>
          <w:p>
            <w:pPr>
              <w:jc w:val="center"/>
              <w:rPr>
                <w:rFonts w:hint="default" w:eastAsia="宋体"/>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经活性炭装置处理</w:t>
            </w:r>
            <w:r>
              <w:rPr>
                <w:rFonts w:hint="eastAsia"/>
                <w:color w:val="000000" w:themeColor="text1"/>
                <w:spacing w:val="0"/>
                <w:kern w:val="0"/>
                <w:sz w:val="21"/>
                <w:szCs w:val="21"/>
                <w:highlight w:val="none"/>
                <w14:textFill>
                  <w14:solidFill>
                    <w14:schemeClr w14:val="tx1"/>
                  </w14:solidFill>
                </w14:textFill>
              </w:rPr>
              <w:t>经</w:t>
            </w:r>
            <w:r>
              <w:rPr>
                <w:rFonts w:hint="eastAsia"/>
                <w:color w:val="000000" w:themeColor="text1"/>
                <w:spacing w:val="0"/>
                <w:kern w:val="0"/>
                <w:sz w:val="21"/>
                <w:szCs w:val="21"/>
                <w:highlight w:val="none"/>
                <w:lang w:val="en-US" w:eastAsia="zh-CN"/>
                <w14:textFill>
                  <w14:solidFill>
                    <w14:schemeClr w14:val="tx1"/>
                  </w14:solidFill>
                </w14:textFill>
              </w:rPr>
              <w:t>P9</w:t>
            </w:r>
            <w:r>
              <w:rPr>
                <w:rFonts w:hint="eastAsia"/>
                <w:color w:val="000000" w:themeColor="text1"/>
                <w:spacing w:val="0"/>
                <w:kern w:val="0"/>
                <w:sz w:val="21"/>
                <w:szCs w:val="21"/>
                <w:highlight w:val="none"/>
                <w14:textFill>
                  <w14:solidFill>
                    <w14:schemeClr w14:val="tx1"/>
                  </w14:solidFill>
                </w14:textFill>
              </w:rPr>
              <w:t>排气筒排放</w:t>
            </w:r>
          </w:p>
        </w:tc>
        <w:tc>
          <w:tcPr>
            <w:tcW w:w="2986" w:type="dxa"/>
            <w:tcBorders>
              <w:tl2br w:val="nil"/>
              <w:tr2bl w:val="nil"/>
            </w:tcBorders>
            <w:noWrap w:val="0"/>
            <w:vAlign w:val="center"/>
          </w:tcPr>
          <w:p>
            <w:pPr>
              <w:snapToGrid w:val="0"/>
              <w:jc w:val="center"/>
              <w:rPr>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）表1标准Ⅱ时段</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，同时参照《大气污染物综合排放标准》(GB16297-1996)表2，取严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91"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1397" w:type="dxa"/>
            <w:tcBorders>
              <w:tl2br w:val="nil"/>
              <w:tr2bl w:val="nil"/>
            </w:tcBorders>
            <w:noWrap w:val="0"/>
            <w:vAlign w:val="center"/>
          </w:tcPr>
          <w:p>
            <w:pPr>
              <w:adjustRightInd w:val="0"/>
              <w:snapToGrid w:val="0"/>
              <w:jc w:val="center"/>
              <w:rPr>
                <w:rFonts w:hint="default" w:cs="Times New Roman"/>
                <w:snapToGrid w:val="0"/>
                <w:color w:val="000000" w:themeColor="text1"/>
                <w:kern w:val="0"/>
                <w:sz w:val="21"/>
                <w:szCs w:val="21"/>
                <w:highlight w:val="none"/>
                <w:lang w:val="en-US" w:eastAsia="zh-CN" w:bidi="ar"/>
                <w14:textFill>
                  <w14:solidFill>
                    <w14:schemeClr w14:val="tx1"/>
                  </w14:solidFill>
                </w14:textFill>
              </w:rPr>
            </w:pPr>
            <w:r>
              <w:rPr>
                <w:rFonts w:hint="eastAsia" w:cs="Times New Roman"/>
                <w:snapToGrid w:val="0"/>
                <w:color w:val="000000" w:themeColor="text1"/>
                <w:kern w:val="0"/>
                <w:sz w:val="21"/>
                <w:szCs w:val="21"/>
                <w:highlight w:val="none"/>
                <w:lang w:val="en-US" w:eastAsia="zh-CN" w:bidi="ar"/>
                <w14:textFill>
                  <w14:solidFill>
                    <w14:schemeClr w14:val="tx1"/>
                  </w14:solidFill>
                </w14:textFill>
              </w:rPr>
              <w:t>甲苯、氯化氢、硫酸雾</w:t>
            </w:r>
          </w:p>
        </w:tc>
        <w:tc>
          <w:tcPr>
            <w:tcW w:w="1745" w:type="dxa"/>
            <w:vMerge w:val="continue"/>
            <w:tcBorders>
              <w:tl2br w:val="nil"/>
              <w:tr2bl w:val="nil"/>
            </w:tcBorders>
            <w:noWrap w:val="0"/>
            <w:vAlign w:val="center"/>
          </w:tcPr>
          <w:p>
            <w:pPr>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986" w:type="dxa"/>
            <w:tcBorders>
              <w:tl2br w:val="nil"/>
              <w:tr2bl w:val="nil"/>
            </w:tcBorders>
            <w:noWrap w:val="0"/>
            <w:vAlign w:val="center"/>
          </w:tcPr>
          <w:p>
            <w:pPr>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《大气污染物综合排放标准》(GB16297-1996)</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91"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1397" w:type="dxa"/>
            <w:tcBorders>
              <w:tl2br w:val="nil"/>
              <w:tr2bl w:val="nil"/>
            </w:tcBorders>
            <w:noWrap w:val="0"/>
            <w:vAlign w:val="center"/>
          </w:tcPr>
          <w:p>
            <w:pPr>
              <w:adjustRightInd w:val="0"/>
              <w:snapToGrid w:val="0"/>
              <w:jc w:val="center"/>
              <w:rPr>
                <w:rFonts w:hint="eastAsia" w:cs="Times New Roman"/>
                <w:snapToGrid w:val="0"/>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Cs w:val="21"/>
                <w:highlight w:val="none"/>
                <w14:textFill>
                  <w14:solidFill>
                    <w14:schemeClr w14:val="tx1"/>
                  </w14:solidFill>
                </w14:textFill>
              </w:rPr>
              <w:t>氮氧化物</w:t>
            </w:r>
          </w:p>
        </w:tc>
        <w:tc>
          <w:tcPr>
            <w:tcW w:w="1745" w:type="dxa"/>
            <w:vMerge w:val="continue"/>
            <w:tcBorders>
              <w:tl2br w:val="nil"/>
              <w:tr2bl w:val="nil"/>
            </w:tcBorders>
            <w:noWrap w:val="0"/>
            <w:vAlign w:val="center"/>
          </w:tcPr>
          <w:p>
            <w:pPr>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986" w:type="dxa"/>
            <w:tcBorders>
              <w:tl2br w:val="nil"/>
              <w:tr2bl w:val="nil"/>
            </w:tcBorders>
            <w:noWrap w:val="0"/>
            <w:vAlign w:val="center"/>
          </w:tcPr>
          <w:p>
            <w:pPr>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《区域性大气污染物综合排放标准》（DB37/2376-2019）表1重点控制区标准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restart"/>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691" w:type="dxa"/>
            <w:vMerge w:val="restart"/>
            <w:tcBorders>
              <w:tl2br w:val="nil"/>
              <w:tr2bl w:val="nil"/>
            </w:tcBorders>
            <w:noWrap w:val="0"/>
            <w:vAlign w:val="center"/>
          </w:tcPr>
          <w:p>
            <w:pPr>
              <w:adjustRightInd w:val="0"/>
              <w:snapToGrid w:val="0"/>
              <w:jc w:val="center"/>
              <w:rPr>
                <w:rFonts w:hint="default"/>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六楼研发室实验废气</w:t>
            </w:r>
          </w:p>
        </w:tc>
        <w:tc>
          <w:tcPr>
            <w:tcW w:w="1397" w:type="dxa"/>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bidi="ar"/>
                <w14:textFill>
                  <w14:solidFill>
                    <w14:schemeClr w14:val="tx1"/>
                  </w14:solidFill>
                </w14:textFill>
              </w:rPr>
              <w:t>VOC</w:t>
            </w:r>
            <w:r>
              <w:rPr>
                <w:rFonts w:hint="eastAsia" w:cs="Times New Roman"/>
                <w:snapToGrid w:val="0"/>
                <w:color w:val="000000" w:themeColor="text1"/>
                <w:kern w:val="0"/>
                <w:sz w:val="21"/>
                <w:szCs w:val="21"/>
                <w:highlight w:val="none"/>
                <w:vertAlign w:val="subscript"/>
                <w:lang w:val="en-US" w:eastAsia="zh-CN" w:bidi="ar"/>
                <w14:textFill>
                  <w14:solidFill>
                    <w14:schemeClr w14:val="tx1"/>
                  </w14:solidFill>
                </w14:textFill>
              </w:rPr>
              <w:t>S</w:t>
            </w:r>
          </w:p>
        </w:tc>
        <w:tc>
          <w:tcPr>
            <w:tcW w:w="1745" w:type="dxa"/>
            <w:vMerge w:val="restart"/>
            <w:tcBorders>
              <w:tl2br w:val="nil"/>
              <w:tr2bl w:val="nil"/>
            </w:tcBorders>
            <w:noWrap w:val="0"/>
            <w:vAlign w:val="center"/>
          </w:tcPr>
          <w:p>
            <w:pPr>
              <w:jc w:val="center"/>
              <w:rPr>
                <w:rFonts w:hint="eastAsia"/>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经活性炭装置处理</w:t>
            </w:r>
            <w:r>
              <w:rPr>
                <w:rFonts w:hint="eastAsia"/>
                <w:color w:val="000000" w:themeColor="text1"/>
                <w:spacing w:val="0"/>
                <w:kern w:val="0"/>
                <w:sz w:val="21"/>
                <w:szCs w:val="21"/>
                <w:highlight w:val="none"/>
                <w14:textFill>
                  <w14:solidFill>
                    <w14:schemeClr w14:val="tx1"/>
                  </w14:solidFill>
                </w14:textFill>
              </w:rPr>
              <w:t>经</w:t>
            </w:r>
            <w:r>
              <w:rPr>
                <w:rFonts w:hint="eastAsia"/>
                <w:color w:val="000000" w:themeColor="text1"/>
                <w:spacing w:val="0"/>
                <w:kern w:val="0"/>
                <w:sz w:val="21"/>
                <w:szCs w:val="21"/>
                <w:highlight w:val="none"/>
                <w:lang w:val="en-US" w:eastAsia="zh-CN"/>
                <w14:textFill>
                  <w14:solidFill>
                    <w14:schemeClr w14:val="tx1"/>
                  </w14:solidFill>
                </w14:textFill>
              </w:rPr>
              <w:t>P10</w:t>
            </w:r>
            <w:r>
              <w:rPr>
                <w:rFonts w:hint="eastAsia"/>
                <w:color w:val="000000" w:themeColor="text1"/>
                <w:spacing w:val="0"/>
                <w:kern w:val="0"/>
                <w:sz w:val="21"/>
                <w:szCs w:val="21"/>
                <w:highlight w:val="none"/>
                <w14:textFill>
                  <w14:solidFill>
                    <w14:schemeClr w14:val="tx1"/>
                  </w14:solidFill>
                </w14:textFill>
              </w:rPr>
              <w:t>排气筒排放</w:t>
            </w:r>
          </w:p>
        </w:tc>
        <w:tc>
          <w:tcPr>
            <w:tcW w:w="2986" w:type="dxa"/>
            <w:tcBorders>
              <w:tl2br w:val="nil"/>
              <w:tr2bl w:val="nil"/>
            </w:tcBorders>
            <w:noWrap w:val="0"/>
            <w:vAlign w:val="center"/>
          </w:tcPr>
          <w:p>
            <w:pPr>
              <w:snapToGrid w:val="0"/>
              <w:jc w:val="center"/>
              <w:rPr>
                <w:rFonts w:hint="eastAsia"/>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）表1标准Ⅱ时段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91"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1397" w:type="dxa"/>
            <w:tcBorders>
              <w:tl2br w:val="nil"/>
              <w:tr2bl w:val="nil"/>
            </w:tcBorders>
            <w:noWrap w:val="0"/>
            <w:vAlign w:val="center"/>
          </w:tcPr>
          <w:p>
            <w:pPr>
              <w:adjustRightInd w:val="0"/>
              <w:snapToGrid w:val="0"/>
              <w:jc w:val="center"/>
              <w:rPr>
                <w:rFonts w:hint="default" w:cs="Times New Roman"/>
                <w:snapToGrid w:val="0"/>
                <w:color w:val="000000" w:themeColor="text1"/>
                <w:kern w:val="0"/>
                <w:sz w:val="21"/>
                <w:szCs w:val="21"/>
                <w:highlight w:val="none"/>
                <w:lang w:val="en-US" w:eastAsia="zh-CN" w:bidi="ar"/>
                <w14:textFill>
                  <w14:solidFill>
                    <w14:schemeClr w14:val="tx1"/>
                  </w14:solidFill>
                </w14:textFill>
              </w:rPr>
            </w:pPr>
            <w:r>
              <w:rPr>
                <w:rFonts w:hint="eastAsia" w:cs="Times New Roman"/>
                <w:snapToGrid w:val="0"/>
                <w:color w:val="000000" w:themeColor="text1"/>
                <w:kern w:val="0"/>
                <w:sz w:val="21"/>
                <w:szCs w:val="21"/>
                <w:highlight w:val="none"/>
                <w:lang w:val="en-US" w:eastAsia="zh-CN" w:bidi="ar"/>
                <w14:textFill>
                  <w14:solidFill>
                    <w14:schemeClr w14:val="tx1"/>
                  </w14:solidFill>
                </w14:textFill>
              </w:rPr>
              <w:t>氨、臭气浓度</w:t>
            </w:r>
          </w:p>
        </w:tc>
        <w:tc>
          <w:tcPr>
            <w:tcW w:w="1745" w:type="dxa"/>
            <w:vMerge w:val="continue"/>
            <w:tcBorders>
              <w:tl2br w:val="nil"/>
              <w:tr2bl w:val="nil"/>
            </w:tcBorders>
            <w:noWrap w:val="0"/>
            <w:vAlign w:val="center"/>
          </w:tcPr>
          <w:p>
            <w:pPr>
              <w:jc w:val="center"/>
              <w:rPr>
                <w:rFonts w:hint="eastAsia"/>
                <w:color w:val="000000" w:themeColor="text1"/>
                <w:spacing w:val="0"/>
                <w:kern w:val="0"/>
                <w:sz w:val="21"/>
                <w:szCs w:val="21"/>
                <w:highlight w:val="none"/>
                <w:lang w:val="en-US" w:eastAsia="zh-CN"/>
                <w14:textFill>
                  <w14:solidFill>
                    <w14:schemeClr w14:val="tx1"/>
                  </w14:solidFill>
                </w14:textFill>
              </w:rPr>
            </w:pPr>
          </w:p>
        </w:tc>
        <w:tc>
          <w:tcPr>
            <w:tcW w:w="2986" w:type="dxa"/>
            <w:tcBorders>
              <w:tl2br w:val="nil"/>
              <w:tr2bl w:val="nil"/>
            </w:tcBorders>
            <w:noWrap w:val="0"/>
            <w:vAlign w:val="center"/>
          </w:tcPr>
          <w:p>
            <w:pPr>
              <w:snapToGrid w:val="0"/>
              <w:jc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《恶臭污染物排放标准》（GB14554-93）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排气筒</w:t>
            </w:r>
          </w:p>
        </w:tc>
        <w:tc>
          <w:tcPr>
            <w:tcW w:w="691" w:type="dxa"/>
            <w:vMerge w:val="restart"/>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五楼、六楼试剂存放废气</w:t>
            </w:r>
          </w:p>
        </w:tc>
        <w:tc>
          <w:tcPr>
            <w:tcW w:w="1397" w:type="dxa"/>
            <w:tcBorders>
              <w:tl2br w:val="nil"/>
              <w:tr2bl w:val="nil"/>
            </w:tcBorders>
            <w:noWrap w:val="0"/>
            <w:vAlign w:val="center"/>
          </w:tcPr>
          <w:p>
            <w:pPr>
              <w:adjustRightInd w:val="0"/>
              <w:snapToGrid w:val="0"/>
              <w:jc w:val="center"/>
              <w:rPr>
                <w:rFonts w:hint="eastAsia" w:cs="Times New Roman"/>
                <w:snapToGrid w:val="0"/>
                <w:color w:val="000000" w:themeColor="text1"/>
                <w:kern w:val="0"/>
                <w:sz w:val="21"/>
                <w:szCs w:val="21"/>
                <w:highlight w:val="none"/>
                <w:lang w:val="en-US" w:eastAsia="zh-CN" w:bidi="ar"/>
                <w14:textFill>
                  <w14:solidFill>
                    <w14:schemeClr w14:val="tx1"/>
                  </w14:solidFill>
                </w14:textFill>
              </w:rPr>
            </w:pPr>
            <w:r>
              <w:rPr>
                <w:rFonts w:hint="eastAsia" w:cs="Times New Roman"/>
                <w:snapToGrid w:val="0"/>
                <w:color w:val="000000" w:themeColor="text1"/>
                <w:kern w:val="0"/>
                <w:sz w:val="21"/>
                <w:szCs w:val="21"/>
                <w:highlight w:val="none"/>
                <w:lang w:val="en-US" w:eastAsia="zh-CN" w:bidi="ar"/>
                <w14:textFill>
                  <w14:solidFill>
                    <w14:schemeClr w14:val="tx1"/>
                  </w14:solidFill>
                </w14:textFill>
              </w:rPr>
              <w:t>VOC</w:t>
            </w:r>
            <w:r>
              <w:rPr>
                <w:rFonts w:hint="eastAsia" w:cs="Times New Roman"/>
                <w:snapToGrid w:val="0"/>
                <w:color w:val="000000" w:themeColor="text1"/>
                <w:kern w:val="0"/>
                <w:sz w:val="21"/>
                <w:szCs w:val="21"/>
                <w:highlight w:val="none"/>
                <w:vertAlign w:val="subscript"/>
                <w:lang w:val="en-US" w:eastAsia="zh-CN" w:bidi="ar"/>
                <w14:textFill>
                  <w14:solidFill>
                    <w14:schemeClr w14:val="tx1"/>
                  </w14:solidFill>
                </w14:textFill>
              </w:rPr>
              <w:t>S</w:t>
            </w:r>
            <w:r>
              <w:rPr>
                <w:rFonts w:hint="eastAsia" w:cs="Times New Roman"/>
                <w:snapToGrid w:val="0"/>
                <w:color w:val="000000" w:themeColor="text1"/>
                <w:kern w:val="0"/>
                <w:sz w:val="21"/>
                <w:szCs w:val="21"/>
                <w:highlight w:val="none"/>
                <w:lang w:val="en-US" w:eastAsia="zh-CN" w:bidi="ar"/>
                <w14:textFill>
                  <w14:solidFill>
                    <w14:schemeClr w14:val="tx1"/>
                  </w14:solidFill>
                </w14:textFill>
              </w:rPr>
              <w:t>、甲醇</w:t>
            </w:r>
          </w:p>
        </w:tc>
        <w:tc>
          <w:tcPr>
            <w:tcW w:w="1745" w:type="dxa"/>
            <w:vMerge w:val="restart"/>
            <w:tcBorders>
              <w:tl2br w:val="nil"/>
              <w:tr2bl w:val="nil"/>
            </w:tcBorders>
            <w:noWrap w:val="0"/>
            <w:vAlign w:val="center"/>
          </w:tcPr>
          <w:p>
            <w:pPr>
              <w:jc w:val="center"/>
              <w:rPr>
                <w:rFonts w:hint="eastAsia"/>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经活性炭装置处理</w:t>
            </w:r>
            <w:r>
              <w:rPr>
                <w:rFonts w:hint="eastAsia"/>
                <w:color w:val="000000" w:themeColor="text1"/>
                <w:spacing w:val="0"/>
                <w:kern w:val="0"/>
                <w:sz w:val="21"/>
                <w:szCs w:val="21"/>
                <w:highlight w:val="none"/>
                <w14:textFill>
                  <w14:solidFill>
                    <w14:schemeClr w14:val="tx1"/>
                  </w14:solidFill>
                </w14:textFill>
              </w:rPr>
              <w:t>经</w:t>
            </w:r>
            <w:r>
              <w:rPr>
                <w:rFonts w:hint="eastAsia"/>
                <w:color w:val="000000" w:themeColor="text1"/>
                <w:spacing w:val="0"/>
                <w:kern w:val="0"/>
                <w:sz w:val="21"/>
                <w:szCs w:val="21"/>
                <w:highlight w:val="none"/>
                <w:lang w:val="en-US" w:eastAsia="zh-CN"/>
                <w14:textFill>
                  <w14:solidFill>
                    <w14:schemeClr w14:val="tx1"/>
                  </w14:solidFill>
                </w14:textFill>
              </w:rPr>
              <w:t>P11</w:t>
            </w:r>
            <w:r>
              <w:rPr>
                <w:rFonts w:hint="eastAsia"/>
                <w:color w:val="000000" w:themeColor="text1"/>
                <w:spacing w:val="0"/>
                <w:kern w:val="0"/>
                <w:sz w:val="21"/>
                <w:szCs w:val="21"/>
                <w:highlight w:val="none"/>
                <w14:textFill>
                  <w14:solidFill>
                    <w14:schemeClr w14:val="tx1"/>
                  </w14:solidFill>
                </w14:textFill>
              </w:rPr>
              <w:t>排气筒排放</w:t>
            </w:r>
          </w:p>
        </w:tc>
        <w:tc>
          <w:tcPr>
            <w:tcW w:w="2986"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）表1标准Ⅱ时段</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同时参照《大气污染物综合排放标准》(GB16297-1996)表2，取严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91"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1397" w:type="dxa"/>
            <w:tcBorders>
              <w:tl2br w:val="nil"/>
              <w:tr2bl w:val="nil"/>
            </w:tcBorders>
            <w:noWrap w:val="0"/>
            <w:vAlign w:val="center"/>
          </w:tcPr>
          <w:p>
            <w:pPr>
              <w:adjustRightInd w:val="0"/>
              <w:snapToGrid w:val="0"/>
              <w:jc w:val="center"/>
              <w:rPr>
                <w:rFonts w:hint="eastAsia" w:cs="Times New Roman"/>
                <w:snapToGrid w:val="0"/>
                <w:color w:val="000000" w:themeColor="text1"/>
                <w:kern w:val="0"/>
                <w:sz w:val="21"/>
                <w:szCs w:val="21"/>
                <w:highlight w:val="none"/>
                <w:lang w:val="en-US" w:eastAsia="zh-CN" w:bidi="ar"/>
                <w14:textFill>
                  <w14:solidFill>
                    <w14:schemeClr w14:val="tx1"/>
                  </w14:solidFill>
                </w14:textFill>
              </w:rPr>
            </w:pPr>
            <w:r>
              <w:rPr>
                <w:rFonts w:hint="eastAsia" w:cs="Times New Roman"/>
                <w:snapToGrid w:val="0"/>
                <w:color w:val="000000" w:themeColor="text1"/>
                <w:kern w:val="0"/>
                <w:sz w:val="21"/>
                <w:szCs w:val="21"/>
                <w:highlight w:val="none"/>
                <w:lang w:val="en-US" w:eastAsia="zh-CN" w:bidi="ar"/>
                <w14:textFill>
                  <w14:solidFill>
                    <w14:schemeClr w14:val="tx1"/>
                  </w14:solidFill>
                </w14:textFill>
              </w:rPr>
              <w:t>甲苯</w:t>
            </w:r>
          </w:p>
        </w:tc>
        <w:tc>
          <w:tcPr>
            <w:tcW w:w="1745" w:type="dxa"/>
            <w:vMerge w:val="continue"/>
            <w:tcBorders>
              <w:tl2br w:val="nil"/>
              <w:tr2bl w:val="nil"/>
            </w:tcBorders>
            <w:noWrap w:val="0"/>
            <w:vAlign w:val="center"/>
          </w:tcPr>
          <w:p>
            <w:pPr>
              <w:jc w:val="center"/>
              <w:rPr>
                <w:rFonts w:hint="eastAsia"/>
                <w:color w:val="000000" w:themeColor="text1"/>
                <w:spacing w:val="0"/>
                <w:kern w:val="0"/>
                <w:sz w:val="21"/>
                <w:szCs w:val="21"/>
                <w:highlight w:val="none"/>
                <w:lang w:val="en-US" w:eastAsia="zh-CN"/>
                <w14:textFill>
                  <w14:solidFill>
                    <w14:schemeClr w14:val="tx1"/>
                  </w14:solidFill>
                </w14:textFill>
              </w:rPr>
            </w:pPr>
          </w:p>
        </w:tc>
        <w:tc>
          <w:tcPr>
            <w:tcW w:w="2986" w:type="dxa"/>
            <w:tcBorders>
              <w:tl2br w:val="nil"/>
              <w:tr2bl w:val="nil"/>
            </w:tcBorders>
            <w:noWrap w:val="0"/>
            <w:vAlign w:val="center"/>
          </w:tcPr>
          <w:p>
            <w:pPr>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《大气污染物综合排放标准》(GB16297-1996)</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restart"/>
            <w:tcBorders>
              <w:tl2br w:val="nil"/>
              <w:tr2bl w:val="nil"/>
            </w:tcBorders>
            <w:noWrap w:val="0"/>
            <w:vAlign w:val="center"/>
          </w:tcPr>
          <w:p>
            <w:pPr>
              <w:adjustRightInd w:val="0"/>
              <w:snapToGrid w:val="0"/>
              <w:jc w:val="center"/>
              <w:rPr>
                <w:rFonts w:hint="default"/>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无组织废气</w:t>
            </w:r>
          </w:p>
        </w:tc>
        <w:tc>
          <w:tcPr>
            <w:tcW w:w="691" w:type="dxa"/>
            <w:vMerge w:val="restart"/>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厂界</w:t>
            </w:r>
          </w:p>
        </w:tc>
        <w:tc>
          <w:tcPr>
            <w:tcW w:w="1397" w:type="dxa"/>
            <w:tcBorders>
              <w:tl2br w:val="nil"/>
              <w:tr2bl w:val="nil"/>
            </w:tcBorders>
            <w:noWrap w:val="0"/>
            <w:vAlign w:val="center"/>
          </w:tcPr>
          <w:p>
            <w:pPr>
              <w:adjustRightInd w:val="0"/>
              <w:snapToGrid w:val="0"/>
              <w:jc w:val="center"/>
              <w:rPr>
                <w:rFonts w:hint="default"/>
                <w:color w:val="000000" w:themeColor="text1"/>
                <w:spacing w:val="0"/>
                <w:kern w:val="0"/>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bidi="ar"/>
                <w14:textFill>
                  <w14:solidFill>
                    <w14:schemeClr w14:val="tx1"/>
                  </w14:solidFill>
                </w14:textFill>
              </w:rPr>
              <w:t>VOC</w:t>
            </w:r>
            <w:r>
              <w:rPr>
                <w:rFonts w:hint="eastAsia" w:cs="Times New Roman"/>
                <w:snapToGrid w:val="0"/>
                <w:color w:val="000000" w:themeColor="text1"/>
                <w:kern w:val="0"/>
                <w:sz w:val="21"/>
                <w:szCs w:val="21"/>
                <w:highlight w:val="none"/>
                <w:vertAlign w:val="subscript"/>
                <w:lang w:val="en-US" w:eastAsia="zh-CN" w:bidi="ar"/>
                <w14:textFill>
                  <w14:solidFill>
                    <w14:schemeClr w14:val="tx1"/>
                  </w14:solidFill>
                </w14:textFill>
              </w:rPr>
              <w:t>S</w:t>
            </w:r>
            <w:r>
              <w:rPr>
                <w:rFonts w:hint="eastAsia"/>
                <w:color w:val="000000" w:themeColor="text1"/>
                <w:spacing w:val="0"/>
                <w:kern w:val="0"/>
                <w:szCs w:val="21"/>
                <w:highlight w:val="none"/>
                <w:lang w:val="en-US" w:eastAsia="zh-CN"/>
                <w14:textFill>
                  <w14:solidFill>
                    <w14:schemeClr w14:val="tx1"/>
                  </w14:solidFill>
                </w14:textFill>
              </w:rPr>
              <w:t>、臭气浓度</w:t>
            </w:r>
          </w:p>
        </w:tc>
        <w:tc>
          <w:tcPr>
            <w:tcW w:w="1745" w:type="dxa"/>
            <w:vMerge w:val="restart"/>
            <w:tcBorders>
              <w:tl2br w:val="nil"/>
              <w:tr2bl w:val="nil"/>
            </w:tcBorders>
            <w:noWrap w:val="0"/>
            <w:vAlign w:val="center"/>
          </w:tcPr>
          <w:p>
            <w:pPr>
              <w:jc w:val="center"/>
              <w:rPr>
                <w:rFonts w:hint="eastAsia"/>
                <w:color w:val="000000" w:themeColor="text1"/>
                <w:spacing w:val="0"/>
                <w:kern w:val="0"/>
                <w:szCs w:val="21"/>
                <w:highlight w:val="none"/>
                <w:lang w:val="en-GB"/>
                <w14:textFill>
                  <w14:solidFill>
                    <w14:schemeClr w14:val="tx1"/>
                  </w14:solidFill>
                </w14:textFill>
              </w:rPr>
            </w:pPr>
            <w:r>
              <w:rPr>
                <w:rFonts w:hint="eastAsia"/>
                <w:color w:val="000000" w:themeColor="text1"/>
                <w:spacing w:val="0"/>
                <w:kern w:val="0"/>
                <w:szCs w:val="21"/>
                <w:highlight w:val="none"/>
                <w:lang w:val="en-GB"/>
                <w14:textFill>
                  <w14:solidFill>
                    <w14:schemeClr w14:val="tx1"/>
                  </w14:solidFill>
                </w14:textFill>
              </w:rPr>
              <w:t>车间密闭</w:t>
            </w:r>
          </w:p>
        </w:tc>
        <w:tc>
          <w:tcPr>
            <w:tcW w:w="2986" w:type="dxa"/>
            <w:tcBorders>
              <w:tl2br w:val="nil"/>
              <w:tr2bl w:val="nil"/>
            </w:tcBorders>
            <w:noWrap w:val="0"/>
            <w:vAlign w:val="center"/>
          </w:tcPr>
          <w:p>
            <w:pPr>
              <w:snapToGrid w:val="0"/>
              <w:jc w:val="center"/>
              <w:rPr>
                <w:rFonts w:hint="eastAsia"/>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）表</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691"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1397" w:type="dxa"/>
            <w:tcBorders>
              <w:tl2br w:val="nil"/>
              <w:tr2bl w:val="nil"/>
            </w:tcBorders>
            <w:noWrap w:val="0"/>
            <w:vAlign w:val="center"/>
          </w:tcPr>
          <w:p>
            <w:pPr>
              <w:adjustRightInd w:val="0"/>
              <w:snapToGrid w:val="0"/>
              <w:jc w:val="center"/>
              <w:rPr>
                <w:rFonts w:hint="default"/>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甲苯、二氯甲烷、异丙醇、丙酮</w:t>
            </w:r>
          </w:p>
        </w:tc>
        <w:tc>
          <w:tcPr>
            <w:tcW w:w="1745" w:type="dxa"/>
            <w:vMerge w:val="continue"/>
            <w:tcBorders>
              <w:tl2br w:val="nil"/>
              <w:tr2bl w:val="nil"/>
            </w:tcBorders>
            <w:noWrap w:val="0"/>
            <w:vAlign w:val="center"/>
          </w:tcPr>
          <w:p>
            <w:pPr>
              <w:jc w:val="center"/>
              <w:rPr>
                <w:rFonts w:hint="eastAsia"/>
                <w:color w:val="000000" w:themeColor="text1"/>
                <w:spacing w:val="0"/>
                <w:kern w:val="0"/>
                <w:szCs w:val="21"/>
                <w:highlight w:val="none"/>
                <w:lang w:val="en-GB"/>
                <w14:textFill>
                  <w14:solidFill>
                    <w14:schemeClr w14:val="tx1"/>
                  </w14:solidFill>
                </w14:textFill>
              </w:rPr>
            </w:pPr>
          </w:p>
        </w:tc>
        <w:tc>
          <w:tcPr>
            <w:tcW w:w="2986" w:type="dxa"/>
            <w:tcBorders>
              <w:tl2br w:val="nil"/>
              <w:tr2bl w:val="nil"/>
            </w:tcBorders>
            <w:noWrap w:val="0"/>
            <w:vAlign w:val="center"/>
          </w:tcPr>
          <w:p>
            <w:pPr>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《挥发性有机物排放标准第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部分：</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其他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行业》（DB37/2801.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691"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1397" w:type="dxa"/>
            <w:tcBorders>
              <w:tl2br w:val="nil"/>
              <w:tr2bl w:val="nil"/>
            </w:tcBorders>
            <w:noWrap w:val="0"/>
            <w:vAlign w:val="center"/>
          </w:tcPr>
          <w:p>
            <w:pPr>
              <w:adjustRightInd w:val="0"/>
              <w:snapToGrid w:val="0"/>
              <w:jc w:val="center"/>
              <w:rPr>
                <w:rFonts w:hint="default"/>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甲醇、氯化氢、硫酸雾、氮氧化物</w:t>
            </w:r>
          </w:p>
        </w:tc>
        <w:tc>
          <w:tcPr>
            <w:tcW w:w="1745" w:type="dxa"/>
            <w:vMerge w:val="continue"/>
            <w:tcBorders>
              <w:tl2br w:val="nil"/>
              <w:tr2bl w:val="nil"/>
            </w:tcBorders>
            <w:noWrap w:val="0"/>
            <w:vAlign w:val="center"/>
          </w:tcPr>
          <w:p>
            <w:pPr>
              <w:jc w:val="center"/>
              <w:rPr>
                <w:rFonts w:hint="eastAsia"/>
                <w:color w:val="000000" w:themeColor="text1"/>
                <w:spacing w:val="0"/>
                <w:kern w:val="0"/>
                <w:szCs w:val="21"/>
                <w:highlight w:val="none"/>
                <w:lang w:val="en-GB"/>
                <w14:textFill>
                  <w14:solidFill>
                    <w14:schemeClr w14:val="tx1"/>
                  </w14:solidFill>
                </w14:textFill>
              </w:rPr>
            </w:pPr>
          </w:p>
        </w:tc>
        <w:tc>
          <w:tcPr>
            <w:tcW w:w="2986" w:type="dxa"/>
            <w:tcBorders>
              <w:tl2br w:val="nil"/>
              <w:tr2bl w:val="nil"/>
            </w:tcBorders>
            <w:noWrap w:val="0"/>
            <w:vAlign w:val="center"/>
          </w:tcPr>
          <w:p>
            <w:pPr>
              <w:snapToGrid w:val="0"/>
              <w:jc w:val="center"/>
              <w:rPr>
                <w:rFonts w:hint="eastAsia"/>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《大气污染物综合排放标准》(GB16297-1996)</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585"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691" w:type="dxa"/>
            <w:vMerge w:val="continue"/>
            <w:tcBorders>
              <w:tl2br w:val="nil"/>
              <w:tr2bl w:val="nil"/>
            </w:tcBorders>
            <w:noWrap w:val="0"/>
            <w:vAlign w:val="center"/>
          </w:tcPr>
          <w:p>
            <w:pPr>
              <w:adjustRightInd w:val="0"/>
              <w:snapToGrid w:val="0"/>
              <w:jc w:val="center"/>
              <w:rPr>
                <w:rFonts w:hint="eastAsia"/>
                <w:color w:val="000000" w:themeColor="text1"/>
                <w:spacing w:val="0"/>
                <w:kern w:val="0"/>
                <w:szCs w:val="21"/>
                <w:highlight w:val="none"/>
                <w:lang w:val="en-US" w:eastAsia="zh-CN"/>
                <w14:textFill>
                  <w14:solidFill>
                    <w14:schemeClr w14:val="tx1"/>
                  </w14:solidFill>
                </w14:textFill>
              </w:rPr>
            </w:pPr>
          </w:p>
        </w:tc>
        <w:tc>
          <w:tcPr>
            <w:tcW w:w="1397" w:type="dxa"/>
            <w:tcBorders>
              <w:tl2br w:val="nil"/>
              <w:tr2bl w:val="nil"/>
            </w:tcBorders>
            <w:noWrap w:val="0"/>
            <w:vAlign w:val="center"/>
          </w:tcPr>
          <w:p>
            <w:pPr>
              <w:adjustRightInd w:val="0"/>
              <w:snapToGrid w:val="0"/>
              <w:jc w:val="center"/>
              <w:rPr>
                <w:rFonts w:hint="default"/>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氨</w:t>
            </w:r>
          </w:p>
        </w:tc>
        <w:tc>
          <w:tcPr>
            <w:tcW w:w="1745" w:type="dxa"/>
            <w:vMerge w:val="continue"/>
            <w:tcBorders>
              <w:tl2br w:val="nil"/>
              <w:tr2bl w:val="nil"/>
            </w:tcBorders>
            <w:noWrap w:val="0"/>
            <w:vAlign w:val="center"/>
          </w:tcPr>
          <w:p>
            <w:pPr>
              <w:jc w:val="center"/>
              <w:rPr>
                <w:rFonts w:hint="eastAsia"/>
                <w:color w:val="000000" w:themeColor="text1"/>
                <w:spacing w:val="0"/>
                <w:kern w:val="0"/>
                <w:szCs w:val="21"/>
                <w:highlight w:val="none"/>
                <w:lang w:val="en-GB"/>
                <w14:textFill>
                  <w14:solidFill>
                    <w14:schemeClr w14:val="tx1"/>
                  </w14:solidFill>
                </w14:textFill>
              </w:rPr>
            </w:pPr>
          </w:p>
        </w:tc>
        <w:tc>
          <w:tcPr>
            <w:tcW w:w="2986" w:type="dxa"/>
            <w:tcBorders>
              <w:tl2br w:val="nil"/>
              <w:tr2bl w:val="nil"/>
            </w:tcBorders>
            <w:noWrap w:val="0"/>
            <w:vAlign w:val="center"/>
          </w:tcPr>
          <w:p>
            <w:pPr>
              <w:snapToGrid w:val="0"/>
              <w:jc w:val="center"/>
              <w:rPr>
                <w:rFonts w:hint="eastAsia"/>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《恶臭污染物排放标准》（GB14554-93）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表1标准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地表水环境</w:t>
            </w:r>
          </w:p>
        </w:tc>
        <w:tc>
          <w:tcPr>
            <w:tcW w:w="1276" w:type="dxa"/>
            <w:gridSpan w:val="2"/>
            <w:tcBorders>
              <w:tl2br w:val="nil"/>
              <w:tr2bl w:val="nil"/>
            </w:tcBorders>
            <w:noWrap w:val="0"/>
            <w:vAlign w:val="center"/>
          </w:tcPr>
          <w:p>
            <w:pPr>
              <w:jc w:val="center"/>
              <w:rPr>
                <w:rFonts w:hint="default" w:eastAsia="宋体"/>
                <w:bCs/>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14:textFill>
                  <w14:solidFill>
                    <w14:schemeClr w14:val="tx1"/>
                  </w14:solidFill>
                </w14:textFill>
              </w:rPr>
              <w:t>生活污水、地面清洗废水、实验仪器清洗废水、纯水制备废水</w:t>
            </w:r>
          </w:p>
        </w:tc>
        <w:tc>
          <w:tcPr>
            <w:tcW w:w="1397" w:type="dxa"/>
            <w:tcBorders>
              <w:tl2br w:val="nil"/>
              <w:tr2bl w:val="nil"/>
            </w:tcBorders>
            <w:noWrap w:val="0"/>
            <w:vAlign w:val="center"/>
          </w:tcPr>
          <w:p>
            <w:pPr>
              <w:jc w:val="center"/>
              <w:rPr>
                <w:bCs/>
                <w:color w:val="000000" w:themeColor="text1"/>
                <w:spacing w:val="0"/>
                <w:kern w:val="0"/>
                <w:szCs w:val="21"/>
                <w:highlight w:val="none"/>
                <w14:textFill>
                  <w14:solidFill>
                    <w14:schemeClr w14:val="tx1"/>
                  </w14:solidFill>
                </w14:textFill>
              </w:rPr>
            </w:pPr>
            <w:r>
              <w:rPr>
                <w:bCs/>
                <w:color w:val="000000" w:themeColor="text1"/>
                <w:spacing w:val="0"/>
                <w:kern w:val="0"/>
                <w:szCs w:val="21"/>
                <w:highlight w:val="none"/>
                <w14:textFill>
                  <w14:solidFill>
                    <w14:schemeClr w14:val="tx1"/>
                  </w14:solidFill>
                </w14:textFill>
              </w:rPr>
              <w:t>COD、NH</w:t>
            </w:r>
            <w:r>
              <w:rPr>
                <w:bCs/>
                <w:color w:val="000000" w:themeColor="text1"/>
                <w:spacing w:val="0"/>
                <w:kern w:val="0"/>
                <w:szCs w:val="21"/>
                <w:highlight w:val="none"/>
                <w:vertAlign w:val="subscript"/>
                <w14:textFill>
                  <w14:solidFill>
                    <w14:schemeClr w14:val="tx1"/>
                  </w14:solidFill>
                </w14:textFill>
              </w:rPr>
              <w:t>3</w:t>
            </w:r>
            <w:r>
              <w:rPr>
                <w:bCs/>
                <w:color w:val="000000" w:themeColor="text1"/>
                <w:spacing w:val="0"/>
                <w:kern w:val="0"/>
                <w:szCs w:val="21"/>
                <w:highlight w:val="none"/>
                <w14:textFill>
                  <w14:solidFill>
                    <w14:schemeClr w14:val="tx1"/>
                  </w14:solidFill>
                </w14:textFill>
              </w:rPr>
              <w:t>-N</w:t>
            </w:r>
            <w:r>
              <w:rPr>
                <w:rFonts w:hint="eastAsia"/>
                <w:bCs/>
                <w:color w:val="000000" w:themeColor="text1"/>
                <w:spacing w:val="0"/>
                <w:kern w:val="0"/>
                <w:szCs w:val="21"/>
                <w:highlight w:val="none"/>
                <w:lang w:eastAsia="zh-CN"/>
                <w14:textFill>
                  <w14:solidFill>
                    <w14:schemeClr w14:val="tx1"/>
                  </w14:solidFill>
                </w14:textFill>
              </w:rPr>
              <w:t>、</w:t>
            </w:r>
            <w:r>
              <w:rPr>
                <w:rFonts w:hint="eastAsia"/>
                <w:bCs/>
                <w:color w:val="000000" w:themeColor="text1"/>
                <w:spacing w:val="0"/>
                <w:kern w:val="0"/>
                <w:szCs w:val="21"/>
                <w:highlight w:val="none"/>
                <w:lang w:val="en-US" w:eastAsia="zh-CN"/>
                <w14:textFill>
                  <w14:solidFill>
                    <w14:schemeClr w14:val="tx1"/>
                  </w14:solidFill>
                </w14:textFill>
              </w:rPr>
              <w:t>总氮、全盐量、</w:t>
            </w:r>
            <w:r>
              <w:rPr>
                <w:bCs/>
                <w:color w:val="000000" w:themeColor="text1"/>
                <w:spacing w:val="0"/>
                <w:kern w:val="0"/>
                <w:szCs w:val="21"/>
                <w:highlight w:val="none"/>
                <w14:textFill>
                  <w14:solidFill>
                    <w14:schemeClr w14:val="tx1"/>
                  </w14:solidFill>
                </w14:textFill>
              </w:rPr>
              <w:t>SS</w:t>
            </w:r>
          </w:p>
          <w:p>
            <w:pPr>
              <w:jc w:val="center"/>
              <w:rPr>
                <w:rFonts w:hint="eastAsia"/>
                <w:bCs/>
                <w:color w:val="000000" w:themeColor="text1"/>
                <w:spacing w:val="0"/>
                <w:kern w:val="0"/>
                <w:szCs w:val="21"/>
                <w:highlight w:val="none"/>
                <w:lang w:eastAsia="zh-CN"/>
                <w14:textFill>
                  <w14:solidFill>
                    <w14:schemeClr w14:val="tx1"/>
                  </w14:solidFill>
                </w14:textFill>
              </w:rPr>
            </w:pPr>
          </w:p>
        </w:tc>
        <w:tc>
          <w:tcPr>
            <w:tcW w:w="1745" w:type="dxa"/>
            <w:tcBorders>
              <w:tl2br w:val="nil"/>
              <w:tr2bl w:val="nil"/>
            </w:tcBorders>
            <w:noWrap w:val="0"/>
            <w:vAlign w:val="center"/>
          </w:tcPr>
          <w:p>
            <w:pPr>
              <w:jc w:val="center"/>
              <w:rPr>
                <w:rFonts w:hint="eastAsia"/>
                <w:bCs/>
                <w:color w:val="000000" w:themeColor="text1"/>
                <w:spacing w:val="0"/>
                <w:kern w:val="0"/>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经本厂区污水处理站预处理，然后再排入园区污水处理厂进行深度处理。</w:t>
            </w:r>
          </w:p>
        </w:tc>
        <w:tc>
          <w:tcPr>
            <w:tcW w:w="2986" w:type="dxa"/>
            <w:tcBorders>
              <w:tl2br w:val="nil"/>
              <w:tr2bl w:val="nil"/>
            </w:tcBorders>
            <w:noWrap w:val="0"/>
            <w:vAlign w:val="center"/>
          </w:tcPr>
          <w:p>
            <w:pPr>
              <w:jc w:val="center"/>
              <w:rPr>
                <w:rFonts w:hint="eastAsia"/>
                <w:bCs/>
                <w:color w:val="000000" w:themeColor="text1"/>
                <w:spacing w:val="0"/>
                <w:kern w:val="0"/>
                <w:szCs w:val="21"/>
                <w:highlight w:val="none"/>
                <w:lang w:eastAsia="zh-CN"/>
                <w14:textFill>
                  <w14:solidFill>
                    <w14:schemeClr w14:val="tx1"/>
                  </w14:solidFill>
                </w14:textFill>
              </w:rPr>
            </w:pPr>
            <w:r>
              <w:rPr>
                <w:rFonts w:hint="eastAsia"/>
                <w:color w:val="000000" w:themeColor="text1"/>
                <w:spacing w:val="0"/>
                <w:kern w:val="0"/>
                <w:szCs w:val="21"/>
                <w:highlight w:val="none"/>
                <w14:textFill>
                  <w14:solidFill>
                    <w14:schemeClr w14:val="tx1"/>
                  </w14:solidFill>
                </w14:textFill>
              </w:rPr>
              <w:t>满足园区污水处理厂（嘉祥阳光水务有限公司）接管标准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声环境</w:t>
            </w:r>
          </w:p>
        </w:tc>
        <w:tc>
          <w:tcPr>
            <w:tcW w:w="1276" w:type="dxa"/>
            <w:gridSpan w:val="2"/>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设备</w:t>
            </w:r>
          </w:p>
        </w:tc>
        <w:tc>
          <w:tcPr>
            <w:tcW w:w="1397" w:type="dxa"/>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噪声</w:t>
            </w:r>
          </w:p>
        </w:tc>
        <w:tc>
          <w:tcPr>
            <w:tcW w:w="1745" w:type="dxa"/>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snapToGrid w:val="0"/>
                <w:color w:val="000000" w:themeColor="text1"/>
                <w:spacing w:val="0"/>
                <w:kern w:val="0"/>
                <w:szCs w:val="21"/>
                <w:highlight w:val="none"/>
                <w14:textFill>
                  <w14:solidFill>
                    <w14:schemeClr w14:val="tx1"/>
                  </w14:solidFill>
                </w14:textFill>
              </w:rPr>
              <w:t>选用低噪设备、基础减振、风机消声等措施</w:t>
            </w:r>
          </w:p>
        </w:tc>
        <w:tc>
          <w:tcPr>
            <w:tcW w:w="2986" w:type="dxa"/>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《工业企业厂界环境噪声排放标准》（GB12348-2008）</w:t>
            </w:r>
            <w:r>
              <w:rPr>
                <w:rFonts w:hint="eastAsia"/>
                <w:color w:val="000000" w:themeColor="text1"/>
                <w:spacing w:val="0"/>
                <w:kern w:val="0"/>
                <w:szCs w:val="21"/>
                <w:highlight w:val="none"/>
                <w:lang w:val="en-US" w:eastAsia="zh-CN"/>
                <w14:textFill>
                  <w14:solidFill>
                    <w14:schemeClr w14:val="tx1"/>
                  </w14:solidFill>
                </w14:textFill>
              </w:rPr>
              <w:t>3</w:t>
            </w:r>
            <w:r>
              <w:rPr>
                <w:color w:val="000000" w:themeColor="text1"/>
                <w:spacing w:val="0"/>
                <w:kern w:val="0"/>
                <w:szCs w:val="21"/>
                <w:highlight w:val="none"/>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电磁辐射</w:t>
            </w:r>
          </w:p>
        </w:tc>
        <w:tc>
          <w:tcPr>
            <w:tcW w:w="1276" w:type="dxa"/>
            <w:gridSpan w:val="2"/>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w:t>
            </w:r>
          </w:p>
        </w:tc>
        <w:tc>
          <w:tcPr>
            <w:tcW w:w="1397" w:type="dxa"/>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w:t>
            </w:r>
          </w:p>
        </w:tc>
        <w:tc>
          <w:tcPr>
            <w:tcW w:w="1745" w:type="dxa"/>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w:t>
            </w:r>
          </w:p>
        </w:tc>
        <w:tc>
          <w:tcPr>
            <w:tcW w:w="2986" w:type="dxa"/>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restart"/>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固体废物</w:t>
            </w:r>
          </w:p>
        </w:tc>
        <w:tc>
          <w:tcPr>
            <w:tcW w:w="4418" w:type="dxa"/>
            <w:gridSpan w:val="4"/>
            <w:tcBorders>
              <w:tl2br w:val="nil"/>
              <w:tr2bl w:val="nil"/>
            </w:tcBorders>
            <w:noWrap w:val="0"/>
            <w:vAlign w:val="center"/>
          </w:tcPr>
          <w:p>
            <w:pPr>
              <w:adjustRightInd w:val="0"/>
              <w:snapToGrid w:val="0"/>
              <w:jc w:val="both"/>
              <w:rPr>
                <w:rFonts w:hint="default" w:eastAsia="宋体"/>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生活垃圾由环卫部门清运处理</w:t>
            </w:r>
          </w:p>
        </w:tc>
        <w:tc>
          <w:tcPr>
            <w:tcW w:w="2986" w:type="dxa"/>
            <w:tcBorders>
              <w:tl2br w:val="nil"/>
              <w:tr2bl w:val="nil"/>
            </w:tcBorders>
            <w:noWrap w:val="0"/>
            <w:vAlign w:val="center"/>
          </w:tcPr>
          <w:p>
            <w:pPr>
              <w:adjustRightInd w:val="0"/>
              <w:snapToGrid w:val="0"/>
              <w:jc w:val="center"/>
              <w:rPr>
                <w:rFonts w:hint="eastAsia" w:eastAsia="宋体"/>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4418" w:type="dxa"/>
            <w:gridSpan w:val="4"/>
            <w:tcBorders>
              <w:tl2br w:val="nil"/>
              <w:tr2bl w:val="nil"/>
            </w:tcBorders>
            <w:noWrap w:val="0"/>
            <w:vAlign w:val="center"/>
          </w:tcPr>
          <w:p>
            <w:pPr>
              <w:adjustRightInd w:val="0"/>
              <w:snapToGrid w:val="0"/>
              <w:jc w:val="both"/>
              <w:rPr>
                <w:rFonts w:hint="eastAsia"/>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废包装材料属于一般固废，收集后定期外售综合利用。</w:t>
            </w:r>
          </w:p>
        </w:tc>
        <w:tc>
          <w:tcPr>
            <w:tcW w:w="2986" w:type="dxa"/>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参照执行</w:t>
            </w:r>
            <w:r>
              <w:rPr>
                <w:color w:val="000000" w:themeColor="text1"/>
                <w:spacing w:val="0"/>
                <w:kern w:val="0"/>
                <w:szCs w:val="21"/>
                <w:highlight w:val="none"/>
                <w14:textFill>
                  <w14:solidFill>
                    <w14:schemeClr w14:val="tx1"/>
                  </w14:solidFill>
                </w14:textFill>
              </w:rPr>
              <w:t>《一般工业固体废物贮存</w:t>
            </w:r>
            <w:r>
              <w:rPr>
                <w:rFonts w:hint="eastAsia"/>
                <w:color w:val="000000" w:themeColor="text1"/>
                <w:spacing w:val="0"/>
                <w:kern w:val="0"/>
                <w:szCs w:val="21"/>
                <w:highlight w:val="none"/>
                <w:lang w:eastAsia="zh-CN"/>
                <w14:textFill>
                  <w14:solidFill>
                    <w14:schemeClr w14:val="tx1"/>
                  </w14:solidFill>
                </w14:textFill>
              </w:rPr>
              <w:t>和填埋</w:t>
            </w:r>
            <w:r>
              <w:rPr>
                <w:color w:val="000000" w:themeColor="text1"/>
                <w:spacing w:val="0"/>
                <w:kern w:val="0"/>
                <w:szCs w:val="21"/>
                <w:highlight w:val="none"/>
                <w14:textFill>
                  <w14:solidFill>
                    <w14:schemeClr w14:val="tx1"/>
                  </w14:solidFill>
                </w14:textFill>
              </w:rPr>
              <w:t>污染控制标准》（</w:t>
            </w:r>
            <w:r>
              <w:rPr>
                <w:rFonts w:hint="eastAsia"/>
                <w:color w:val="000000" w:themeColor="text1"/>
                <w:spacing w:val="0"/>
                <w:kern w:val="0"/>
                <w:szCs w:val="21"/>
                <w:highlight w:val="none"/>
                <w:lang w:eastAsia="zh-CN"/>
                <w14:textFill>
                  <w14:solidFill>
                    <w14:schemeClr w14:val="tx1"/>
                  </w14:solidFill>
                </w14:textFill>
              </w:rPr>
              <w:t>GB18599-2020</w:t>
            </w:r>
            <w:r>
              <w:rPr>
                <w:color w:val="000000" w:themeColor="text1"/>
                <w:spacing w:val="0"/>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vMerge w:val="continue"/>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p>
        </w:tc>
        <w:tc>
          <w:tcPr>
            <w:tcW w:w="4418" w:type="dxa"/>
            <w:gridSpan w:val="4"/>
            <w:tcBorders>
              <w:tl2br w:val="nil"/>
              <w:tr2bl w:val="nil"/>
            </w:tcBorders>
            <w:noWrap w:val="0"/>
            <w:vAlign w:val="center"/>
          </w:tcPr>
          <w:p>
            <w:pPr>
              <w:adjustRightInd w:val="0"/>
              <w:snapToGrid w:val="0"/>
              <w:jc w:val="both"/>
              <w:rPr>
                <w:rFonts w:hint="eastAsia" w:eastAsia="宋体"/>
                <w:color w:val="000000" w:themeColor="text1"/>
                <w:spacing w:val="0"/>
                <w:kern w:val="0"/>
                <w:szCs w:val="21"/>
                <w:highlight w:val="none"/>
                <w:lang w:val="en-US" w:eastAsia="zh-CN"/>
                <w14:textFill>
                  <w14:solidFill>
                    <w14:schemeClr w14:val="tx1"/>
                  </w14:solidFill>
                </w14:textFill>
              </w:rPr>
            </w:pPr>
            <w:r>
              <w:rPr>
                <w:rFonts w:hint="eastAsia"/>
                <w:color w:val="000000" w:themeColor="text1"/>
                <w:spacing w:val="0"/>
                <w:kern w:val="0"/>
                <w:szCs w:val="21"/>
                <w:highlight w:val="none"/>
                <w:lang w:val="en-US" w:eastAsia="zh-CN"/>
                <w14:textFill>
                  <w14:solidFill>
                    <w14:schemeClr w14:val="tx1"/>
                  </w14:solidFill>
                </w14:textFill>
              </w:rPr>
              <w:t>废试剂容器、废耗材、废劳保用品</w:t>
            </w:r>
            <w:r>
              <w:rPr>
                <w:rFonts w:hint="eastAsia"/>
                <w:color w:val="000000" w:themeColor="text1"/>
                <w:spacing w:val="0"/>
                <w:kern w:val="0"/>
                <w:szCs w:val="21"/>
                <w:highlight w:val="none"/>
                <w:lang w:eastAsia="zh-CN"/>
                <w14:textFill>
                  <w14:solidFill>
                    <w14:schemeClr w14:val="tx1"/>
                  </w14:solidFill>
                </w14:textFill>
              </w:rPr>
              <w:t>、</w:t>
            </w:r>
            <w:r>
              <w:rPr>
                <w:rFonts w:hint="eastAsia"/>
                <w:color w:val="000000" w:themeColor="text1"/>
                <w:spacing w:val="0"/>
                <w:kern w:val="0"/>
                <w:szCs w:val="21"/>
                <w:highlight w:val="none"/>
                <w:lang w:val="en-US" w:eastAsia="zh-CN"/>
                <w14:textFill>
                  <w14:solidFill>
                    <w14:schemeClr w14:val="tx1"/>
                  </w14:solidFill>
                </w14:textFill>
              </w:rPr>
              <w:t>废试剂、实验废液、废渣、清洗废液、废活性炭</w:t>
            </w:r>
            <w:r>
              <w:rPr>
                <w:color w:val="000000" w:themeColor="text1"/>
                <w:spacing w:val="0"/>
                <w:kern w:val="0"/>
                <w:szCs w:val="21"/>
                <w:highlight w:val="none"/>
                <w14:textFill>
                  <w14:solidFill>
                    <w14:schemeClr w14:val="tx1"/>
                  </w14:solidFill>
                </w14:textFill>
              </w:rPr>
              <w:t>等危险废物</w:t>
            </w:r>
            <w:r>
              <w:rPr>
                <w:rFonts w:hint="eastAsia"/>
                <w:color w:val="000000" w:themeColor="text1"/>
                <w:spacing w:val="0"/>
                <w:kern w:val="0"/>
                <w:szCs w:val="21"/>
                <w:highlight w:val="none"/>
                <w:lang w:val="en-US" w:eastAsia="zh-CN"/>
                <w14:textFill>
                  <w14:solidFill>
                    <w14:schemeClr w14:val="tx1"/>
                  </w14:solidFill>
                </w14:textFill>
              </w:rPr>
              <w:t>暂存</w:t>
            </w:r>
            <w:r>
              <w:rPr>
                <w:color w:val="000000" w:themeColor="text1"/>
                <w:spacing w:val="0"/>
                <w:kern w:val="0"/>
                <w:szCs w:val="21"/>
                <w:highlight w:val="none"/>
                <w14:textFill>
                  <w14:solidFill>
                    <w14:schemeClr w14:val="tx1"/>
                  </w14:solidFill>
                </w14:textFill>
              </w:rPr>
              <w:t>危废库，</w:t>
            </w:r>
            <w:r>
              <w:rPr>
                <w:rFonts w:hint="eastAsia"/>
                <w:color w:val="000000" w:themeColor="text1"/>
                <w:spacing w:val="0"/>
                <w:kern w:val="0"/>
                <w:szCs w:val="21"/>
                <w:highlight w:val="none"/>
                <w:lang w:val="en-US" w:eastAsia="zh-CN"/>
                <w14:textFill>
                  <w14:solidFill>
                    <w14:schemeClr w14:val="tx1"/>
                  </w14:solidFill>
                </w14:textFill>
              </w:rPr>
              <w:t>焚烧处置</w:t>
            </w:r>
          </w:p>
        </w:tc>
        <w:tc>
          <w:tcPr>
            <w:tcW w:w="2986" w:type="dxa"/>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rFonts w:hint="eastAsia"/>
                <w:color w:val="000000" w:themeColor="text1"/>
                <w:spacing w:val="0"/>
                <w:kern w:val="0"/>
                <w:szCs w:val="21"/>
                <w:highlight w:val="none"/>
                <w14:textFill>
                  <w14:solidFill>
                    <w14:schemeClr w14:val="tx1"/>
                  </w14:solidFill>
                </w14:textFill>
              </w:rPr>
              <w:t>《危险废物贮存污染控制标准》（GB18597-2023）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土壤及地下水</w:t>
            </w:r>
          </w:p>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污染防治措施</w:t>
            </w:r>
          </w:p>
        </w:tc>
        <w:tc>
          <w:tcPr>
            <w:tcW w:w="7404" w:type="dxa"/>
            <w:gridSpan w:val="5"/>
            <w:tcBorders>
              <w:tl2br w:val="nil"/>
              <w:tr2bl w:val="nil"/>
            </w:tcBorders>
            <w:noWrap w:val="0"/>
            <w:vAlign w:val="center"/>
          </w:tcPr>
          <w:p>
            <w:pPr>
              <w:adjustRightInd w:val="0"/>
              <w:snapToGrid w:val="0"/>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厂区采取分区防渗措施。重点防渗区：</w:t>
            </w:r>
            <w:r>
              <w:rPr>
                <w:rFonts w:hint="eastAsia"/>
                <w:color w:val="000000" w:themeColor="text1"/>
                <w:spacing w:val="0"/>
                <w:kern w:val="0"/>
                <w:szCs w:val="21"/>
                <w:highlight w:val="none"/>
                <w:lang w:val="en-US" w:eastAsia="zh-CN"/>
                <w14:textFill>
                  <w14:solidFill>
                    <w14:schemeClr w14:val="tx1"/>
                  </w14:solidFill>
                </w14:textFill>
              </w:rPr>
              <w:t>危废库</w:t>
            </w:r>
            <w:r>
              <w:rPr>
                <w:color w:val="000000" w:themeColor="text1"/>
                <w:spacing w:val="0"/>
                <w:kern w:val="0"/>
                <w:szCs w:val="21"/>
                <w:highlight w:val="none"/>
                <w14:textFill>
                  <w14:solidFill>
                    <w14:schemeClr w14:val="tx1"/>
                  </w14:solidFill>
                </w14:textFill>
              </w:rPr>
              <w:t>，危废间建设符合</w:t>
            </w:r>
            <w:r>
              <w:rPr>
                <w:rFonts w:hint="eastAsia"/>
                <w:color w:val="000000" w:themeColor="text1"/>
                <w:spacing w:val="0"/>
                <w:kern w:val="0"/>
                <w:szCs w:val="21"/>
                <w:highlight w:val="none"/>
                <w14:textFill>
                  <w14:solidFill>
                    <w14:schemeClr w14:val="tx1"/>
                  </w14:solidFill>
                </w14:textFill>
              </w:rPr>
              <w:t>《危险废物贮存污染控制标准》（GB18597-2023）</w:t>
            </w:r>
            <w:r>
              <w:rPr>
                <w:color w:val="000000" w:themeColor="text1"/>
                <w:spacing w:val="0"/>
                <w:kern w:val="0"/>
                <w:szCs w:val="21"/>
                <w:highlight w:val="none"/>
                <w14:textFill>
                  <w14:solidFill>
                    <w14:schemeClr w14:val="tx1"/>
                  </w14:solidFill>
                </w14:textFill>
              </w:rPr>
              <w:t>要求。车间、厂区等采取硬化措施。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生态保护措施</w:t>
            </w:r>
          </w:p>
        </w:tc>
        <w:tc>
          <w:tcPr>
            <w:tcW w:w="7404" w:type="dxa"/>
            <w:gridSpan w:val="5"/>
            <w:tcBorders>
              <w:tl2br w:val="nil"/>
              <w:tr2bl w:val="nil"/>
            </w:tcBorders>
            <w:noWrap w:val="0"/>
            <w:vAlign w:val="center"/>
          </w:tcPr>
          <w:p>
            <w:pPr>
              <w:adjustRightInd w:val="0"/>
              <w:snapToGrid w:val="0"/>
              <w:jc w:val="center"/>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环境风险</w:t>
            </w:r>
          </w:p>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防范措施</w:t>
            </w:r>
          </w:p>
        </w:tc>
        <w:tc>
          <w:tcPr>
            <w:tcW w:w="7404" w:type="dxa"/>
            <w:gridSpan w:val="5"/>
            <w:tcBorders>
              <w:tl2br w:val="nil"/>
              <w:tr2bl w:val="nil"/>
            </w:tcBorders>
            <w:noWrap w:val="0"/>
            <w:vAlign w:val="center"/>
          </w:tcPr>
          <w:p>
            <w:pPr>
              <w:adjustRightInd w:val="0"/>
              <w:snapToGrid w:val="0"/>
              <w:jc w:val="both"/>
              <w:rPr>
                <w:color w:val="000000" w:themeColor="text1"/>
                <w:spacing w:val="0"/>
                <w:kern w:val="0"/>
                <w:szCs w:val="21"/>
                <w:highlight w:val="none"/>
                <w14:textFill>
                  <w14:solidFill>
                    <w14:schemeClr w14:val="tx1"/>
                  </w14:solidFill>
                </w14:textFill>
              </w:rPr>
            </w:pPr>
            <w:r>
              <w:rPr>
                <w:color w:val="000000" w:themeColor="text1"/>
                <w:spacing w:val="0"/>
                <w:kern w:val="0"/>
                <w:szCs w:val="21"/>
                <w:highlight w:val="none"/>
                <w14:textFill>
                  <w14:solidFill>
                    <w14:schemeClr w14:val="tx1"/>
                  </w14:solidFill>
                </w14:textFill>
              </w:rPr>
              <w:t>应制定详细的事故应急计划，严格落实报告表提出的各项环境风险防范措施，配备必要的应急设备（例如灭火器、沙箱等）并对员工进行消防培训，将事故风险环境影响降到最低。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96" w:type="dxa"/>
            <w:tcBorders>
              <w:tl2br w:val="nil"/>
              <w:tr2bl w:val="nil"/>
            </w:tcBorders>
            <w:noWrap w:val="0"/>
            <w:vAlign w:val="center"/>
          </w:tcPr>
          <w:p>
            <w:pPr>
              <w:adjustRightInd w:val="0"/>
              <w:snapToGrid w:val="0"/>
              <w:jc w:val="center"/>
              <w:rPr>
                <w:b/>
                <w:bCs/>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其他环境</w:t>
            </w:r>
          </w:p>
          <w:p>
            <w:pPr>
              <w:adjustRightInd w:val="0"/>
              <w:snapToGrid w:val="0"/>
              <w:jc w:val="center"/>
              <w:rPr>
                <w:color w:val="000000" w:themeColor="text1"/>
                <w:spacing w:val="0"/>
                <w:kern w:val="0"/>
                <w:szCs w:val="21"/>
                <w:highlight w:val="none"/>
                <w14:textFill>
                  <w14:solidFill>
                    <w14:schemeClr w14:val="tx1"/>
                  </w14:solidFill>
                </w14:textFill>
              </w:rPr>
            </w:pPr>
            <w:r>
              <w:rPr>
                <w:b/>
                <w:bCs/>
                <w:color w:val="000000" w:themeColor="text1"/>
                <w:spacing w:val="0"/>
                <w:kern w:val="0"/>
                <w:szCs w:val="21"/>
                <w:highlight w:val="none"/>
                <w14:textFill>
                  <w14:solidFill>
                    <w14:schemeClr w14:val="tx1"/>
                  </w14:solidFill>
                </w14:textFill>
              </w:rPr>
              <w:t>管理要求</w:t>
            </w:r>
          </w:p>
        </w:tc>
        <w:tc>
          <w:tcPr>
            <w:tcW w:w="7404"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000000" w:themeColor="text1"/>
                <w:spacing w:val="0"/>
                <w:kern w:val="0"/>
                <w:highlight w:val="none"/>
                <w14:textFill>
                  <w14:solidFill>
                    <w14:schemeClr w14:val="tx1"/>
                  </w14:solidFill>
                </w14:textFill>
              </w:rPr>
            </w:pPr>
            <w:r>
              <w:rPr>
                <w:rFonts w:hint="eastAsia"/>
                <w:color w:val="000000" w:themeColor="text1"/>
                <w:spacing w:val="0"/>
                <w:kern w:val="0"/>
                <w:highlight w:val="none"/>
                <w:lang w:val="en-US" w:eastAsia="zh-CN"/>
                <w14:textFill>
                  <w14:solidFill>
                    <w14:schemeClr w14:val="tx1"/>
                  </w14:solidFill>
                </w14:textFill>
              </w:rPr>
              <w:t>1、</w:t>
            </w:r>
            <w:r>
              <w:rPr>
                <w:color w:val="000000" w:themeColor="text1"/>
                <w:spacing w:val="0"/>
                <w:kern w:val="0"/>
                <w:highlight w:val="none"/>
                <w14:textFill>
                  <w14:solidFill>
                    <w14:schemeClr w14:val="tx1"/>
                  </w14:solidFill>
                </w14:textFill>
              </w:rPr>
              <w:t>要求建设单位按照《关于开展排放口规范化整治工作的通知》（环发〔1999〕24号）和《排污口规范化整治技术要求（试行）》（环监〔1996〕470号）等文件要求，进行新增排污口规范化设置工作。</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000000" w:themeColor="text1"/>
                <w:spacing w:val="0"/>
                <w:kern w:val="0"/>
                <w:highlight w:val="none"/>
                <w14:textFill>
                  <w14:solidFill>
                    <w14:schemeClr w14:val="tx1"/>
                  </w14:solidFill>
                </w14:textFill>
              </w:rPr>
            </w:pPr>
            <w:r>
              <w:rPr>
                <w:rFonts w:hint="eastAsia"/>
                <w:color w:val="000000" w:themeColor="text1"/>
                <w:spacing w:val="0"/>
                <w:kern w:val="0"/>
                <w:highlight w:val="none"/>
                <w:lang w:val="en-US" w:eastAsia="zh-CN"/>
                <w14:textFill>
                  <w14:solidFill>
                    <w14:schemeClr w14:val="tx1"/>
                  </w14:solidFill>
                </w14:textFill>
              </w:rPr>
              <w:t>2、</w:t>
            </w:r>
            <w:r>
              <w:rPr>
                <w:color w:val="000000" w:themeColor="text1"/>
                <w:spacing w:val="0"/>
                <w:kern w:val="0"/>
                <w:highlight w:val="none"/>
                <w14:textFill>
                  <w14:solidFill>
                    <w14:schemeClr w14:val="tx1"/>
                  </w14:solidFill>
                </w14:textFill>
              </w:rPr>
              <w:t>及时</w:t>
            </w:r>
            <w:r>
              <w:rPr>
                <w:rFonts w:hint="eastAsia"/>
                <w:color w:val="000000" w:themeColor="text1"/>
                <w:spacing w:val="0"/>
                <w:kern w:val="0"/>
                <w:highlight w:val="none"/>
                <w:lang w:val="en-US" w:eastAsia="zh-CN"/>
                <w14:textFill>
                  <w14:solidFill>
                    <w14:schemeClr w14:val="tx1"/>
                  </w14:solidFill>
                </w14:textFill>
              </w:rPr>
              <w:t>变更</w:t>
            </w:r>
            <w:r>
              <w:rPr>
                <w:color w:val="000000" w:themeColor="text1"/>
                <w:spacing w:val="0"/>
                <w:kern w:val="0"/>
                <w:highlight w:val="none"/>
                <w14:textFill>
                  <w14:solidFill>
                    <w14:schemeClr w14:val="tx1"/>
                  </w14:solidFill>
                </w14:textFill>
              </w:rPr>
              <w:t>排污许可证。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000000" w:themeColor="text1"/>
                <w:spacing w:val="0"/>
                <w:kern w:val="0"/>
                <w:highlight w:val="none"/>
                <w14:textFill>
                  <w14:solidFill>
                    <w14:schemeClr w14:val="tx1"/>
                  </w14:solidFill>
                </w14:textFill>
              </w:rPr>
            </w:pPr>
            <w:r>
              <w:rPr>
                <w:rFonts w:hint="eastAsia"/>
                <w:color w:val="000000" w:themeColor="text1"/>
                <w:spacing w:val="0"/>
                <w:kern w:val="0"/>
                <w:highlight w:val="none"/>
                <w:lang w:val="en-US" w:eastAsia="zh-CN"/>
                <w14:textFill>
                  <w14:solidFill>
                    <w14:schemeClr w14:val="tx1"/>
                  </w14:solidFill>
                </w14:textFill>
              </w:rPr>
              <w:t>3、在企业应急预案中加入本项目内容</w:t>
            </w:r>
            <w:r>
              <w:rPr>
                <w:color w:val="000000" w:themeColor="text1"/>
                <w:spacing w:val="0"/>
                <w:kern w:val="0"/>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000000" w:themeColor="text1"/>
                <w:spacing w:val="0"/>
                <w:kern w:val="0"/>
                <w:highlight w:val="none"/>
                <w14:textFill>
                  <w14:solidFill>
                    <w14:schemeClr w14:val="tx1"/>
                  </w14:solidFill>
                </w14:textFill>
              </w:rPr>
            </w:pPr>
            <w:r>
              <w:rPr>
                <w:rFonts w:hint="eastAsia"/>
                <w:color w:val="000000" w:themeColor="text1"/>
                <w:spacing w:val="0"/>
                <w:kern w:val="0"/>
                <w:highlight w:val="none"/>
                <w:lang w:val="en-US" w:eastAsia="zh-CN"/>
                <w14:textFill>
                  <w14:solidFill>
                    <w14:schemeClr w14:val="tx1"/>
                  </w14:solidFill>
                </w14:textFill>
              </w:rPr>
              <w:t>4、</w:t>
            </w:r>
            <w:r>
              <w:rPr>
                <w:color w:val="000000" w:themeColor="text1"/>
                <w:spacing w:val="0"/>
                <w:kern w:val="0"/>
                <w:highlight w:val="none"/>
                <w14:textFill>
                  <w14:solidFill>
                    <w14:schemeClr w14:val="tx1"/>
                  </w14:solidFill>
                </w14:textFill>
              </w:rPr>
              <w:t>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w:t>
            </w:r>
            <w:r>
              <w:rPr>
                <w:rFonts w:ascii="Times New Roman" w:hAnsi="Times New Roman" w:eastAsia="宋体" w:cs="Times New Roman"/>
                <w:color w:val="000000" w:themeColor="text1"/>
                <w:spacing w:val="0"/>
                <w:kern w:val="0"/>
                <w:highlight w:val="none"/>
                <w14:textFill>
                  <w14:solidFill>
                    <w14:schemeClr w14:val="tx1"/>
                  </w14:solidFill>
                </w14:textFill>
              </w:rPr>
              <w:t>同时”落实情况，编制竣工环境保护验收报告。</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000000" w:themeColor="text1"/>
                <w:spacing w:val="0"/>
                <w:kern w:val="0"/>
                <w:highlight w:val="none"/>
                <w14:textFill>
                  <w14:solidFill>
                    <w14:schemeClr w14:val="tx1"/>
                  </w14:solidFill>
                </w14:textFill>
              </w:rPr>
            </w:pPr>
            <w:r>
              <w:rPr>
                <w:rFonts w:hint="eastAsia" w:ascii="Times New Roman" w:hAnsi="Times New Roman" w:eastAsia="宋体" w:cs="Times New Roman"/>
                <w:color w:val="000000" w:themeColor="text1"/>
                <w:spacing w:val="0"/>
                <w:kern w:val="0"/>
                <w:highlight w:val="none"/>
                <w:lang w:val="en-US" w:eastAsia="zh-CN"/>
                <w14:textFill>
                  <w14:solidFill>
                    <w14:schemeClr w14:val="tx1"/>
                  </w14:solidFill>
                </w14:textFill>
              </w:rPr>
              <w:t>5、</w:t>
            </w:r>
            <w:r>
              <w:rPr>
                <w:rFonts w:ascii="Times New Roman" w:hAnsi="Times New Roman" w:eastAsia="宋体" w:cs="Times New Roman"/>
                <w:color w:val="000000" w:themeColor="text1"/>
                <w:spacing w:val="0"/>
                <w:kern w:val="0"/>
                <w:highlight w:val="none"/>
                <w14:textFill>
                  <w14:solidFill>
                    <w14:schemeClr w14:val="tx1"/>
                  </w14:solidFill>
                </w14:textFill>
              </w:rPr>
              <w:t>按要求进行跟踪监测。</w:t>
            </w:r>
          </w:p>
          <w:p>
            <w:pPr>
              <w:adjustRightInd w:val="0"/>
              <w:snapToGrid w:val="0"/>
              <w:rPr>
                <w:color w:val="000000" w:themeColor="text1"/>
                <w:spacing w:val="0"/>
                <w:kern w:val="0"/>
                <w:szCs w:val="21"/>
                <w:highlight w:val="none"/>
                <w14:textFill>
                  <w14:solidFill>
                    <w14:schemeClr w14:val="tx1"/>
                  </w14:solidFill>
                </w14:textFill>
              </w:rPr>
            </w:pPr>
            <w:r>
              <w:rPr>
                <w:rFonts w:hint="eastAsia"/>
                <w:color w:val="000000" w:themeColor="text1"/>
                <w:spacing w:val="0"/>
                <w:kern w:val="0"/>
                <w:highlight w:val="none"/>
                <w:lang w:val="en-US" w:eastAsia="zh-CN"/>
                <w14:textFill>
                  <w14:solidFill>
                    <w14:schemeClr w14:val="tx1"/>
                  </w14:solidFill>
                </w14:textFill>
              </w:rPr>
              <w:t>6、建立固体废物台账。</w:t>
            </w:r>
          </w:p>
        </w:tc>
      </w:tr>
    </w:tbl>
    <w:p>
      <w:pPr>
        <w:pStyle w:val="32"/>
        <w:jc w:val="center"/>
        <w:outlineLvl w:val="0"/>
        <w:rPr>
          <w:rFonts w:ascii="黑体" w:hAnsi="黑体" w:eastAsia="黑体"/>
          <w:snapToGrid w:val="0"/>
          <w:color w:val="000000" w:themeColor="text1"/>
          <w:sz w:val="30"/>
          <w:szCs w:val="30"/>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六、结论</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pStyle w:val="19"/>
              <w:ind w:left="0" w:leftChars="0" w:firstLine="480" w:firstLineChars="200"/>
              <w:rPr>
                <w:rFonts w:ascii="宋体" w:cs="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本项目符合国家产业政策，符合相关环保政策，选址符合当地规划。</w:t>
            </w:r>
            <w:r>
              <w:rPr>
                <w:color w:val="000000" w:themeColor="text1"/>
                <w:sz w:val="24"/>
                <w:highlight w:val="none"/>
                <w14:textFill>
                  <w14:solidFill>
                    <w14:schemeClr w14:val="tx1"/>
                  </w14:solidFill>
                </w14:textFill>
              </w:rPr>
              <w:t>项目运营期</w:t>
            </w:r>
            <w:r>
              <w:rPr>
                <w:rFonts w:hint="eastAsia"/>
                <w:color w:val="000000" w:themeColor="text1"/>
                <w:sz w:val="24"/>
                <w:highlight w:val="none"/>
                <w14:textFill>
                  <w14:solidFill>
                    <w14:schemeClr w14:val="tx1"/>
                  </w14:solidFill>
                </w14:textFill>
              </w:rPr>
              <w:t>在严格加强管理、落实各项污染防治措施后，项目污染物排放可以满足国家规定的相应排放标准要求，</w:t>
            </w:r>
            <w:r>
              <w:rPr>
                <w:color w:val="000000" w:themeColor="text1"/>
                <w:sz w:val="24"/>
                <w:highlight w:val="none"/>
                <w14:textFill>
                  <w14:solidFill>
                    <w14:schemeClr w14:val="tx1"/>
                  </w14:solidFill>
                </w14:textFill>
              </w:rPr>
              <w:t>总量控制指标已落实，</w:t>
            </w:r>
            <w:r>
              <w:rPr>
                <w:rFonts w:hint="eastAsia"/>
                <w:color w:val="000000" w:themeColor="text1"/>
                <w:sz w:val="24"/>
                <w:highlight w:val="none"/>
                <w14:textFill>
                  <w14:solidFill>
                    <w14:schemeClr w14:val="tx1"/>
                  </w14:solidFill>
                </w14:textFill>
              </w:rPr>
              <w:t>对周围环境影响较小。</w:t>
            </w:r>
            <w:r>
              <w:rPr>
                <w:color w:val="000000" w:themeColor="text1"/>
                <w:sz w:val="24"/>
                <w:highlight w:val="none"/>
                <w14:textFill>
                  <w14:solidFill>
                    <w14:schemeClr w14:val="tx1"/>
                  </w14:solidFill>
                </w14:textFill>
              </w:rPr>
              <w:t>环境风险可防</w:t>
            </w:r>
            <w:r>
              <w:rPr>
                <w:rFonts w:hint="eastAsia"/>
                <w:color w:val="000000" w:themeColor="text1"/>
                <w:sz w:val="24"/>
                <w:highlight w:val="none"/>
                <w:lang w:eastAsia="zh-CN"/>
                <w14:textFill>
                  <w14:solidFill>
                    <w14:schemeClr w14:val="tx1"/>
                  </w14:solidFill>
                </w14:textFill>
              </w:rPr>
              <w:t>可</w:t>
            </w:r>
            <w:r>
              <w:rPr>
                <w:color w:val="000000" w:themeColor="text1"/>
                <w:sz w:val="24"/>
                <w:highlight w:val="none"/>
                <w14:textFill>
                  <w14:solidFill>
                    <w14:schemeClr w14:val="tx1"/>
                  </w14:solidFill>
                </w14:textFill>
              </w:rPr>
              <w:t>控</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从环境保护的角度分析，项目建设可行。</w:t>
            </w:r>
          </w:p>
        </w:tc>
      </w:tr>
    </w:tbl>
    <w:p>
      <w:pPr>
        <w:rPr>
          <w:rFonts w:ascii="宋体"/>
          <w:color w:val="000000" w:themeColor="text1"/>
          <w:highlight w:val="none"/>
          <w14:textFill>
            <w14:solidFill>
              <w14:schemeClr w14:val="tx1"/>
            </w14:solidFill>
          </w14:textFill>
        </w:rPr>
        <w:sectPr>
          <w:pgSz w:w="11905" w:h="16838"/>
          <w:pgMar w:top="1701" w:right="1531" w:bottom="2126" w:left="1531" w:header="851" w:footer="850" w:gutter="0"/>
          <w:pgBorders>
            <w:top w:val="none" w:sz="0" w:space="0"/>
            <w:left w:val="none" w:sz="0" w:space="0"/>
            <w:bottom w:val="none" w:sz="0" w:space="0"/>
            <w:right w:val="none" w:sz="0" w:space="0"/>
          </w:pgBorders>
          <w:cols w:space="720" w:num="1"/>
          <w:docGrid w:linePitch="312" w:charSpace="0"/>
        </w:sectPr>
      </w:pPr>
    </w:p>
    <w:p>
      <w:pPr>
        <w:pStyle w:val="32"/>
        <w:adjustRightInd w:val="0"/>
        <w:snapToGrid w:val="0"/>
        <w:spacing w:before="0" w:beforeAutospacing="0" w:after="0" w:afterAutospacing="0" w:line="240" w:lineRule="atLeast"/>
        <w:jc w:val="center"/>
        <w:outlineLvl w:val="0"/>
        <w:rPr>
          <w:rFonts w:ascii="Times New Roman" w:hAnsi="Times New Roman" w:eastAsia="方正小标宋_GBK"/>
          <w:snapToGrid w:val="0"/>
          <w:color w:val="000000" w:themeColor="text1"/>
          <w:sz w:val="38"/>
          <w:szCs w:val="38"/>
          <w:highlight w:val="none"/>
          <w14:textFill>
            <w14:solidFill>
              <w14:schemeClr w14:val="tx1"/>
            </w14:solidFill>
          </w14:textFill>
        </w:rPr>
      </w:pPr>
      <w:r>
        <w:rPr>
          <w:rFonts w:ascii="Times New Roman" w:hAnsi="Times New Roman"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36"/>
        <w:tblW w:w="1381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1" w:type="dxa"/>
          <w:bottom w:w="0" w:type="dxa"/>
          <w:right w:w="11" w:type="dxa"/>
        </w:tblCellMar>
      </w:tblPr>
      <w:tblGrid>
        <w:gridCol w:w="1588"/>
        <w:gridCol w:w="1754"/>
        <w:gridCol w:w="1251"/>
        <w:gridCol w:w="1162"/>
        <w:gridCol w:w="1514"/>
        <w:gridCol w:w="1718"/>
        <w:gridCol w:w="1582"/>
        <w:gridCol w:w="2005"/>
        <w:gridCol w:w="12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trPr>
        <w:tc>
          <w:tcPr>
            <w:tcW w:w="1588" w:type="dxa"/>
            <w:tcBorders>
              <w:tl2br w:val="single" w:color="auto" w:sz="4" w:space="0"/>
            </w:tcBorders>
            <w:noWrap w:val="0"/>
            <w:tcMar>
              <w:left w:w="28" w:type="dxa"/>
              <w:right w:w="28" w:type="dxa"/>
            </w:tcMar>
            <w:vAlign w:val="center"/>
          </w:tcPr>
          <w:p>
            <w:pPr>
              <w:pStyle w:val="73"/>
              <w:spacing w:beforeLines="0" w:afterLines="0" w:line="340" w:lineRule="exact"/>
              <w:rPr>
                <w:rFonts w:hint="eastAsia" w:ascii="黑体" w:hAnsi="黑体" w:eastAsia="黑体" w:cs="黑体"/>
                <w:snapToGrid w:val="0"/>
                <w:color w:val="000000" w:themeColor="text1"/>
                <w:spacing w:val="-6"/>
                <w:kern w:val="21"/>
                <w:szCs w:val="21"/>
                <w:highlight w:val="none"/>
                <w:lang w:val="en-US" w:eastAsia="zh-CN"/>
                <w14:textFill>
                  <w14:solidFill>
                    <w14:schemeClr w14:val="tx1"/>
                  </w14:solidFill>
                </w14:textFill>
              </w:rPr>
            </w:pPr>
            <w:r>
              <w:rPr>
                <w:rFonts w:hint="eastAsia" w:ascii="黑体" w:hAnsi="黑体" w:eastAsia="黑体" w:cs="黑体"/>
                <w:snapToGrid w:val="0"/>
                <w:color w:val="000000" w:themeColor="text1"/>
                <w:spacing w:val="-6"/>
                <w:kern w:val="21"/>
                <w:szCs w:val="21"/>
                <w:highlight w:val="none"/>
                <w:lang w:val="en-US" w:eastAsia="zh-CN"/>
                <w14:textFill>
                  <w14:solidFill>
                    <w14:schemeClr w14:val="tx1"/>
                  </w14:solidFill>
                </w14:textFill>
              </w:rPr>
              <w:t>项目</w:t>
            </w:r>
          </w:p>
          <w:p>
            <w:pPr>
              <w:pStyle w:val="73"/>
              <w:spacing w:beforeLines="0" w:afterLines="0" w:line="340" w:lineRule="exact"/>
              <w:ind w:left="0" w:leftChars="0" w:firstLine="0" w:firstLineChars="0"/>
              <w:jc w:val="both"/>
              <w:rPr>
                <w:rFonts w:hint="eastAsia" w:ascii="黑体" w:hAnsi="黑体" w:eastAsia="黑体" w:cs="黑体"/>
                <w:snapToGrid w:val="0"/>
                <w:color w:val="000000" w:themeColor="text1"/>
                <w:spacing w:val="-6"/>
                <w:kern w:val="21"/>
                <w:szCs w:val="21"/>
                <w:highlight w:val="none"/>
                <w:lang w:val="en-US" w:eastAsia="zh-CN"/>
                <w14:textFill>
                  <w14:solidFill>
                    <w14:schemeClr w14:val="tx1"/>
                  </w14:solidFill>
                </w14:textFill>
              </w:rPr>
            </w:pPr>
            <w:r>
              <w:rPr>
                <w:rFonts w:hint="eastAsia" w:ascii="黑体" w:hAnsi="黑体" w:eastAsia="黑体" w:cs="黑体"/>
                <w:snapToGrid w:val="0"/>
                <w:color w:val="000000" w:themeColor="text1"/>
                <w:spacing w:val="-6"/>
                <w:kern w:val="21"/>
                <w:szCs w:val="21"/>
                <w:highlight w:val="none"/>
                <w:lang w:val="en-US" w:eastAsia="zh-CN"/>
                <w14:textFill>
                  <w14:solidFill>
                    <w14:schemeClr w14:val="tx1"/>
                  </w14:solidFill>
                </w14:textFill>
              </w:rPr>
              <w:t>分类</w:t>
            </w:r>
          </w:p>
        </w:tc>
        <w:tc>
          <w:tcPr>
            <w:tcW w:w="1754" w:type="dxa"/>
            <w:noWrap w:val="0"/>
            <w:tcMar>
              <w:left w:w="28" w:type="dxa"/>
              <w:right w:w="28" w:type="dxa"/>
            </w:tcMar>
            <w:vAlign w:val="center"/>
          </w:tcPr>
          <w:p>
            <w:pPr>
              <w:pStyle w:val="73"/>
              <w:spacing w:beforeLines="0" w:afterLines="0" w:line="340" w:lineRule="exact"/>
              <w:ind w:left="0" w:leftChars="0" w:firstLine="0" w:firstLineChars="0"/>
              <w:jc w:val="center"/>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污染物名称</w:t>
            </w:r>
          </w:p>
        </w:tc>
        <w:tc>
          <w:tcPr>
            <w:tcW w:w="1251" w:type="dxa"/>
            <w:noWrap w:val="0"/>
            <w:tcMar>
              <w:left w:w="28" w:type="dxa"/>
              <w:right w:w="28" w:type="dxa"/>
            </w:tcMar>
            <w:vAlign w:val="center"/>
          </w:tcPr>
          <w:p>
            <w:pPr>
              <w:pStyle w:val="73"/>
              <w:spacing w:beforeLines="0" w:afterLines="0" w:line="340" w:lineRule="exact"/>
              <w:ind w:left="0" w:leftChars="0" w:firstLine="0" w:firstLineChars="0"/>
              <w:jc w:val="both"/>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现有工程排放量（固体废物产生量）</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①</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c>
          <w:tcPr>
            <w:tcW w:w="1162" w:type="dxa"/>
            <w:noWrap w:val="0"/>
            <w:tcMar>
              <w:left w:w="28" w:type="dxa"/>
              <w:right w:w="28" w:type="dxa"/>
            </w:tcMar>
            <w:vAlign w:val="center"/>
          </w:tcPr>
          <w:p>
            <w:pPr>
              <w:pStyle w:val="73"/>
              <w:spacing w:beforeLines="0" w:afterLines="0" w:line="340" w:lineRule="exact"/>
              <w:ind w:left="0" w:leftChars="0" w:firstLine="0" w:firstLineChars="0"/>
              <w:jc w:val="both"/>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现有工程许可排放量</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snapToGrid w:val="0"/>
                <w:color w:val="000000" w:themeColor="text1"/>
                <w:spacing w:val="-6"/>
                <w:kern w:val="21"/>
                <w:szCs w:val="21"/>
                <w:highlight w:val="none"/>
                <w:lang w:val="en-US" w:eastAsia="zh-CN"/>
                <w14:textFill>
                  <w14:solidFill>
                    <w14:schemeClr w14:val="tx1"/>
                  </w14:solidFill>
                </w14:textFill>
              </w:rPr>
              <w:t>②</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c>
          <w:tcPr>
            <w:tcW w:w="1514" w:type="dxa"/>
            <w:noWrap w:val="0"/>
            <w:tcMar>
              <w:left w:w="28" w:type="dxa"/>
              <w:right w:w="28" w:type="dxa"/>
            </w:tcMar>
            <w:vAlign w:val="center"/>
          </w:tcPr>
          <w:p>
            <w:pPr>
              <w:pStyle w:val="73"/>
              <w:spacing w:beforeLines="0" w:afterLines="0" w:line="340" w:lineRule="exact"/>
              <w:ind w:left="0" w:leftChars="0" w:firstLine="0" w:firstLineChars="0"/>
              <w:jc w:val="both"/>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在建工程排放量（固体废物产生量）</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③</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c>
          <w:tcPr>
            <w:tcW w:w="1718" w:type="dxa"/>
            <w:noWrap w:val="0"/>
            <w:tcMar>
              <w:left w:w="28" w:type="dxa"/>
              <w:right w:w="28" w:type="dxa"/>
            </w:tcMar>
            <w:vAlign w:val="center"/>
          </w:tcPr>
          <w:p>
            <w:pPr>
              <w:pStyle w:val="73"/>
              <w:spacing w:beforeLines="0" w:afterLines="0" w:line="340" w:lineRule="exact"/>
              <w:ind w:left="0" w:leftChars="0" w:firstLine="0" w:firstLineChars="0"/>
              <w:jc w:val="both"/>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本项目排放量（固体废物产生量）</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④</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c>
          <w:tcPr>
            <w:tcW w:w="1582" w:type="dxa"/>
            <w:noWrap w:val="0"/>
            <w:tcMar>
              <w:left w:w="28" w:type="dxa"/>
              <w:right w:w="28" w:type="dxa"/>
            </w:tcMar>
            <w:vAlign w:val="center"/>
          </w:tcPr>
          <w:p>
            <w:pPr>
              <w:pStyle w:val="73"/>
              <w:spacing w:beforeLines="0" w:afterLines="0" w:line="340" w:lineRule="exact"/>
              <w:ind w:left="0" w:leftChars="0" w:firstLine="0" w:firstLineChars="0"/>
              <w:jc w:val="both"/>
              <w:rPr>
                <w:rFonts w:ascii="Times New Roman" w:eastAsia="黑体"/>
                <w:snapToGrid w:val="0"/>
                <w:color w:val="000000" w:themeColor="text1"/>
                <w:spacing w:val="-1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16"/>
                <w:kern w:val="21"/>
                <w:szCs w:val="21"/>
                <w:highlight w:val="none"/>
                <w:lang w:val="en-US" w:eastAsia="zh-CN"/>
                <w14:textFill>
                  <w14:solidFill>
                    <w14:schemeClr w14:val="tx1"/>
                  </w14:solidFill>
                </w14:textFill>
              </w:rPr>
              <w:t>以新带老削减量（扩建项目不填）</w: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⑤</w: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end"/>
            </w:r>
          </w:p>
        </w:tc>
        <w:tc>
          <w:tcPr>
            <w:tcW w:w="2005" w:type="dxa"/>
            <w:noWrap w:val="0"/>
            <w:tcMar>
              <w:left w:w="28" w:type="dxa"/>
              <w:right w:w="28" w:type="dxa"/>
            </w:tcMar>
            <w:vAlign w:val="center"/>
          </w:tcPr>
          <w:p>
            <w:pPr>
              <w:pStyle w:val="73"/>
              <w:spacing w:beforeLines="0" w:afterLines="0" w:line="340" w:lineRule="exact"/>
              <w:ind w:left="0" w:leftChars="0" w:firstLine="0" w:firstLineChars="0"/>
              <w:jc w:val="both"/>
              <w:rPr>
                <w:rFonts w:ascii="Times New Roman" w:eastAsia="黑体"/>
                <w:snapToGrid w:val="0"/>
                <w:color w:val="000000" w:themeColor="text1"/>
                <w:spacing w:val="-1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16"/>
                <w:kern w:val="21"/>
                <w:szCs w:val="21"/>
                <w:highlight w:val="none"/>
                <w:lang w:val="en-US" w:eastAsia="zh-CN"/>
                <w14:textFill>
                  <w14:solidFill>
                    <w14:schemeClr w14:val="tx1"/>
                  </w14:solidFill>
                </w14:textFill>
              </w:rPr>
              <w:t>本项目建成后全厂排放量（固体废物产生量）</w: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⑥</w: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end"/>
            </w:r>
          </w:p>
        </w:tc>
        <w:tc>
          <w:tcPr>
            <w:tcW w:w="1239" w:type="dxa"/>
            <w:noWrap w:val="0"/>
            <w:tcMar>
              <w:left w:w="28" w:type="dxa"/>
              <w:right w:w="28" w:type="dxa"/>
            </w:tcMar>
            <w:vAlign w:val="center"/>
          </w:tcPr>
          <w:p>
            <w:pPr>
              <w:pStyle w:val="73"/>
              <w:spacing w:beforeLines="0" w:afterLines="0" w:line="340" w:lineRule="exact"/>
              <w:ind w:left="0" w:leftChars="0" w:firstLine="0" w:firstLineChars="0"/>
              <w:jc w:val="center"/>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变化量</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⑦</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restart"/>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t>废气</w:t>
            </w:r>
          </w:p>
        </w:tc>
        <w:tc>
          <w:tcPr>
            <w:tcW w:w="175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2"/>
              <w:rPr>
                <w:color w:val="000000" w:themeColor="text1"/>
                <w:spacing w:val="4"/>
                <w:kern w:val="0"/>
                <w:szCs w:val="21"/>
                <w:highlight w:val="none"/>
                <w14:textFill>
                  <w14:solidFill>
                    <w14:schemeClr w14:val="tx1"/>
                  </w14:solidFill>
                </w14:textFill>
              </w:rPr>
            </w:pPr>
            <w:r>
              <w:rPr>
                <w:color w:val="000000" w:themeColor="text1"/>
                <w:spacing w:val="4"/>
                <w:kern w:val="0"/>
                <w:szCs w:val="21"/>
                <w:highlight w:val="none"/>
                <w14:textFill>
                  <w14:solidFill>
                    <w14:schemeClr w14:val="tx1"/>
                  </w14:solidFill>
                </w14:textFill>
              </w:rPr>
              <w:t>颗粒物</w:t>
            </w:r>
          </w:p>
        </w:tc>
        <w:tc>
          <w:tcPr>
            <w:tcW w:w="125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2"/>
              <w:rPr>
                <w:rFonts w:hint="default" w:eastAsia="宋体"/>
                <w:color w:val="000000" w:themeColor="text1"/>
                <w:spacing w:val="4"/>
                <w:kern w:val="0"/>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2"/>
              <w:rPr>
                <w:rFonts w:hint="default" w:eastAsia="宋体"/>
                <w:color w:val="000000" w:themeColor="text1"/>
                <w:spacing w:val="4"/>
                <w:kern w:val="0"/>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2.571t/a</w:t>
            </w:r>
          </w:p>
        </w:tc>
        <w:tc>
          <w:tcPr>
            <w:tcW w:w="1718"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0</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2"/>
              <w:rPr>
                <w:rFonts w:hint="default" w:eastAsia="宋体"/>
                <w:color w:val="000000" w:themeColor="text1"/>
                <w:spacing w:val="4"/>
                <w:kern w:val="0"/>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eastAsia="宋体"/>
                <w:color w:val="000000" w:themeColor="text1"/>
                <w:spacing w:val="4"/>
                <w:kern w:val="0"/>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2.571t/a</w:t>
            </w:r>
          </w:p>
        </w:tc>
        <w:tc>
          <w:tcPr>
            <w:tcW w:w="1239"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eastAsia="宋体"/>
                <w:color w:val="000000" w:themeColor="text1"/>
                <w:spacing w:val="4"/>
                <w:kern w:val="0"/>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2.571t/a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2"/>
              <w:rPr>
                <w:color w:val="000000" w:themeColor="text1"/>
                <w:spacing w:val="4"/>
                <w:kern w:val="0"/>
                <w:szCs w:val="21"/>
                <w:highlight w:val="none"/>
                <w14:textFill>
                  <w14:solidFill>
                    <w14:schemeClr w14:val="tx1"/>
                  </w14:solidFill>
                </w14:textFill>
              </w:rPr>
            </w:pPr>
            <w:r>
              <w:rPr>
                <w:color w:val="000000" w:themeColor="text1"/>
                <w:spacing w:val="4"/>
                <w:kern w:val="0"/>
                <w:szCs w:val="21"/>
                <w:highlight w:val="none"/>
                <w14:textFill>
                  <w14:solidFill>
                    <w14:schemeClr w14:val="tx1"/>
                  </w14:solidFill>
                </w14:textFill>
              </w:rPr>
              <w:t>SO</w:t>
            </w:r>
            <w:r>
              <w:rPr>
                <w:color w:val="000000" w:themeColor="text1"/>
                <w:spacing w:val="4"/>
                <w:kern w:val="0"/>
                <w:szCs w:val="21"/>
                <w:highlight w:val="none"/>
                <w:vertAlign w:val="subscript"/>
                <w14:textFill>
                  <w14:solidFill>
                    <w14:schemeClr w14:val="tx1"/>
                  </w14:solidFill>
                </w14:textFill>
              </w:rPr>
              <w:t>2</w:t>
            </w:r>
          </w:p>
        </w:tc>
        <w:tc>
          <w:tcPr>
            <w:tcW w:w="1251"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162"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514" w:type="dxa"/>
            <w:noWrap w:val="0"/>
            <w:vAlign w:val="center"/>
          </w:tcPr>
          <w:p>
            <w:pPr>
              <w:keepNext w:val="0"/>
              <w:keepLines w:val="0"/>
              <w:widowControl/>
              <w:suppressLineNumbers w:val="0"/>
              <w:jc w:val="center"/>
              <w:textAlignment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8.242</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718"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bCs/>
                <w:color w:val="000000" w:themeColor="text1"/>
                <w:sz w:val="21"/>
                <w:szCs w:val="21"/>
                <w:highlight w:val="none"/>
                <w:lang w:val="en-US" w:eastAsia="zh-CN"/>
                <w14:textFill>
                  <w14:solidFill>
                    <w14:schemeClr w14:val="tx1"/>
                  </w14:solidFill>
                </w14:textFill>
              </w:rPr>
              <w:t>0</w:t>
            </w:r>
          </w:p>
        </w:tc>
        <w:tc>
          <w:tcPr>
            <w:tcW w:w="1582"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eastAsia" w:ascii="Times New Roman"/>
                <w:bCs/>
                <w:color w:val="000000" w:themeColor="text1"/>
                <w:kern w:val="2"/>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8.242</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239" w:type="dxa"/>
            <w:noWrap w:val="0"/>
            <w:vAlign w:val="center"/>
          </w:tcPr>
          <w:p>
            <w:pPr>
              <w:keepNext w:val="0"/>
              <w:keepLines w:val="0"/>
              <w:widowControl/>
              <w:suppressLineNumbers w:val="0"/>
              <w:jc w:val="center"/>
              <w:textAlignment w:val="center"/>
              <w:rPr>
                <w:rFonts w:hint="eastAsia" w:ascii="Times New Roman" w:hAnsi="Times New Roman" w:eastAsia="仿宋_GB2312"/>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8.242</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2"/>
              <w:rPr>
                <w:color w:val="000000" w:themeColor="text1"/>
                <w:spacing w:val="4"/>
                <w:kern w:val="0"/>
                <w:szCs w:val="21"/>
                <w:highlight w:val="none"/>
                <w14:textFill>
                  <w14:solidFill>
                    <w14:schemeClr w14:val="tx1"/>
                  </w14:solidFill>
                </w14:textFill>
              </w:rPr>
            </w:pPr>
            <w:r>
              <w:rPr>
                <w:color w:val="000000" w:themeColor="text1"/>
                <w:spacing w:val="4"/>
                <w:kern w:val="0"/>
                <w:szCs w:val="21"/>
                <w:highlight w:val="none"/>
                <w14:textFill>
                  <w14:solidFill>
                    <w14:schemeClr w14:val="tx1"/>
                  </w14:solidFill>
                </w14:textFill>
              </w:rPr>
              <w:t>NOx</w:t>
            </w:r>
          </w:p>
        </w:tc>
        <w:tc>
          <w:tcPr>
            <w:tcW w:w="1251"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162"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514" w:type="dxa"/>
            <w:noWrap w:val="0"/>
            <w:vAlign w:val="center"/>
          </w:tcPr>
          <w:p>
            <w:pPr>
              <w:keepNext w:val="0"/>
              <w:keepLines w:val="0"/>
              <w:widowControl/>
              <w:suppressLineNumbers w:val="0"/>
              <w:jc w:val="center"/>
              <w:textAlignment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23.544</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718"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bCs/>
                <w:color w:val="000000" w:themeColor="text1"/>
                <w:sz w:val="21"/>
                <w:szCs w:val="21"/>
                <w:highlight w:val="none"/>
                <w:lang w:val="en-US" w:eastAsia="zh-CN"/>
                <w14:textFill>
                  <w14:solidFill>
                    <w14:schemeClr w14:val="tx1"/>
                  </w14:solidFill>
                </w14:textFill>
              </w:rPr>
              <w:t>0.138kg/a</w:t>
            </w:r>
          </w:p>
        </w:tc>
        <w:tc>
          <w:tcPr>
            <w:tcW w:w="1582"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eastAsia" w:ascii="Times New Roman"/>
                <w:bCs/>
                <w:color w:val="000000" w:themeColor="text1"/>
                <w:kern w:val="2"/>
                <w:sz w:val="21"/>
                <w:szCs w:val="21"/>
                <w:highlight w:val="none"/>
                <w:lang w:val="en-US" w:eastAsia="zh-CN"/>
                <w14:textFill>
                  <w14:solidFill>
                    <w14:schemeClr w14:val="tx1"/>
                  </w14:solidFill>
                </w14:textFill>
              </w:rPr>
              <w:t>0</w:t>
            </w:r>
          </w:p>
        </w:tc>
        <w:tc>
          <w:tcPr>
            <w:tcW w:w="2005" w:type="dxa"/>
            <w:noWrap w:val="0"/>
            <w:vAlign w:val="bottom"/>
          </w:tcPr>
          <w:p>
            <w:pPr>
              <w:keepNext w:val="0"/>
              <w:keepLines w:val="0"/>
              <w:widowControl/>
              <w:suppressLineNumbers w:val="0"/>
              <w:jc w:val="center"/>
              <w:textAlignment w:val="bottom"/>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23.5441</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239" w:type="dxa"/>
            <w:noWrap w:val="0"/>
            <w:vAlign w:val="bottom"/>
          </w:tcPr>
          <w:p>
            <w:pPr>
              <w:keepNext w:val="0"/>
              <w:keepLines w:val="0"/>
              <w:widowControl/>
              <w:suppressLineNumbers w:val="0"/>
              <w:jc w:val="center"/>
              <w:textAlignment w:val="bottom"/>
              <w:rPr>
                <w:rFonts w:hint="eastAsia" w:ascii="Times New Roman" w:hAnsi="Times New Roman" w:eastAsia="仿宋_GB2312"/>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23.5441</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2"/>
              <w:rPr>
                <w:color w:val="000000" w:themeColor="text1"/>
                <w:spacing w:val="4"/>
                <w:kern w:val="0"/>
                <w:szCs w:val="21"/>
                <w:highlight w:val="none"/>
                <w14:textFill>
                  <w14:solidFill>
                    <w14:schemeClr w14:val="tx1"/>
                  </w14:solidFill>
                </w14:textFill>
              </w:rPr>
            </w:pPr>
            <w:r>
              <w:rPr>
                <w:color w:val="000000" w:themeColor="text1"/>
                <w:spacing w:val="4"/>
                <w:kern w:val="0"/>
                <w:szCs w:val="21"/>
                <w:highlight w:val="none"/>
                <w14:textFill>
                  <w14:solidFill>
                    <w14:schemeClr w14:val="tx1"/>
                  </w14:solidFill>
                </w14:textFill>
              </w:rPr>
              <w:t>VOCs</w:t>
            </w:r>
          </w:p>
        </w:tc>
        <w:tc>
          <w:tcPr>
            <w:tcW w:w="1251"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162"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6.615</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718"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bCs/>
                <w:color w:val="000000" w:themeColor="text1"/>
                <w:sz w:val="21"/>
                <w:szCs w:val="21"/>
                <w:highlight w:val="none"/>
                <w:lang w:val="en-US" w:eastAsia="zh-CN"/>
                <w14:textFill>
                  <w14:solidFill>
                    <w14:schemeClr w14:val="tx1"/>
                  </w14:solidFill>
                </w14:textFill>
              </w:rPr>
              <w:t>29.416kg/a</w:t>
            </w:r>
          </w:p>
        </w:tc>
        <w:tc>
          <w:tcPr>
            <w:tcW w:w="1582"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eastAsia" w:ascii="Times New Roman"/>
                <w:bCs/>
                <w:color w:val="000000" w:themeColor="text1"/>
                <w:kern w:val="2"/>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bottom"/>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6.644</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239" w:type="dxa"/>
            <w:noWrap w:val="0"/>
            <w:vAlign w:val="center"/>
          </w:tcPr>
          <w:p>
            <w:pPr>
              <w:keepNext w:val="0"/>
              <w:keepLines w:val="0"/>
              <w:widowControl/>
              <w:suppressLineNumbers w:val="0"/>
              <w:jc w:val="center"/>
              <w:textAlignment w:val="bottom"/>
              <w:rPr>
                <w:rFonts w:hint="default" w:ascii="Times New Roman" w:hAnsi="Times New Roman" w:eastAsia="仿宋_GB2312"/>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6.644</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restart"/>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t>废水</w:t>
            </w:r>
          </w:p>
        </w:tc>
        <w:tc>
          <w:tcPr>
            <w:tcW w:w="175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2"/>
              <w:rPr>
                <w:color w:val="000000" w:themeColor="text1"/>
                <w:spacing w:val="4"/>
                <w:kern w:val="0"/>
                <w:szCs w:val="21"/>
                <w:highlight w:val="none"/>
                <w14:textFill>
                  <w14:solidFill>
                    <w14:schemeClr w14:val="tx1"/>
                  </w14:solidFill>
                </w14:textFill>
              </w:rPr>
            </w:pPr>
            <w:r>
              <w:rPr>
                <w:color w:val="000000" w:themeColor="text1"/>
                <w:spacing w:val="4"/>
                <w:kern w:val="0"/>
                <w:szCs w:val="21"/>
                <w:highlight w:val="none"/>
                <w14:textFill>
                  <w14:solidFill>
                    <w14:schemeClr w14:val="tx1"/>
                  </w14:solidFill>
                </w14:textFill>
              </w:rPr>
              <w:t>COD</w:t>
            </w:r>
          </w:p>
        </w:tc>
        <w:tc>
          <w:tcPr>
            <w:tcW w:w="1251"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162"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514" w:type="dxa"/>
            <w:noWrap w:val="0"/>
            <w:vAlign w:val="center"/>
          </w:tcPr>
          <w:p>
            <w:pPr>
              <w:keepNext w:val="0"/>
              <w:keepLines w:val="0"/>
              <w:widowControl/>
              <w:suppressLineNumbers w:val="0"/>
              <w:jc w:val="center"/>
              <w:textAlignment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22.253</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718"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bCs/>
                <w:color w:val="000000" w:themeColor="text1"/>
                <w:sz w:val="21"/>
                <w:szCs w:val="21"/>
                <w:highlight w:val="none"/>
                <w:lang w:val="en-US" w:eastAsia="zh-CN"/>
                <w14:textFill>
                  <w14:solidFill>
                    <w14:schemeClr w14:val="tx1"/>
                  </w14:solidFill>
                </w14:textFill>
              </w:rPr>
              <w:t>0.131</w:t>
            </w:r>
            <w:r>
              <w:rPr>
                <w:rFonts w:hint="eastAsia" w:ascii="Times New Roman" w:hAnsi="Times New Roman"/>
                <w:bCs/>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eastAsia" w:ascii="Times New Roman"/>
                <w:bCs/>
                <w:color w:val="000000" w:themeColor="text1"/>
                <w:kern w:val="2"/>
                <w:sz w:val="21"/>
                <w:szCs w:val="21"/>
                <w:highlight w:val="none"/>
                <w:lang w:val="en-US" w:eastAsia="zh-CN"/>
                <w14:textFill>
                  <w14:solidFill>
                    <w14:schemeClr w14:val="tx1"/>
                  </w14:solidFill>
                </w14:textFill>
              </w:rPr>
              <w:t>0</w:t>
            </w:r>
          </w:p>
        </w:tc>
        <w:tc>
          <w:tcPr>
            <w:tcW w:w="2005" w:type="dxa"/>
            <w:noWrap w:val="0"/>
            <w:vAlign w:val="bottom"/>
          </w:tcPr>
          <w:p>
            <w:pPr>
              <w:keepNext w:val="0"/>
              <w:keepLines w:val="0"/>
              <w:widowControl/>
              <w:suppressLineNumbers w:val="0"/>
              <w:jc w:val="center"/>
              <w:textAlignment w:val="bottom"/>
              <w:rPr>
                <w:rFonts w:hint="default" w:ascii="Times New Roman" w:hAnsi="Times New Roman" w:eastAsia="仿宋_GB2312"/>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22.384</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239" w:type="dxa"/>
            <w:noWrap w:val="0"/>
            <w:vAlign w:val="bottom"/>
          </w:tcPr>
          <w:p>
            <w:pPr>
              <w:keepNext w:val="0"/>
              <w:keepLines w:val="0"/>
              <w:widowControl/>
              <w:suppressLineNumbers w:val="0"/>
              <w:jc w:val="center"/>
              <w:textAlignment w:val="bottom"/>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22.384</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2"/>
              <w:rPr>
                <w:color w:val="000000" w:themeColor="text1"/>
                <w:spacing w:val="4"/>
                <w:kern w:val="0"/>
                <w:szCs w:val="21"/>
                <w:highlight w:val="none"/>
                <w14:textFill>
                  <w14:solidFill>
                    <w14:schemeClr w14:val="tx1"/>
                  </w14:solidFill>
                </w14:textFill>
              </w:rPr>
            </w:pPr>
            <w:r>
              <w:rPr>
                <w:color w:val="000000" w:themeColor="text1"/>
                <w:spacing w:val="4"/>
                <w:kern w:val="0"/>
                <w:szCs w:val="21"/>
                <w:highlight w:val="none"/>
                <w14:textFill>
                  <w14:solidFill>
                    <w14:schemeClr w14:val="tx1"/>
                  </w14:solidFill>
                </w14:textFill>
              </w:rPr>
              <w:t>NH</w:t>
            </w:r>
            <w:r>
              <w:rPr>
                <w:color w:val="000000" w:themeColor="text1"/>
                <w:spacing w:val="4"/>
                <w:kern w:val="0"/>
                <w:szCs w:val="21"/>
                <w:highlight w:val="none"/>
                <w:vertAlign w:val="subscript"/>
                <w14:textFill>
                  <w14:solidFill>
                    <w14:schemeClr w14:val="tx1"/>
                  </w14:solidFill>
                </w14:textFill>
              </w:rPr>
              <w:t>3</w:t>
            </w:r>
            <w:r>
              <w:rPr>
                <w:color w:val="000000" w:themeColor="text1"/>
                <w:spacing w:val="4"/>
                <w:kern w:val="0"/>
                <w:szCs w:val="21"/>
                <w:highlight w:val="none"/>
                <w14:textFill>
                  <w14:solidFill>
                    <w14:schemeClr w14:val="tx1"/>
                  </w14:solidFill>
                </w14:textFill>
              </w:rPr>
              <w:t>-N</w:t>
            </w:r>
          </w:p>
        </w:tc>
        <w:tc>
          <w:tcPr>
            <w:tcW w:w="1251"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162"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 w:val="21"/>
                <w:szCs w:val="21"/>
                <w:highlight w:val="none"/>
                <w:lang w:val="en-US" w:eastAsia="zh-CN"/>
                <w14:textFill>
                  <w14:solidFill>
                    <w14:schemeClr w14:val="tx1"/>
                  </w14:solidFill>
                </w14:textFill>
              </w:rPr>
              <w:t>/</w:t>
            </w:r>
          </w:p>
        </w:tc>
        <w:tc>
          <w:tcPr>
            <w:tcW w:w="1514" w:type="dxa"/>
            <w:noWrap w:val="0"/>
            <w:vAlign w:val="center"/>
          </w:tcPr>
          <w:p>
            <w:pPr>
              <w:keepNext w:val="0"/>
              <w:keepLines w:val="0"/>
              <w:widowControl/>
              <w:suppressLineNumbers w:val="0"/>
              <w:jc w:val="center"/>
              <w:textAlignment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718" w:type="dxa"/>
            <w:noWrap w:val="0"/>
            <w:vAlign w:val="center"/>
          </w:tcPr>
          <w:p>
            <w:pPr>
              <w:pStyle w:val="80"/>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bCs/>
                <w:color w:val="000000" w:themeColor="text1"/>
                <w:sz w:val="21"/>
                <w:szCs w:val="21"/>
                <w:highlight w:val="none"/>
                <w:lang w:val="en-US" w:eastAsia="zh-CN"/>
                <w14:textFill>
                  <w14:solidFill>
                    <w14:schemeClr w14:val="tx1"/>
                  </w14:solidFill>
                </w14:textFill>
              </w:rPr>
            </w:pPr>
            <w:r>
              <w:rPr>
                <w:rFonts w:hint="eastAsia" w:ascii="Times New Roman"/>
                <w:bCs/>
                <w:color w:val="000000" w:themeColor="text1"/>
                <w:sz w:val="21"/>
                <w:szCs w:val="21"/>
                <w:highlight w:val="none"/>
                <w:lang w:val="en-US" w:eastAsia="zh-CN"/>
                <w14:textFill>
                  <w14:solidFill>
                    <w14:schemeClr w14:val="tx1"/>
                  </w14:solidFill>
                </w14:textFill>
              </w:rPr>
              <w:t>0.009</w:t>
            </w:r>
            <w:r>
              <w:rPr>
                <w:rFonts w:hint="eastAsia" w:ascii="Times New Roman" w:hAnsi="Times New Roman"/>
                <w:bCs/>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Cs/>
                <w:color w:val="000000" w:themeColor="text1"/>
                <w:kern w:val="2"/>
                <w:sz w:val="21"/>
                <w:szCs w:val="21"/>
                <w:highlight w:val="none"/>
                <w:lang w:val="en-US" w:eastAsia="zh-CN"/>
                <w14:textFill>
                  <w14:solidFill>
                    <w14:schemeClr w14:val="tx1"/>
                  </w14:solidFill>
                </w14:textFill>
              </w:rPr>
            </w:pPr>
            <w:r>
              <w:rPr>
                <w:rFonts w:hint="eastAsia" w:ascii="Times New Roman"/>
                <w:bCs/>
                <w:color w:val="000000" w:themeColor="text1"/>
                <w:kern w:val="2"/>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1.599</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1.599</w:t>
            </w:r>
            <w:r>
              <w:rPr>
                <w:rFonts w:hint="eastAsia" w:ascii="Times New Roman"/>
                <w:snapToGrid w:val="0"/>
                <w:color w:val="000000" w:themeColor="text1"/>
                <w:kern w:val="21"/>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restart"/>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t>一般工业</w:t>
            </w:r>
          </w:p>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t>固体废物</w:t>
            </w:r>
          </w:p>
        </w:tc>
        <w:tc>
          <w:tcPr>
            <w:tcW w:w="1754" w:type="dxa"/>
            <w:noWrap w:val="0"/>
            <w:vAlign w:val="center"/>
          </w:tcPr>
          <w:p>
            <w:pPr>
              <w:keepNext w:val="0"/>
              <w:keepLines w:val="0"/>
              <w:widowControl/>
              <w:suppressLineNumbers w:val="0"/>
              <w:jc w:val="center"/>
              <w:textAlignment w:val="center"/>
              <w:rPr>
                <w:rFonts w:hint="default"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废包装材料</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7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widowControl/>
              <w:suppressLineNumbers w:val="0"/>
              <w:jc w:val="center"/>
              <w:textAlignment w:val="center"/>
              <w:rPr>
                <w:rFonts w:hint="default" w:eastAsia="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合计一般固废</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30t/a</w:t>
            </w:r>
          </w:p>
        </w:tc>
        <w:tc>
          <w:tcPr>
            <w:tcW w:w="1718" w:type="dxa"/>
            <w:noWrap w:val="0"/>
            <w:vAlign w:val="center"/>
          </w:tcPr>
          <w:p>
            <w:pPr>
              <w:keepNext w:val="0"/>
              <w:keepLines w:val="0"/>
              <w:widowControl/>
              <w:suppressLineNumbers w:val="0"/>
              <w:jc w:val="center"/>
              <w:textAlignment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0.1</w:t>
            </w:r>
            <w:r>
              <w:rPr>
                <w:rFonts w:hint="eastAsia" w:ascii="Times New Roman" w:hAnsi="Times New Roman"/>
                <w:b/>
                <w:bCs/>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eastAsia="宋体"/>
                <w:b/>
                <w:bCs/>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30.1</w:t>
            </w: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t/a</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30.1</w:t>
            </w: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restart"/>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pPr>
            <w:r>
              <w:rPr>
                <w:rFonts w:hint="eastAsia" w:ascii="黑体" w:hAnsi="黑体" w:eastAsia="黑体" w:cs="黑体"/>
                <w:snapToGrid w:val="0"/>
                <w:color w:val="000000" w:themeColor="text1"/>
                <w:kern w:val="21"/>
                <w:szCs w:val="21"/>
                <w:highlight w:val="none"/>
                <w:lang w:val="en-US" w:eastAsia="zh-CN"/>
                <w14:textFill>
                  <w14:solidFill>
                    <w14:schemeClr w14:val="tx1"/>
                  </w14:solidFill>
                </w14:textFill>
              </w:rPr>
              <w:t>危险废物</w:t>
            </w:r>
          </w:p>
        </w:tc>
        <w:tc>
          <w:tcPr>
            <w:tcW w:w="1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废试剂容器</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718" w:type="dxa"/>
            <w:noWrap w:val="0"/>
            <w:vAlign w:val="center"/>
          </w:tcPr>
          <w:p>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0.1</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ascii="Times New Roman"/>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废试剂</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718" w:type="dxa"/>
            <w:noWrap w:val="0"/>
            <w:vAlign w:val="center"/>
          </w:tcPr>
          <w:p>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0.02</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ascii="Times New Roman"/>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实验废液</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718" w:type="dxa"/>
            <w:noWrap w:val="0"/>
            <w:vAlign w:val="center"/>
          </w:tcPr>
          <w:p>
            <w:pPr>
              <w:jc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eastAsia="宋体"/>
                <w:color w:val="000000" w:themeColor="text1"/>
                <w:spacing w:val="4"/>
                <w:kern w:val="0"/>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ascii="Times New Roman"/>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清洗废液</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718" w:type="dxa"/>
            <w:noWrap w:val="0"/>
            <w:vAlign w:val="center"/>
          </w:tcPr>
          <w:p>
            <w:pPr>
              <w:jc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4.86</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eastAsia="宋体"/>
                <w:color w:val="000000" w:themeColor="text1"/>
                <w:spacing w:val="4"/>
                <w:kern w:val="0"/>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ascii="Times New Roman"/>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废耗材</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718" w:type="dxa"/>
            <w:noWrap w:val="0"/>
            <w:vAlign w:val="center"/>
          </w:tcPr>
          <w:p>
            <w:pPr>
              <w:jc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0.1</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eastAsia="宋体"/>
                <w:color w:val="000000" w:themeColor="text1"/>
                <w:spacing w:val="4"/>
                <w:kern w:val="0"/>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ascii="Times New Roman"/>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废劳保用品</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718" w:type="dxa"/>
            <w:noWrap w:val="0"/>
            <w:vAlign w:val="center"/>
          </w:tcPr>
          <w:p>
            <w:pPr>
              <w:jc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0.15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eastAsia="宋体"/>
                <w:color w:val="000000" w:themeColor="text1"/>
                <w:spacing w:val="4"/>
                <w:kern w:val="0"/>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ascii="Times New Roman"/>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废活性炭</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w:t>
            </w:r>
          </w:p>
        </w:tc>
        <w:tc>
          <w:tcPr>
            <w:tcW w:w="1718" w:type="dxa"/>
            <w:noWrap w:val="0"/>
            <w:vAlign w:val="center"/>
          </w:tcPr>
          <w:p>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0.5883t/a</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eastAsia" w:ascii="Times New Roman"/>
                <w:snapToGrid w:val="0"/>
                <w:color w:val="000000" w:themeColor="text1"/>
                <w:kern w:val="21"/>
                <w:sz w:val="21"/>
                <w:szCs w:val="21"/>
                <w:highlight w:val="none"/>
                <w:lang w:val="en-US" w:eastAsia="zh-CN"/>
                <w14:textFill>
                  <w14:solidFill>
                    <w14:schemeClr w14:val="tx1"/>
                  </w14:solidFill>
                </w14:textFill>
              </w:rPr>
            </w:pPr>
            <w:r>
              <w:rPr>
                <w:rFonts w:hint="eastAsia" w:eastAsia="宋体"/>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ascii="Times New Roman"/>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widowControl/>
              <w:suppressLineNumbers w:val="0"/>
              <w:jc w:val="center"/>
              <w:textAlignment w:val="center"/>
              <w:rPr>
                <w:rFonts w:hint="default" w:eastAsia="宋体"/>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合计</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自行焚烧处置</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危废</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7915.51t/a</w:t>
            </w:r>
          </w:p>
        </w:tc>
        <w:tc>
          <w:tcPr>
            <w:tcW w:w="1718" w:type="dxa"/>
            <w:noWrap w:val="0"/>
            <w:vAlign w:val="center"/>
          </w:tcPr>
          <w:p>
            <w:pPr>
              <w:keepNext w:val="0"/>
              <w:keepLines w:val="0"/>
              <w:widowControl/>
              <w:suppressLineNumbers w:val="0"/>
              <w:jc w:val="center"/>
              <w:textAlignment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35.8183</w:t>
            </w:r>
            <w:r>
              <w:rPr>
                <w:rFonts w:hint="eastAsia" w:ascii="Times New Roman" w:hAnsi="Times New Roman"/>
                <w:b/>
                <w:bCs/>
                <w:color w:val="000000" w:themeColor="text1"/>
                <w:sz w:val="21"/>
                <w:szCs w:val="21"/>
                <w:highlight w:val="none"/>
                <w:lang w:val="en-US" w:eastAsia="zh-CN"/>
                <w14:textFill>
                  <w14:solidFill>
                    <w14:schemeClr w14:val="tx1"/>
                  </w14:solidFill>
                </w14:textFill>
              </w:rPr>
              <w:t>t/a</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eastAsia="宋体"/>
                <w:b/>
                <w:bCs/>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7951.3283</w:t>
            </w:r>
            <w:r>
              <w:rPr>
                <w:rFonts w:hint="eastAsia" w:ascii="Times New Roman" w:hAnsi="Times New Roman"/>
                <w:b/>
                <w:bCs/>
                <w:color w:val="000000" w:themeColor="text1"/>
                <w:sz w:val="21"/>
                <w:szCs w:val="21"/>
                <w:highlight w:val="none"/>
                <w:lang w:val="en-US" w:eastAsia="zh-CN"/>
                <w14:textFill>
                  <w14:solidFill>
                    <w14:schemeClr w14:val="tx1"/>
                  </w14:solidFill>
                </w14:textFill>
              </w:rPr>
              <w:t>t/a</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7951.3283</w:t>
            </w:r>
            <w:r>
              <w:rPr>
                <w:rFonts w:hint="eastAsia" w:ascii="Times New Roman" w:hAnsi="Times New Roman"/>
                <w:b/>
                <w:bCs/>
                <w:color w:val="000000" w:themeColor="text1"/>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588" w:type="dxa"/>
            <w:vMerge w:val="continue"/>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ascii="Times New Roman"/>
                <w:snapToGrid w:val="0"/>
                <w:color w:val="000000" w:themeColor="text1"/>
                <w:kern w:val="21"/>
                <w:szCs w:val="21"/>
                <w:highlight w:val="none"/>
                <w:lang w:val="en-US" w:eastAsia="zh-CN"/>
                <w14:textFill>
                  <w14:solidFill>
                    <w14:schemeClr w14:val="tx1"/>
                  </w14:solidFill>
                </w14:textFill>
              </w:rPr>
            </w:pPr>
          </w:p>
        </w:tc>
        <w:tc>
          <w:tcPr>
            <w:tcW w:w="1754" w:type="dxa"/>
            <w:noWrap w:val="0"/>
            <w:vAlign w:val="center"/>
          </w:tcPr>
          <w:p>
            <w:pPr>
              <w:keepNext w:val="0"/>
              <w:keepLines w:val="0"/>
              <w:widowControl/>
              <w:suppressLineNumbers w:val="0"/>
              <w:jc w:val="center"/>
              <w:textAlignment w:val="center"/>
              <w:rPr>
                <w:rFonts w:hint="default"/>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合计</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委托处置</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危废</w:t>
            </w:r>
          </w:p>
        </w:tc>
        <w:tc>
          <w:tcPr>
            <w:tcW w:w="1251"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w:t>
            </w:r>
          </w:p>
        </w:tc>
        <w:tc>
          <w:tcPr>
            <w:tcW w:w="1514" w:type="dxa"/>
            <w:noWrap w:val="0"/>
            <w:vAlign w:val="center"/>
          </w:tcPr>
          <w:p>
            <w:pPr>
              <w:pStyle w:val="7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ascii="Times New Roman"/>
                <w:b/>
                <w:bCs/>
                <w:snapToGrid w:val="0"/>
                <w:color w:val="000000" w:themeColor="text1"/>
                <w:kern w:val="21"/>
                <w:sz w:val="21"/>
                <w:szCs w:val="21"/>
                <w:highlight w:val="none"/>
                <w:lang w:val="en-US" w:eastAsia="zh-CN"/>
                <w14:textFill>
                  <w14:solidFill>
                    <w14:schemeClr w14:val="tx1"/>
                  </w14:solidFill>
                </w14:textFill>
              </w:rPr>
              <w:t>3485.3t/a</w:t>
            </w:r>
          </w:p>
        </w:tc>
        <w:tc>
          <w:tcPr>
            <w:tcW w:w="1718" w:type="dxa"/>
            <w:noWrap w:val="0"/>
            <w:vAlign w:val="center"/>
          </w:tcPr>
          <w:p>
            <w:pPr>
              <w:keepNext w:val="0"/>
              <w:keepLines w:val="0"/>
              <w:widowControl/>
              <w:suppressLineNumbers w:val="0"/>
              <w:jc w:val="center"/>
              <w:textAlignment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0</w:t>
            </w:r>
          </w:p>
        </w:tc>
        <w:tc>
          <w:tcPr>
            <w:tcW w:w="1582" w:type="dxa"/>
            <w:noWrap w:val="0"/>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rPr>
                <w:rFonts w:hint="default" w:ascii="Times New Roman"/>
                <w:b/>
                <w:bCs/>
                <w:snapToGrid w:val="0"/>
                <w:color w:val="000000" w:themeColor="text1"/>
                <w:kern w:val="21"/>
                <w:sz w:val="21"/>
                <w:szCs w:val="21"/>
                <w:highlight w:val="none"/>
                <w:lang w:val="en-US" w:eastAsia="zh-CN"/>
                <w14:textFill>
                  <w14:solidFill>
                    <w14:schemeClr w14:val="tx1"/>
                  </w14:solidFill>
                </w14:textFill>
              </w:rPr>
            </w:pPr>
            <w:r>
              <w:rPr>
                <w:rFonts w:hint="eastAsia" w:eastAsia="宋体"/>
                <w:b/>
                <w:bCs/>
                <w:color w:val="000000" w:themeColor="text1"/>
                <w:spacing w:val="4"/>
                <w:kern w:val="0"/>
                <w:sz w:val="21"/>
                <w:szCs w:val="21"/>
                <w:highlight w:val="none"/>
                <w:lang w:val="en-US" w:eastAsia="zh-CN"/>
                <w14:textFill>
                  <w14:solidFill>
                    <w14:schemeClr w14:val="tx1"/>
                  </w14:solidFill>
                </w14:textFill>
              </w:rPr>
              <w:t>0</w:t>
            </w:r>
          </w:p>
        </w:tc>
        <w:tc>
          <w:tcPr>
            <w:tcW w:w="20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3485.3</w:t>
            </w:r>
            <w:r>
              <w:rPr>
                <w:rFonts w:hint="eastAsia" w:ascii="Times New Roman" w:hAnsi="Times New Roman"/>
                <w:b/>
                <w:bCs/>
                <w:color w:val="000000" w:themeColor="text1"/>
                <w:sz w:val="21"/>
                <w:szCs w:val="21"/>
                <w:highlight w:val="none"/>
                <w:lang w:val="en-US" w:eastAsia="zh-CN"/>
                <w14:textFill>
                  <w14:solidFill>
                    <w14:schemeClr w14:val="tx1"/>
                  </w14:solidFill>
                </w14:textFill>
              </w:rPr>
              <w:t>t/a</w:t>
            </w:r>
          </w:p>
        </w:tc>
        <w:tc>
          <w:tcPr>
            <w:tcW w:w="12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3485.3</w:t>
            </w:r>
            <w:r>
              <w:rPr>
                <w:rFonts w:hint="eastAsia" w:ascii="Times New Roman" w:hAnsi="Times New Roman"/>
                <w:b/>
                <w:bCs/>
                <w:color w:val="000000" w:themeColor="text1"/>
                <w:sz w:val="21"/>
                <w:szCs w:val="21"/>
                <w:highlight w:val="none"/>
                <w:lang w:val="en-US" w:eastAsia="zh-CN"/>
                <w14:textFill>
                  <w14:solidFill>
                    <w14:schemeClr w14:val="tx1"/>
                  </w14:solidFill>
                </w14:textFill>
              </w:rPr>
              <w:t>t/a</w:t>
            </w:r>
          </w:p>
        </w:tc>
      </w:tr>
    </w:tbl>
    <w:p>
      <w:pPr>
        <w:pStyle w:val="73"/>
        <w:spacing w:before="192" w:beforeLines="80" w:after="24" w:line="240" w:lineRule="auto"/>
        <w:jc w:val="left"/>
        <w:rPr>
          <w:rFonts w:ascii="Times New Roman"/>
          <w:snapToGrid w:val="0"/>
          <w:color w:val="000000" w:themeColor="text1"/>
          <w:spacing w:val="-6"/>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注：</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③</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④</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⑤</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⑦</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p>
    <w:p>
      <w:pPr>
        <w:pStyle w:val="35"/>
        <w:ind w:firstLine="420" w:firstLineChars="200"/>
        <w:jc w:val="both"/>
        <w:rPr>
          <w:rFonts w:hint="default" w:ascii="Times New Roman" w:hAnsi="Courier New"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Times New Roman" w:hAnsi="Courier New" w:eastAsia="宋体" w:cs="Times New Roman"/>
          <w:b w:val="0"/>
          <w:bCs w:val="0"/>
          <w:snapToGrid w:val="0"/>
          <w:color w:val="000000" w:themeColor="text1"/>
          <w:kern w:val="21"/>
          <w:sz w:val="21"/>
          <w:szCs w:val="21"/>
          <w:highlight w:val="none"/>
          <w:lang w:val="en-US" w:eastAsia="zh-CN" w:bidi="ar-SA"/>
          <w14:textFill>
            <w14:solidFill>
              <w14:schemeClr w14:val="tx1"/>
            </w14:solidFill>
          </w14:textFill>
        </w:rPr>
        <w:t>企业两个厂区为独立厂区，分别申请了排污许可证，此表统计的为二期厂区项目</w:t>
      </w:r>
    </w:p>
    <w:p>
      <w:pPr>
        <w:pStyle w:val="35"/>
        <w:jc w:val="both"/>
        <w:rPr>
          <w:rFonts w:hint="eastAsia" w:ascii="Times New Roman" w:hAnsi="Times New Roman" w:cs="Times New Roman"/>
          <w:color w:val="000000" w:themeColor="text1"/>
          <w:highlight w:val="none"/>
          <w:lang w:val="en-US" w:eastAsia="zh-CN"/>
          <w14:textFill>
            <w14:solidFill>
              <w14:schemeClr w14:val="tx1"/>
            </w14:solidFill>
          </w14:textFill>
        </w:rPr>
      </w:pPr>
      <w:bookmarkStart w:id="25" w:name="_GoBack"/>
      <w:bookmarkEnd w:id="25"/>
    </w:p>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BF1225-6098-4BAD-ACC1-4FB0DC8F38F1}"/>
  </w:font>
  <w:font w:name="Courier New">
    <w:panose1 w:val="02070309020205020404"/>
    <w:charset w:val="01"/>
    <w:family w:val="modern"/>
    <w:pitch w:val="default"/>
    <w:sig w:usb0="E0002EFF" w:usb1="C0007843" w:usb2="00000009" w:usb3="00000000" w:csb0="400001FF" w:csb1="FFFF0000"/>
    <w:embedRegular r:id="rId2" w:fontKey="{D00CBA75-E059-4180-9FA1-DA83583DAB0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Consolas">
    <w:panose1 w:val="020B0609020204030204"/>
    <w:charset w:val="00"/>
    <w:family w:val="modern"/>
    <w:pitch w:val="default"/>
    <w:sig w:usb0="E00006FF" w:usb1="0000FCFF" w:usb2="00000001" w:usb3="00000000" w:csb0="6000019F" w:csb1="DFD7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D53E8C36-07DF-4672-8D9C-577F6726CA8E}"/>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4" w:fontKey="{1D77D3D7-22D4-4DD5-A5BA-539965809107}"/>
  </w:font>
  <w:font w:name="楷体_GB2312">
    <w:panose1 w:val="02010609030101010101"/>
    <w:charset w:val="86"/>
    <w:family w:val="modern"/>
    <w:pitch w:val="default"/>
    <w:sig w:usb0="00000001" w:usb1="080E0000" w:usb2="00000000" w:usb3="00000000" w:csb0="00040000" w:csb1="00000000"/>
    <w:embedRegular r:id="rId5" w:fontKey="{C2CF8B83-DB01-48B4-90F2-6CA292095EA2}"/>
  </w:font>
  <w:font w:name="楷体">
    <w:panose1 w:val="02010609060101010101"/>
    <w:charset w:val="86"/>
    <w:family w:val="modern"/>
    <w:pitch w:val="default"/>
    <w:sig w:usb0="800002BF" w:usb1="38CF7CFA" w:usb2="00000016" w:usb3="00000000" w:csb0="00040001" w:csb1="00000000"/>
    <w:embedRegular r:id="rId6" w:fontKey="{44321F68-73D4-4054-866B-6060B91AF5EE}"/>
  </w:font>
  <w:font w:name="Wingdings 2">
    <w:panose1 w:val="05020102010507070707"/>
    <w:charset w:val="02"/>
    <w:family w:val="roman"/>
    <w:pitch w:val="default"/>
    <w:sig w:usb0="00000000" w:usb1="00000000" w:usb2="00000000" w:usb3="00000000" w:csb0="80000000" w:csb1="00000000"/>
    <w:embedRegular r:id="rId7" w:fontKey="{2F866119-14F4-4D98-A876-C0FA82222D07}"/>
  </w:font>
  <w:font w:name="华文楷体">
    <w:panose1 w:val="02010600040101010101"/>
    <w:charset w:val="86"/>
    <w:family w:val="auto"/>
    <w:pitch w:val="default"/>
    <w:sig w:usb0="00000287" w:usb1="080F0000" w:usb2="00000000" w:usb3="00000000" w:csb0="0004009F" w:csb1="DFD70000"/>
    <w:embedRegular r:id="rId8" w:fontKey="{AE50F848-EE12-4D6F-9873-07924E7E9C7A}"/>
  </w:font>
  <w:font w:name="Segoe UI">
    <w:panose1 w:val="020B0502040204020203"/>
    <w:charset w:val="00"/>
    <w:family w:val="auto"/>
    <w:pitch w:val="default"/>
    <w:sig w:usb0="E4002EFF" w:usb1="C000E47F" w:usb2="00000009" w:usb3="00000000" w:csb0="200001FF" w:csb1="00000000"/>
    <w:embedRegular r:id="rId9" w:fontKey="{F613F0C8-6689-4139-AE90-2693686BD563}"/>
  </w:font>
  <w:font w:name="新宋体">
    <w:panose1 w:val="02010609030101010101"/>
    <w:charset w:val="86"/>
    <w:family w:val="modern"/>
    <w:pitch w:val="default"/>
    <w:sig w:usb0="00000203" w:usb1="288F0000" w:usb2="00000006" w:usb3="00000000" w:csb0="00040001" w:csb1="00000000"/>
    <w:embedRegular r:id="rId10" w:fontKey="{B9624431-4D54-499B-858A-5FB36580C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jc w:val="center"/>
                          </w:pPr>
                          <w:r>
                            <w:fldChar w:fldCharType="begin"/>
                          </w:r>
                          <w:r>
                            <w:instrText xml:space="preserve"> PAGE   \* MERGEFORMAT </w:instrText>
                          </w:r>
                          <w:r>
                            <w:fldChar w:fldCharType="separate"/>
                          </w:r>
                          <w:r>
                            <w:rPr>
                              <w:lang w:val="zh-CN"/>
                            </w:rPr>
                            <w:t>47</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23"/>
                      <w:jc w:val="center"/>
                    </w:pPr>
                    <w:r>
                      <w:fldChar w:fldCharType="begin"/>
                    </w:r>
                    <w:r>
                      <w:instrText xml:space="preserve"> PAGE   \* MERGEFORMAT </w:instrText>
                    </w:r>
                    <w:r>
                      <w:fldChar w:fldCharType="separate"/>
                    </w:r>
                    <w:r>
                      <w:rPr>
                        <w:lang w:val="zh-CN"/>
                      </w:rPr>
                      <w:t>47</w:t>
                    </w:r>
                    <w:r>
                      <w:rPr>
                        <w:lang w:val="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jc w:val="center"/>
                          </w:pPr>
                          <w:r>
                            <w:fldChar w:fldCharType="begin"/>
                          </w:r>
                          <w:r>
                            <w:instrText xml:space="preserve">PAGE   \* MERGEFORMAT</w:instrText>
                          </w:r>
                          <w:r>
                            <w:fldChar w:fldCharType="separate"/>
                          </w:r>
                          <w:r>
                            <w:rPr>
                              <w:lang w:val="zh-CN"/>
                            </w:rPr>
                            <w:t>1</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23"/>
                      <w:jc w:val="center"/>
                    </w:pPr>
                    <w:r>
                      <w:fldChar w:fldCharType="begin"/>
                    </w:r>
                    <w:r>
                      <w:instrText xml:space="preserve">PAGE   \* MERGEFORMAT</w:instrText>
                    </w:r>
                    <w:r>
                      <w:fldChar w:fldCharType="separate"/>
                    </w:r>
                    <w:r>
                      <w:rPr>
                        <w:lang w:val="zh-CN"/>
                      </w:rPr>
                      <w:t>1</w:t>
                    </w:r>
                    <w:r>
                      <w:rPr>
                        <w:lang w:val="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B1D215"/>
    <w:multiLevelType w:val="multilevel"/>
    <w:tmpl w:val="AAB1D215"/>
    <w:lvl w:ilvl="0" w:tentative="0">
      <w:start w:val="1"/>
      <w:numFmt w:val="decimal"/>
      <w:lvlText w:val="%1."/>
      <w:lvlJc w:val="left"/>
      <w:pPr>
        <w:ind w:left="432" w:hanging="432"/>
      </w:pPr>
      <w:rPr>
        <w:rFonts w:hint="default" w:ascii="Times New Roman" w:hAnsi="Times New Roman" w:cs="Times New Roman"/>
      </w:rPr>
    </w:lvl>
    <w:lvl w:ilvl="1" w:tentative="0">
      <w:start w:val="1"/>
      <w:numFmt w:val="decimal"/>
      <w:suff w:val="space"/>
      <w:lvlText w:val="%1.%2."/>
      <w:lvlJc w:val="left"/>
      <w:pPr>
        <w:ind w:left="575" w:hanging="575"/>
      </w:pPr>
      <w:rPr>
        <w:rFonts w:hint="default"/>
      </w:rPr>
    </w:lvl>
    <w:lvl w:ilvl="2" w:tentative="0">
      <w:start w:val="1"/>
      <w:numFmt w:val="decimal"/>
      <w:suff w:val="space"/>
      <w:lvlText w:val="%1.%2.%3."/>
      <w:lvlJc w:val="left"/>
      <w:pPr>
        <w:ind w:left="720" w:hanging="720"/>
      </w:pPr>
      <w:rPr>
        <w:rFonts w:hint="default"/>
      </w:rPr>
    </w:lvl>
    <w:lvl w:ilvl="3" w:tentative="0">
      <w:start w:val="1"/>
      <w:numFmt w:val="decimal"/>
      <w:pStyle w:val="6"/>
      <w:suff w:val="space"/>
      <w:lvlText w:val="%1.%2.%3.%4."/>
      <w:lvlJc w:val="left"/>
      <w:pPr>
        <w:ind w:left="864" w:hanging="864"/>
      </w:pPr>
      <w:rPr>
        <w:rFonts w:hint="default"/>
      </w:rPr>
    </w:lvl>
    <w:lvl w:ilvl="4" w:tentative="0">
      <w:start w:val="1"/>
      <w:numFmt w:val="decimal"/>
      <w:lvlText w:val="%1.%2.%3.%4.%5."/>
      <w:lvlJc w:val="left"/>
      <w:pPr>
        <w:ind w:left="1008" w:hanging="1008"/>
      </w:pPr>
      <w:rPr>
        <w:rFonts w:hint="default" w:ascii="Times New Roman" w:hAnsi="Times New Roman" w:cs="Times New Roman"/>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AE76C301"/>
    <w:multiLevelType w:val="singleLevel"/>
    <w:tmpl w:val="AE76C301"/>
    <w:lvl w:ilvl="0" w:tentative="0">
      <w:start w:val="1"/>
      <w:numFmt w:val="bullet"/>
      <w:pStyle w:val="17"/>
      <w:lvlText w:val=""/>
      <w:lvlJc w:val="left"/>
      <w:pPr>
        <w:tabs>
          <w:tab w:val="left" w:pos="2693"/>
        </w:tabs>
        <w:ind w:left="2693" w:hanging="360"/>
      </w:pPr>
      <w:rPr>
        <w:rFonts w:hint="default" w:ascii="Wingdings" w:hAnsi="Wingdings"/>
      </w:rPr>
    </w:lvl>
  </w:abstractNum>
  <w:abstractNum w:abstractNumId="2">
    <w:nsid w:val="01099442"/>
    <w:multiLevelType w:val="singleLevel"/>
    <w:tmpl w:val="01099442"/>
    <w:lvl w:ilvl="0" w:tentative="0">
      <w:start w:val="7"/>
      <w:numFmt w:val="decimal"/>
      <w:suff w:val="nothing"/>
      <w:lvlText w:val="%1、"/>
      <w:lvlJc w:val="left"/>
      <w:rPr>
        <w:rFonts w:hint="default"/>
        <w:b/>
        <w:bCs/>
      </w:rPr>
    </w:lvl>
  </w:abstractNum>
  <w:abstractNum w:abstractNumId="3">
    <w:nsid w:val="1BF20445"/>
    <w:multiLevelType w:val="singleLevel"/>
    <w:tmpl w:val="1BF20445"/>
    <w:lvl w:ilvl="0" w:tentative="0">
      <w:start w:val="2"/>
      <w:numFmt w:val="decimal"/>
      <w:pStyle w:val="114"/>
      <w:suff w:val="nothing"/>
      <w:lvlText w:val="%1、"/>
      <w:lvlJc w:val="left"/>
      <w:pPr>
        <w:ind w:left="-60"/>
      </w:pPr>
    </w:lvl>
  </w:abstractNum>
  <w:abstractNum w:abstractNumId="4">
    <w:nsid w:val="1E7B10E2"/>
    <w:multiLevelType w:val="singleLevel"/>
    <w:tmpl w:val="1E7B10E2"/>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2OGE4YmNlZjUxMTU2ODMzZmI2ZDlhNzljOGNlMDkifQ=="/>
    <w:docVar w:name="KSO_WPS_MARK_KEY" w:val="151471d1-bf69-4c33-8c8e-c609e85430e6"/>
  </w:docVars>
  <w:rsids>
    <w:rsidRoot w:val="00172A27"/>
    <w:rsid w:val="00000265"/>
    <w:rsid w:val="000018A5"/>
    <w:rsid w:val="00002DF9"/>
    <w:rsid w:val="00004551"/>
    <w:rsid w:val="000045BB"/>
    <w:rsid w:val="00004B34"/>
    <w:rsid w:val="00005947"/>
    <w:rsid w:val="000060B3"/>
    <w:rsid w:val="00006CD0"/>
    <w:rsid w:val="000074EC"/>
    <w:rsid w:val="00010ED8"/>
    <w:rsid w:val="000118D8"/>
    <w:rsid w:val="00011DBF"/>
    <w:rsid w:val="000138EB"/>
    <w:rsid w:val="00015032"/>
    <w:rsid w:val="00015636"/>
    <w:rsid w:val="00015825"/>
    <w:rsid w:val="00015D4B"/>
    <w:rsid w:val="00016137"/>
    <w:rsid w:val="000167A4"/>
    <w:rsid w:val="000205AE"/>
    <w:rsid w:val="00020AB3"/>
    <w:rsid w:val="000266F1"/>
    <w:rsid w:val="0002754D"/>
    <w:rsid w:val="000276F5"/>
    <w:rsid w:val="00030279"/>
    <w:rsid w:val="000306E2"/>
    <w:rsid w:val="000306FE"/>
    <w:rsid w:val="00031118"/>
    <w:rsid w:val="000314F8"/>
    <w:rsid w:val="00033F87"/>
    <w:rsid w:val="000344E4"/>
    <w:rsid w:val="000359CC"/>
    <w:rsid w:val="00035C52"/>
    <w:rsid w:val="00036AD7"/>
    <w:rsid w:val="0004013F"/>
    <w:rsid w:val="00041EF7"/>
    <w:rsid w:val="00042AE1"/>
    <w:rsid w:val="00042F5C"/>
    <w:rsid w:val="0004364B"/>
    <w:rsid w:val="00043E70"/>
    <w:rsid w:val="00045C70"/>
    <w:rsid w:val="0004793F"/>
    <w:rsid w:val="00050B5E"/>
    <w:rsid w:val="00053A40"/>
    <w:rsid w:val="00053F32"/>
    <w:rsid w:val="00054DFE"/>
    <w:rsid w:val="00055A93"/>
    <w:rsid w:val="00055C2C"/>
    <w:rsid w:val="00061B1F"/>
    <w:rsid w:val="00061B72"/>
    <w:rsid w:val="00063B86"/>
    <w:rsid w:val="00063DE2"/>
    <w:rsid w:val="00065BD1"/>
    <w:rsid w:val="00065C83"/>
    <w:rsid w:val="000665D7"/>
    <w:rsid w:val="000672D9"/>
    <w:rsid w:val="00067721"/>
    <w:rsid w:val="00071DCB"/>
    <w:rsid w:val="00072FD7"/>
    <w:rsid w:val="000733C4"/>
    <w:rsid w:val="00073500"/>
    <w:rsid w:val="00073E79"/>
    <w:rsid w:val="00074783"/>
    <w:rsid w:val="00074E84"/>
    <w:rsid w:val="00075146"/>
    <w:rsid w:val="00077E0D"/>
    <w:rsid w:val="0008070B"/>
    <w:rsid w:val="000810AC"/>
    <w:rsid w:val="000817C2"/>
    <w:rsid w:val="00081A02"/>
    <w:rsid w:val="00081D88"/>
    <w:rsid w:val="0008217D"/>
    <w:rsid w:val="00082231"/>
    <w:rsid w:val="00082B4A"/>
    <w:rsid w:val="0008328F"/>
    <w:rsid w:val="00083770"/>
    <w:rsid w:val="0008393F"/>
    <w:rsid w:val="000848B7"/>
    <w:rsid w:val="000850FF"/>
    <w:rsid w:val="000855D4"/>
    <w:rsid w:val="00085ED7"/>
    <w:rsid w:val="00086332"/>
    <w:rsid w:val="00086D0D"/>
    <w:rsid w:val="00086E2B"/>
    <w:rsid w:val="00086F7C"/>
    <w:rsid w:val="00087084"/>
    <w:rsid w:val="00087C3D"/>
    <w:rsid w:val="00091AC0"/>
    <w:rsid w:val="000920C6"/>
    <w:rsid w:val="000927D4"/>
    <w:rsid w:val="00092D38"/>
    <w:rsid w:val="0009377B"/>
    <w:rsid w:val="00094CE0"/>
    <w:rsid w:val="000951D8"/>
    <w:rsid w:val="00095744"/>
    <w:rsid w:val="000957CA"/>
    <w:rsid w:val="00095901"/>
    <w:rsid w:val="00095E7D"/>
    <w:rsid w:val="000963A9"/>
    <w:rsid w:val="0009651E"/>
    <w:rsid w:val="00097A95"/>
    <w:rsid w:val="000A0579"/>
    <w:rsid w:val="000A15C0"/>
    <w:rsid w:val="000A1983"/>
    <w:rsid w:val="000A20C9"/>
    <w:rsid w:val="000A30A6"/>
    <w:rsid w:val="000A4225"/>
    <w:rsid w:val="000A5CBB"/>
    <w:rsid w:val="000A6073"/>
    <w:rsid w:val="000A6904"/>
    <w:rsid w:val="000A6B31"/>
    <w:rsid w:val="000A6B6B"/>
    <w:rsid w:val="000A7745"/>
    <w:rsid w:val="000B058F"/>
    <w:rsid w:val="000B109D"/>
    <w:rsid w:val="000B21BD"/>
    <w:rsid w:val="000B2C38"/>
    <w:rsid w:val="000B4467"/>
    <w:rsid w:val="000B4973"/>
    <w:rsid w:val="000B4DB9"/>
    <w:rsid w:val="000B5547"/>
    <w:rsid w:val="000B7C32"/>
    <w:rsid w:val="000C019D"/>
    <w:rsid w:val="000C045F"/>
    <w:rsid w:val="000C09AC"/>
    <w:rsid w:val="000C1477"/>
    <w:rsid w:val="000C161B"/>
    <w:rsid w:val="000C260E"/>
    <w:rsid w:val="000C3E0C"/>
    <w:rsid w:val="000C468A"/>
    <w:rsid w:val="000C46B4"/>
    <w:rsid w:val="000C5AC2"/>
    <w:rsid w:val="000C5FD5"/>
    <w:rsid w:val="000C767F"/>
    <w:rsid w:val="000D38A5"/>
    <w:rsid w:val="000D3D4F"/>
    <w:rsid w:val="000D3FC8"/>
    <w:rsid w:val="000D4100"/>
    <w:rsid w:val="000D5A44"/>
    <w:rsid w:val="000D5D44"/>
    <w:rsid w:val="000D6A86"/>
    <w:rsid w:val="000D6EC4"/>
    <w:rsid w:val="000D73D1"/>
    <w:rsid w:val="000E115F"/>
    <w:rsid w:val="000E136E"/>
    <w:rsid w:val="000E13EC"/>
    <w:rsid w:val="000E14AF"/>
    <w:rsid w:val="000E1DBB"/>
    <w:rsid w:val="000E2DB1"/>
    <w:rsid w:val="000E2E5E"/>
    <w:rsid w:val="000E37C8"/>
    <w:rsid w:val="000E3ED2"/>
    <w:rsid w:val="000E4FF7"/>
    <w:rsid w:val="000E603C"/>
    <w:rsid w:val="000E62F6"/>
    <w:rsid w:val="000E752B"/>
    <w:rsid w:val="000F1705"/>
    <w:rsid w:val="000F261E"/>
    <w:rsid w:val="000F501E"/>
    <w:rsid w:val="000F541B"/>
    <w:rsid w:val="000F6AF0"/>
    <w:rsid w:val="0010111F"/>
    <w:rsid w:val="00101940"/>
    <w:rsid w:val="00101EAE"/>
    <w:rsid w:val="00103D62"/>
    <w:rsid w:val="0010469A"/>
    <w:rsid w:val="00105694"/>
    <w:rsid w:val="00106362"/>
    <w:rsid w:val="00106B85"/>
    <w:rsid w:val="00106CEC"/>
    <w:rsid w:val="00110D57"/>
    <w:rsid w:val="0011169D"/>
    <w:rsid w:val="001127E5"/>
    <w:rsid w:val="00112BEA"/>
    <w:rsid w:val="001133A5"/>
    <w:rsid w:val="00113F3E"/>
    <w:rsid w:val="001153D6"/>
    <w:rsid w:val="00115501"/>
    <w:rsid w:val="00116BF6"/>
    <w:rsid w:val="00116CB8"/>
    <w:rsid w:val="00121C59"/>
    <w:rsid w:val="00121EE4"/>
    <w:rsid w:val="001224DB"/>
    <w:rsid w:val="00123155"/>
    <w:rsid w:val="00124219"/>
    <w:rsid w:val="00124F87"/>
    <w:rsid w:val="001255AB"/>
    <w:rsid w:val="00126AF2"/>
    <w:rsid w:val="00127F92"/>
    <w:rsid w:val="001301A9"/>
    <w:rsid w:val="001306C9"/>
    <w:rsid w:val="00131F42"/>
    <w:rsid w:val="00134059"/>
    <w:rsid w:val="00134F77"/>
    <w:rsid w:val="001353A6"/>
    <w:rsid w:val="001357F1"/>
    <w:rsid w:val="00136DF4"/>
    <w:rsid w:val="001376A0"/>
    <w:rsid w:val="001378D1"/>
    <w:rsid w:val="00137D8B"/>
    <w:rsid w:val="00140FA8"/>
    <w:rsid w:val="001418A8"/>
    <w:rsid w:val="00142347"/>
    <w:rsid w:val="00142FEB"/>
    <w:rsid w:val="00143A2D"/>
    <w:rsid w:val="001454C9"/>
    <w:rsid w:val="00145A41"/>
    <w:rsid w:val="001465C8"/>
    <w:rsid w:val="00146EBE"/>
    <w:rsid w:val="00147B17"/>
    <w:rsid w:val="00150578"/>
    <w:rsid w:val="001507E0"/>
    <w:rsid w:val="00151675"/>
    <w:rsid w:val="00151738"/>
    <w:rsid w:val="00153158"/>
    <w:rsid w:val="001541C7"/>
    <w:rsid w:val="001547AF"/>
    <w:rsid w:val="00155826"/>
    <w:rsid w:val="00157435"/>
    <w:rsid w:val="001577F6"/>
    <w:rsid w:val="00157ACC"/>
    <w:rsid w:val="00160E3F"/>
    <w:rsid w:val="001612F5"/>
    <w:rsid w:val="0016368D"/>
    <w:rsid w:val="001642D5"/>
    <w:rsid w:val="001649A0"/>
    <w:rsid w:val="00164A78"/>
    <w:rsid w:val="00165965"/>
    <w:rsid w:val="00166829"/>
    <w:rsid w:val="00166D59"/>
    <w:rsid w:val="00167D37"/>
    <w:rsid w:val="00170E83"/>
    <w:rsid w:val="00171BBB"/>
    <w:rsid w:val="001722C9"/>
    <w:rsid w:val="001724C4"/>
    <w:rsid w:val="00172A27"/>
    <w:rsid w:val="00172C07"/>
    <w:rsid w:val="001734E2"/>
    <w:rsid w:val="00174527"/>
    <w:rsid w:val="00174FBB"/>
    <w:rsid w:val="0017504D"/>
    <w:rsid w:val="00176127"/>
    <w:rsid w:val="001765B5"/>
    <w:rsid w:val="0017671A"/>
    <w:rsid w:val="00177422"/>
    <w:rsid w:val="0017794B"/>
    <w:rsid w:val="00177BA5"/>
    <w:rsid w:val="00180DF7"/>
    <w:rsid w:val="00181200"/>
    <w:rsid w:val="00182743"/>
    <w:rsid w:val="001827B0"/>
    <w:rsid w:val="001837E3"/>
    <w:rsid w:val="00184019"/>
    <w:rsid w:val="00184479"/>
    <w:rsid w:val="00184590"/>
    <w:rsid w:val="00184A81"/>
    <w:rsid w:val="00185A22"/>
    <w:rsid w:val="00186488"/>
    <w:rsid w:val="00186D03"/>
    <w:rsid w:val="001870D1"/>
    <w:rsid w:val="00187204"/>
    <w:rsid w:val="0018781E"/>
    <w:rsid w:val="00190E51"/>
    <w:rsid w:val="00191A57"/>
    <w:rsid w:val="00192034"/>
    <w:rsid w:val="0019257B"/>
    <w:rsid w:val="0019262D"/>
    <w:rsid w:val="00192E99"/>
    <w:rsid w:val="00193633"/>
    <w:rsid w:val="00193F04"/>
    <w:rsid w:val="0019443F"/>
    <w:rsid w:val="00194C43"/>
    <w:rsid w:val="00196FB4"/>
    <w:rsid w:val="001A07BD"/>
    <w:rsid w:val="001A085E"/>
    <w:rsid w:val="001A13C6"/>
    <w:rsid w:val="001A16EB"/>
    <w:rsid w:val="001A1B35"/>
    <w:rsid w:val="001A1C29"/>
    <w:rsid w:val="001A1ED9"/>
    <w:rsid w:val="001A3237"/>
    <w:rsid w:val="001A439A"/>
    <w:rsid w:val="001A43C8"/>
    <w:rsid w:val="001A48A2"/>
    <w:rsid w:val="001A4CC0"/>
    <w:rsid w:val="001A4D33"/>
    <w:rsid w:val="001A673D"/>
    <w:rsid w:val="001A6F61"/>
    <w:rsid w:val="001A7212"/>
    <w:rsid w:val="001A7B6A"/>
    <w:rsid w:val="001B02D5"/>
    <w:rsid w:val="001B0569"/>
    <w:rsid w:val="001B064A"/>
    <w:rsid w:val="001B091A"/>
    <w:rsid w:val="001B0D7A"/>
    <w:rsid w:val="001B17F2"/>
    <w:rsid w:val="001B1BF2"/>
    <w:rsid w:val="001B1D91"/>
    <w:rsid w:val="001B3041"/>
    <w:rsid w:val="001B3596"/>
    <w:rsid w:val="001B497B"/>
    <w:rsid w:val="001B557C"/>
    <w:rsid w:val="001B586C"/>
    <w:rsid w:val="001B617B"/>
    <w:rsid w:val="001B6A70"/>
    <w:rsid w:val="001B72B8"/>
    <w:rsid w:val="001B7526"/>
    <w:rsid w:val="001C092F"/>
    <w:rsid w:val="001C18C0"/>
    <w:rsid w:val="001C2590"/>
    <w:rsid w:val="001C25DF"/>
    <w:rsid w:val="001C2C24"/>
    <w:rsid w:val="001C2E1F"/>
    <w:rsid w:val="001C3173"/>
    <w:rsid w:val="001C35FB"/>
    <w:rsid w:val="001C390C"/>
    <w:rsid w:val="001C3E53"/>
    <w:rsid w:val="001C408E"/>
    <w:rsid w:val="001C48FE"/>
    <w:rsid w:val="001C53AC"/>
    <w:rsid w:val="001C556A"/>
    <w:rsid w:val="001C56BC"/>
    <w:rsid w:val="001C5D82"/>
    <w:rsid w:val="001C618F"/>
    <w:rsid w:val="001C64A2"/>
    <w:rsid w:val="001C69B3"/>
    <w:rsid w:val="001C6ABE"/>
    <w:rsid w:val="001D074F"/>
    <w:rsid w:val="001D0831"/>
    <w:rsid w:val="001D0DC8"/>
    <w:rsid w:val="001D13B8"/>
    <w:rsid w:val="001D1818"/>
    <w:rsid w:val="001D33BF"/>
    <w:rsid w:val="001D468E"/>
    <w:rsid w:val="001D4ADC"/>
    <w:rsid w:val="001D51B8"/>
    <w:rsid w:val="001D5595"/>
    <w:rsid w:val="001D5EAA"/>
    <w:rsid w:val="001D600E"/>
    <w:rsid w:val="001D6C41"/>
    <w:rsid w:val="001D7874"/>
    <w:rsid w:val="001D7E64"/>
    <w:rsid w:val="001D7F22"/>
    <w:rsid w:val="001E07F5"/>
    <w:rsid w:val="001E2586"/>
    <w:rsid w:val="001E30A9"/>
    <w:rsid w:val="001E3FCF"/>
    <w:rsid w:val="001E43EC"/>
    <w:rsid w:val="001E4C9C"/>
    <w:rsid w:val="001E633D"/>
    <w:rsid w:val="001F0F17"/>
    <w:rsid w:val="001F13E4"/>
    <w:rsid w:val="001F15EA"/>
    <w:rsid w:val="001F1C14"/>
    <w:rsid w:val="001F2232"/>
    <w:rsid w:val="001F2E86"/>
    <w:rsid w:val="001F3347"/>
    <w:rsid w:val="001F3BF6"/>
    <w:rsid w:val="001F3DC3"/>
    <w:rsid w:val="001F4E5E"/>
    <w:rsid w:val="001F568E"/>
    <w:rsid w:val="001F5DAF"/>
    <w:rsid w:val="001F6222"/>
    <w:rsid w:val="001F656E"/>
    <w:rsid w:val="001F69E4"/>
    <w:rsid w:val="001F74A1"/>
    <w:rsid w:val="00200C48"/>
    <w:rsid w:val="0020114A"/>
    <w:rsid w:val="00201310"/>
    <w:rsid w:val="002024BE"/>
    <w:rsid w:val="00203C0C"/>
    <w:rsid w:val="002045FD"/>
    <w:rsid w:val="002048F6"/>
    <w:rsid w:val="00204B23"/>
    <w:rsid w:val="002063F8"/>
    <w:rsid w:val="002070B6"/>
    <w:rsid w:val="0020791F"/>
    <w:rsid w:val="0021000D"/>
    <w:rsid w:val="0021175F"/>
    <w:rsid w:val="00211990"/>
    <w:rsid w:val="0021222E"/>
    <w:rsid w:val="002125B4"/>
    <w:rsid w:val="00212829"/>
    <w:rsid w:val="002133AA"/>
    <w:rsid w:val="002137DA"/>
    <w:rsid w:val="00213840"/>
    <w:rsid w:val="0021521E"/>
    <w:rsid w:val="002152B5"/>
    <w:rsid w:val="002155B8"/>
    <w:rsid w:val="002163F0"/>
    <w:rsid w:val="00216EB2"/>
    <w:rsid w:val="00220A64"/>
    <w:rsid w:val="002220FC"/>
    <w:rsid w:val="00222458"/>
    <w:rsid w:val="002224D3"/>
    <w:rsid w:val="00223454"/>
    <w:rsid w:val="0022363B"/>
    <w:rsid w:val="002237E2"/>
    <w:rsid w:val="00224839"/>
    <w:rsid w:val="002249B2"/>
    <w:rsid w:val="002250EC"/>
    <w:rsid w:val="00226574"/>
    <w:rsid w:val="00226FF3"/>
    <w:rsid w:val="0022706B"/>
    <w:rsid w:val="00227318"/>
    <w:rsid w:val="002278EC"/>
    <w:rsid w:val="00230E00"/>
    <w:rsid w:val="0023280E"/>
    <w:rsid w:val="00233381"/>
    <w:rsid w:val="002334EC"/>
    <w:rsid w:val="0023368F"/>
    <w:rsid w:val="002337DB"/>
    <w:rsid w:val="00234A99"/>
    <w:rsid w:val="00235EEC"/>
    <w:rsid w:val="0023674F"/>
    <w:rsid w:val="00236CA2"/>
    <w:rsid w:val="002377D1"/>
    <w:rsid w:val="00237D33"/>
    <w:rsid w:val="00241FBD"/>
    <w:rsid w:val="00242B4B"/>
    <w:rsid w:val="002431A2"/>
    <w:rsid w:val="00243CD7"/>
    <w:rsid w:val="0024434F"/>
    <w:rsid w:val="00246CB0"/>
    <w:rsid w:val="00246D9B"/>
    <w:rsid w:val="0024789A"/>
    <w:rsid w:val="00247CC1"/>
    <w:rsid w:val="002506BC"/>
    <w:rsid w:val="002529AB"/>
    <w:rsid w:val="00252BB0"/>
    <w:rsid w:val="002530DC"/>
    <w:rsid w:val="00254345"/>
    <w:rsid w:val="0025464E"/>
    <w:rsid w:val="00254BCC"/>
    <w:rsid w:val="00255642"/>
    <w:rsid w:val="00255870"/>
    <w:rsid w:val="00256196"/>
    <w:rsid w:val="00256ABB"/>
    <w:rsid w:val="00257B07"/>
    <w:rsid w:val="00257B17"/>
    <w:rsid w:val="00260108"/>
    <w:rsid w:val="00261E04"/>
    <w:rsid w:val="002638F0"/>
    <w:rsid w:val="00264557"/>
    <w:rsid w:val="00264A12"/>
    <w:rsid w:val="00264CAE"/>
    <w:rsid w:val="00265520"/>
    <w:rsid w:val="002655E5"/>
    <w:rsid w:val="00266608"/>
    <w:rsid w:val="00266B42"/>
    <w:rsid w:val="00266DFD"/>
    <w:rsid w:val="00266EFA"/>
    <w:rsid w:val="00267F9C"/>
    <w:rsid w:val="002711D3"/>
    <w:rsid w:val="00271417"/>
    <w:rsid w:val="00271BE2"/>
    <w:rsid w:val="00271CCD"/>
    <w:rsid w:val="0027219C"/>
    <w:rsid w:val="0027298F"/>
    <w:rsid w:val="00272BDC"/>
    <w:rsid w:val="00273284"/>
    <w:rsid w:val="00273AD7"/>
    <w:rsid w:val="002751E2"/>
    <w:rsid w:val="00275BD3"/>
    <w:rsid w:val="00276928"/>
    <w:rsid w:val="00277290"/>
    <w:rsid w:val="00277B91"/>
    <w:rsid w:val="00277D50"/>
    <w:rsid w:val="00277FAB"/>
    <w:rsid w:val="002805AB"/>
    <w:rsid w:val="00281103"/>
    <w:rsid w:val="00281D52"/>
    <w:rsid w:val="00282037"/>
    <w:rsid w:val="002832B6"/>
    <w:rsid w:val="002833A6"/>
    <w:rsid w:val="00283471"/>
    <w:rsid w:val="00283E2D"/>
    <w:rsid w:val="00284204"/>
    <w:rsid w:val="00286B67"/>
    <w:rsid w:val="00286DA1"/>
    <w:rsid w:val="00287645"/>
    <w:rsid w:val="00287BF5"/>
    <w:rsid w:val="00290332"/>
    <w:rsid w:val="002909D4"/>
    <w:rsid w:val="00291677"/>
    <w:rsid w:val="00291773"/>
    <w:rsid w:val="00291D26"/>
    <w:rsid w:val="002921AC"/>
    <w:rsid w:val="00292500"/>
    <w:rsid w:val="00294C30"/>
    <w:rsid w:val="00295427"/>
    <w:rsid w:val="00297BA1"/>
    <w:rsid w:val="002A001F"/>
    <w:rsid w:val="002A0553"/>
    <w:rsid w:val="002A09D8"/>
    <w:rsid w:val="002A0AAB"/>
    <w:rsid w:val="002A168C"/>
    <w:rsid w:val="002A1CB9"/>
    <w:rsid w:val="002A1E82"/>
    <w:rsid w:val="002A300C"/>
    <w:rsid w:val="002A3455"/>
    <w:rsid w:val="002A3711"/>
    <w:rsid w:val="002A3DC7"/>
    <w:rsid w:val="002A5D0B"/>
    <w:rsid w:val="002A61E7"/>
    <w:rsid w:val="002A64C4"/>
    <w:rsid w:val="002A6997"/>
    <w:rsid w:val="002A7A05"/>
    <w:rsid w:val="002B1FE3"/>
    <w:rsid w:val="002B22D5"/>
    <w:rsid w:val="002B387D"/>
    <w:rsid w:val="002B460C"/>
    <w:rsid w:val="002B49E2"/>
    <w:rsid w:val="002B6A76"/>
    <w:rsid w:val="002B7991"/>
    <w:rsid w:val="002B7B00"/>
    <w:rsid w:val="002B7C44"/>
    <w:rsid w:val="002C2B17"/>
    <w:rsid w:val="002C4AF2"/>
    <w:rsid w:val="002C50E0"/>
    <w:rsid w:val="002C601D"/>
    <w:rsid w:val="002C77B2"/>
    <w:rsid w:val="002D27A1"/>
    <w:rsid w:val="002D3DD0"/>
    <w:rsid w:val="002D6007"/>
    <w:rsid w:val="002E1F3A"/>
    <w:rsid w:val="002E2869"/>
    <w:rsid w:val="002E298A"/>
    <w:rsid w:val="002E2F76"/>
    <w:rsid w:val="002E3587"/>
    <w:rsid w:val="002E3A35"/>
    <w:rsid w:val="002E4630"/>
    <w:rsid w:val="002E51B3"/>
    <w:rsid w:val="002E64F9"/>
    <w:rsid w:val="002E7FC6"/>
    <w:rsid w:val="002F0401"/>
    <w:rsid w:val="002F1105"/>
    <w:rsid w:val="002F1151"/>
    <w:rsid w:val="002F19FC"/>
    <w:rsid w:val="002F30E8"/>
    <w:rsid w:val="002F3323"/>
    <w:rsid w:val="002F3C7C"/>
    <w:rsid w:val="002F51C0"/>
    <w:rsid w:val="002F56D6"/>
    <w:rsid w:val="002F5E59"/>
    <w:rsid w:val="002F70BA"/>
    <w:rsid w:val="002F7C72"/>
    <w:rsid w:val="00300EE0"/>
    <w:rsid w:val="003010EF"/>
    <w:rsid w:val="00301978"/>
    <w:rsid w:val="00301BDF"/>
    <w:rsid w:val="00301F15"/>
    <w:rsid w:val="00302331"/>
    <w:rsid w:val="003029E9"/>
    <w:rsid w:val="0030332C"/>
    <w:rsid w:val="003051C2"/>
    <w:rsid w:val="0030570C"/>
    <w:rsid w:val="0030594E"/>
    <w:rsid w:val="00305FA6"/>
    <w:rsid w:val="003078DC"/>
    <w:rsid w:val="00307986"/>
    <w:rsid w:val="00307F43"/>
    <w:rsid w:val="0031109C"/>
    <w:rsid w:val="00312296"/>
    <w:rsid w:val="0031272A"/>
    <w:rsid w:val="00312EE4"/>
    <w:rsid w:val="00314EB9"/>
    <w:rsid w:val="00314F0E"/>
    <w:rsid w:val="0031592A"/>
    <w:rsid w:val="00316EBB"/>
    <w:rsid w:val="003172E2"/>
    <w:rsid w:val="00317A18"/>
    <w:rsid w:val="00321582"/>
    <w:rsid w:val="00321D8E"/>
    <w:rsid w:val="003228E9"/>
    <w:rsid w:val="00322E64"/>
    <w:rsid w:val="00323AAA"/>
    <w:rsid w:val="00324713"/>
    <w:rsid w:val="0032529C"/>
    <w:rsid w:val="003258BF"/>
    <w:rsid w:val="00325928"/>
    <w:rsid w:val="00326C20"/>
    <w:rsid w:val="0032796A"/>
    <w:rsid w:val="0033003C"/>
    <w:rsid w:val="00330276"/>
    <w:rsid w:val="00330346"/>
    <w:rsid w:val="00330466"/>
    <w:rsid w:val="003305AB"/>
    <w:rsid w:val="00330E98"/>
    <w:rsid w:val="003318EF"/>
    <w:rsid w:val="00331A3A"/>
    <w:rsid w:val="00332863"/>
    <w:rsid w:val="003328C2"/>
    <w:rsid w:val="00333800"/>
    <w:rsid w:val="00333BC7"/>
    <w:rsid w:val="003349AF"/>
    <w:rsid w:val="00335752"/>
    <w:rsid w:val="00335782"/>
    <w:rsid w:val="003358B1"/>
    <w:rsid w:val="0033684D"/>
    <w:rsid w:val="00337B42"/>
    <w:rsid w:val="00337F7E"/>
    <w:rsid w:val="00340102"/>
    <w:rsid w:val="00341574"/>
    <w:rsid w:val="0034159B"/>
    <w:rsid w:val="00341B42"/>
    <w:rsid w:val="00342F48"/>
    <w:rsid w:val="0034348F"/>
    <w:rsid w:val="00343F37"/>
    <w:rsid w:val="00344950"/>
    <w:rsid w:val="00345479"/>
    <w:rsid w:val="00346B3E"/>
    <w:rsid w:val="00346DFD"/>
    <w:rsid w:val="00346E9D"/>
    <w:rsid w:val="0034746D"/>
    <w:rsid w:val="00347967"/>
    <w:rsid w:val="0035000B"/>
    <w:rsid w:val="003508AB"/>
    <w:rsid w:val="003512BE"/>
    <w:rsid w:val="00351EE3"/>
    <w:rsid w:val="003527E5"/>
    <w:rsid w:val="00352E32"/>
    <w:rsid w:val="0035398B"/>
    <w:rsid w:val="00353EAB"/>
    <w:rsid w:val="003560DC"/>
    <w:rsid w:val="0035637E"/>
    <w:rsid w:val="00356653"/>
    <w:rsid w:val="0035681C"/>
    <w:rsid w:val="00356D1C"/>
    <w:rsid w:val="0035743F"/>
    <w:rsid w:val="00357BE2"/>
    <w:rsid w:val="00361278"/>
    <w:rsid w:val="0036170C"/>
    <w:rsid w:val="00361DDC"/>
    <w:rsid w:val="00362682"/>
    <w:rsid w:val="003628F2"/>
    <w:rsid w:val="00363232"/>
    <w:rsid w:val="003637BD"/>
    <w:rsid w:val="00364FB1"/>
    <w:rsid w:val="0036550D"/>
    <w:rsid w:val="003655DB"/>
    <w:rsid w:val="003662CE"/>
    <w:rsid w:val="00366E0F"/>
    <w:rsid w:val="0036765A"/>
    <w:rsid w:val="00367BA8"/>
    <w:rsid w:val="003717AF"/>
    <w:rsid w:val="00371AF6"/>
    <w:rsid w:val="00371DED"/>
    <w:rsid w:val="003721C0"/>
    <w:rsid w:val="00372EF5"/>
    <w:rsid w:val="0037312B"/>
    <w:rsid w:val="00373508"/>
    <w:rsid w:val="00376098"/>
    <w:rsid w:val="00380708"/>
    <w:rsid w:val="00380C50"/>
    <w:rsid w:val="00381A72"/>
    <w:rsid w:val="00381D34"/>
    <w:rsid w:val="0038226D"/>
    <w:rsid w:val="00382CB5"/>
    <w:rsid w:val="00382FDE"/>
    <w:rsid w:val="00383CEF"/>
    <w:rsid w:val="00384676"/>
    <w:rsid w:val="00384ADD"/>
    <w:rsid w:val="003854A6"/>
    <w:rsid w:val="0038565E"/>
    <w:rsid w:val="00385906"/>
    <w:rsid w:val="003876AE"/>
    <w:rsid w:val="00390857"/>
    <w:rsid w:val="00391C9B"/>
    <w:rsid w:val="00393CEF"/>
    <w:rsid w:val="003942D5"/>
    <w:rsid w:val="0039452E"/>
    <w:rsid w:val="003949AF"/>
    <w:rsid w:val="00394AFB"/>
    <w:rsid w:val="00394C71"/>
    <w:rsid w:val="00395611"/>
    <w:rsid w:val="003971B2"/>
    <w:rsid w:val="003A10B7"/>
    <w:rsid w:val="003A14C9"/>
    <w:rsid w:val="003A1554"/>
    <w:rsid w:val="003A1847"/>
    <w:rsid w:val="003A1F8C"/>
    <w:rsid w:val="003A2BF1"/>
    <w:rsid w:val="003A2DF1"/>
    <w:rsid w:val="003A3EF7"/>
    <w:rsid w:val="003A440D"/>
    <w:rsid w:val="003A4BF3"/>
    <w:rsid w:val="003A5660"/>
    <w:rsid w:val="003A6ECC"/>
    <w:rsid w:val="003A7CF8"/>
    <w:rsid w:val="003B25C4"/>
    <w:rsid w:val="003B38C5"/>
    <w:rsid w:val="003B3A04"/>
    <w:rsid w:val="003B3E32"/>
    <w:rsid w:val="003B420D"/>
    <w:rsid w:val="003B4810"/>
    <w:rsid w:val="003B5A03"/>
    <w:rsid w:val="003B5AF7"/>
    <w:rsid w:val="003B6992"/>
    <w:rsid w:val="003C14CE"/>
    <w:rsid w:val="003C28AB"/>
    <w:rsid w:val="003C3008"/>
    <w:rsid w:val="003C5159"/>
    <w:rsid w:val="003C5B3A"/>
    <w:rsid w:val="003C60F6"/>
    <w:rsid w:val="003C6BF7"/>
    <w:rsid w:val="003C6C16"/>
    <w:rsid w:val="003C71DC"/>
    <w:rsid w:val="003C7E5A"/>
    <w:rsid w:val="003D0F82"/>
    <w:rsid w:val="003D22A6"/>
    <w:rsid w:val="003D23FB"/>
    <w:rsid w:val="003D30DF"/>
    <w:rsid w:val="003D37E4"/>
    <w:rsid w:val="003D3912"/>
    <w:rsid w:val="003D3F6D"/>
    <w:rsid w:val="003D4432"/>
    <w:rsid w:val="003D6736"/>
    <w:rsid w:val="003D6840"/>
    <w:rsid w:val="003D794D"/>
    <w:rsid w:val="003E3058"/>
    <w:rsid w:val="003E34F2"/>
    <w:rsid w:val="003E38B5"/>
    <w:rsid w:val="003E39A9"/>
    <w:rsid w:val="003E491C"/>
    <w:rsid w:val="003E5069"/>
    <w:rsid w:val="003E59CD"/>
    <w:rsid w:val="003E61DE"/>
    <w:rsid w:val="003E6A15"/>
    <w:rsid w:val="003E7549"/>
    <w:rsid w:val="003E76A9"/>
    <w:rsid w:val="003E78B4"/>
    <w:rsid w:val="003F0809"/>
    <w:rsid w:val="003F31A9"/>
    <w:rsid w:val="003F3B6B"/>
    <w:rsid w:val="003F4E9F"/>
    <w:rsid w:val="003F6387"/>
    <w:rsid w:val="003F6A8C"/>
    <w:rsid w:val="003F755C"/>
    <w:rsid w:val="003F7EBA"/>
    <w:rsid w:val="00400CBC"/>
    <w:rsid w:val="004020BF"/>
    <w:rsid w:val="00402376"/>
    <w:rsid w:val="00402479"/>
    <w:rsid w:val="004031BD"/>
    <w:rsid w:val="004037A3"/>
    <w:rsid w:val="004041A4"/>
    <w:rsid w:val="00404B2C"/>
    <w:rsid w:val="00405CAA"/>
    <w:rsid w:val="00406457"/>
    <w:rsid w:val="00406F01"/>
    <w:rsid w:val="00407E48"/>
    <w:rsid w:val="00411295"/>
    <w:rsid w:val="004138D1"/>
    <w:rsid w:val="00413911"/>
    <w:rsid w:val="00413C16"/>
    <w:rsid w:val="00414524"/>
    <w:rsid w:val="00415DDE"/>
    <w:rsid w:val="004163D6"/>
    <w:rsid w:val="00416D50"/>
    <w:rsid w:val="00416DAE"/>
    <w:rsid w:val="00416FD5"/>
    <w:rsid w:val="00417772"/>
    <w:rsid w:val="00417E60"/>
    <w:rsid w:val="004201C9"/>
    <w:rsid w:val="0042055F"/>
    <w:rsid w:val="00420E6A"/>
    <w:rsid w:val="004233C3"/>
    <w:rsid w:val="004253BA"/>
    <w:rsid w:val="00425A9E"/>
    <w:rsid w:val="00425B6A"/>
    <w:rsid w:val="0042653A"/>
    <w:rsid w:val="00426D6B"/>
    <w:rsid w:val="00427248"/>
    <w:rsid w:val="00430400"/>
    <w:rsid w:val="00430651"/>
    <w:rsid w:val="00430701"/>
    <w:rsid w:val="0043172A"/>
    <w:rsid w:val="00431E6C"/>
    <w:rsid w:val="00431FF1"/>
    <w:rsid w:val="00433CE7"/>
    <w:rsid w:val="0043702F"/>
    <w:rsid w:val="00437B09"/>
    <w:rsid w:val="004400ED"/>
    <w:rsid w:val="004407B5"/>
    <w:rsid w:val="00441C71"/>
    <w:rsid w:val="0044207F"/>
    <w:rsid w:val="00442E30"/>
    <w:rsid w:val="0044331B"/>
    <w:rsid w:val="00443C1B"/>
    <w:rsid w:val="004443C2"/>
    <w:rsid w:val="004453F9"/>
    <w:rsid w:val="00445533"/>
    <w:rsid w:val="00452738"/>
    <w:rsid w:val="00455517"/>
    <w:rsid w:val="00456091"/>
    <w:rsid w:val="00456E4F"/>
    <w:rsid w:val="00457428"/>
    <w:rsid w:val="00457526"/>
    <w:rsid w:val="004577F7"/>
    <w:rsid w:val="00460214"/>
    <w:rsid w:val="00460E8B"/>
    <w:rsid w:val="004610DB"/>
    <w:rsid w:val="0046191A"/>
    <w:rsid w:val="00461E99"/>
    <w:rsid w:val="00462544"/>
    <w:rsid w:val="00463418"/>
    <w:rsid w:val="00463BE4"/>
    <w:rsid w:val="00465B45"/>
    <w:rsid w:val="00466321"/>
    <w:rsid w:val="00466AB7"/>
    <w:rsid w:val="00466D31"/>
    <w:rsid w:val="00467A7B"/>
    <w:rsid w:val="00470560"/>
    <w:rsid w:val="0047382D"/>
    <w:rsid w:val="004752BB"/>
    <w:rsid w:val="004765AB"/>
    <w:rsid w:val="00476693"/>
    <w:rsid w:val="0048158B"/>
    <w:rsid w:val="00482153"/>
    <w:rsid w:val="00484B9B"/>
    <w:rsid w:val="00484F7F"/>
    <w:rsid w:val="004855F6"/>
    <w:rsid w:val="0048661E"/>
    <w:rsid w:val="00486ADB"/>
    <w:rsid w:val="00486F80"/>
    <w:rsid w:val="00487A44"/>
    <w:rsid w:val="00491428"/>
    <w:rsid w:val="00492382"/>
    <w:rsid w:val="00492616"/>
    <w:rsid w:val="00493D5C"/>
    <w:rsid w:val="00494670"/>
    <w:rsid w:val="004955FC"/>
    <w:rsid w:val="004956B4"/>
    <w:rsid w:val="004A1C5B"/>
    <w:rsid w:val="004A3823"/>
    <w:rsid w:val="004A5A75"/>
    <w:rsid w:val="004A696F"/>
    <w:rsid w:val="004A6C37"/>
    <w:rsid w:val="004A7282"/>
    <w:rsid w:val="004B042F"/>
    <w:rsid w:val="004B050B"/>
    <w:rsid w:val="004B0869"/>
    <w:rsid w:val="004B1216"/>
    <w:rsid w:val="004B15EB"/>
    <w:rsid w:val="004B22AE"/>
    <w:rsid w:val="004B28E0"/>
    <w:rsid w:val="004B2F61"/>
    <w:rsid w:val="004B5958"/>
    <w:rsid w:val="004B5C12"/>
    <w:rsid w:val="004B5F66"/>
    <w:rsid w:val="004B6CDE"/>
    <w:rsid w:val="004B7887"/>
    <w:rsid w:val="004C01A3"/>
    <w:rsid w:val="004C1077"/>
    <w:rsid w:val="004C226C"/>
    <w:rsid w:val="004C2E72"/>
    <w:rsid w:val="004C3ABC"/>
    <w:rsid w:val="004C68D8"/>
    <w:rsid w:val="004C6D63"/>
    <w:rsid w:val="004C7040"/>
    <w:rsid w:val="004D0567"/>
    <w:rsid w:val="004D2AA6"/>
    <w:rsid w:val="004D2FC8"/>
    <w:rsid w:val="004D2FEF"/>
    <w:rsid w:val="004D4925"/>
    <w:rsid w:val="004D4C30"/>
    <w:rsid w:val="004D58B8"/>
    <w:rsid w:val="004D5D9E"/>
    <w:rsid w:val="004D66B8"/>
    <w:rsid w:val="004D7384"/>
    <w:rsid w:val="004D7A3A"/>
    <w:rsid w:val="004E087E"/>
    <w:rsid w:val="004E105E"/>
    <w:rsid w:val="004E13D6"/>
    <w:rsid w:val="004E2210"/>
    <w:rsid w:val="004E4721"/>
    <w:rsid w:val="004E4E5D"/>
    <w:rsid w:val="004E67AD"/>
    <w:rsid w:val="004E6946"/>
    <w:rsid w:val="004E7776"/>
    <w:rsid w:val="004F1AD8"/>
    <w:rsid w:val="004F1CC8"/>
    <w:rsid w:val="004F2284"/>
    <w:rsid w:val="004F5872"/>
    <w:rsid w:val="004F5D6F"/>
    <w:rsid w:val="004F6E06"/>
    <w:rsid w:val="005014D0"/>
    <w:rsid w:val="00501566"/>
    <w:rsid w:val="0050169B"/>
    <w:rsid w:val="00502189"/>
    <w:rsid w:val="005039CB"/>
    <w:rsid w:val="0050558F"/>
    <w:rsid w:val="00506204"/>
    <w:rsid w:val="00506286"/>
    <w:rsid w:val="005064AD"/>
    <w:rsid w:val="00506BAD"/>
    <w:rsid w:val="00510813"/>
    <w:rsid w:val="005111CF"/>
    <w:rsid w:val="00511990"/>
    <w:rsid w:val="00511DE0"/>
    <w:rsid w:val="00512552"/>
    <w:rsid w:val="00512ABC"/>
    <w:rsid w:val="0051331F"/>
    <w:rsid w:val="00514359"/>
    <w:rsid w:val="00514870"/>
    <w:rsid w:val="00514B9B"/>
    <w:rsid w:val="005175E8"/>
    <w:rsid w:val="00517BD5"/>
    <w:rsid w:val="00517F02"/>
    <w:rsid w:val="00517F20"/>
    <w:rsid w:val="005204DB"/>
    <w:rsid w:val="00522102"/>
    <w:rsid w:val="005226C7"/>
    <w:rsid w:val="00522BD5"/>
    <w:rsid w:val="00523669"/>
    <w:rsid w:val="00524303"/>
    <w:rsid w:val="005255CF"/>
    <w:rsid w:val="005258A2"/>
    <w:rsid w:val="00526781"/>
    <w:rsid w:val="00526B28"/>
    <w:rsid w:val="005271E8"/>
    <w:rsid w:val="00532F4B"/>
    <w:rsid w:val="005340E4"/>
    <w:rsid w:val="00534326"/>
    <w:rsid w:val="00535685"/>
    <w:rsid w:val="00535C3C"/>
    <w:rsid w:val="0053600E"/>
    <w:rsid w:val="0053672B"/>
    <w:rsid w:val="00536D0F"/>
    <w:rsid w:val="00537272"/>
    <w:rsid w:val="0053765E"/>
    <w:rsid w:val="005401AE"/>
    <w:rsid w:val="0054275E"/>
    <w:rsid w:val="00542E07"/>
    <w:rsid w:val="00543F96"/>
    <w:rsid w:val="00544C3A"/>
    <w:rsid w:val="005450EB"/>
    <w:rsid w:val="00545424"/>
    <w:rsid w:val="0054560C"/>
    <w:rsid w:val="00545F67"/>
    <w:rsid w:val="00546502"/>
    <w:rsid w:val="00546861"/>
    <w:rsid w:val="005476D1"/>
    <w:rsid w:val="00550FE3"/>
    <w:rsid w:val="00551E42"/>
    <w:rsid w:val="00553034"/>
    <w:rsid w:val="00553695"/>
    <w:rsid w:val="005536FD"/>
    <w:rsid w:val="00553CB1"/>
    <w:rsid w:val="005542AF"/>
    <w:rsid w:val="00554A7B"/>
    <w:rsid w:val="0055572C"/>
    <w:rsid w:val="00555B4C"/>
    <w:rsid w:val="00556DFF"/>
    <w:rsid w:val="005574BB"/>
    <w:rsid w:val="0056106A"/>
    <w:rsid w:val="005611CC"/>
    <w:rsid w:val="00561FAE"/>
    <w:rsid w:val="005625A7"/>
    <w:rsid w:val="00562DCC"/>
    <w:rsid w:val="0056452A"/>
    <w:rsid w:val="00564A4A"/>
    <w:rsid w:val="0056719E"/>
    <w:rsid w:val="00567294"/>
    <w:rsid w:val="00567817"/>
    <w:rsid w:val="005702B5"/>
    <w:rsid w:val="0057145E"/>
    <w:rsid w:val="005717F2"/>
    <w:rsid w:val="00571925"/>
    <w:rsid w:val="005720AE"/>
    <w:rsid w:val="0057273E"/>
    <w:rsid w:val="005734B7"/>
    <w:rsid w:val="00573730"/>
    <w:rsid w:val="00574793"/>
    <w:rsid w:val="0057501D"/>
    <w:rsid w:val="00577DFE"/>
    <w:rsid w:val="005801F9"/>
    <w:rsid w:val="005802FD"/>
    <w:rsid w:val="005809D2"/>
    <w:rsid w:val="0058201F"/>
    <w:rsid w:val="0058414B"/>
    <w:rsid w:val="005846C6"/>
    <w:rsid w:val="005847F6"/>
    <w:rsid w:val="00584B57"/>
    <w:rsid w:val="00584E72"/>
    <w:rsid w:val="00585208"/>
    <w:rsid w:val="00586F36"/>
    <w:rsid w:val="005875DD"/>
    <w:rsid w:val="005879DA"/>
    <w:rsid w:val="00587A0E"/>
    <w:rsid w:val="005919F3"/>
    <w:rsid w:val="00592838"/>
    <w:rsid w:val="00594D77"/>
    <w:rsid w:val="00595DC2"/>
    <w:rsid w:val="005969E4"/>
    <w:rsid w:val="00596DE7"/>
    <w:rsid w:val="00596F3F"/>
    <w:rsid w:val="00597196"/>
    <w:rsid w:val="005A06B7"/>
    <w:rsid w:val="005A11ED"/>
    <w:rsid w:val="005A1759"/>
    <w:rsid w:val="005A3419"/>
    <w:rsid w:val="005A3504"/>
    <w:rsid w:val="005A5A58"/>
    <w:rsid w:val="005A60B1"/>
    <w:rsid w:val="005A68A7"/>
    <w:rsid w:val="005B0DAA"/>
    <w:rsid w:val="005B231C"/>
    <w:rsid w:val="005B2E07"/>
    <w:rsid w:val="005B3827"/>
    <w:rsid w:val="005B5BCF"/>
    <w:rsid w:val="005B5D5E"/>
    <w:rsid w:val="005B603D"/>
    <w:rsid w:val="005B6349"/>
    <w:rsid w:val="005B6796"/>
    <w:rsid w:val="005B7CF7"/>
    <w:rsid w:val="005C042D"/>
    <w:rsid w:val="005C091E"/>
    <w:rsid w:val="005C097A"/>
    <w:rsid w:val="005C099C"/>
    <w:rsid w:val="005C2004"/>
    <w:rsid w:val="005C261C"/>
    <w:rsid w:val="005C2CEF"/>
    <w:rsid w:val="005C3A55"/>
    <w:rsid w:val="005C466B"/>
    <w:rsid w:val="005C4E9B"/>
    <w:rsid w:val="005C5931"/>
    <w:rsid w:val="005D0299"/>
    <w:rsid w:val="005D1479"/>
    <w:rsid w:val="005D3017"/>
    <w:rsid w:val="005D352E"/>
    <w:rsid w:val="005D36A5"/>
    <w:rsid w:val="005D36AB"/>
    <w:rsid w:val="005D37B3"/>
    <w:rsid w:val="005D3815"/>
    <w:rsid w:val="005D4042"/>
    <w:rsid w:val="005D427E"/>
    <w:rsid w:val="005D4943"/>
    <w:rsid w:val="005D4989"/>
    <w:rsid w:val="005D5010"/>
    <w:rsid w:val="005D6359"/>
    <w:rsid w:val="005D7502"/>
    <w:rsid w:val="005D75EA"/>
    <w:rsid w:val="005D7CAD"/>
    <w:rsid w:val="005D7FA3"/>
    <w:rsid w:val="005E002C"/>
    <w:rsid w:val="005E0688"/>
    <w:rsid w:val="005E08E8"/>
    <w:rsid w:val="005E0963"/>
    <w:rsid w:val="005E0F1B"/>
    <w:rsid w:val="005E0FE0"/>
    <w:rsid w:val="005E20E2"/>
    <w:rsid w:val="005E2526"/>
    <w:rsid w:val="005E28D6"/>
    <w:rsid w:val="005E37FB"/>
    <w:rsid w:val="005E438D"/>
    <w:rsid w:val="005E6F1A"/>
    <w:rsid w:val="005E7998"/>
    <w:rsid w:val="005E7F60"/>
    <w:rsid w:val="005F1BE5"/>
    <w:rsid w:val="005F24A1"/>
    <w:rsid w:val="005F2A94"/>
    <w:rsid w:val="005F2E08"/>
    <w:rsid w:val="005F445E"/>
    <w:rsid w:val="005F4909"/>
    <w:rsid w:val="005F5925"/>
    <w:rsid w:val="005F6AE3"/>
    <w:rsid w:val="005F6BBE"/>
    <w:rsid w:val="005F6E13"/>
    <w:rsid w:val="005F764E"/>
    <w:rsid w:val="0060132B"/>
    <w:rsid w:val="0060267C"/>
    <w:rsid w:val="0060288D"/>
    <w:rsid w:val="00603ADB"/>
    <w:rsid w:val="00606183"/>
    <w:rsid w:val="006068B8"/>
    <w:rsid w:val="00607D47"/>
    <w:rsid w:val="006104F3"/>
    <w:rsid w:val="00610C45"/>
    <w:rsid w:val="00610E30"/>
    <w:rsid w:val="0061139D"/>
    <w:rsid w:val="00611E4E"/>
    <w:rsid w:val="006129D1"/>
    <w:rsid w:val="006150B0"/>
    <w:rsid w:val="0061609A"/>
    <w:rsid w:val="00616BEB"/>
    <w:rsid w:val="00617CC3"/>
    <w:rsid w:val="0062127B"/>
    <w:rsid w:val="00621A28"/>
    <w:rsid w:val="00622F1D"/>
    <w:rsid w:val="006235EC"/>
    <w:rsid w:val="00624E6E"/>
    <w:rsid w:val="006256A7"/>
    <w:rsid w:val="00625D66"/>
    <w:rsid w:val="00626E5F"/>
    <w:rsid w:val="006303FA"/>
    <w:rsid w:val="00630639"/>
    <w:rsid w:val="00630EFA"/>
    <w:rsid w:val="006324BD"/>
    <w:rsid w:val="0063273B"/>
    <w:rsid w:val="00632D45"/>
    <w:rsid w:val="00633734"/>
    <w:rsid w:val="00633995"/>
    <w:rsid w:val="00633D57"/>
    <w:rsid w:val="00634038"/>
    <w:rsid w:val="00634248"/>
    <w:rsid w:val="006361A7"/>
    <w:rsid w:val="006377A6"/>
    <w:rsid w:val="00637A3D"/>
    <w:rsid w:val="0064056E"/>
    <w:rsid w:val="006411EF"/>
    <w:rsid w:val="00642A53"/>
    <w:rsid w:val="0064392D"/>
    <w:rsid w:val="00643BAB"/>
    <w:rsid w:val="00644290"/>
    <w:rsid w:val="006508F3"/>
    <w:rsid w:val="00650D6A"/>
    <w:rsid w:val="006517B6"/>
    <w:rsid w:val="0065224D"/>
    <w:rsid w:val="006529A2"/>
    <w:rsid w:val="006531AB"/>
    <w:rsid w:val="006538E3"/>
    <w:rsid w:val="00653A7D"/>
    <w:rsid w:val="00654A43"/>
    <w:rsid w:val="00655FF2"/>
    <w:rsid w:val="0065626F"/>
    <w:rsid w:val="00656A7B"/>
    <w:rsid w:val="00656AF5"/>
    <w:rsid w:val="00656F6A"/>
    <w:rsid w:val="00660820"/>
    <w:rsid w:val="006609EE"/>
    <w:rsid w:val="006612CC"/>
    <w:rsid w:val="00662C66"/>
    <w:rsid w:val="00662E73"/>
    <w:rsid w:val="00662EA2"/>
    <w:rsid w:val="00663999"/>
    <w:rsid w:val="006639D3"/>
    <w:rsid w:val="00663C28"/>
    <w:rsid w:val="006641D8"/>
    <w:rsid w:val="006657EF"/>
    <w:rsid w:val="00666A21"/>
    <w:rsid w:val="00666E86"/>
    <w:rsid w:val="00666F70"/>
    <w:rsid w:val="00670B1A"/>
    <w:rsid w:val="00671D69"/>
    <w:rsid w:val="006722AE"/>
    <w:rsid w:val="006730BF"/>
    <w:rsid w:val="006735BA"/>
    <w:rsid w:val="006735C5"/>
    <w:rsid w:val="00673F63"/>
    <w:rsid w:val="006748B8"/>
    <w:rsid w:val="00676021"/>
    <w:rsid w:val="006775C3"/>
    <w:rsid w:val="00677952"/>
    <w:rsid w:val="0068156F"/>
    <w:rsid w:val="006838DF"/>
    <w:rsid w:val="00684EDD"/>
    <w:rsid w:val="0068564B"/>
    <w:rsid w:val="00686464"/>
    <w:rsid w:val="0068673A"/>
    <w:rsid w:val="00687671"/>
    <w:rsid w:val="00690687"/>
    <w:rsid w:val="00690B6F"/>
    <w:rsid w:val="00690CE0"/>
    <w:rsid w:val="00690E3B"/>
    <w:rsid w:val="0069290A"/>
    <w:rsid w:val="00692961"/>
    <w:rsid w:val="00692B05"/>
    <w:rsid w:val="00692CE1"/>
    <w:rsid w:val="00694859"/>
    <w:rsid w:val="00694FF9"/>
    <w:rsid w:val="00695BDC"/>
    <w:rsid w:val="00695CA0"/>
    <w:rsid w:val="006969A0"/>
    <w:rsid w:val="0069775A"/>
    <w:rsid w:val="006977B1"/>
    <w:rsid w:val="00697813"/>
    <w:rsid w:val="006A0B74"/>
    <w:rsid w:val="006A3070"/>
    <w:rsid w:val="006A31F3"/>
    <w:rsid w:val="006A3D31"/>
    <w:rsid w:val="006A3EE8"/>
    <w:rsid w:val="006A4050"/>
    <w:rsid w:val="006A4542"/>
    <w:rsid w:val="006A72BF"/>
    <w:rsid w:val="006B03F2"/>
    <w:rsid w:val="006B04F8"/>
    <w:rsid w:val="006B0EFE"/>
    <w:rsid w:val="006B1CB1"/>
    <w:rsid w:val="006B1EB3"/>
    <w:rsid w:val="006B2314"/>
    <w:rsid w:val="006B37DC"/>
    <w:rsid w:val="006B3BD5"/>
    <w:rsid w:val="006B407A"/>
    <w:rsid w:val="006B4C1F"/>
    <w:rsid w:val="006B4F68"/>
    <w:rsid w:val="006B63E8"/>
    <w:rsid w:val="006B71BC"/>
    <w:rsid w:val="006B7301"/>
    <w:rsid w:val="006B7AF0"/>
    <w:rsid w:val="006C0592"/>
    <w:rsid w:val="006C1DF1"/>
    <w:rsid w:val="006C272E"/>
    <w:rsid w:val="006C2FE2"/>
    <w:rsid w:val="006C360D"/>
    <w:rsid w:val="006C502E"/>
    <w:rsid w:val="006C5479"/>
    <w:rsid w:val="006C601C"/>
    <w:rsid w:val="006C6B8E"/>
    <w:rsid w:val="006C744B"/>
    <w:rsid w:val="006D036E"/>
    <w:rsid w:val="006D13B5"/>
    <w:rsid w:val="006D17D0"/>
    <w:rsid w:val="006D18F9"/>
    <w:rsid w:val="006D24D1"/>
    <w:rsid w:val="006D2AF6"/>
    <w:rsid w:val="006D2C3E"/>
    <w:rsid w:val="006D3C43"/>
    <w:rsid w:val="006D50AE"/>
    <w:rsid w:val="006D65DC"/>
    <w:rsid w:val="006D6717"/>
    <w:rsid w:val="006D7504"/>
    <w:rsid w:val="006D78B2"/>
    <w:rsid w:val="006E0009"/>
    <w:rsid w:val="006E12FF"/>
    <w:rsid w:val="006E169B"/>
    <w:rsid w:val="006E1E5C"/>
    <w:rsid w:val="006E2B0E"/>
    <w:rsid w:val="006E30AE"/>
    <w:rsid w:val="006E3440"/>
    <w:rsid w:val="006E3475"/>
    <w:rsid w:val="006E38F1"/>
    <w:rsid w:val="006E3B99"/>
    <w:rsid w:val="006E45FB"/>
    <w:rsid w:val="006E4C1D"/>
    <w:rsid w:val="006E4DAE"/>
    <w:rsid w:val="006E57A7"/>
    <w:rsid w:val="006E607E"/>
    <w:rsid w:val="006E6F0C"/>
    <w:rsid w:val="006E7055"/>
    <w:rsid w:val="006E75C6"/>
    <w:rsid w:val="006F166B"/>
    <w:rsid w:val="006F1D92"/>
    <w:rsid w:val="006F3359"/>
    <w:rsid w:val="006F42DA"/>
    <w:rsid w:val="006F47FE"/>
    <w:rsid w:val="006F4A67"/>
    <w:rsid w:val="006F51A3"/>
    <w:rsid w:val="006F53F0"/>
    <w:rsid w:val="006F568D"/>
    <w:rsid w:val="006F664A"/>
    <w:rsid w:val="006F6CCC"/>
    <w:rsid w:val="00700A41"/>
    <w:rsid w:val="00700D45"/>
    <w:rsid w:val="00700F08"/>
    <w:rsid w:val="0070128B"/>
    <w:rsid w:val="007017E5"/>
    <w:rsid w:val="00702A86"/>
    <w:rsid w:val="007032E8"/>
    <w:rsid w:val="00703BA9"/>
    <w:rsid w:val="00703C73"/>
    <w:rsid w:val="00704438"/>
    <w:rsid w:val="00705FB4"/>
    <w:rsid w:val="00706C5D"/>
    <w:rsid w:val="00707EE7"/>
    <w:rsid w:val="00710F1C"/>
    <w:rsid w:val="00711C55"/>
    <w:rsid w:val="00713342"/>
    <w:rsid w:val="007135AC"/>
    <w:rsid w:val="00713688"/>
    <w:rsid w:val="00713FC2"/>
    <w:rsid w:val="00715283"/>
    <w:rsid w:val="00715422"/>
    <w:rsid w:val="0071619E"/>
    <w:rsid w:val="00720483"/>
    <w:rsid w:val="007207E1"/>
    <w:rsid w:val="007211D9"/>
    <w:rsid w:val="00722021"/>
    <w:rsid w:val="00722553"/>
    <w:rsid w:val="00722B99"/>
    <w:rsid w:val="00722EC8"/>
    <w:rsid w:val="007233F5"/>
    <w:rsid w:val="007244EA"/>
    <w:rsid w:val="007248E2"/>
    <w:rsid w:val="00725D63"/>
    <w:rsid w:val="007270E9"/>
    <w:rsid w:val="007277BC"/>
    <w:rsid w:val="00730957"/>
    <w:rsid w:val="00731B10"/>
    <w:rsid w:val="00732922"/>
    <w:rsid w:val="0073446F"/>
    <w:rsid w:val="007347D6"/>
    <w:rsid w:val="00734829"/>
    <w:rsid w:val="0073632E"/>
    <w:rsid w:val="00736BE0"/>
    <w:rsid w:val="007403F6"/>
    <w:rsid w:val="0074066D"/>
    <w:rsid w:val="007408A1"/>
    <w:rsid w:val="0074167E"/>
    <w:rsid w:val="00742262"/>
    <w:rsid w:val="00742956"/>
    <w:rsid w:val="007431A7"/>
    <w:rsid w:val="007444D2"/>
    <w:rsid w:val="00744C53"/>
    <w:rsid w:val="00744DE0"/>
    <w:rsid w:val="0074588E"/>
    <w:rsid w:val="007471DA"/>
    <w:rsid w:val="00747962"/>
    <w:rsid w:val="00747C90"/>
    <w:rsid w:val="0075008C"/>
    <w:rsid w:val="00750531"/>
    <w:rsid w:val="00750756"/>
    <w:rsid w:val="00750998"/>
    <w:rsid w:val="0075162E"/>
    <w:rsid w:val="007523D7"/>
    <w:rsid w:val="00752475"/>
    <w:rsid w:val="0075262D"/>
    <w:rsid w:val="007532DE"/>
    <w:rsid w:val="0075399C"/>
    <w:rsid w:val="00754034"/>
    <w:rsid w:val="0075412E"/>
    <w:rsid w:val="007553D4"/>
    <w:rsid w:val="007560D9"/>
    <w:rsid w:val="0075614A"/>
    <w:rsid w:val="007562FD"/>
    <w:rsid w:val="00756556"/>
    <w:rsid w:val="0075663D"/>
    <w:rsid w:val="00756B2B"/>
    <w:rsid w:val="00757D0F"/>
    <w:rsid w:val="00761680"/>
    <w:rsid w:val="007618C4"/>
    <w:rsid w:val="00761C90"/>
    <w:rsid w:val="0076208D"/>
    <w:rsid w:val="007632AE"/>
    <w:rsid w:val="007637E6"/>
    <w:rsid w:val="00764198"/>
    <w:rsid w:val="00764E11"/>
    <w:rsid w:val="00765345"/>
    <w:rsid w:val="00765B80"/>
    <w:rsid w:val="007660E1"/>
    <w:rsid w:val="00767980"/>
    <w:rsid w:val="007705D2"/>
    <w:rsid w:val="00770B19"/>
    <w:rsid w:val="00773C69"/>
    <w:rsid w:val="0077463F"/>
    <w:rsid w:val="00774E16"/>
    <w:rsid w:val="007759BB"/>
    <w:rsid w:val="007769AD"/>
    <w:rsid w:val="00776DE8"/>
    <w:rsid w:val="00777593"/>
    <w:rsid w:val="007802C2"/>
    <w:rsid w:val="00780557"/>
    <w:rsid w:val="007810E9"/>
    <w:rsid w:val="00781C1E"/>
    <w:rsid w:val="007829B2"/>
    <w:rsid w:val="007836EA"/>
    <w:rsid w:val="00784CDA"/>
    <w:rsid w:val="00784E17"/>
    <w:rsid w:val="0078519C"/>
    <w:rsid w:val="00785F75"/>
    <w:rsid w:val="00786097"/>
    <w:rsid w:val="00786647"/>
    <w:rsid w:val="00787523"/>
    <w:rsid w:val="00787744"/>
    <w:rsid w:val="007906C4"/>
    <w:rsid w:val="00790946"/>
    <w:rsid w:val="007924C3"/>
    <w:rsid w:val="007940EA"/>
    <w:rsid w:val="0079469E"/>
    <w:rsid w:val="00795808"/>
    <w:rsid w:val="00796318"/>
    <w:rsid w:val="007967E8"/>
    <w:rsid w:val="007972BC"/>
    <w:rsid w:val="00797AD7"/>
    <w:rsid w:val="007A061E"/>
    <w:rsid w:val="007A16B0"/>
    <w:rsid w:val="007A1C5B"/>
    <w:rsid w:val="007A2170"/>
    <w:rsid w:val="007A22BF"/>
    <w:rsid w:val="007A2FD8"/>
    <w:rsid w:val="007A30AA"/>
    <w:rsid w:val="007A3323"/>
    <w:rsid w:val="007A3E90"/>
    <w:rsid w:val="007B1D34"/>
    <w:rsid w:val="007B1ECC"/>
    <w:rsid w:val="007B4565"/>
    <w:rsid w:val="007B681F"/>
    <w:rsid w:val="007B6BB5"/>
    <w:rsid w:val="007B72B8"/>
    <w:rsid w:val="007B7885"/>
    <w:rsid w:val="007B7A58"/>
    <w:rsid w:val="007C01DC"/>
    <w:rsid w:val="007C0603"/>
    <w:rsid w:val="007C0735"/>
    <w:rsid w:val="007C09B3"/>
    <w:rsid w:val="007C0A0A"/>
    <w:rsid w:val="007C1399"/>
    <w:rsid w:val="007C21B5"/>
    <w:rsid w:val="007C25CA"/>
    <w:rsid w:val="007C2D4D"/>
    <w:rsid w:val="007C31B6"/>
    <w:rsid w:val="007C3315"/>
    <w:rsid w:val="007C4BA4"/>
    <w:rsid w:val="007C5B7C"/>
    <w:rsid w:val="007C7279"/>
    <w:rsid w:val="007D09D7"/>
    <w:rsid w:val="007D0A0A"/>
    <w:rsid w:val="007D0F70"/>
    <w:rsid w:val="007D147B"/>
    <w:rsid w:val="007D1780"/>
    <w:rsid w:val="007D17DC"/>
    <w:rsid w:val="007D1CF3"/>
    <w:rsid w:val="007D3D38"/>
    <w:rsid w:val="007D41C3"/>
    <w:rsid w:val="007D4561"/>
    <w:rsid w:val="007D67D3"/>
    <w:rsid w:val="007D6E80"/>
    <w:rsid w:val="007D79AE"/>
    <w:rsid w:val="007E1568"/>
    <w:rsid w:val="007E1828"/>
    <w:rsid w:val="007E2B8C"/>
    <w:rsid w:val="007E38CD"/>
    <w:rsid w:val="007E45A5"/>
    <w:rsid w:val="007E487D"/>
    <w:rsid w:val="007E4BD2"/>
    <w:rsid w:val="007E4CB3"/>
    <w:rsid w:val="007E55C6"/>
    <w:rsid w:val="007E5E4A"/>
    <w:rsid w:val="007E63AC"/>
    <w:rsid w:val="007E6BA1"/>
    <w:rsid w:val="007E7832"/>
    <w:rsid w:val="007E7F80"/>
    <w:rsid w:val="007F0498"/>
    <w:rsid w:val="007F08AF"/>
    <w:rsid w:val="007F0EEE"/>
    <w:rsid w:val="007F1666"/>
    <w:rsid w:val="007F1803"/>
    <w:rsid w:val="007F3413"/>
    <w:rsid w:val="007F3685"/>
    <w:rsid w:val="007F3DB5"/>
    <w:rsid w:val="007F68DC"/>
    <w:rsid w:val="007F782D"/>
    <w:rsid w:val="00800284"/>
    <w:rsid w:val="0080075E"/>
    <w:rsid w:val="00800945"/>
    <w:rsid w:val="00800A76"/>
    <w:rsid w:val="008011B5"/>
    <w:rsid w:val="00801393"/>
    <w:rsid w:val="008023A1"/>
    <w:rsid w:val="00802BA2"/>
    <w:rsid w:val="00802F88"/>
    <w:rsid w:val="0080372F"/>
    <w:rsid w:val="00804E7B"/>
    <w:rsid w:val="00805083"/>
    <w:rsid w:val="00806070"/>
    <w:rsid w:val="00806F9F"/>
    <w:rsid w:val="00807A78"/>
    <w:rsid w:val="00811077"/>
    <w:rsid w:val="00811599"/>
    <w:rsid w:val="0081247E"/>
    <w:rsid w:val="0081293E"/>
    <w:rsid w:val="008129C9"/>
    <w:rsid w:val="00813260"/>
    <w:rsid w:val="008134B0"/>
    <w:rsid w:val="008135BA"/>
    <w:rsid w:val="00813BD7"/>
    <w:rsid w:val="00815465"/>
    <w:rsid w:val="008173B1"/>
    <w:rsid w:val="008173C3"/>
    <w:rsid w:val="00817E9A"/>
    <w:rsid w:val="0082171B"/>
    <w:rsid w:val="00822174"/>
    <w:rsid w:val="008227D9"/>
    <w:rsid w:val="00822CF6"/>
    <w:rsid w:val="008235AF"/>
    <w:rsid w:val="00823ABB"/>
    <w:rsid w:val="00823E6A"/>
    <w:rsid w:val="008251F7"/>
    <w:rsid w:val="00826AC1"/>
    <w:rsid w:val="008270C1"/>
    <w:rsid w:val="0082753C"/>
    <w:rsid w:val="00827AA5"/>
    <w:rsid w:val="00827AF7"/>
    <w:rsid w:val="00827C15"/>
    <w:rsid w:val="008306BD"/>
    <w:rsid w:val="00830DBB"/>
    <w:rsid w:val="00831A80"/>
    <w:rsid w:val="00831D63"/>
    <w:rsid w:val="0083207E"/>
    <w:rsid w:val="00832177"/>
    <w:rsid w:val="008329C3"/>
    <w:rsid w:val="00832AFF"/>
    <w:rsid w:val="008333FB"/>
    <w:rsid w:val="00833604"/>
    <w:rsid w:val="00833743"/>
    <w:rsid w:val="00833B3A"/>
    <w:rsid w:val="00833B5C"/>
    <w:rsid w:val="008340A4"/>
    <w:rsid w:val="008348BE"/>
    <w:rsid w:val="00835AD3"/>
    <w:rsid w:val="00835F9A"/>
    <w:rsid w:val="008365BA"/>
    <w:rsid w:val="0083685B"/>
    <w:rsid w:val="008368AF"/>
    <w:rsid w:val="00840B4F"/>
    <w:rsid w:val="00840BBF"/>
    <w:rsid w:val="00841630"/>
    <w:rsid w:val="00841AF7"/>
    <w:rsid w:val="00842216"/>
    <w:rsid w:val="00843701"/>
    <w:rsid w:val="0084426D"/>
    <w:rsid w:val="00844795"/>
    <w:rsid w:val="00845651"/>
    <w:rsid w:val="00845E02"/>
    <w:rsid w:val="00847450"/>
    <w:rsid w:val="00850B75"/>
    <w:rsid w:val="008511BD"/>
    <w:rsid w:val="008516FD"/>
    <w:rsid w:val="00851AA4"/>
    <w:rsid w:val="00852EFE"/>
    <w:rsid w:val="00854020"/>
    <w:rsid w:val="00855160"/>
    <w:rsid w:val="0085564D"/>
    <w:rsid w:val="008579FE"/>
    <w:rsid w:val="00861B5E"/>
    <w:rsid w:val="008624F6"/>
    <w:rsid w:val="0086325A"/>
    <w:rsid w:val="00864010"/>
    <w:rsid w:val="008642C6"/>
    <w:rsid w:val="00865365"/>
    <w:rsid w:val="00866566"/>
    <w:rsid w:val="00866828"/>
    <w:rsid w:val="00866EED"/>
    <w:rsid w:val="00867B5B"/>
    <w:rsid w:val="0087135F"/>
    <w:rsid w:val="0087258D"/>
    <w:rsid w:val="00872826"/>
    <w:rsid w:val="00872A24"/>
    <w:rsid w:val="00872D94"/>
    <w:rsid w:val="00874278"/>
    <w:rsid w:val="00875EF7"/>
    <w:rsid w:val="00876879"/>
    <w:rsid w:val="00876A7A"/>
    <w:rsid w:val="00876E5E"/>
    <w:rsid w:val="00877C21"/>
    <w:rsid w:val="00880364"/>
    <w:rsid w:val="00881A4F"/>
    <w:rsid w:val="00881E62"/>
    <w:rsid w:val="00882334"/>
    <w:rsid w:val="00882AB6"/>
    <w:rsid w:val="00882B44"/>
    <w:rsid w:val="008837BA"/>
    <w:rsid w:val="00883C3B"/>
    <w:rsid w:val="00883ED7"/>
    <w:rsid w:val="0088627B"/>
    <w:rsid w:val="0089018F"/>
    <w:rsid w:val="008904FC"/>
    <w:rsid w:val="008908D1"/>
    <w:rsid w:val="008908F3"/>
    <w:rsid w:val="00890FFE"/>
    <w:rsid w:val="00891592"/>
    <w:rsid w:val="00891E9E"/>
    <w:rsid w:val="00891F60"/>
    <w:rsid w:val="00892494"/>
    <w:rsid w:val="008926A4"/>
    <w:rsid w:val="00894633"/>
    <w:rsid w:val="00894893"/>
    <w:rsid w:val="0089492A"/>
    <w:rsid w:val="0089536B"/>
    <w:rsid w:val="0089580A"/>
    <w:rsid w:val="008962F5"/>
    <w:rsid w:val="00897B14"/>
    <w:rsid w:val="008A0C19"/>
    <w:rsid w:val="008A0E07"/>
    <w:rsid w:val="008A2358"/>
    <w:rsid w:val="008A26B8"/>
    <w:rsid w:val="008A2ACA"/>
    <w:rsid w:val="008A2E05"/>
    <w:rsid w:val="008A2F68"/>
    <w:rsid w:val="008A3EBA"/>
    <w:rsid w:val="008A40B0"/>
    <w:rsid w:val="008A4F47"/>
    <w:rsid w:val="008A5353"/>
    <w:rsid w:val="008A56EB"/>
    <w:rsid w:val="008A5B2E"/>
    <w:rsid w:val="008A770A"/>
    <w:rsid w:val="008B09C6"/>
    <w:rsid w:val="008B193C"/>
    <w:rsid w:val="008B2651"/>
    <w:rsid w:val="008B4FA6"/>
    <w:rsid w:val="008B5282"/>
    <w:rsid w:val="008B5702"/>
    <w:rsid w:val="008B7154"/>
    <w:rsid w:val="008B752C"/>
    <w:rsid w:val="008B7C17"/>
    <w:rsid w:val="008C1D3D"/>
    <w:rsid w:val="008C2D01"/>
    <w:rsid w:val="008C3360"/>
    <w:rsid w:val="008C3677"/>
    <w:rsid w:val="008C40E6"/>
    <w:rsid w:val="008C411E"/>
    <w:rsid w:val="008C4131"/>
    <w:rsid w:val="008C4B6F"/>
    <w:rsid w:val="008C53F2"/>
    <w:rsid w:val="008C6ED1"/>
    <w:rsid w:val="008C7640"/>
    <w:rsid w:val="008D0BBB"/>
    <w:rsid w:val="008D0C3C"/>
    <w:rsid w:val="008D0CA5"/>
    <w:rsid w:val="008D0F7A"/>
    <w:rsid w:val="008D2036"/>
    <w:rsid w:val="008D20F2"/>
    <w:rsid w:val="008D221C"/>
    <w:rsid w:val="008D2410"/>
    <w:rsid w:val="008D5ED2"/>
    <w:rsid w:val="008D6358"/>
    <w:rsid w:val="008D68E4"/>
    <w:rsid w:val="008D69E4"/>
    <w:rsid w:val="008E0506"/>
    <w:rsid w:val="008E0CFF"/>
    <w:rsid w:val="008E1863"/>
    <w:rsid w:val="008E1DE0"/>
    <w:rsid w:val="008E1FA0"/>
    <w:rsid w:val="008E2472"/>
    <w:rsid w:val="008E29C1"/>
    <w:rsid w:val="008E504E"/>
    <w:rsid w:val="008E5D6B"/>
    <w:rsid w:val="008E67D7"/>
    <w:rsid w:val="008E76F0"/>
    <w:rsid w:val="008F0425"/>
    <w:rsid w:val="008F04CC"/>
    <w:rsid w:val="008F0C91"/>
    <w:rsid w:val="008F15F7"/>
    <w:rsid w:val="008F15FE"/>
    <w:rsid w:val="008F24C0"/>
    <w:rsid w:val="008F2D29"/>
    <w:rsid w:val="008F3473"/>
    <w:rsid w:val="008F4CE1"/>
    <w:rsid w:val="008F5187"/>
    <w:rsid w:val="008F5398"/>
    <w:rsid w:val="008F56C2"/>
    <w:rsid w:val="008F5D52"/>
    <w:rsid w:val="008F60D8"/>
    <w:rsid w:val="008F6482"/>
    <w:rsid w:val="008F6664"/>
    <w:rsid w:val="009006A4"/>
    <w:rsid w:val="009010B9"/>
    <w:rsid w:val="009016C6"/>
    <w:rsid w:val="00901CF4"/>
    <w:rsid w:val="009021CD"/>
    <w:rsid w:val="00902727"/>
    <w:rsid w:val="0090312B"/>
    <w:rsid w:val="009067DA"/>
    <w:rsid w:val="00911366"/>
    <w:rsid w:val="00912124"/>
    <w:rsid w:val="00912A9A"/>
    <w:rsid w:val="00913160"/>
    <w:rsid w:val="00914F16"/>
    <w:rsid w:val="0091736D"/>
    <w:rsid w:val="0092027C"/>
    <w:rsid w:val="009237A1"/>
    <w:rsid w:val="00924FF1"/>
    <w:rsid w:val="009255B2"/>
    <w:rsid w:val="0092631B"/>
    <w:rsid w:val="009272E8"/>
    <w:rsid w:val="00927E36"/>
    <w:rsid w:val="0093037A"/>
    <w:rsid w:val="00930457"/>
    <w:rsid w:val="009307C5"/>
    <w:rsid w:val="00931894"/>
    <w:rsid w:val="00932881"/>
    <w:rsid w:val="00933005"/>
    <w:rsid w:val="00933D3E"/>
    <w:rsid w:val="00933D92"/>
    <w:rsid w:val="00934BE6"/>
    <w:rsid w:val="009350C4"/>
    <w:rsid w:val="0093655C"/>
    <w:rsid w:val="00936E77"/>
    <w:rsid w:val="00940497"/>
    <w:rsid w:val="009407AD"/>
    <w:rsid w:val="00940951"/>
    <w:rsid w:val="00940A75"/>
    <w:rsid w:val="0094154D"/>
    <w:rsid w:val="00943AD2"/>
    <w:rsid w:val="00944505"/>
    <w:rsid w:val="00944F0D"/>
    <w:rsid w:val="00945057"/>
    <w:rsid w:val="0094587C"/>
    <w:rsid w:val="0094745E"/>
    <w:rsid w:val="0095155F"/>
    <w:rsid w:val="00951777"/>
    <w:rsid w:val="00952154"/>
    <w:rsid w:val="00952CF6"/>
    <w:rsid w:val="00953036"/>
    <w:rsid w:val="00954189"/>
    <w:rsid w:val="00954429"/>
    <w:rsid w:val="0095577D"/>
    <w:rsid w:val="00955866"/>
    <w:rsid w:val="009563CE"/>
    <w:rsid w:val="00956897"/>
    <w:rsid w:val="00956C84"/>
    <w:rsid w:val="0095760E"/>
    <w:rsid w:val="009603C6"/>
    <w:rsid w:val="0096048F"/>
    <w:rsid w:val="0096077C"/>
    <w:rsid w:val="00963DA1"/>
    <w:rsid w:val="00963F8F"/>
    <w:rsid w:val="00964810"/>
    <w:rsid w:val="009649BE"/>
    <w:rsid w:val="009704A6"/>
    <w:rsid w:val="00971E3A"/>
    <w:rsid w:val="00972C04"/>
    <w:rsid w:val="00974601"/>
    <w:rsid w:val="00974953"/>
    <w:rsid w:val="00974CE5"/>
    <w:rsid w:val="009754C6"/>
    <w:rsid w:val="00976328"/>
    <w:rsid w:val="0097680D"/>
    <w:rsid w:val="00977514"/>
    <w:rsid w:val="009777AD"/>
    <w:rsid w:val="009817F1"/>
    <w:rsid w:val="00982438"/>
    <w:rsid w:val="00983630"/>
    <w:rsid w:val="0098404C"/>
    <w:rsid w:val="00985283"/>
    <w:rsid w:val="009856C4"/>
    <w:rsid w:val="009858E1"/>
    <w:rsid w:val="00985DA3"/>
    <w:rsid w:val="00986257"/>
    <w:rsid w:val="009867E9"/>
    <w:rsid w:val="0098699D"/>
    <w:rsid w:val="00986ECF"/>
    <w:rsid w:val="00987E24"/>
    <w:rsid w:val="0099044B"/>
    <w:rsid w:val="00990618"/>
    <w:rsid w:val="009917DA"/>
    <w:rsid w:val="00991AA5"/>
    <w:rsid w:val="0099233B"/>
    <w:rsid w:val="00992433"/>
    <w:rsid w:val="00992936"/>
    <w:rsid w:val="00993406"/>
    <w:rsid w:val="00994270"/>
    <w:rsid w:val="00995986"/>
    <w:rsid w:val="00995992"/>
    <w:rsid w:val="00995A6F"/>
    <w:rsid w:val="00995D0B"/>
    <w:rsid w:val="00995D35"/>
    <w:rsid w:val="00995F5E"/>
    <w:rsid w:val="0099708E"/>
    <w:rsid w:val="0099738F"/>
    <w:rsid w:val="00997E23"/>
    <w:rsid w:val="009A03E5"/>
    <w:rsid w:val="009A040D"/>
    <w:rsid w:val="009A0F3B"/>
    <w:rsid w:val="009A18D1"/>
    <w:rsid w:val="009A1BB4"/>
    <w:rsid w:val="009A20DF"/>
    <w:rsid w:val="009A2628"/>
    <w:rsid w:val="009A27F3"/>
    <w:rsid w:val="009A2987"/>
    <w:rsid w:val="009A3200"/>
    <w:rsid w:val="009A4207"/>
    <w:rsid w:val="009A6203"/>
    <w:rsid w:val="009A621C"/>
    <w:rsid w:val="009A69B8"/>
    <w:rsid w:val="009A6FC9"/>
    <w:rsid w:val="009A762D"/>
    <w:rsid w:val="009A78F1"/>
    <w:rsid w:val="009B0897"/>
    <w:rsid w:val="009B0C38"/>
    <w:rsid w:val="009B0F9B"/>
    <w:rsid w:val="009B1476"/>
    <w:rsid w:val="009B268E"/>
    <w:rsid w:val="009B33FB"/>
    <w:rsid w:val="009B4F7C"/>
    <w:rsid w:val="009B523A"/>
    <w:rsid w:val="009B66A4"/>
    <w:rsid w:val="009B69B6"/>
    <w:rsid w:val="009B7BD9"/>
    <w:rsid w:val="009C0723"/>
    <w:rsid w:val="009C0B75"/>
    <w:rsid w:val="009C2473"/>
    <w:rsid w:val="009C2744"/>
    <w:rsid w:val="009C2A69"/>
    <w:rsid w:val="009C4B26"/>
    <w:rsid w:val="009C529E"/>
    <w:rsid w:val="009C590A"/>
    <w:rsid w:val="009C5ECE"/>
    <w:rsid w:val="009C6752"/>
    <w:rsid w:val="009C6D59"/>
    <w:rsid w:val="009C728A"/>
    <w:rsid w:val="009C7D04"/>
    <w:rsid w:val="009C7DD5"/>
    <w:rsid w:val="009D149C"/>
    <w:rsid w:val="009D1562"/>
    <w:rsid w:val="009D2356"/>
    <w:rsid w:val="009D3445"/>
    <w:rsid w:val="009D612F"/>
    <w:rsid w:val="009D61F7"/>
    <w:rsid w:val="009D66F9"/>
    <w:rsid w:val="009D6D8D"/>
    <w:rsid w:val="009D7F40"/>
    <w:rsid w:val="009E06D5"/>
    <w:rsid w:val="009E0809"/>
    <w:rsid w:val="009E08D7"/>
    <w:rsid w:val="009E0990"/>
    <w:rsid w:val="009E0A51"/>
    <w:rsid w:val="009E0B44"/>
    <w:rsid w:val="009E1EEF"/>
    <w:rsid w:val="009E227D"/>
    <w:rsid w:val="009E245C"/>
    <w:rsid w:val="009E2C78"/>
    <w:rsid w:val="009E2FEB"/>
    <w:rsid w:val="009E35A7"/>
    <w:rsid w:val="009E3959"/>
    <w:rsid w:val="009E5019"/>
    <w:rsid w:val="009E546A"/>
    <w:rsid w:val="009E5B63"/>
    <w:rsid w:val="009E7290"/>
    <w:rsid w:val="009E748F"/>
    <w:rsid w:val="009F1905"/>
    <w:rsid w:val="009F1A02"/>
    <w:rsid w:val="009F1A2E"/>
    <w:rsid w:val="009F1F24"/>
    <w:rsid w:val="009F2E4C"/>
    <w:rsid w:val="009F406C"/>
    <w:rsid w:val="009F4566"/>
    <w:rsid w:val="009F45CF"/>
    <w:rsid w:val="00A00258"/>
    <w:rsid w:val="00A0060B"/>
    <w:rsid w:val="00A01702"/>
    <w:rsid w:val="00A01ECF"/>
    <w:rsid w:val="00A0374D"/>
    <w:rsid w:val="00A0385F"/>
    <w:rsid w:val="00A03B91"/>
    <w:rsid w:val="00A04437"/>
    <w:rsid w:val="00A04F1B"/>
    <w:rsid w:val="00A0501B"/>
    <w:rsid w:val="00A0519A"/>
    <w:rsid w:val="00A07C07"/>
    <w:rsid w:val="00A07C9F"/>
    <w:rsid w:val="00A07D8B"/>
    <w:rsid w:val="00A11FF6"/>
    <w:rsid w:val="00A122FF"/>
    <w:rsid w:val="00A12744"/>
    <w:rsid w:val="00A12957"/>
    <w:rsid w:val="00A13851"/>
    <w:rsid w:val="00A13D5E"/>
    <w:rsid w:val="00A14947"/>
    <w:rsid w:val="00A158AA"/>
    <w:rsid w:val="00A1613E"/>
    <w:rsid w:val="00A16A51"/>
    <w:rsid w:val="00A17BB3"/>
    <w:rsid w:val="00A2090C"/>
    <w:rsid w:val="00A20FF5"/>
    <w:rsid w:val="00A219F3"/>
    <w:rsid w:val="00A22D2A"/>
    <w:rsid w:val="00A2391A"/>
    <w:rsid w:val="00A26D0E"/>
    <w:rsid w:val="00A274AE"/>
    <w:rsid w:val="00A27F6A"/>
    <w:rsid w:val="00A30812"/>
    <w:rsid w:val="00A316BB"/>
    <w:rsid w:val="00A32A83"/>
    <w:rsid w:val="00A336B9"/>
    <w:rsid w:val="00A351A3"/>
    <w:rsid w:val="00A36474"/>
    <w:rsid w:val="00A368DB"/>
    <w:rsid w:val="00A41D2B"/>
    <w:rsid w:val="00A423AA"/>
    <w:rsid w:val="00A4241D"/>
    <w:rsid w:val="00A4457A"/>
    <w:rsid w:val="00A448A7"/>
    <w:rsid w:val="00A451EA"/>
    <w:rsid w:val="00A45613"/>
    <w:rsid w:val="00A4572A"/>
    <w:rsid w:val="00A4581B"/>
    <w:rsid w:val="00A4657C"/>
    <w:rsid w:val="00A465DC"/>
    <w:rsid w:val="00A46E2A"/>
    <w:rsid w:val="00A470A6"/>
    <w:rsid w:val="00A47190"/>
    <w:rsid w:val="00A50C1F"/>
    <w:rsid w:val="00A52DCD"/>
    <w:rsid w:val="00A53EC6"/>
    <w:rsid w:val="00A54D40"/>
    <w:rsid w:val="00A559D8"/>
    <w:rsid w:val="00A55C06"/>
    <w:rsid w:val="00A55C0F"/>
    <w:rsid w:val="00A56935"/>
    <w:rsid w:val="00A569C1"/>
    <w:rsid w:val="00A573B2"/>
    <w:rsid w:val="00A605B4"/>
    <w:rsid w:val="00A6329A"/>
    <w:rsid w:val="00A64055"/>
    <w:rsid w:val="00A65180"/>
    <w:rsid w:val="00A6549D"/>
    <w:rsid w:val="00A65EB1"/>
    <w:rsid w:val="00A66D80"/>
    <w:rsid w:val="00A67765"/>
    <w:rsid w:val="00A67B69"/>
    <w:rsid w:val="00A700AB"/>
    <w:rsid w:val="00A70241"/>
    <w:rsid w:val="00A71D62"/>
    <w:rsid w:val="00A73218"/>
    <w:rsid w:val="00A7359B"/>
    <w:rsid w:val="00A7420D"/>
    <w:rsid w:val="00A74B2C"/>
    <w:rsid w:val="00A7502B"/>
    <w:rsid w:val="00A757CC"/>
    <w:rsid w:val="00A76C9D"/>
    <w:rsid w:val="00A77DDB"/>
    <w:rsid w:val="00A82714"/>
    <w:rsid w:val="00A82D41"/>
    <w:rsid w:val="00A83A75"/>
    <w:rsid w:val="00A83FB5"/>
    <w:rsid w:val="00A84037"/>
    <w:rsid w:val="00A8429E"/>
    <w:rsid w:val="00A85757"/>
    <w:rsid w:val="00A8588C"/>
    <w:rsid w:val="00A85A17"/>
    <w:rsid w:val="00A85A44"/>
    <w:rsid w:val="00A8713F"/>
    <w:rsid w:val="00A87596"/>
    <w:rsid w:val="00A87BED"/>
    <w:rsid w:val="00A90BA1"/>
    <w:rsid w:val="00A929E1"/>
    <w:rsid w:val="00A92ED8"/>
    <w:rsid w:val="00A95C1E"/>
    <w:rsid w:val="00A95E7E"/>
    <w:rsid w:val="00A96B48"/>
    <w:rsid w:val="00A97A9A"/>
    <w:rsid w:val="00AA0671"/>
    <w:rsid w:val="00AA0B9E"/>
    <w:rsid w:val="00AA171D"/>
    <w:rsid w:val="00AA1BC2"/>
    <w:rsid w:val="00AA1EEB"/>
    <w:rsid w:val="00AA22AE"/>
    <w:rsid w:val="00AA2531"/>
    <w:rsid w:val="00AA2617"/>
    <w:rsid w:val="00AA34FF"/>
    <w:rsid w:val="00AA6F33"/>
    <w:rsid w:val="00AB0019"/>
    <w:rsid w:val="00AB0D14"/>
    <w:rsid w:val="00AB1A8D"/>
    <w:rsid w:val="00AB1E09"/>
    <w:rsid w:val="00AB5330"/>
    <w:rsid w:val="00AB5D8D"/>
    <w:rsid w:val="00AB6BF1"/>
    <w:rsid w:val="00AB6EA7"/>
    <w:rsid w:val="00AB7561"/>
    <w:rsid w:val="00AB7747"/>
    <w:rsid w:val="00AB7A97"/>
    <w:rsid w:val="00AB7F16"/>
    <w:rsid w:val="00AC07E4"/>
    <w:rsid w:val="00AC09B4"/>
    <w:rsid w:val="00AC1139"/>
    <w:rsid w:val="00AC14CE"/>
    <w:rsid w:val="00AC2A56"/>
    <w:rsid w:val="00AC33F7"/>
    <w:rsid w:val="00AC36AA"/>
    <w:rsid w:val="00AC3832"/>
    <w:rsid w:val="00AC3A95"/>
    <w:rsid w:val="00AC56D3"/>
    <w:rsid w:val="00AC6137"/>
    <w:rsid w:val="00AC63AB"/>
    <w:rsid w:val="00AC66DD"/>
    <w:rsid w:val="00AC6AB7"/>
    <w:rsid w:val="00AD00AE"/>
    <w:rsid w:val="00AD0493"/>
    <w:rsid w:val="00AD055E"/>
    <w:rsid w:val="00AD0A1D"/>
    <w:rsid w:val="00AD13BC"/>
    <w:rsid w:val="00AD150D"/>
    <w:rsid w:val="00AD1B6F"/>
    <w:rsid w:val="00AD287F"/>
    <w:rsid w:val="00AD3EEA"/>
    <w:rsid w:val="00AD40B9"/>
    <w:rsid w:val="00AD46E2"/>
    <w:rsid w:val="00AD47A7"/>
    <w:rsid w:val="00AD4B85"/>
    <w:rsid w:val="00AD534E"/>
    <w:rsid w:val="00AD53D3"/>
    <w:rsid w:val="00AD56EE"/>
    <w:rsid w:val="00AD6215"/>
    <w:rsid w:val="00AD6F67"/>
    <w:rsid w:val="00AE082A"/>
    <w:rsid w:val="00AE0C9E"/>
    <w:rsid w:val="00AE17A7"/>
    <w:rsid w:val="00AE196D"/>
    <w:rsid w:val="00AE1E5E"/>
    <w:rsid w:val="00AE23FA"/>
    <w:rsid w:val="00AE34CD"/>
    <w:rsid w:val="00AE37AC"/>
    <w:rsid w:val="00AE3C8E"/>
    <w:rsid w:val="00AE513D"/>
    <w:rsid w:val="00AE53BD"/>
    <w:rsid w:val="00AE66B3"/>
    <w:rsid w:val="00AF09C5"/>
    <w:rsid w:val="00AF0CBF"/>
    <w:rsid w:val="00AF10CF"/>
    <w:rsid w:val="00AF2473"/>
    <w:rsid w:val="00AF257F"/>
    <w:rsid w:val="00AF2C73"/>
    <w:rsid w:val="00AF32F5"/>
    <w:rsid w:val="00AF33CF"/>
    <w:rsid w:val="00AF38C0"/>
    <w:rsid w:val="00AF40D4"/>
    <w:rsid w:val="00AF4B62"/>
    <w:rsid w:val="00AF4D50"/>
    <w:rsid w:val="00AF515B"/>
    <w:rsid w:val="00AF5660"/>
    <w:rsid w:val="00AF6179"/>
    <w:rsid w:val="00AF6B5F"/>
    <w:rsid w:val="00B0002D"/>
    <w:rsid w:val="00B008F1"/>
    <w:rsid w:val="00B025E8"/>
    <w:rsid w:val="00B028A3"/>
    <w:rsid w:val="00B0364C"/>
    <w:rsid w:val="00B0393C"/>
    <w:rsid w:val="00B04D7A"/>
    <w:rsid w:val="00B066AB"/>
    <w:rsid w:val="00B06DD2"/>
    <w:rsid w:val="00B0761C"/>
    <w:rsid w:val="00B0797E"/>
    <w:rsid w:val="00B07C05"/>
    <w:rsid w:val="00B07C84"/>
    <w:rsid w:val="00B1064E"/>
    <w:rsid w:val="00B10E7E"/>
    <w:rsid w:val="00B127A1"/>
    <w:rsid w:val="00B128C2"/>
    <w:rsid w:val="00B1295A"/>
    <w:rsid w:val="00B130A5"/>
    <w:rsid w:val="00B13408"/>
    <w:rsid w:val="00B1347F"/>
    <w:rsid w:val="00B16288"/>
    <w:rsid w:val="00B201E2"/>
    <w:rsid w:val="00B20A45"/>
    <w:rsid w:val="00B20DF2"/>
    <w:rsid w:val="00B2141D"/>
    <w:rsid w:val="00B21E1C"/>
    <w:rsid w:val="00B22191"/>
    <w:rsid w:val="00B226C2"/>
    <w:rsid w:val="00B229C1"/>
    <w:rsid w:val="00B22C5C"/>
    <w:rsid w:val="00B230D3"/>
    <w:rsid w:val="00B23963"/>
    <w:rsid w:val="00B23BB1"/>
    <w:rsid w:val="00B23D53"/>
    <w:rsid w:val="00B24400"/>
    <w:rsid w:val="00B24F30"/>
    <w:rsid w:val="00B25056"/>
    <w:rsid w:val="00B25231"/>
    <w:rsid w:val="00B27D40"/>
    <w:rsid w:val="00B30437"/>
    <w:rsid w:val="00B306CF"/>
    <w:rsid w:val="00B30B22"/>
    <w:rsid w:val="00B31AB6"/>
    <w:rsid w:val="00B31ABF"/>
    <w:rsid w:val="00B31FB7"/>
    <w:rsid w:val="00B33BE3"/>
    <w:rsid w:val="00B35F1F"/>
    <w:rsid w:val="00B36218"/>
    <w:rsid w:val="00B36D65"/>
    <w:rsid w:val="00B40646"/>
    <w:rsid w:val="00B406CF"/>
    <w:rsid w:val="00B40F06"/>
    <w:rsid w:val="00B414D0"/>
    <w:rsid w:val="00B42C78"/>
    <w:rsid w:val="00B45E67"/>
    <w:rsid w:val="00B45E9D"/>
    <w:rsid w:val="00B46987"/>
    <w:rsid w:val="00B47AAD"/>
    <w:rsid w:val="00B50320"/>
    <w:rsid w:val="00B50752"/>
    <w:rsid w:val="00B50ACD"/>
    <w:rsid w:val="00B51012"/>
    <w:rsid w:val="00B513DB"/>
    <w:rsid w:val="00B51940"/>
    <w:rsid w:val="00B51C74"/>
    <w:rsid w:val="00B53A1F"/>
    <w:rsid w:val="00B53B5D"/>
    <w:rsid w:val="00B5466C"/>
    <w:rsid w:val="00B549C5"/>
    <w:rsid w:val="00B560F3"/>
    <w:rsid w:val="00B56E0B"/>
    <w:rsid w:val="00B6004A"/>
    <w:rsid w:val="00B6055E"/>
    <w:rsid w:val="00B61C65"/>
    <w:rsid w:val="00B62ABE"/>
    <w:rsid w:val="00B6317D"/>
    <w:rsid w:val="00B632A2"/>
    <w:rsid w:val="00B63E59"/>
    <w:rsid w:val="00B64BA7"/>
    <w:rsid w:val="00B64CB2"/>
    <w:rsid w:val="00B65DFB"/>
    <w:rsid w:val="00B6648D"/>
    <w:rsid w:val="00B675C3"/>
    <w:rsid w:val="00B70608"/>
    <w:rsid w:val="00B7118D"/>
    <w:rsid w:val="00B71748"/>
    <w:rsid w:val="00B72954"/>
    <w:rsid w:val="00B735BE"/>
    <w:rsid w:val="00B73AF0"/>
    <w:rsid w:val="00B74B42"/>
    <w:rsid w:val="00B7723F"/>
    <w:rsid w:val="00B8004F"/>
    <w:rsid w:val="00B8039E"/>
    <w:rsid w:val="00B80534"/>
    <w:rsid w:val="00B80FC1"/>
    <w:rsid w:val="00B8155B"/>
    <w:rsid w:val="00B837C0"/>
    <w:rsid w:val="00B8433C"/>
    <w:rsid w:val="00B84A9C"/>
    <w:rsid w:val="00B8695B"/>
    <w:rsid w:val="00B87203"/>
    <w:rsid w:val="00B87491"/>
    <w:rsid w:val="00B90087"/>
    <w:rsid w:val="00B90FB8"/>
    <w:rsid w:val="00B92CAE"/>
    <w:rsid w:val="00B9403B"/>
    <w:rsid w:val="00B946D7"/>
    <w:rsid w:val="00BA26A9"/>
    <w:rsid w:val="00BA29E9"/>
    <w:rsid w:val="00BA3392"/>
    <w:rsid w:val="00BA35C6"/>
    <w:rsid w:val="00BA4F79"/>
    <w:rsid w:val="00BA6BF7"/>
    <w:rsid w:val="00BA7142"/>
    <w:rsid w:val="00BB0850"/>
    <w:rsid w:val="00BB0A4C"/>
    <w:rsid w:val="00BB0AB3"/>
    <w:rsid w:val="00BB0F02"/>
    <w:rsid w:val="00BB1121"/>
    <w:rsid w:val="00BB16AF"/>
    <w:rsid w:val="00BB237C"/>
    <w:rsid w:val="00BB2C2E"/>
    <w:rsid w:val="00BB3D50"/>
    <w:rsid w:val="00BB41A3"/>
    <w:rsid w:val="00BB5997"/>
    <w:rsid w:val="00BB5B74"/>
    <w:rsid w:val="00BB682F"/>
    <w:rsid w:val="00BB6F76"/>
    <w:rsid w:val="00BC2A40"/>
    <w:rsid w:val="00BC32DC"/>
    <w:rsid w:val="00BC35B6"/>
    <w:rsid w:val="00BC3C13"/>
    <w:rsid w:val="00BC496A"/>
    <w:rsid w:val="00BC55DC"/>
    <w:rsid w:val="00BC63C0"/>
    <w:rsid w:val="00BC7343"/>
    <w:rsid w:val="00BD125D"/>
    <w:rsid w:val="00BD1B51"/>
    <w:rsid w:val="00BD272B"/>
    <w:rsid w:val="00BD332D"/>
    <w:rsid w:val="00BD4596"/>
    <w:rsid w:val="00BD57E7"/>
    <w:rsid w:val="00BD6501"/>
    <w:rsid w:val="00BD7B98"/>
    <w:rsid w:val="00BE04EA"/>
    <w:rsid w:val="00BE082F"/>
    <w:rsid w:val="00BE136D"/>
    <w:rsid w:val="00BE1405"/>
    <w:rsid w:val="00BE15DE"/>
    <w:rsid w:val="00BE1A54"/>
    <w:rsid w:val="00BE1E9B"/>
    <w:rsid w:val="00BE1FA6"/>
    <w:rsid w:val="00BE312D"/>
    <w:rsid w:val="00BE3A05"/>
    <w:rsid w:val="00BE50A2"/>
    <w:rsid w:val="00BE6584"/>
    <w:rsid w:val="00BE7223"/>
    <w:rsid w:val="00BE7380"/>
    <w:rsid w:val="00BF03EC"/>
    <w:rsid w:val="00BF1C11"/>
    <w:rsid w:val="00BF1C20"/>
    <w:rsid w:val="00BF52F0"/>
    <w:rsid w:val="00BF5313"/>
    <w:rsid w:val="00BF63C9"/>
    <w:rsid w:val="00C00CD3"/>
    <w:rsid w:val="00C01E4F"/>
    <w:rsid w:val="00C03AD6"/>
    <w:rsid w:val="00C04D4C"/>
    <w:rsid w:val="00C05F8E"/>
    <w:rsid w:val="00C06479"/>
    <w:rsid w:val="00C07046"/>
    <w:rsid w:val="00C10578"/>
    <w:rsid w:val="00C12E76"/>
    <w:rsid w:val="00C135BC"/>
    <w:rsid w:val="00C144D7"/>
    <w:rsid w:val="00C157F6"/>
    <w:rsid w:val="00C15C95"/>
    <w:rsid w:val="00C1620B"/>
    <w:rsid w:val="00C175A0"/>
    <w:rsid w:val="00C17C3A"/>
    <w:rsid w:val="00C17F48"/>
    <w:rsid w:val="00C2028A"/>
    <w:rsid w:val="00C204DD"/>
    <w:rsid w:val="00C209D0"/>
    <w:rsid w:val="00C20AE9"/>
    <w:rsid w:val="00C20AEA"/>
    <w:rsid w:val="00C23301"/>
    <w:rsid w:val="00C2596A"/>
    <w:rsid w:val="00C25BA5"/>
    <w:rsid w:val="00C25EDC"/>
    <w:rsid w:val="00C2752B"/>
    <w:rsid w:val="00C27537"/>
    <w:rsid w:val="00C27A0F"/>
    <w:rsid w:val="00C3005C"/>
    <w:rsid w:val="00C30067"/>
    <w:rsid w:val="00C30240"/>
    <w:rsid w:val="00C30753"/>
    <w:rsid w:val="00C30AE5"/>
    <w:rsid w:val="00C315DC"/>
    <w:rsid w:val="00C328FE"/>
    <w:rsid w:val="00C330F4"/>
    <w:rsid w:val="00C331D6"/>
    <w:rsid w:val="00C33507"/>
    <w:rsid w:val="00C33931"/>
    <w:rsid w:val="00C35C9D"/>
    <w:rsid w:val="00C400D3"/>
    <w:rsid w:val="00C4094C"/>
    <w:rsid w:val="00C41DC4"/>
    <w:rsid w:val="00C4409D"/>
    <w:rsid w:val="00C44E72"/>
    <w:rsid w:val="00C45653"/>
    <w:rsid w:val="00C45984"/>
    <w:rsid w:val="00C45A06"/>
    <w:rsid w:val="00C460BE"/>
    <w:rsid w:val="00C46CFC"/>
    <w:rsid w:val="00C47E5B"/>
    <w:rsid w:val="00C53662"/>
    <w:rsid w:val="00C53EF4"/>
    <w:rsid w:val="00C5449D"/>
    <w:rsid w:val="00C557AB"/>
    <w:rsid w:val="00C55CC3"/>
    <w:rsid w:val="00C564F5"/>
    <w:rsid w:val="00C56E36"/>
    <w:rsid w:val="00C5721F"/>
    <w:rsid w:val="00C575DA"/>
    <w:rsid w:val="00C61812"/>
    <w:rsid w:val="00C61E4B"/>
    <w:rsid w:val="00C620F0"/>
    <w:rsid w:val="00C627B0"/>
    <w:rsid w:val="00C62E94"/>
    <w:rsid w:val="00C64A2B"/>
    <w:rsid w:val="00C64BFF"/>
    <w:rsid w:val="00C64FDF"/>
    <w:rsid w:val="00C65C3C"/>
    <w:rsid w:val="00C704E9"/>
    <w:rsid w:val="00C70726"/>
    <w:rsid w:val="00C70D1D"/>
    <w:rsid w:val="00C72067"/>
    <w:rsid w:val="00C729A3"/>
    <w:rsid w:val="00C72AB1"/>
    <w:rsid w:val="00C72B95"/>
    <w:rsid w:val="00C74606"/>
    <w:rsid w:val="00C74C44"/>
    <w:rsid w:val="00C74C82"/>
    <w:rsid w:val="00C7619D"/>
    <w:rsid w:val="00C763AF"/>
    <w:rsid w:val="00C763C9"/>
    <w:rsid w:val="00C76FDB"/>
    <w:rsid w:val="00C77201"/>
    <w:rsid w:val="00C80057"/>
    <w:rsid w:val="00C803E8"/>
    <w:rsid w:val="00C803F6"/>
    <w:rsid w:val="00C81362"/>
    <w:rsid w:val="00C81A01"/>
    <w:rsid w:val="00C82232"/>
    <w:rsid w:val="00C82913"/>
    <w:rsid w:val="00C82FAE"/>
    <w:rsid w:val="00C833F1"/>
    <w:rsid w:val="00C83402"/>
    <w:rsid w:val="00C83921"/>
    <w:rsid w:val="00C83CB2"/>
    <w:rsid w:val="00C83F1C"/>
    <w:rsid w:val="00C86154"/>
    <w:rsid w:val="00C912B3"/>
    <w:rsid w:val="00C93A26"/>
    <w:rsid w:val="00C94657"/>
    <w:rsid w:val="00C96A85"/>
    <w:rsid w:val="00C970A1"/>
    <w:rsid w:val="00C972B1"/>
    <w:rsid w:val="00C9750F"/>
    <w:rsid w:val="00CA0344"/>
    <w:rsid w:val="00CA0CAC"/>
    <w:rsid w:val="00CA1A09"/>
    <w:rsid w:val="00CA2CCE"/>
    <w:rsid w:val="00CA43FD"/>
    <w:rsid w:val="00CA4F93"/>
    <w:rsid w:val="00CA5E5D"/>
    <w:rsid w:val="00CA656B"/>
    <w:rsid w:val="00CA6710"/>
    <w:rsid w:val="00CA70C6"/>
    <w:rsid w:val="00CA7EF8"/>
    <w:rsid w:val="00CB094F"/>
    <w:rsid w:val="00CB0A68"/>
    <w:rsid w:val="00CB1D39"/>
    <w:rsid w:val="00CB1F37"/>
    <w:rsid w:val="00CB287B"/>
    <w:rsid w:val="00CB2DF4"/>
    <w:rsid w:val="00CB2FCA"/>
    <w:rsid w:val="00CB44D1"/>
    <w:rsid w:val="00CB4A79"/>
    <w:rsid w:val="00CB4C45"/>
    <w:rsid w:val="00CB655B"/>
    <w:rsid w:val="00CB6568"/>
    <w:rsid w:val="00CC01FA"/>
    <w:rsid w:val="00CC1836"/>
    <w:rsid w:val="00CC2343"/>
    <w:rsid w:val="00CC2EAA"/>
    <w:rsid w:val="00CC32CA"/>
    <w:rsid w:val="00CC32E3"/>
    <w:rsid w:val="00CC3BC7"/>
    <w:rsid w:val="00CC489B"/>
    <w:rsid w:val="00CC49C1"/>
    <w:rsid w:val="00CC760F"/>
    <w:rsid w:val="00CC7FAE"/>
    <w:rsid w:val="00CD0F6B"/>
    <w:rsid w:val="00CD1640"/>
    <w:rsid w:val="00CD1961"/>
    <w:rsid w:val="00CD2BCD"/>
    <w:rsid w:val="00CD34E6"/>
    <w:rsid w:val="00CD38C4"/>
    <w:rsid w:val="00CD3A4C"/>
    <w:rsid w:val="00CD3C3E"/>
    <w:rsid w:val="00CD3E74"/>
    <w:rsid w:val="00CD60E5"/>
    <w:rsid w:val="00CD70C0"/>
    <w:rsid w:val="00CD7781"/>
    <w:rsid w:val="00CD7B34"/>
    <w:rsid w:val="00CE10E9"/>
    <w:rsid w:val="00CE1936"/>
    <w:rsid w:val="00CE1AF9"/>
    <w:rsid w:val="00CE1FD0"/>
    <w:rsid w:val="00CE2910"/>
    <w:rsid w:val="00CE2EDE"/>
    <w:rsid w:val="00CE3AA2"/>
    <w:rsid w:val="00CE4C8C"/>
    <w:rsid w:val="00CE5393"/>
    <w:rsid w:val="00CE60A5"/>
    <w:rsid w:val="00CE7013"/>
    <w:rsid w:val="00CE7134"/>
    <w:rsid w:val="00CF0126"/>
    <w:rsid w:val="00CF0F78"/>
    <w:rsid w:val="00CF1DA9"/>
    <w:rsid w:val="00CF32B7"/>
    <w:rsid w:val="00CF36BE"/>
    <w:rsid w:val="00CF3C05"/>
    <w:rsid w:val="00CF504D"/>
    <w:rsid w:val="00CF5196"/>
    <w:rsid w:val="00CF5BC3"/>
    <w:rsid w:val="00CF5BD3"/>
    <w:rsid w:val="00CF5C7E"/>
    <w:rsid w:val="00CF5FBF"/>
    <w:rsid w:val="00CF6000"/>
    <w:rsid w:val="00CF699E"/>
    <w:rsid w:val="00CF74F4"/>
    <w:rsid w:val="00CF7D9F"/>
    <w:rsid w:val="00CF7E26"/>
    <w:rsid w:val="00D003F3"/>
    <w:rsid w:val="00D015F6"/>
    <w:rsid w:val="00D0364F"/>
    <w:rsid w:val="00D03A83"/>
    <w:rsid w:val="00D04B5B"/>
    <w:rsid w:val="00D05250"/>
    <w:rsid w:val="00D05A80"/>
    <w:rsid w:val="00D06834"/>
    <w:rsid w:val="00D068C7"/>
    <w:rsid w:val="00D06B9D"/>
    <w:rsid w:val="00D070D3"/>
    <w:rsid w:val="00D07162"/>
    <w:rsid w:val="00D12815"/>
    <w:rsid w:val="00D1293B"/>
    <w:rsid w:val="00D12FC0"/>
    <w:rsid w:val="00D12FEB"/>
    <w:rsid w:val="00D134CD"/>
    <w:rsid w:val="00D14B58"/>
    <w:rsid w:val="00D1509E"/>
    <w:rsid w:val="00D164BA"/>
    <w:rsid w:val="00D17832"/>
    <w:rsid w:val="00D17847"/>
    <w:rsid w:val="00D205FB"/>
    <w:rsid w:val="00D20A57"/>
    <w:rsid w:val="00D20C56"/>
    <w:rsid w:val="00D20DA6"/>
    <w:rsid w:val="00D21DE1"/>
    <w:rsid w:val="00D24330"/>
    <w:rsid w:val="00D265EB"/>
    <w:rsid w:val="00D26C97"/>
    <w:rsid w:val="00D2743E"/>
    <w:rsid w:val="00D27E2F"/>
    <w:rsid w:val="00D27EF7"/>
    <w:rsid w:val="00D308ED"/>
    <w:rsid w:val="00D30F32"/>
    <w:rsid w:val="00D32437"/>
    <w:rsid w:val="00D33AD6"/>
    <w:rsid w:val="00D35CBA"/>
    <w:rsid w:val="00D36D86"/>
    <w:rsid w:val="00D37E62"/>
    <w:rsid w:val="00D4035B"/>
    <w:rsid w:val="00D41070"/>
    <w:rsid w:val="00D413E8"/>
    <w:rsid w:val="00D41707"/>
    <w:rsid w:val="00D41C42"/>
    <w:rsid w:val="00D422FF"/>
    <w:rsid w:val="00D42773"/>
    <w:rsid w:val="00D428AA"/>
    <w:rsid w:val="00D42DF0"/>
    <w:rsid w:val="00D43251"/>
    <w:rsid w:val="00D44D3B"/>
    <w:rsid w:val="00D460BD"/>
    <w:rsid w:val="00D4675A"/>
    <w:rsid w:val="00D46BDC"/>
    <w:rsid w:val="00D50A34"/>
    <w:rsid w:val="00D50AAB"/>
    <w:rsid w:val="00D50C24"/>
    <w:rsid w:val="00D51AB8"/>
    <w:rsid w:val="00D529D7"/>
    <w:rsid w:val="00D53EFA"/>
    <w:rsid w:val="00D541A6"/>
    <w:rsid w:val="00D541DB"/>
    <w:rsid w:val="00D542A5"/>
    <w:rsid w:val="00D54E5A"/>
    <w:rsid w:val="00D552B0"/>
    <w:rsid w:val="00D57C6A"/>
    <w:rsid w:val="00D604E9"/>
    <w:rsid w:val="00D61818"/>
    <w:rsid w:val="00D63790"/>
    <w:rsid w:val="00D64BB0"/>
    <w:rsid w:val="00D64C20"/>
    <w:rsid w:val="00D64ED9"/>
    <w:rsid w:val="00D65DE1"/>
    <w:rsid w:val="00D66DCA"/>
    <w:rsid w:val="00D67677"/>
    <w:rsid w:val="00D7023B"/>
    <w:rsid w:val="00D7088B"/>
    <w:rsid w:val="00D715D5"/>
    <w:rsid w:val="00D71E24"/>
    <w:rsid w:val="00D72CC5"/>
    <w:rsid w:val="00D73048"/>
    <w:rsid w:val="00D82E8D"/>
    <w:rsid w:val="00D8452B"/>
    <w:rsid w:val="00D84A8C"/>
    <w:rsid w:val="00D852DB"/>
    <w:rsid w:val="00D861E7"/>
    <w:rsid w:val="00D86756"/>
    <w:rsid w:val="00D90508"/>
    <w:rsid w:val="00D9059E"/>
    <w:rsid w:val="00D91530"/>
    <w:rsid w:val="00D91A2C"/>
    <w:rsid w:val="00D94A7C"/>
    <w:rsid w:val="00D94EAC"/>
    <w:rsid w:val="00D95896"/>
    <w:rsid w:val="00D96504"/>
    <w:rsid w:val="00D96B63"/>
    <w:rsid w:val="00D9705F"/>
    <w:rsid w:val="00DA0F3E"/>
    <w:rsid w:val="00DA30A7"/>
    <w:rsid w:val="00DA3732"/>
    <w:rsid w:val="00DA3C63"/>
    <w:rsid w:val="00DA3F84"/>
    <w:rsid w:val="00DA4050"/>
    <w:rsid w:val="00DA4DF5"/>
    <w:rsid w:val="00DA5918"/>
    <w:rsid w:val="00DA5E6C"/>
    <w:rsid w:val="00DA5FF8"/>
    <w:rsid w:val="00DA6EE1"/>
    <w:rsid w:val="00DB0BAD"/>
    <w:rsid w:val="00DB1A2D"/>
    <w:rsid w:val="00DB2983"/>
    <w:rsid w:val="00DB2F9B"/>
    <w:rsid w:val="00DB320D"/>
    <w:rsid w:val="00DB3DCB"/>
    <w:rsid w:val="00DB6887"/>
    <w:rsid w:val="00DB748F"/>
    <w:rsid w:val="00DC03AE"/>
    <w:rsid w:val="00DC0768"/>
    <w:rsid w:val="00DC1257"/>
    <w:rsid w:val="00DC3DC0"/>
    <w:rsid w:val="00DC43B5"/>
    <w:rsid w:val="00DC47DB"/>
    <w:rsid w:val="00DC52C8"/>
    <w:rsid w:val="00DC5B2B"/>
    <w:rsid w:val="00DC6154"/>
    <w:rsid w:val="00DC78C6"/>
    <w:rsid w:val="00DD0C42"/>
    <w:rsid w:val="00DD16F8"/>
    <w:rsid w:val="00DD2A90"/>
    <w:rsid w:val="00DD318D"/>
    <w:rsid w:val="00DD46F7"/>
    <w:rsid w:val="00DD474E"/>
    <w:rsid w:val="00DD4958"/>
    <w:rsid w:val="00DD4B70"/>
    <w:rsid w:val="00DD521E"/>
    <w:rsid w:val="00DD5239"/>
    <w:rsid w:val="00DD548E"/>
    <w:rsid w:val="00DD69DB"/>
    <w:rsid w:val="00DD6D47"/>
    <w:rsid w:val="00DE1FA5"/>
    <w:rsid w:val="00DE378E"/>
    <w:rsid w:val="00DE38BA"/>
    <w:rsid w:val="00DE5ADF"/>
    <w:rsid w:val="00DE5AE8"/>
    <w:rsid w:val="00DE650C"/>
    <w:rsid w:val="00DE6E2D"/>
    <w:rsid w:val="00DE7108"/>
    <w:rsid w:val="00DE7530"/>
    <w:rsid w:val="00DF0EDF"/>
    <w:rsid w:val="00DF22BB"/>
    <w:rsid w:val="00DF2E12"/>
    <w:rsid w:val="00DF3588"/>
    <w:rsid w:val="00DF49D6"/>
    <w:rsid w:val="00DF514A"/>
    <w:rsid w:val="00DF6690"/>
    <w:rsid w:val="00DF6759"/>
    <w:rsid w:val="00DF6804"/>
    <w:rsid w:val="00E00227"/>
    <w:rsid w:val="00E02108"/>
    <w:rsid w:val="00E034D9"/>
    <w:rsid w:val="00E0358D"/>
    <w:rsid w:val="00E04323"/>
    <w:rsid w:val="00E04976"/>
    <w:rsid w:val="00E04E99"/>
    <w:rsid w:val="00E05FE1"/>
    <w:rsid w:val="00E06739"/>
    <w:rsid w:val="00E06A3A"/>
    <w:rsid w:val="00E070A2"/>
    <w:rsid w:val="00E07F03"/>
    <w:rsid w:val="00E07FEE"/>
    <w:rsid w:val="00E10A68"/>
    <w:rsid w:val="00E11238"/>
    <w:rsid w:val="00E113EF"/>
    <w:rsid w:val="00E1286F"/>
    <w:rsid w:val="00E129A3"/>
    <w:rsid w:val="00E15417"/>
    <w:rsid w:val="00E15768"/>
    <w:rsid w:val="00E1622A"/>
    <w:rsid w:val="00E21327"/>
    <w:rsid w:val="00E2202F"/>
    <w:rsid w:val="00E2321D"/>
    <w:rsid w:val="00E2355C"/>
    <w:rsid w:val="00E23563"/>
    <w:rsid w:val="00E2478E"/>
    <w:rsid w:val="00E25235"/>
    <w:rsid w:val="00E2558D"/>
    <w:rsid w:val="00E264D1"/>
    <w:rsid w:val="00E2656A"/>
    <w:rsid w:val="00E26833"/>
    <w:rsid w:val="00E31AF7"/>
    <w:rsid w:val="00E31BF2"/>
    <w:rsid w:val="00E32A7A"/>
    <w:rsid w:val="00E33A80"/>
    <w:rsid w:val="00E33F70"/>
    <w:rsid w:val="00E362B5"/>
    <w:rsid w:val="00E405AD"/>
    <w:rsid w:val="00E412D0"/>
    <w:rsid w:val="00E41BFA"/>
    <w:rsid w:val="00E4221E"/>
    <w:rsid w:val="00E430A0"/>
    <w:rsid w:val="00E43C8E"/>
    <w:rsid w:val="00E44B08"/>
    <w:rsid w:val="00E45178"/>
    <w:rsid w:val="00E45355"/>
    <w:rsid w:val="00E45A79"/>
    <w:rsid w:val="00E46792"/>
    <w:rsid w:val="00E46C37"/>
    <w:rsid w:val="00E51893"/>
    <w:rsid w:val="00E5197A"/>
    <w:rsid w:val="00E52828"/>
    <w:rsid w:val="00E54445"/>
    <w:rsid w:val="00E559EF"/>
    <w:rsid w:val="00E56322"/>
    <w:rsid w:val="00E565D7"/>
    <w:rsid w:val="00E57FBA"/>
    <w:rsid w:val="00E602D9"/>
    <w:rsid w:val="00E605C7"/>
    <w:rsid w:val="00E60982"/>
    <w:rsid w:val="00E61156"/>
    <w:rsid w:val="00E611AC"/>
    <w:rsid w:val="00E617DA"/>
    <w:rsid w:val="00E62C62"/>
    <w:rsid w:val="00E62E88"/>
    <w:rsid w:val="00E654C1"/>
    <w:rsid w:val="00E6552D"/>
    <w:rsid w:val="00E65C74"/>
    <w:rsid w:val="00E65D97"/>
    <w:rsid w:val="00E665E9"/>
    <w:rsid w:val="00E668FA"/>
    <w:rsid w:val="00E7106A"/>
    <w:rsid w:val="00E72501"/>
    <w:rsid w:val="00E72A5A"/>
    <w:rsid w:val="00E72D04"/>
    <w:rsid w:val="00E732A2"/>
    <w:rsid w:val="00E73354"/>
    <w:rsid w:val="00E7384B"/>
    <w:rsid w:val="00E73D75"/>
    <w:rsid w:val="00E740F4"/>
    <w:rsid w:val="00E74F85"/>
    <w:rsid w:val="00E77EE4"/>
    <w:rsid w:val="00E802D1"/>
    <w:rsid w:val="00E804E5"/>
    <w:rsid w:val="00E81663"/>
    <w:rsid w:val="00E81693"/>
    <w:rsid w:val="00E82D84"/>
    <w:rsid w:val="00E835B0"/>
    <w:rsid w:val="00E850BB"/>
    <w:rsid w:val="00E85C4F"/>
    <w:rsid w:val="00E867B4"/>
    <w:rsid w:val="00E86D78"/>
    <w:rsid w:val="00E8705D"/>
    <w:rsid w:val="00E873AD"/>
    <w:rsid w:val="00E9242D"/>
    <w:rsid w:val="00E9392A"/>
    <w:rsid w:val="00E942A3"/>
    <w:rsid w:val="00E95600"/>
    <w:rsid w:val="00E96A30"/>
    <w:rsid w:val="00E9723F"/>
    <w:rsid w:val="00E97707"/>
    <w:rsid w:val="00EA0E13"/>
    <w:rsid w:val="00EA14ED"/>
    <w:rsid w:val="00EA16BF"/>
    <w:rsid w:val="00EA178D"/>
    <w:rsid w:val="00EA280C"/>
    <w:rsid w:val="00EA33F1"/>
    <w:rsid w:val="00EA34ED"/>
    <w:rsid w:val="00EA4DA7"/>
    <w:rsid w:val="00EA4DF2"/>
    <w:rsid w:val="00EA525B"/>
    <w:rsid w:val="00EA62AD"/>
    <w:rsid w:val="00EA66B2"/>
    <w:rsid w:val="00EA6737"/>
    <w:rsid w:val="00EA6A04"/>
    <w:rsid w:val="00EA72EA"/>
    <w:rsid w:val="00EA79FF"/>
    <w:rsid w:val="00EA7E3A"/>
    <w:rsid w:val="00EB2100"/>
    <w:rsid w:val="00EB23DC"/>
    <w:rsid w:val="00EB5255"/>
    <w:rsid w:val="00EB5C47"/>
    <w:rsid w:val="00EC08F1"/>
    <w:rsid w:val="00EC15E4"/>
    <w:rsid w:val="00EC216E"/>
    <w:rsid w:val="00EC2693"/>
    <w:rsid w:val="00ED054F"/>
    <w:rsid w:val="00ED0639"/>
    <w:rsid w:val="00ED2C92"/>
    <w:rsid w:val="00ED343D"/>
    <w:rsid w:val="00ED3BD2"/>
    <w:rsid w:val="00ED3BD4"/>
    <w:rsid w:val="00ED3C58"/>
    <w:rsid w:val="00ED4C05"/>
    <w:rsid w:val="00ED50F8"/>
    <w:rsid w:val="00ED55F0"/>
    <w:rsid w:val="00ED5B07"/>
    <w:rsid w:val="00ED6A11"/>
    <w:rsid w:val="00EE0BB6"/>
    <w:rsid w:val="00EE1034"/>
    <w:rsid w:val="00EE112D"/>
    <w:rsid w:val="00EE18CD"/>
    <w:rsid w:val="00EE3532"/>
    <w:rsid w:val="00EE4D60"/>
    <w:rsid w:val="00EE5A9C"/>
    <w:rsid w:val="00EE5EBB"/>
    <w:rsid w:val="00EF0720"/>
    <w:rsid w:val="00EF10C1"/>
    <w:rsid w:val="00EF15DE"/>
    <w:rsid w:val="00EF1C15"/>
    <w:rsid w:val="00EF2528"/>
    <w:rsid w:val="00EF2A59"/>
    <w:rsid w:val="00EF2F52"/>
    <w:rsid w:val="00EF4755"/>
    <w:rsid w:val="00EF4C3C"/>
    <w:rsid w:val="00EF580F"/>
    <w:rsid w:val="00EF5863"/>
    <w:rsid w:val="00EF64C2"/>
    <w:rsid w:val="00EF6D47"/>
    <w:rsid w:val="00EF7135"/>
    <w:rsid w:val="00EF7254"/>
    <w:rsid w:val="00EF77E3"/>
    <w:rsid w:val="00EF7B59"/>
    <w:rsid w:val="00F006FB"/>
    <w:rsid w:val="00F0211F"/>
    <w:rsid w:val="00F027DB"/>
    <w:rsid w:val="00F0293D"/>
    <w:rsid w:val="00F038A4"/>
    <w:rsid w:val="00F0477D"/>
    <w:rsid w:val="00F05B73"/>
    <w:rsid w:val="00F0632B"/>
    <w:rsid w:val="00F06638"/>
    <w:rsid w:val="00F06BC4"/>
    <w:rsid w:val="00F101FB"/>
    <w:rsid w:val="00F1166E"/>
    <w:rsid w:val="00F12195"/>
    <w:rsid w:val="00F12363"/>
    <w:rsid w:val="00F1492A"/>
    <w:rsid w:val="00F14A7A"/>
    <w:rsid w:val="00F16058"/>
    <w:rsid w:val="00F16AC9"/>
    <w:rsid w:val="00F22985"/>
    <w:rsid w:val="00F234BD"/>
    <w:rsid w:val="00F238D6"/>
    <w:rsid w:val="00F24541"/>
    <w:rsid w:val="00F26B11"/>
    <w:rsid w:val="00F26CF4"/>
    <w:rsid w:val="00F27A71"/>
    <w:rsid w:val="00F27E10"/>
    <w:rsid w:val="00F31153"/>
    <w:rsid w:val="00F32149"/>
    <w:rsid w:val="00F323CC"/>
    <w:rsid w:val="00F328C6"/>
    <w:rsid w:val="00F328FA"/>
    <w:rsid w:val="00F32B6B"/>
    <w:rsid w:val="00F32F56"/>
    <w:rsid w:val="00F33359"/>
    <w:rsid w:val="00F336B1"/>
    <w:rsid w:val="00F3383E"/>
    <w:rsid w:val="00F33884"/>
    <w:rsid w:val="00F35EA6"/>
    <w:rsid w:val="00F36EF9"/>
    <w:rsid w:val="00F37BA6"/>
    <w:rsid w:val="00F37D87"/>
    <w:rsid w:val="00F37F99"/>
    <w:rsid w:val="00F40991"/>
    <w:rsid w:val="00F40AC0"/>
    <w:rsid w:val="00F41E1D"/>
    <w:rsid w:val="00F4274A"/>
    <w:rsid w:val="00F42FBA"/>
    <w:rsid w:val="00F433C2"/>
    <w:rsid w:val="00F44421"/>
    <w:rsid w:val="00F44DEE"/>
    <w:rsid w:val="00F45364"/>
    <w:rsid w:val="00F45FF1"/>
    <w:rsid w:val="00F465A7"/>
    <w:rsid w:val="00F50B7C"/>
    <w:rsid w:val="00F510F3"/>
    <w:rsid w:val="00F51276"/>
    <w:rsid w:val="00F52BC5"/>
    <w:rsid w:val="00F53C77"/>
    <w:rsid w:val="00F54F02"/>
    <w:rsid w:val="00F550E6"/>
    <w:rsid w:val="00F55410"/>
    <w:rsid w:val="00F5612B"/>
    <w:rsid w:val="00F56D32"/>
    <w:rsid w:val="00F60B78"/>
    <w:rsid w:val="00F62573"/>
    <w:rsid w:val="00F626F6"/>
    <w:rsid w:val="00F62F56"/>
    <w:rsid w:val="00F6404D"/>
    <w:rsid w:val="00F64405"/>
    <w:rsid w:val="00F64AC9"/>
    <w:rsid w:val="00F65292"/>
    <w:rsid w:val="00F65324"/>
    <w:rsid w:val="00F65B6C"/>
    <w:rsid w:val="00F65C7A"/>
    <w:rsid w:val="00F6610F"/>
    <w:rsid w:val="00F66A44"/>
    <w:rsid w:val="00F67DC6"/>
    <w:rsid w:val="00F702F3"/>
    <w:rsid w:val="00F70C89"/>
    <w:rsid w:val="00F70D27"/>
    <w:rsid w:val="00F70F1A"/>
    <w:rsid w:val="00F73569"/>
    <w:rsid w:val="00F73688"/>
    <w:rsid w:val="00F7389F"/>
    <w:rsid w:val="00F73E85"/>
    <w:rsid w:val="00F74345"/>
    <w:rsid w:val="00F752A4"/>
    <w:rsid w:val="00F75B54"/>
    <w:rsid w:val="00F7631A"/>
    <w:rsid w:val="00F76BC9"/>
    <w:rsid w:val="00F802CD"/>
    <w:rsid w:val="00F807CC"/>
    <w:rsid w:val="00F80A0A"/>
    <w:rsid w:val="00F80E17"/>
    <w:rsid w:val="00F81A73"/>
    <w:rsid w:val="00F82B19"/>
    <w:rsid w:val="00F83EA2"/>
    <w:rsid w:val="00F852BE"/>
    <w:rsid w:val="00F852D2"/>
    <w:rsid w:val="00F90E91"/>
    <w:rsid w:val="00F91A4D"/>
    <w:rsid w:val="00F9212D"/>
    <w:rsid w:val="00F922C3"/>
    <w:rsid w:val="00F928D8"/>
    <w:rsid w:val="00F92A8F"/>
    <w:rsid w:val="00F92E18"/>
    <w:rsid w:val="00F933AC"/>
    <w:rsid w:val="00F9369D"/>
    <w:rsid w:val="00F936AA"/>
    <w:rsid w:val="00F93838"/>
    <w:rsid w:val="00F95BDB"/>
    <w:rsid w:val="00F961F8"/>
    <w:rsid w:val="00F965DA"/>
    <w:rsid w:val="00F9686E"/>
    <w:rsid w:val="00F96EE9"/>
    <w:rsid w:val="00FA066A"/>
    <w:rsid w:val="00FA07FC"/>
    <w:rsid w:val="00FA133C"/>
    <w:rsid w:val="00FA149E"/>
    <w:rsid w:val="00FA1D3C"/>
    <w:rsid w:val="00FA27DA"/>
    <w:rsid w:val="00FA2E2C"/>
    <w:rsid w:val="00FA3124"/>
    <w:rsid w:val="00FA3F47"/>
    <w:rsid w:val="00FA406A"/>
    <w:rsid w:val="00FA43C9"/>
    <w:rsid w:val="00FA556D"/>
    <w:rsid w:val="00FA681A"/>
    <w:rsid w:val="00FA6A3F"/>
    <w:rsid w:val="00FA6CF7"/>
    <w:rsid w:val="00FA6F53"/>
    <w:rsid w:val="00FB0E60"/>
    <w:rsid w:val="00FB1994"/>
    <w:rsid w:val="00FB265C"/>
    <w:rsid w:val="00FB28CB"/>
    <w:rsid w:val="00FB339B"/>
    <w:rsid w:val="00FB35C1"/>
    <w:rsid w:val="00FB503A"/>
    <w:rsid w:val="00FB516C"/>
    <w:rsid w:val="00FB5227"/>
    <w:rsid w:val="00FB5663"/>
    <w:rsid w:val="00FB769E"/>
    <w:rsid w:val="00FC11DD"/>
    <w:rsid w:val="00FC3839"/>
    <w:rsid w:val="00FC4A57"/>
    <w:rsid w:val="00FC4C92"/>
    <w:rsid w:val="00FC55E3"/>
    <w:rsid w:val="00FC58B9"/>
    <w:rsid w:val="00FC6CC3"/>
    <w:rsid w:val="00FC6F6B"/>
    <w:rsid w:val="00FD0236"/>
    <w:rsid w:val="00FD0468"/>
    <w:rsid w:val="00FD08D2"/>
    <w:rsid w:val="00FD18F4"/>
    <w:rsid w:val="00FD2B70"/>
    <w:rsid w:val="00FD49C9"/>
    <w:rsid w:val="00FD5360"/>
    <w:rsid w:val="00FD54DB"/>
    <w:rsid w:val="00FD572B"/>
    <w:rsid w:val="00FD5F4F"/>
    <w:rsid w:val="00FD619F"/>
    <w:rsid w:val="00FD72FB"/>
    <w:rsid w:val="00FD7924"/>
    <w:rsid w:val="00FD7CE1"/>
    <w:rsid w:val="00FE0F0C"/>
    <w:rsid w:val="00FE10FF"/>
    <w:rsid w:val="00FE35DD"/>
    <w:rsid w:val="00FE3A36"/>
    <w:rsid w:val="00FE41DE"/>
    <w:rsid w:val="00FE473D"/>
    <w:rsid w:val="00FE4904"/>
    <w:rsid w:val="00FE52F3"/>
    <w:rsid w:val="00FE6070"/>
    <w:rsid w:val="00FE6508"/>
    <w:rsid w:val="00FE6BEE"/>
    <w:rsid w:val="00FE6D44"/>
    <w:rsid w:val="00FF01E0"/>
    <w:rsid w:val="00FF0D68"/>
    <w:rsid w:val="00FF196C"/>
    <w:rsid w:val="00FF2168"/>
    <w:rsid w:val="00FF2E9D"/>
    <w:rsid w:val="00FF3F31"/>
    <w:rsid w:val="00FF479C"/>
    <w:rsid w:val="00FF6192"/>
    <w:rsid w:val="00FF74D1"/>
    <w:rsid w:val="010141A0"/>
    <w:rsid w:val="01032613"/>
    <w:rsid w:val="01147F82"/>
    <w:rsid w:val="01154EDD"/>
    <w:rsid w:val="01290F7E"/>
    <w:rsid w:val="012F5F9F"/>
    <w:rsid w:val="0150037C"/>
    <w:rsid w:val="015D1E09"/>
    <w:rsid w:val="020C0D2B"/>
    <w:rsid w:val="020F7DF3"/>
    <w:rsid w:val="02264824"/>
    <w:rsid w:val="022D3688"/>
    <w:rsid w:val="02435062"/>
    <w:rsid w:val="02697903"/>
    <w:rsid w:val="02785724"/>
    <w:rsid w:val="029907CF"/>
    <w:rsid w:val="02A212A0"/>
    <w:rsid w:val="02AF36E8"/>
    <w:rsid w:val="02E31254"/>
    <w:rsid w:val="02F96569"/>
    <w:rsid w:val="031A5554"/>
    <w:rsid w:val="032759E0"/>
    <w:rsid w:val="03582EA9"/>
    <w:rsid w:val="035937A7"/>
    <w:rsid w:val="038973BD"/>
    <w:rsid w:val="03B34501"/>
    <w:rsid w:val="03C3071E"/>
    <w:rsid w:val="03C52F1A"/>
    <w:rsid w:val="03E832B3"/>
    <w:rsid w:val="03EA7B21"/>
    <w:rsid w:val="0463329C"/>
    <w:rsid w:val="04912ACD"/>
    <w:rsid w:val="04EF6A3B"/>
    <w:rsid w:val="05163F65"/>
    <w:rsid w:val="054E09BE"/>
    <w:rsid w:val="057E7C64"/>
    <w:rsid w:val="05A3288B"/>
    <w:rsid w:val="05A5426F"/>
    <w:rsid w:val="05A96A17"/>
    <w:rsid w:val="05B600E0"/>
    <w:rsid w:val="05E75D9A"/>
    <w:rsid w:val="05F41A51"/>
    <w:rsid w:val="05F83EAE"/>
    <w:rsid w:val="06211325"/>
    <w:rsid w:val="063E7D85"/>
    <w:rsid w:val="064328C1"/>
    <w:rsid w:val="06443FE6"/>
    <w:rsid w:val="0648365F"/>
    <w:rsid w:val="0662515D"/>
    <w:rsid w:val="067B3A34"/>
    <w:rsid w:val="06851892"/>
    <w:rsid w:val="06870E1C"/>
    <w:rsid w:val="06C07699"/>
    <w:rsid w:val="06C90C44"/>
    <w:rsid w:val="06F23CF7"/>
    <w:rsid w:val="070D34AF"/>
    <w:rsid w:val="07293586"/>
    <w:rsid w:val="07295285"/>
    <w:rsid w:val="0749768F"/>
    <w:rsid w:val="07636392"/>
    <w:rsid w:val="07663565"/>
    <w:rsid w:val="07762A9E"/>
    <w:rsid w:val="07770C56"/>
    <w:rsid w:val="07B471FE"/>
    <w:rsid w:val="07D4733A"/>
    <w:rsid w:val="07E51AAD"/>
    <w:rsid w:val="07FE2285"/>
    <w:rsid w:val="08207C5F"/>
    <w:rsid w:val="08805332"/>
    <w:rsid w:val="08920944"/>
    <w:rsid w:val="089F6419"/>
    <w:rsid w:val="08BC332B"/>
    <w:rsid w:val="08E3143C"/>
    <w:rsid w:val="08FC02E3"/>
    <w:rsid w:val="09032D46"/>
    <w:rsid w:val="090F20A6"/>
    <w:rsid w:val="091B505B"/>
    <w:rsid w:val="092217DD"/>
    <w:rsid w:val="093A2008"/>
    <w:rsid w:val="093A3733"/>
    <w:rsid w:val="093A7294"/>
    <w:rsid w:val="095742E5"/>
    <w:rsid w:val="09734E97"/>
    <w:rsid w:val="09D27FE6"/>
    <w:rsid w:val="0A194EA3"/>
    <w:rsid w:val="0A263993"/>
    <w:rsid w:val="0A280A90"/>
    <w:rsid w:val="0A2A19F9"/>
    <w:rsid w:val="0A2D3AC2"/>
    <w:rsid w:val="0A4D37C9"/>
    <w:rsid w:val="0A652E30"/>
    <w:rsid w:val="0A9315EF"/>
    <w:rsid w:val="0AA1025C"/>
    <w:rsid w:val="0AA755DF"/>
    <w:rsid w:val="0AD50996"/>
    <w:rsid w:val="0AFF6E07"/>
    <w:rsid w:val="0B120D44"/>
    <w:rsid w:val="0B145DBF"/>
    <w:rsid w:val="0B3B386E"/>
    <w:rsid w:val="0B4F1C83"/>
    <w:rsid w:val="0B5A78F1"/>
    <w:rsid w:val="0B5F3D2C"/>
    <w:rsid w:val="0B7B2BF1"/>
    <w:rsid w:val="0BCA0795"/>
    <w:rsid w:val="0BCE4606"/>
    <w:rsid w:val="0BD27BF6"/>
    <w:rsid w:val="0BE37CA1"/>
    <w:rsid w:val="0BEC77B0"/>
    <w:rsid w:val="0C23498B"/>
    <w:rsid w:val="0C3B3C7D"/>
    <w:rsid w:val="0C442248"/>
    <w:rsid w:val="0C654F6B"/>
    <w:rsid w:val="0C6A432F"/>
    <w:rsid w:val="0CAB2EAE"/>
    <w:rsid w:val="0CB11D90"/>
    <w:rsid w:val="0CDD11A6"/>
    <w:rsid w:val="0CE265BB"/>
    <w:rsid w:val="0D396ACB"/>
    <w:rsid w:val="0D475241"/>
    <w:rsid w:val="0D621C7D"/>
    <w:rsid w:val="0D847672"/>
    <w:rsid w:val="0D86163D"/>
    <w:rsid w:val="0DAE4C6C"/>
    <w:rsid w:val="0DB35EF8"/>
    <w:rsid w:val="0DD0726F"/>
    <w:rsid w:val="0DE4665B"/>
    <w:rsid w:val="0E6766FA"/>
    <w:rsid w:val="0E73034D"/>
    <w:rsid w:val="0E7C73E4"/>
    <w:rsid w:val="0ECB7AF8"/>
    <w:rsid w:val="0ECD21BF"/>
    <w:rsid w:val="0EE62C14"/>
    <w:rsid w:val="0EEF3211"/>
    <w:rsid w:val="0EF8454C"/>
    <w:rsid w:val="0EF95E3E"/>
    <w:rsid w:val="0EFB197B"/>
    <w:rsid w:val="0EFE3CC0"/>
    <w:rsid w:val="0F13775A"/>
    <w:rsid w:val="0F27097B"/>
    <w:rsid w:val="0F346E76"/>
    <w:rsid w:val="0F4C0A82"/>
    <w:rsid w:val="0F5D461F"/>
    <w:rsid w:val="0F5F45FE"/>
    <w:rsid w:val="0F66132A"/>
    <w:rsid w:val="0F9A112B"/>
    <w:rsid w:val="0FB26719"/>
    <w:rsid w:val="0FDD1010"/>
    <w:rsid w:val="101C3B92"/>
    <w:rsid w:val="102358EB"/>
    <w:rsid w:val="10362C48"/>
    <w:rsid w:val="103F4071"/>
    <w:rsid w:val="10407500"/>
    <w:rsid w:val="104D4694"/>
    <w:rsid w:val="10546665"/>
    <w:rsid w:val="1055765F"/>
    <w:rsid w:val="106D2F64"/>
    <w:rsid w:val="10921A11"/>
    <w:rsid w:val="10B43BAB"/>
    <w:rsid w:val="10B63710"/>
    <w:rsid w:val="10B77D5F"/>
    <w:rsid w:val="10CD010B"/>
    <w:rsid w:val="10E329F6"/>
    <w:rsid w:val="10F10820"/>
    <w:rsid w:val="110C3702"/>
    <w:rsid w:val="111C2F7A"/>
    <w:rsid w:val="11274EE5"/>
    <w:rsid w:val="11327D5C"/>
    <w:rsid w:val="11665CA1"/>
    <w:rsid w:val="1173012A"/>
    <w:rsid w:val="119D51A7"/>
    <w:rsid w:val="11B322E5"/>
    <w:rsid w:val="11B33092"/>
    <w:rsid w:val="11C91AF8"/>
    <w:rsid w:val="11E4065B"/>
    <w:rsid w:val="11F36B75"/>
    <w:rsid w:val="11FA7F03"/>
    <w:rsid w:val="1202500A"/>
    <w:rsid w:val="120314AE"/>
    <w:rsid w:val="121263D5"/>
    <w:rsid w:val="121E515C"/>
    <w:rsid w:val="1222745A"/>
    <w:rsid w:val="122A4C8C"/>
    <w:rsid w:val="127039D0"/>
    <w:rsid w:val="12744159"/>
    <w:rsid w:val="12ED1816"/>
    <w:rsid w:val="13492893"/>
    <w:rsid w:val="13951726"/>
    <w:rsid w:val="13A00D4C"/>
    <w:rsid w:val="13A966BD"/>
    <w:rsid w:val="13D61E18"/>
    <w:rsid w:val="13E47608"/>
    <w:rsid w:val="140E413A"/>
    <w:rsid w:val="14253DCB"/>
    <w:rsid w:val="14396509"/>
    <w:rsid w:val="14424365"/>
    <w:rsid w:val="14506500"/>
    <w:rsid w:val="14665D24"/>
    <w:rsid w:val="146C450C"/>
    <w:rsid w:val="14972AEF"/>
    <w:rsid w:val="14CF6693"/>
    <w:rsid w:val="14DD2C3C"/>
    <w:rsid w:val="15137287"/>
    <w:rsid w:val="153E27FD"/>
    <w:rsid w:val="15A1337B"/>
    <w:rsid w:val="15BD2B90"/>
    <w:rsid w:val="15E1100E"/>
    <w:rsid w:val="15E11B06"/>
    <w:rsid w:val="15E52C78"/>
    <w:rsid w:val="16087E1D"/>
    <w:rsid w:val="160E0421"/>
    <w:rsid w:val="16111CBF"/>
    <w:rsid w:val="16134A1B"/>
    <w:rsid w:val="16341CFD"/>
    <w:rsid w:val="1638724C"/>
    <w:rsid w:val="163B05F1"/>
    <w:rsid w:val="165C73DE"/>
    <w:rsid w:val="16930926"/>
    <w:rsid w:val="16B638AF"/>
    <w:rsid w:val="16F47617"/>
    <w:rsid w:val="170C37D9"/>
    <w:rsid w:val="175C1481"/>
    <w:rsid w:val="17701D14"/>
    <w:rsid w:val="17735226"/>
    <w:rsid w:val="17824C23"/>
    <w:rsid w:val="1789159B"/>
    <w:rsid w:val="17A33583"/>
    <w:rsid w:val="17B11871"/>
    <w:rsid w:val="17EB2416"/>
    <w:rsid w:val="17FB119F"/>
    <w:rsid w:val="180721D9"/>
    <w:rsid w:val="182A7068"/>
    <w:rsid w:val="1840063A"/>
    <w:rsid w:val="188B7B07"/>
    <w:rsid w:val="189F624C"/>
    <w:rsid w:val="18A961DF"/>
    <w:rsid w:val="18B60426"/>
    <w:rsid w:val="18B73BBD"/>
    <w:rsid w:val="18D536B7"/>
    <w:rsid w:val="196B4AE4"/>
    <w:rsid w:val="198C608B"/>
    <w:rsid w:val="19B81D20"/>
    <w:rsid w:val="19BE7849"/>
    <w:rsid w:val="19FD1543"/>
    <w:rsid w:val="1A0A7151"/>
    <w:rsid w:val="1A0D10D5"/>
    <w:rsid w:val="1A1066A6"/>
    <w:rsid w:val="1A1C66C0"/>
    <w:rsid w:val="1A1F4627"/>
    <w:rsid w:val="1A42393B"/>
    <w:rsid w:val="1A736AA5"/>
    <w:rsid w:val="1A7503EC"/>
    <w:rsid w:val="1AA81254"/>
    <w:rsid w:val="1AAD45DE"/>
    <w:rsid w:val="1AB81E7E"/>
    <w:rsid w:val="1ABC491A"/>
    <w:rsid w:val="1ADA7CD9"/>
    <w:rsid w:val="1AE51ED9"/>
    <w:rsid w:val="1AF5570C"/>
    <w:rsid w:val="1B046F80"/>
    <w:rsid w:val="1B3267B5"/>
    <w:rsid w:val="1B40161D"/>
    <w:rsid w:val="1B441859"/>
    <w:rsid w:val="1B6606B1"/>
    <w:rsid w:val="1B703E8C"/>
    <w:rsid w:val="1B8C5209"/>
    <w:rsid w:val="1BB006DA"/>
    <w:rsid w:val="1C267BE2"/>
    <w:rsid w:val="1C330FD4"/>
    <w:rsid w:val="1C5E7925"/>
    <w:rsid w:val="1C7141D4"/>
    <w:rsid w:val="1C750B25"/>
    <w:rsid w:val="1C76287C"/>
    <w:rsid w:val="1C9461DD"/>
    <w:rsid w:val="1CA64FD4"/>
    <w:rsid w:val="1CBA4E5F"/>
    <w:rsid w:val="1CCC6A92"/>
    <w:rsid w:val="1CE04151"/>
    <w:rsid w:val="1CF038A2"/>
    <w:rsid w:val="1CFD070F"/>
    <w:rsid w:val="1D2C4C89"/>
    <w:rsid w:val="1D3D6C70"/>
    <w:rsid w:val="1D434E54"/>
    <w:rsid w:val="1D4D205F"/>
    <w:rsid w:val="1D5F6196"/>
    <w:rsid w:val="1D6132A5"/>
    <w:rsid w:val="1D7D3C0D"/>
    <w:rsid w:val="1D81111E"/>
    <w:rsid w:val="1D8E56D5"/>
    <w:rsid w:val="1D967700"/>
    <w:rsid w:val="1DAB29F9"/>
    <w:rsid w:val="1DD51824"/>
    <w:rsid w:val="1E2E5632"/>
    <w:rsid w:val="1E5F5CBE"/>
    <w:rsid w:val="1E6837D9"/>
    <w:rsid w:val="1E7A43DA"/>
    <w:rsid w:val="1EAB560D"/>
    <w:rsid w:val="1EAD5193"/>
    <w:rsid w:val="1EB56515"/>
    <w:rsid w:val="1ED66F47"/>
    <w:rsid w:val="1F106FB8"/>
    <w:rsid w:val="1F224717"/>
    <w:rsid w:val="1F347A7E"/>
    <w:rsid w:val="1F4C4AEC"/>
    <w:rsid w:val="1F6721DE"/>
    <w:rsid w:val="1F784B5D"/>
    <w:rsid w:val="1F7A2683"/>
    <w:rsid w:val="1FDF0D94"/>
    <w:rsid w:val="1FE7539E"/>
    <w:rsid w:val="1FFB7C68"/>
    <w:rsid w:val="200533B5"/>
    <w:rsid w:val="20165907"/>
    <w:rsid w:val="201A79C2"/>
    <w:rsid w:val="201E74B3"/>
    <w:rsid w:val="20671BE0"/>
    <w:rsid w:val="208C56F7"/>
    <w:rsid w:val="20963CB8"/>
    <w:rsid w:val="20A81A1B"/>
    <w:rsid w:val="20AF1106"/>
    <w:rsid w:val="20B07FB6"/>
    <w:rsid w:val="20B646FB"/>
    <w:rsid w:val="21326068"/>
    <w:rsid w:val="213969AC"/>
    <w:rsid w:val="213B74B1"/>
    <w:rsid w:val="21435EBA"/>
    <w:rsid w:val="215A2310"/>
    <w:rsid w:val="215D400B"/>
    <w:rsid w:val="21623F75"/>
    <w:rsid w:val="21714205"/>
    <w:rsid w:val="21754F89"/>
    <w:rsid w:val="217860A1"/>
    <w:rsid w:val="21820695"/>
    <w:rsid w:val="21996EC5"/>
    <w:rsid w:val="219C6CFD"/>
    <w:rsid w:val="21DC6BB2"/>
    <w:rsid w:val="21DE318A"/>
    <w:rsid w:val="21E4582C"/>
    <w:rsid w:val="21EC346A"/>
    <w:rsid w:val="21ED3B61"/>
    <w:rsid w:val="21EF5B80"/>
    <w:rsid w:val="22266AF2"/>
    <w:rsid w:val="22486A69"/>
    <w:rsid w:val="224A5C97"/>
    <w:rsid w:val="224E326E"/>
    <w:rsid w:val="225418B2"/>
    <w:rsid w:val="22576990"/>
    <w:rsid w:val="22885A35"/>
    <w:rsid w:val="22F34C27"/>
    <w:rsid w:val="22F47480"/>
    <w:rsid w:val="230044E6"/>
    <w:rsid w:val="232321E2"/>
    <w:rsid w:val="232F5F2C"/>
    <w:rsid w:val="235C0A1E"/>
    <w:rsid w:val="23664FAE"/>
    <w:rsid w:val="23753F06"/>
    <w:rsid w:val="237B251B"/>
    <w:rsid w:val="23AA2544"/>
    <w:rsid w:val="23DE1C48"/>
    <w:rsid w:val="23EC1292"/>
    <w:rsid w:val="23F516DA"/>
    <w:rsid w:val="240210CD"/>
    <w:rsid w:val="24070AAC"/>
    <w:rsid w:val="242664D7"/>
    <w:rsid w:val="243C1D63"/>
    <w:rsid w:val="243F3E9B"/>
    <w:rsid w:val="245A445B"/>
    <w:rsid w:val="24614EF4"/>
    <w:rsid w:val="248546DD"/>
    <w:rsid w:val="24BD6339"/>
    <w:rsid w:val="24BF09F7"/>
    <w:rsid w:val="24E7365B"/>
    <w:rsid w:val="24EE1D3D"/>
    <w:rsid w:val="24F939F5"/>
    <w:rsid w:val="250E4BB9"/>
    <w:rsid w:val="25171DD4"/>
    <w:rsid w:val="25200611"/>
    <w:rsid w:val="252D53FE"/>
    <w:rsid w:val="254C6CA3"/>
    <w:rsid w:val="2584533F"/>
    <w:rsid w:val="25872608"/>
    <w:rsid w:val="25AA5AC1"/>
    <w:rsid w:val="25D47FC8"/>
    <w:rsid w:val="25E5308F"/>
    <w:rsid w:val="25EC2D81"/>
    <w:rsid w:val="26024C0B"/>
    <w:rsid w:val="261C0BAA"/>
    <w:rsid w:val="26704B8B"/>
    <w:rsid w:val="267A4C3A"/>
    <w:rsid w:val="26A338B2"/>
    <w:rsid w:val="26C134E5"/>
    <w:rsid w:val="26FE41BB"/>
    <w:rsid w:val="2705317A"/>
    <w:rsid w:val="27070CA1"/>
    <w:rsid w:val="27075144"/>
    <w:rsid w:val="27394BC7"/>
    <w:rsid w:val="27565784"/>
    <w:rsid w:val="275F1DAD"/>
    <w:rsid w:val="277057A2"/>
    <w:rsid w:val="27727295"/>
    <w:rsid w:val="279450AE"/>
    <w:rsid w:val="27AE757C"/>
    <w:rsid w:val="27C8103F"/>
    <w:rsid w:val="28167158"/>
    <w:rsid w:val="2836679D"/>
    <w:rsid w:val="28414686"/>
    <w:rsid w:val="285D47A7"/>
    <w:rsid w:val="28A90DB4"/>
    <w:rsid w:val="28B711FF"/>
    <w:rsid w:val="28C01A4F"/>
    <w:rsid w:val="28C225B7"/>
    <w:rsid w:val="28CA2774"/>
    <w:rsid w:val="28CD677C"/>
    <w:rsid w:val="28E10FCF"/>
    <w:rsid w:val="29025EF9"/>
    <w:rsid w:val="29206EB8"/>
    <w:rsid w:val="29595666"/>
    <w:rsid w:val="29630BF6"/>
    <w:rsid w:val="29874881"/>
    <w:rsid w:val="29B6075C"/>
    <w:rsid w:val="29CB06AB"/>
    <w:rsid w:val="29DD218D"/>
    <w:rsid w:val="29E325E0"/>
    <w:rsid w:val="2A0E13C2"/>
    <w:rsid w:val="2A16001A"/>
    <w:rsid w:val="2A3C7DEF"/>
    <w:rsid w:val="2A452503"/>
    <w:rsid w:val="2A5A37DD"/>
    <w:rsid w:val="2A825911"/>
    <w:rsid w:val="2A832D34"/>
    <w:rsid w:val="2A8F792B"/>
    <w:rsid w:val="2AAA1A7F"/>
    <w:rsid w:val="2AE645CC"/>
    <w:rsid w:val="2AE65071"/>
    <w:rsid w:val="2AF754D0"/>
    <w:rsid w:val="2AFC02D3"/>
    <w:rsid w:val="2AFF40F2"/>
    <w:rsid w:val="2B0F281A"/>
    <w:rsid w:val="2B1D6F18"/>
    <w:rsid w:val="2B376D5B"/>
    <w:rsid w:val="2B3D45BC"/>
    <w:rsid w:val="2B4C1378"/>
    <w:rsid w:val="2B5F36D8"/>
    <w:rsid w:val="2B635A44"/>
    <w:rsid w:val="2BA936A8"/>
    <w:rsid w:val="2BB67139"/>
    <w:rsid w:val="2BBB2497"/>
    <w:rsid w:val="2BE945AE"/>
    <w:rsid w:val="2BF6650A"/>
    <w:rsid w:val="2C033482"/>
    <w:rsid w:val="2C112293"/>
    <w:rsid w:val="2C293F03"/>
    <w:rsid w:val="2C315A5A"/>
    <w:rsid w:val="2C4B1C25"/>
    <w:rsid w:val="2C7566AC"/>
    <w:rsid w:val="2C7B6A6F"/>
    <w:rsid w:val="2CA302B7"/>
    <w:rsid w:val="2CA94AB0"/>
    <w:rsid w:val="2CE766FF"/>
    <w:rsid w:val="2CEF0E05"/>
    <w:rsid w:val="2D057CA7"/>
    <w:rsid w:val="2D3E0952"/>
    <w:rsid w:val="2D461F32"/>
    <w:rsid w:val="2D5B5B6E"/>
    <w:rsid w:val="2D5F3C3C"/>
    <w:rsid w:val="2D643EE1"/>
    <w:rsid w:val="2D771A40"/>
    <w:rsid w:val="2D780364"/>
    <w:rsid w:val="2D9E56F5"/>
    <w:rsid w:val="2DF53F49"/>
    <w:rsid w:val="2E1D524D"/>
    <w:rsid w:val="2E2F32F6"/>
    <w:rsid w:val="2E4F668A"/>
    <w:rsid w:val="2E614269"/>
    <w:rsid w:val="2E667F96"/>
    <w:rsid w:val="2E8226AB"/>
    <w:rsid w:val="2E840884"/>
    <w:rsid w:val="2EA339A5"/>
    <w:rsid w:val="2EC77A75"/>
    <w:rsid w:val="2ED84026"/>
    <w:rsid w:val="2EE432DD"/>
    <w:rsid w:val="2F00500B"/>
    <w:rsid w:val="2F1B08DB"/>
    <w:rsid w:val="2F4969DF"/>
    <w:rsid w:val="2F665C5F"/>
    <w:rsid w:val="2FB34C34"/>
    <w:rsid w:val="2FB4725D"/>
    <w:rsid w:val="2FC133A7"/>
    <w:rsid w:val="2FD065E6"/>
    <w:rsid w:val="2FD46D46"/>
    <w:rsid w:val="2FD751AC"/>
    <w:rsid w:val="2FD96870"/>
    <w:rsid w:val="30220A03"/>
    <w:rsid w:val="3025663B"/>
    <w:rsid w:val="3031312C"/>
    <w:rsid w:val="305245EF"/>
    <w:rsid w:val="30580BC9"/>
    <w:rsid w:val="30755662"/>
    <w:rsid w:val="307B6FD3"/>
    <w:rsid w:val="30901D07"/>
    <w:rsid w:val="309B06AC"/>
    <w:rsid w:val="30D20B81"/>
    <w:rsid w:val="30D33BFA"/>
    <w:rsid w:val="311E2ED7"/>
    <w:rsid w:val="312E761E"/>
    <w:rsid w:val="31487FE6"/>
    <w:rsid w:val="314A0528"/>
    <w:rsid w:val="315619EE"/>
    <w:rsid w:val="315C449C"/>
    <w:rsid w:val="316C2C86"/>
    <w:rsid w:val="31717DB7"/>
    <w:rsid w:val="3184457C"/>
    <w:rsid w:val="31886E82"/>
    <w:rsid w:val="319F2641"/>
    <w:rsid w:val="31A0241D"/>
    <w:rsid w:val="31A27577"/>
    <w:rsid w:val="31AD055E"/>
    <w:rsid w:val="31B82709"/>
    <w:rsid w:val="31D05482"/>
    <w:rsid w:val="31DE3F9A"/>
    <w:rsid w:val="31DF2C75"/>
    <w:rsid w:val="31EE5906"/>
    <w:rsid w:val="32065B34"/>
    <w:rsid w:val="321414E7"/>
    <w:rsid w:val="32177A3A"/>
    <w:rsid w:val="321F7BB5"/>
    <w:rsid w:val="32232583"/>
    <w:rsid w:val="32400B34"/>
    <w:rsid w:val="32476D3D"/>
    <w:rsid w:val="327D525D"/>
    <w:rsid w:val="329E6876"/>
    <w:rsid w:val="32B376C3"/>
    <w:rsid w:val="32DC325E"/>
    <w:rsid w:val="32F643FE"/>
    <w:rsid w:val="33002883"/>
    <w:rsid w:val="332147A2"/>
    <w:rsid w:val="333015F2"/>
    <w:rsid w:val="334B6320"/>
    <w:rsid w:val="33815769"/>
    <w:rsid w:val="3381627F"/>
    <w:rsid w:val="3387318B"/>
    <w:rsid w:val="339D67C4"/>
    <w:rsid w:val="33A9257D"/>
    <w:rsid w:val="33B4035B"/>
    <w:rsid w:val="33C04E02"/>
    <w:rsid w:val="33D934D4"/>
    <w:rsid w:val="33E34843"/>
    <w:rsid w:val="33ED56C2"/>
    <w:rsid w:val="33FE2F6A"/>
    <w:rsid w:val="340A0022"/>
    <w:rsid w:val="340E07E5"/>
    <w:rsid w:val="34114775"/>
    <w:rsid w:val="34235BF7"/>
    <w:rsid w:val="343B1ED8"/>
    <w:rsid w:val="345179FF"/>
    <w:rsid w:val="345206A6"/>
    <w:rsid w:val="34533564"/>
    <w:rsid w:val="34A15809"/>
    <w:rsid w:val="34C24459"/>
    <w:rsid w:val="34C25023"/>
    <w:rsid w:val="34CC52D7"/>
    <w:rsid w:val="34D26265"/>
    <w:rsid w:val="34E22105"/>
    <w:rsid w:val="34EC2CEA"/>
    <w:rsid w:val="353D61D5"/>
    <w:rsid w:val="35470CAF"/>
    <w:rsid w:val="358C5FA8"/>
    <w:rsid w:val="358C7346"/>
    <w:rsid w:val="35A722C4"/>
    <w:rsid w:val="35C10BB4"/>
    <w:rsid w:val="35C15DF1"/>
    <w:rsid w:val="35D640CB"/>
    <w:rsid w:val="35EA0E10"/>
    <w:rsid w:val="35EE7753"/>
    <w:rsid w:val="36052671"/>
    <w:rsid w:val="36074A7F"/>
    <w:rsid w:val="36174195"/>
    <w:rsid w:val="36205E0A"/>
    <w:rsid w:val="362B2E09"/>
    <w:rsid w:val="36570CB4"/>
    <w:rsid w:val="367A26CF"/>
    <w:rsid w:val="36883848"/>
    <w:rsid w:val="368C0490"/>
    <w:rsid w:val="36923549"/>
    <w:rsid w:val="36A4573B"/>
    <w:rsid w:val="36B75FBF"/>
    <w:rsid w:val="36BD0C45"/>
    <w:rsid w:val="36C51A85"/>
    <w:rsid w:val="36D87F64"/>
    <w:rsid w:val="36E35B1D"/>
    <w:rsid w:val="36F91030"/>
    <w:rsid w:val="37115340"/>
    <w:rsid w:val="371E1ABE"/>
    <w:rsid w:val="37384EA6"/>
    <w:rsid w:val="374036B8"/>
    <w:rsid w:val="37424097"/>
    <w:rsid w:val="37D51E1A"/>
    <w:rsid w:val="37E00298"/>
    <w:rsid w:val="37FE19A3"/>
    <w:rsid w:val="38264927"/>
    <w:rsid w:val="38267331"/>
    <w:rsid w:val="383523CC"/>
    <w:rsid w:val="38451629"/>
    <w:rsid w:val="386F646C"/>
    <w:rsid w:val="38B245D4"/>
    <w:rsid w:val="38B302F9"/>
    <w:rsid w:val="38B90BC5"/>
    <w:rsid w:val="38D00EAE"/>
    <w:rsid w:val="38D44AE9"/>
    <w:rsid w:val="38D52350"/>
    <w:rsid w:val="38D9630D"/>
    <w:rsid w:val="38DB12EB"/>
    <w:rsid w:val="38F12CD3"/>
    <w:rsid w:val="38F94775"/>
    <w:rsid w:val="38FD722F"/>
    <w:rsid w:val="392971ED"/>
    <w:rsid w:val="39325651"/>
    <w:rsid w:val="394F2E3F"/>
    <w:rsid w:val="395C697A"/>
    <w:rsid w:val="39657AA9"/>
    <w:rsid w:val="396B1784"/>
    <w:rsid w:val="396F1022"/>
    <w:rsid w:val="39746D6D"/>
    <w:rsid w:val="39882C57"/>
    <w:rsid w:val="39A57898"/>
    <w:rsid w:val="39AE76A2"/>
    <w:rsid w:val="39D427D3"/>
    <w:rsid w:val="3A1D6CFA"/>
    <w:rsid w:val="3A3D5830"/>
    <w:rsid w:val="3A421684"/>
    <w:rsid w:val="3A461688"/>
    <w:rsid w:val="3A5C70FE"/>
    <w:rsid w:val="3A754B44"/>
    <w:rsid w:val="3A872856"/>
    <w:rsid w:val="3A902A6D"/>
    <w:rsid w:val="3AC54AF4"/>
    <w:rsid w:val="3AF9139D"/>
    <w:rsid w:val="3B2A126F"/>
    <w:rsid w:val="3B3763D1"/>
    <w:rsid w:val="3B5E2A01"/>
    <w:rsid w:val="3B7F268E"/>
    <w:rsid w:val="3B821AD9"/>
    <w:rsid w:val="3B935BAE"/>
    <w:rsid w:val="3B9F3A5A"/>
    <w:rsid w:val="3BB816D0"/>
    <w:rsid w:val="3BCD3718"/>
    <w:rsid w:val="3BF07AFD"/>
    <w:rsid w:val="3BF90153"/>
    <w:rsid w:val="3BFC46F4"/>
    <w:rsid w:val="3BFF5F92"/>
    <w:rsid w:val="3C040479"/>
    <w:rsid w:val="3C2B6D87"/>
    <w:rsid w:val="3C2F6E1E"/>
    <w:rsid w:val="3C4F64BA"/>
    <w:rsid w:val="3C577B7C"/>
    <w:rsid w:val="3CB61E12"/>
    <w:rsid w:val="3CC2226E"/>
    <w:rsid w:val="3CCB5C89"/>
    <w:rsid w:val="3CDA245A"/>
    <w:rsid w:val="3CF278A5"/>
    <w:rsid w:val="3CF666D5"/>
    <w:rsid w:val="3D087441"/>
    <w:rsid w:val="3D0A71B4"/>
    <w:rsid w:val="3D1E06B7"/>
    <w:rsid w:val="3D2B32CD"/>
    <w:rsid w:val="3D532A3A"/>
    <w:rsid w:val="3D8E75CE"/>
    <w:rsid w:val="3DA04686"/>
    <w:rsid w:val="3DAD2EDE"/>
    <w:rsid w:val="3DBA4867"/>
    <w:rsid w:val="3DCD3FCA"/>
    <w:rsid w:val="3DDC1545"/>
    <w:rsid w:val="3DE6174E"/>
    <w:rsid w:val="3E03620E"/>
    <w:rsid w:val="3E4456A0"/>
    <w:rsid w:val="3E500225"/>
    <w:rsid w:val="3E6057D8"/>
    <w:rsid w:val="3E6B3DB3"/>
    <w:rsid w:val="3E75078E"/>
    <w:rsid w:val="3E864749"/>
    <w:rsid w:val="3E894239"/>
    <w:rsid w:val="3E901ED0"/>
    <w:rsid w:val="3E961E15"/>
    <w:rsid w:val="3EBA2645"/>
    <w:rsid w:val="3EC8716F"/>
    <w:rsid w:val="3EDA0523"/>
    <w:rsid w:val="3EE53561"/>
    <w:rsid w:val="3F0D7F98"/>
    <w:rsid w:val="3F1A2D3B"/>
    <w:rsid w:val="3F247041"/>
    <w:rsid w:val="3F2D0001"/>
    <w:rsid w:val="3F6525B0"/>
    <w:rsid w:val="3F99130D"/>
    <w:rsid w:val="3FA876A4"/>
    <w:rsid w:val="3FB55F51"/>
    <w:rsid w:val="3FD87226"/>
    <w:rsid w:val="3FE07E89"/>
    <w:rsid w:val="40073668"/>
    <w:rsid w:val="40480EDB"/>
    <w:rsid w:val="40766A16"/>
    <w:rsid w:val="407A6407"/>
    <w:rsid w:val="40956EC5"/>
    <w:rsid w:val="40CF35E1"/>
    <w:rsid w:val="40D423A4"/>
    <w:rsid w:val="40FE4BEC"/>
    <w:rsid w:val="41043882"/>
    <w:rsid w:val="41395AA3"/>
    <w:rsid w:val="418F6D6F"/>
    <w:rsid w:val="419453CF"/>
    <w:rsid w:val="41B14658"/>
    <w:rsid w:val="41C52EE3"/>
    <w:rsid w:val="41CE13C5"/>
    <w:rsid w:val="41FA16D6"/>
    <w:rsid w:val="41FD11C6"/>
    <w:rsid w:val="4200449D"/>
    <w:rsid w:val="421F0F73"/>
    <w:rsid w:val="422B0B70"/>
    <w:rsid w:val="422E137F"/>
    <w:rsid w:val="423A3BCC"/>
    <w:rsid w:val="42432A91"/>
    <w:rsid w:val="42443D9C"/>
    <w:rsid w:val="424E57D2"/>
    <w:rsid w:val="429A7EAF"/>
    <w:rsid w:val="429B2A93"/>
    <w:rsid w:val="42B26C49"/>
    <w:rsid w:val="42C04EB0"/>
    <w:rsid w:val="42CC1B94"/>
    <w:rsid w:val="42D261AF"/>
    <w:rsid w:val="42E47C90"/>
    <w:rsid w:val="42EC31CE"/>
    <w:rsid w:val="42FC322C"/>
    <w:rsid w:val="430D368B"/>
    <w:rsid w:val="433062D1"/>
    <w:rsid w:val="43326C4D"/>
    <w:rsid w:val="433A6FE6"/>
    <w:rsid w:val="43480868"/>
    <w:rsid w:val="4350713C"/>
    <w:rsid w:val="435677C0"/>
    <w:rsid w:val="435A09ED"/>
    <w:rsid w:val="43655B11"/>
    <w:rsid w:val="436653E0"/>
    <w:rsid w:val="437C611B"/>
    <w:rsid w:val="43B35306"/>
    <w:rsid w:val="43B65AD0"/>
    <w:rsid w:val="43C4431A"/>
    <w:rsid w:val="44202F4A"/>
    <w:rsid w:val="442261A5"/>
    <w:rsid w:val="4467501D"/>
    <w:rsid w:val="4473751E"/>
    <w:rsid w:val="447B1636"/>
    <w:rsid w:val="44A70B7C"/>
    <w:rsid w:val="44AD0C2A"/>
    <w:rsid w:val="44B951CC"/>
    <w:rsid w:val="44CD14E0"/>
    <w:rsid w:val="44F20B0B"/>
    <w:rsid w:val="450048F7"/>
    <w:rsid w:val="45092118"/>
    <w:rsid w:val="45154A79"/>
    <w:rsid w:val="4523314C"/>
    <w:rsid w:val="452E5F4C"/>
    <w:rsid w:val="454135FD"/>
    <w:rsid w:val="45612018"/>
    <w:rsid w:val="45690874"/>
    <w:rsid w:val="456F23DB"/>
    <w:rsid w:val="457E617A"/>
    <w:rsid w:val="458946E9"/>
    <w:rsid w:val="45A47C0E"/>
    <w:rsid w:val="45B32104"/>
    <w:rsid w:val="45E87D8C"/>
    <w:rsid w:val="46577FD6"/>
    <w:rsid w:val="466730B2"/>
    <w:rsid w:val="46791167"/>
    <w:rsid w:val="46AD7F42"/>
    <w:rsid w:val="46D955A7"/>
    <w:rsid w:val="46E44494"/>
    <w:rsid w:val="47102209"/>
    <w:rsid w:val="47133957"/>
    <w:rsid w:val="47151144"/>
    <w:rsid w:val="473D438A"/>
    <w:rsid w:val="476D3C39"/>
    <w:rsid w:val="47A07E0C"/>
    <w:rsid w:val="47A45B45"/>
    <w:rsid w:val="481819B3"/>
    <w:rsid w:val="4870272E"/>
    <w:rsid w:val="48AA10FD"/>
    <w:rsid w:val="48AD5CBA"/>
    <w:rsid w:val="48BC4DCF"/>
    <w:rsid w:val="48DF5182"/>
    <w:rsid w:val="48F0738F"/>
    <w:rsid w:val="490E1F0B"/>
    <w:rsid w:val="49233A4C"/>
    <w:rsid w:val="49446FE9"/>
    <w:rsid w:val="49467CFB"/>
    <w:rsid w:val="496F72E0"/>
    <w:rsid w:val="497E71AB"/>
    <w:rsid w:val="49813EF8"/>
    <w:rsid w:val="49AA0759"/>
    <w:rsid w:val="49B615F6"/>
    <w:rsid w:val="49C16F7D"/>
    <w:rsid w:val="49C600F0"/>
    <w:rsid w:val="49C66341"/>
    <w:rsid w:val="49DC7715"/>
    <w:rsid w:val="49F7474D"/>
    <w:rsid w:val="49FC7FB5"/>
    <w:rsid w:val="4A023139"/>
    <w:rsid w:val="4A4141CC"/>
    <w:rsid w:val="4A590F64"/>
    <w:rsid w:val="4A694FB8"/>
    <w:rsid w:val="4A6C513B"/>
    <w:rsid w:val="4A7803A7"/>
    <w:rsid w:val="4A7B576F"/>
    <w:rsid w:val="4A9C2CDA"/>
    <w:rsid w:val="4AA30431"/>
    <w:rsid w:val="4AA85A47"/>
    <w:rsid w:val="4AA87046"/>
    <w:rsid w:val="4AB454BE"/>
    <w:rsid w:val="4ACB00B3"/>
    <w:rsid w:val="4AF337F4"/>
    <w:rsid w:val="4AF561A9"/>
    <w:rsid w:val="4AFB08FA"/>
    <w:rsid w:val="4B111850"/>
    <w:rsid w:val="4B1F21AD"/>
    <w:rsid w:val="4B277C13"/>
    <w:rsid w:val="4B393653"/>
    <w:rsid w:val="4B4E5ACA"/>
    <w:rsid w:val="4B6356C6"/>
    <w:rsid w:val="4B905F46"/>
    <w:rsid w:val="4B936203"/>
    <w:rsid w:val="4B95246F"/>
    <w:rsid w:val="4BB01277"/>
    <w:rsid w:val="4BBC6452"/>
    <w:rsid w:val="4BCF3BD3"/>
    <w:rsid w:val="4C0F0FDA"/>
    <w:rsid w:val="4C2C109F"/>
    <w:rsid w:val="4C3C1FA9"/>
    <w:rsid w:val="4C4A0649"/>
    <w:rsid w:val="4C7E5ECA"/>
    <w:rsid w:val="4C876AA5"/>
    <w:rsid w:val="4D0E00FB"/>
    <w:rsid w:val="4D17062B"/>
    <w:rsid w:val="4D176606"/>
    <w:rsid w:val="4D5F4AE3"/>
    <w:rsid w:val="4D675DD6"/>
    <w:rsid w:val="4DC374DD"/>
    <w:rsid w:val="4DEC4FB0"/>
    <w:rsid w:val="4E00744D"/>
    <w:rsid w:val="4E075D8A"/>
    <w:rsid w:val="4E1A2037"/>
    <w:rsid w:val="4E4D5283"/>
    <w:rsid w:val="4E7C2D1A"/>
    <w:rsid w:val="4E834D7C"/>
    <w:rsid w:val="4EBC7D13"/>
    <w:rsid w:val="4EC00FAD"/>
    <w:rsid w:val="4ED06BBE"/>
    <w:rsid w:val="4EEE4370"/>
    <w:rsid w:val="4F0B3CA8"/>
    <w:rsid w:val="4F15196C"/>
    <w:rsid w:val="4F310701"/>
    <w:rsid w:val="4F5632CF"/>
    <w:rsid w:val="4F820D01"/>
    <w:rsid w:val="4F866845"/>
    <w:rsid w:val="4F9843DC"/>
    <w:rsid w:val="4F9B53B3"/>
    <w:rsid w:val="4FC62A8C"/>
    <w:rsid w:val="4FC652ED"/>
    <w:rsid w:val="4FD749A5"/>
    <w:rsid w:val="4FD80284"/>
    <w:rsid w:val="4FE20F0D"/>
    <w:rsid w:val="4FE51552"/>
    <w:rsid w:val="4FE87012"/>
    <w:rsid w:val="4FF07159"/>
    <w:rsid w:val="4FFC48BA"/>
    <w:rsid w:val="502A7CEA"/>
    <w:rsid w:val="50504C4B"/>
    <w:rsid w:val="50537D92"/>
    <w:rsid w:val="506F328F"/>
    <w:rsid w:val="509C6E7C"/>
    <w:rsid w:val="50C00C21"/>
    <w:rsid w:val="50CE73C9"/>
    <w:rsid w:val="50D16158"/>
    <w:rsid w:val="50E81293"/>
    <w:rsid w:val="5121111E"/>
    <w:rsid w:val="51320F8C"/>
    <w:rsid w:val="51611210"/>
    <w:rsid w:val="5162104E"/>
    <w:rsid w:val="51624C6C"/>
    <w:rsid w:val="51785AC8"/>
    <w:rsid w:val="517C698A"/>
    <w:rsid w:val="51AD3620"/>
    <w:rsid w:val="51C664D7"/>
    <w:rsid w:val="51DC0DF8"/>
    <w:rsid w:val="52431F23"/>
    <w:rsid w:val="525E19C8"/>
    <w:rsid w:val="528369C9"/>
    <w:rsid w:val="52BE2102"/>
    <w:rsid w:val="52E77A54"/>
    <w:rsid w:val="53040463"/>
    <w:rsid w:val="530A3743"/>
    <w:rsid w:val="5310726F"/>
    <w:rsid w:val="53745803"/>
    <w:rsid w:val="53A039CC"/>
    <w:rsid w:val="53A1505A"/>
    <w:rsid w:val="53A21199"/>
    <w:rsid w:val="53B447E3"/>
    <w:rsid w:val="53BC376E"/>
    <w:rsid w:val="53E77B36"/>
    <w:rsid w:val="53F57F4F"/>
    <w:rsid w:val="53FF492A"/>
    <w:rsid w:val="54063E08"/>
    <w:rsid w:val="54120B01"/>
    <w:rsid w:val="543437E8"/>
    <w:rsid w:val="543A7389"/>
    <w:rsid w:val="548D0188"/>
    <w:rsid w:val="549537E2"/>
    <w:rsid w:val="54C46E08"/>
    <w:rsid w:val="54F710B1"/>
    <w:rsid w:val="54F73313"/>
    <w:rsid w:val="54F80955"/>
    <w:rsid w:val="551663CF"/>
    <w:rsid w:val="551C66CE"/>
    <w:rsid w:val="555170A7"/>
    <w:rsid w:val="55596354"/>
    <w:rsid w:val="5587536D"/>
    <w:rsid w:val="559B174B"/>
    <w:rsid w:val="55A3225E"/>
    <w:rsid w:val="55C72842"/>
    <w:rsid w:val="55CE0CF4"/>
    <w:rsid w:val="56117120"/>
    <w:rsid w:val="56384123"/>
    <w:rsid w:val="5658654F"/>
    <w:rsid w:val="56B22A9C"/>
    <w:rsid w:val="56B63065"/>
    <w:rsid w:val="56F75D8C"/>
    <w:rsid w:val="56FD61AA"/>
    <w:rsid w:val="57147D3A"/>
    <w:rsid w:val="57173F76"/>
    <w:rsid w:val="571951A3"/>
    <w:rsid w:val="57257336"/>
    <w:rsid w:val="574A2360"/>
    <w:rsid w:val="57513737"/>
    <w:rsid w:val="5753033F"/>
    <w:rsid w:val="577B4C0F"/>
    <w:rsid w:val="5798756F"/>
    <w:rsid w:val="57B72A76"/>
    <w:rsid w:val="57C3426C"/>
    <w:rsid w:val="57CE1F93"/>
    <w:rsid w:val="57E22433"/>
    <w:rsid w:val="57F324F6"/>
    <w:rsid w:val="580B2BA5"/>
    <w:rsid w:val="581035A9"/>
    <w:rsid w:val="582B01F4"/>
    <w:rsid w:val="586F17E7"/>
    <w:rsid w:val="587002AF"/>
    <w:rsid w:val="588743D1"/>
    <w:rsid w:val="5887701A"/>
    <w:rsid w:val="58BB22E5"/>
    <w:rsid w:val="58D345D7"/>
    <w:rsid w:val="59246BE1"/>
    <w:rsid w:val="593152B9"/>
    <w:rsid w:val="593C29B5"/>
    <w:rsid w:val="59502C83"/>
    <w:rsid w:val="59553786"/>
    <w:rsid w:val="5996188C"/>
    <w:rsid w:val="59A47216"/>
    <w:rsid w:val="59C0439F"/>
    <w:rsid w:val="59D22C99"/>
    <w:rsid w:val="59D26EF9"/>
    <w:rsid w:val="59E06FAB"/>
    <w:rsid w:val="5A1B45AE"/>
    <w:rsid w:val="5A374147"/>
    <w:rsid w:val="5A401986"/>
    <w:rsid w:val="5A500D20"/>
    <w:rsid w:val="5A623E64"/>
    <w:rsid w:val="5A6C62B6"/>
    <w:rsid w:val="5A7F48B5"/>
    <w:rsid w:val="5A867B53"/>
    <w:rsid w:val="5A8D3F12"/>
    <w:rsid w:val="5A9727BA"/>
    <w:rsid w:val="5ABE2233"/>
    <w:rsid w:val="5AC9087B"/>
    <w:rsid w:val="5B0A2ABB"/>
    <w:rsid w:val="5B236D9D"/>
    <w:rsid w:val="5B3B77CD"/>
    <w:rsid w:val="5B4041A6"/>
    <w:rsid w:val="5B4812AC"/>
    <w:rsid w:val="5B4F56E0"/>
    <w:rsid w:val="5B7E3B05"/>
    <w:rsid w:val="5B8F38A7"/>
    <w:rsid w:val="5BB27DF8"/>
    <w:rsid w:val="5BC14BBB"/>
    <w:rsid w:val="5BDE1878"/>
    <w:rsid w:val="5BDF5D95"/>
    <w:rsid w:val="5BE66CE8"/>
    <w:rsid w:val="5BE72D0E"/>
    <w:rsid w:val="5BF77A99"/>
    <w:rsid w:val="5BFE7528"/>
    <w:rsid w:val="5C1919AE"/>
    <w:rsid w:val="5C6F0524"/>
    <w:rsid w:val="5C923EB9"/>
    <w:rsid w:val="5CB3679A"/>
    <w:rsid w:val="5CBA0664"/>
    <w:rsid w:val="5CC04E72"/>
    <w:rsid w:val="5CD90435"/>
    <w:rsid w:val="5CD959E3"/>
    <w:rsid w:val="5CF5619E"/>
    <w:rsid w:val="5D101956"/>
    <w:rsid w:val="5D50269A"/>
    <w:rsid w:val="5D6E1430"/>
    <w:rsid w:val="5DC619C9"/>
    <w:rsid w:val="5DE94411"/>
    <w:rsid w:val="5DEF3C61"/>
    <w:rsid w:val="5DFB0858"/>
    <w:rsid w:val="5E2467F1"/>
    <w:rsid w:val="5E521F28"/>
    <w:rsid w:val="5E8072D1"/>
    <w:rsid w:val="5E9A5A9B"/>
    <w:rsid w:val="5E9C013C"/>
    <w:rsid w:val="5EB326E8"/>
    <w:rsid w:val="5EBD1736"/>
    <w:rsid w:val="5ED778F8"/>
    <w:rsid w:val="5EEB7212"/>
    <w:rsid w:val="5EEE216B"/>
    <w:rsid w:val="5EF77271"/>
    <w:rsid w:val="5EFC4888"/>
    <w:rsid w:val="5F0441B2"/>
    <w:rsid w:val="5F1A2B43"/>
    <w:rsid w:val="5F1A793B"/>
    <w:rsid w:val="5F4545F9"/>
    <w:rsid w:val="5F593158"/>
    <w:rsid w:val="5FA16C1A"/>
    <w:rsid w:val="5FB837BB"/>
    <w:rsid w:val="5FCB3D7E"/>
    <w:rsid w:val="5FCF3D4A"/>
    <w:rsid w:val="5FDE1C72"/>
    <w:rsid w:val="5FE5531C"/>
    <w:rsid w:val="5FEB7E49"/>
    <w:rsid w:val="5FF05A6E"/>
    <w:rsid w:val="5FF2019D"/>
    <w:rsid w:val="5FF31D40"/>
    <w:rsid w:val="600A7DC8"/>
    <w:rsid w:val="600F270D"/>
    <w:rsid w:val="602F3068"/>
    <w:rsid w:val="603C0A7F"/>
    <w:rsid w:val="60782F18"/>
    <w:rsid w:val="607917A7"/>
    <w:rsid w:val="6097549E"/>
    <w:rsid w:val="609843B4"/>
    <w:rsid w:val="609A1A7C"/>
    <w:rsid w:val="609A4358"/>
    <w:rsid w:val="60C03693"/>
    <w:rsid w:val="60CC405A"/>
    <w:rsid w:val="60D41D79"/>
    <w:rsid w:val="60E308E3"/>
    <w:rsid w:val="60EB1550"/>
    <w:rsid w:val="60ED78BC"/>
    <w:rsid w:val="61122DEE"/>
    <w:rsid w:val="61497B2C"/>
    <w:rsid w:val="617E34E7"/>
    <w:rsid w:val="61BF5F14"/>
    <w:rsid w:val="61BF6DB6"/>
    <w:rsid w:val="61DA69D6"/>
    <w:rsid w:val="61E215D8"/>
    <w:rsid w:val="61E8159D"/>
    <w:rsid w:val="61F3047A"/>
    <w:rsid w:val="61F5736C"/>
    <w:rsid w:val="62002D74"/>
    <w:rsid w:val="620B4BF4"/>
    <w:rsid w:val="621B3775"/>
    <w:rsid w:val="62364782"/>
    <w:rsid w:val="623E1C7F"/>
    <w:rsid w:val="624502F4"/>
    <w:rsid w:val="628C5F22"/>
    <w:rsid w:val="630A6E47"/>
    <w:rsid w:val="630E5F9C"/>
    <w:rsid w:val="630F333F"/>
    <w:rsid w:val="633D0FCB"/>
    <w:rsid w:val="63584057"/>
    <w:rsid w:val="636724EC"/>
    <w:rsid w:val="637C36E8"/>
    <w:rsid w:val="6394356A"/>
    <w:rsid w:val="63B2759E"/>
    <w:rsid w:val="63C61B2C"/>
    <w:rsid w:val="63C67212"/>
    <w:rsid w:val="63C94F54"/>
    <w:rsid w:val="63D40BE9"/>
    <w:rsid w:val="63D77671"/>
    <w:rsid w:val="640D2B22"/>
    <w:rsid w:val="64102431"/>
    <w:rsid w:val="64177C52"/>
    <w:rsid w:val="64746C6E"/>
    <w:rsid w:val="64947B20"/>
    <w:rsid w:val="64A31301"/>
    <w:rsid w:val="64A5243A"/>
    <w:rsid w:val="64A87ED9"/>
    <w:rsid w:val="64B2596A"/>
    <w:rsid w:val="64BA1BFB"/>
    <w:rsid w:val="64F531DE"/>
    <w:rsid w:val="65082166"/>
    <w:rsid w:val="65086E1C"/>
    <w:rsid w:val="652A09AF"/>
    <w:rsid w:val="65373578"/>
    <w:rsid w:val="65402FF4"/>
    <w:rsid w:val="65420B1A"/>
    <w:rsid w:val="655A2342"/>
    <w:rsid w:val="655E38AC"/>
    <w:rsid w:val="656942F9"/>
    <w:rsid w:val="65757142"/>
    <w:rsid w:val="657C5C27"/>
    <w:rsid w:val="659D0447"/>
    <w:rsid w:val="65AA5B01"/>
    <w:rsid w:val="65AB27F5"/>
    <w:rsid w:val="65D26342"/>
    <w:rsid w:val="66035AA8"/>
    <w:rsid w:val="660A4D14"/>
    <w:rsid w:val="66236556"/>
    <w:rsid w:val="66852B1C"/>
    <w:rsid w:val="668E78CC"/>
    <w:rsid w:val="670B5C1A"/>
    <w:rsid w:val="671F124A"/>
    <w:rsid w:val="674858E9"/>
    <w:rsid w:val="67505A24"/>
    <w:rsid w:val="67737B6A"/>
    <w:rsid w:val="67764E13"/>
    <w:rsid w:val="677A33C6"/>
    <w:rsid w:val="67A4331E"/>
    <w:rsid w:val="67A63BCC"/>
    <w:rsid w:val="67D85766"/>
    <w:rsid w:val="67E830CF"/>
    <w:rsid w:val="67EF1EA2"/>
    <w:rsid w:val="68166C3F"/>
    <w:rsid w:val="681744E0"/>
    <w:rsid w:val="681F6961"/>
    <w:rsid w:val="683E7CD5"/>
    <w:rsid w:val="684E3556"/>
    <w:rsid w:val="6851350D"/>
    <w:rsid w:val="68610A2F"/>
    <w:rsid w:val="687C1EAE"/>
    <w:rsid w:val="68805514"/>
    <w:rsid w:val="689773CF"/>
    <w:rsid w:val="689F6284"/>
    <w:rsid w:val="68B41D2F"/>
    <w:rsid w:val="68C80476"/>
    <w:rsid w:val="68CD4B9F"/>
    <w:rsid w:val="68EA6F8F"/>
    <w:rsid w:val="68F20AA9"/>
    <w:rsid w:val="69076303"/>
    <w:rsid w:val="69316E2F"/>
    <w:rsid w:val="694E2071"/>
    <w:rsid w:val="69621547"/>
    <w:rsid w:val="696A4AE4"/>
    <w:rsid w:val="69766163"/>
    <w:rsid w:val="697A3B33"/>
    <w:rsid w:val="69A27DD9"/>
    <w:rsid w:val="69AF0D22"/>
    <w:rsid w:val="69C841EB"/>
    <w:rsid w:val="69D44760"/>
    <w:rsid w:val="69E02B9C"/>
    <w:rsid w:val="6A16656B"/>
    <w:rsid w:val="6A265C3D"/>
    <w:rsid w:val="6A3B0368"/>
    <w:rsid w:val="6A4D3DDB"/>
    <w:rsid w:val="6A520EC7"/>
    <w:rsid w:val="6A7D43A3"/>
    <w:rsid w:val="6A88643F"/>
    <w:rsid w:val="6A8B2550"/>
    <w:rsid w:val="6A8D2838"/>
    <w:rsid w:val="6AB30F7B"/>
    <w:rsid w:val="6AC57D7C"/>
    <w:rsid w:val="6AF87E20"/>
    <w:rsid w:val="6B063698"/>
    <w:rsid w:val="6B195430"/>
    <w:rsid w:val="6B2C180E"/>
    <w:rsid w:val="6B322639"/>
    <w:rsid w:val="6B855C05"/>
    <w:rsid w:val="6B8D78EE"/>
    <w:rsid w:val="6BB263AE"/>
    <w:rsid w:val="6BB824DA"/>
    <w:rsid w:val="6BE16F40"/>
    <w:rsid w:val="6BED1047"/>
    <w:rsid w:val="6BF0181F"/>
    <w:rsid w:val="6BF9737C"/>
    <w:rsid w:val="6C053C96"/>
    <w:rsid w:val="6C1D408F"/>
    <w:rsid w:val="6C420154"/>
    <w:rsid w:val="6C493B60"/>
    <w:rsid w:val="6C636C38"/>
    <w:rsid w:val="6C832144"/>
    <w:rsid w:val="6C92393C"/>
    <w:rsid w:val="6C9742D8"/>
    <w:rsid w:val="6CBC5656"/>
    <w:rsid w:val="6CE64481"/>
    <w:rsid w:val="6CF64C8D"/>
    <w:rsid w:val="6D0938AD"/>
    <w:rsid w:val="6D15295B"/>
    <w:rsid w:val="6D1D6271"/>
    <w:rsid w:val="6D3F70F1"/>
    <w:rsid w:val="6D88378A"/>
    <w:rsid w:val="6DAB5D31"/>
    <w:rsid w:val="6DB34098"/>
    <w:rsid w:val="6DB545B6"/>
    <w:rsid w:val="6DB93944"/>
    <w:rsid w:val="6DE02FB4"/>
    <w:rsid w:val="6DFF5CD6"/>
    <w:rsid w:val="6E003E0D"/>
    <w:rsid w:val="6E062E6C"/>
    <w:rsid w:val="6E2310A6"/>
    <w:rsid w:val="6E231606"/>
    <w:rsid w:val="6E2473DB"/>
    <w:rsid w:val="6E272DA2"/>
    <w:rsid w:val="6E514CED"/>
    <w:rsid w:val="6E594A34"/>
    <w:rsid w:val="6E5D0773"/>
    <w:rsid w:val="6E945659"/>
    <w:rsid w:val="6E9954A7"/>
    <w:rsid w:val="6EA2645D"/>
    <w:rsid w:val="6EB563D5"/>
    <w:rsid w:val="6EB6001B"/>
    <w:rsid w:val="6EB81B4D"/>
    <w:rsid w:val="6ED92677"/>
    <w:rsid w:val="6EED1AF7"/>
    <w:rsid w:val="6F10216C"/>
    <w:rsid w:val="6F225983"/>
    <w:rsid w:val="6F2A4AF9"/>
    <w:rsid w:val="6F3C1C4A"/>
    <w:rsid w:val="6F3C65B9"/>
    <w:rsid w:val="6F7A1554"/>
    <w:rsid w:val="6F9F0C35"/>
    <w:rsid w:val="6FAE6C84"/>
    <w:rsid w:val="6FC42F08"/>
    <w:rsid w:val="6FF656DC"/>
    <w:rsid w:val="6FFC5590"/>
    <w:rsid w:val="703A5468"/>
    <w:rsid w:val="705A18F8"/>
    <w:rsid w:val="706D1DD0"/>
    <w:rsid w:val="706E1AC8"/>
    <w:rsid w:val="70856B87"/>
    <w:rsid w:val="70BF3967"/>
    <w:rsid w:val="70CF3A84"/>
    <w:rsid w:val="70D109B8"/>
    <w:rsid w:val="70D527EE"/>
    <w:rsid w:val="710870BC"/>
    <w:rsid w:val="711C3B82"/>
    <w:rsid w:val="713B0855"/>
    <w:rsid w:val="7140671D"/>
    <w:rsid w:val="714C653E"/>
    <w:rsid w:val="715B5300"/>
    <w:rsid w:val="71644466"/>
    <w:rsid w:val="71665B90"/>
    <w:rsid w:val="71787E7E"/>
    <w:rsid w:val="71A13B5B"/>
    <w:rsid w:val="71A838BA"/>
    <w:rsid w:val="71B55E69"/>
    <w:rsid w:val="71D27F8A"/>
    <w:rsid w:val="71DA19CE"/>
    <w:rsid w:val="71E71B34"/>
    <w:rsid w:val="721910BE"/>
    <w:rsid w:val="72553024"/>
    <w:rsid w:val="725633D2"/>
    <w:rsid w:val="72565AAC"/>
    <w:rsid w:val="726736D6"/>
    <w:rsid w:val="726E39DB"/>
    <w:rsid w:val="727662A7"/>
    <w:rsid w:val="72794AEA"/>
    <w:rsid w:val="72B017B9"/>
    <w:rsid w:val="72C40DC1"/>
    <w:rsid w:val="72CF4D4E"/>
    <w:rsid w:val="72D1172F"/>
    <w:rsid w:val="72D30132"/>
    <w:rsid w:val="72D52FC8"/>
    <w:rsid w:val="730324B6"/>
    <w:rsid w:val="73122968"/>
    <w:rsid w:val="731F5D5E"/>
    <w:rsid w:val="73215007"/>
    <w:rsid w:val="73450387"/>
    <w:rsid w:val="735440CA"/>
    <w:rsid w:val="735C36EF"/>
    <w:rsid w:val="73622537"/>
    <w:rsid w:val="73691968"/>
    <w:rsid w:val="737F6277"/>
    <w:rsid w:val="73B40E35"/>
    <w:rsid w:val="73BE4998"/>
    <w:rsid w:val="73C51AD5"/>
    <w:rsid w:val="73C91C50"/>
    <w:rsid w:val="73E7745D"/>
    <w:rsid w:val="741E793C"/>
    <w:rsid w:val="743E7C06"/>
    <w:rsid w:val="745E3944"/>
    <w:rsid w:val="746E7FB9"/>
    <w:rsid w:val="747A5164"/>
    <w:rsid w:val="748D4255"/>
    <w:rsid w:val="74980F2D"/>
    <w:rsid w:val="74C3370B"/>
    <w:rsid w:val="74CC6652"/>
    <w:rsid w:val="74F62E60"/>
    <w:rsid w:val="75105270"/>
    <w:rsid w:val="75152A9E"/>
    <w:rsid w:val="75797B0E"/>
    <w:rsid w:val="75C64E50"/>
    <w:rsid w:val="75D1545B"/>
    <w:rsid w:val="75DF28DC"/>
    <w:rsid w:val="75DF4163"/>
    <w:rsid w:val="75F47C0F"/>
    <w:rsid w:val="75F61BD9"/>
    <w:rsid w:val="75FB14B5"/>
    <w:rsid w:val="7602037A"/>
    <w:rsid w:val="760342F6"/>
    <w:rsid w:val="760D1082"/>
    <w:rsid w:val="761027C4"/>
    <w:rsid w:val="761F32A1"/>
    <w:rsid w:val="7635099D"/>
    <w:rsid w:val="764F2F30"/>
    <w:rsid w:val="76582A2F"/>
    <w:rsid w:val="76626E31"/>
    <w:rsid w:val="76795419"/>
    <w:rsid w:val="76B31878"/>
    <w:rsid w:val="76CF54D5"/>
    <w:rsid w:val="76EF2E90"/>
    <w:rsid w:val="76FE3487"/>
    <w:rsid w:val="7709764F"/>
    <w:rsid w:val="771F6A91"/>
    <w:rsid w:val="77313DE9"/>
    <w:rsid w:val="773F252F"/>
    <w:rsid w:val="77451EEC"/>
    <w:rsid w:val="774F74BF"/>
    <w:rsid w:val="775657AF"/>
    <w:rsid w:val="77762421"/>
    <w:rsid w:val="77795837"/>
    <w:rsid w:val="778D20C9"/>
    <w:rsid w:val="77B56B1F"/>
    <w:rsid w:val="77C35740"/>
    <w:rsid w:val="77F250B7"/>
    <w:rsid w:val="780F09F4"/>
    <w:rsid w:val="781A6083"/>
    <w:rsid w:val="782E4677"/>
    <w:rsid w:val="78497CF2"/>
    <w:rsid w:val="784B7AA8"/>
    <w:rsid w:val="785D6652"/>
    <w:rsid w:val="785F73BF"/>
    <w:rsid w:val="78995B49"/>
    <w:rsid w:val="78A14EE4"/>
    <w:rsid w:val="78A90480"/>
    <w:rsid w:val="78AF4AC4"/>
    <w:rsid w:val="78AF60F6"/>
    <w:rsid w:val="78F86689"/>
    <w:rsid w:val="78FB3062"/>
    <w:rsid w:val="79123BB5"/>
    <w:rsid w:val="794C7280"/>
    <w:rsid w:val="79832314"/>
    <w:rsid w:val="79B0209F"/>
    <w:rsid w:val="79B8499D"/>
    <w:rsid w:val="79B84C4F"/>
    <w:rsid w:val="79D51B05"/>
    <w:rsid w:val="79D7762B"/>
    <w:rsid w:val="7A093DF8"/>
    <w:rsid w:val="7A293AB4"/>
    <w:rsid w:val="7A317256"/>
    <w:rsid w:val="7A364017"/>
    <w:rsid w:val="7A3C7DD6"/>
    <w:rsid w:val="7A6F72FA"/>
    <w:rsid w:val="7A730B94"/>
    <w:rsid w:val="7A7A0B78"/>
    <w:rsid w:val="7A8265E1"/>
    <w:rsid w:val="7AA51BF8"/>
    <w:rsid w:val="7AAF5264"/>
    <w:rsid w:val="7AB23BF5"/>
    <w:rsid w:val="7AF03EF8"/>
    <w:rsid w:val="7AF64429"/>
    <w:rsid w:val="7AF9306F"/>
    <w:rsid w:val="7B0C4E65"/>
    <w:rsid w:val="7B17225C"/>
    <w:rsid w:val="7B544CC2"/>
    <w:rsid w:val="7B686D42"/>
    <w:rsid w:val="7B713327"/>
    <w:rsid w:val="7B7610C6"/>
    <w:rsid w:val="7B802D64"/>
    <w:rsid w:val="7B841746"/>
    <w:rsid w:val="7B857868"/>
    <w:rsid w:val="7BAE34BE"/>
    <w:rsid w:val="7BC167E5"/>
    <w:rsid w:val="7BD302C6"/>
    <w:rsid w:val="7BF22E42"/>
    <w:rsid w:val="7BF24BF0"/>
    <w:rsid w:val="7C077745"/>
    <w:rsid w:val="7C247E99"/>
    <w:rsid w:val="7C560182"/>
    <w:rsid w:val="7C6C5AC7"/>
    <w:rsid w:val="7C75312C"/>
    <w:rsid w:val="7C765821"/>
    <w:rsid w:val="7C7970C0"/>
    <w:rsid w:val="7C7A7ECB"/>
    <w:rsid w:val="7C7D3FA8"/>
    <w:rsid w:val="7C8543F1"/>
    <w:rsid w:val="7CC6544B"/>
    <w:rsid w:val="7CF2071C"/>
    <w:rsid w:val="7D0239FF"/>
    <w:rsid w:val="7D30242F"/>
    <w:rsid w:val="7D5E40CD"/>
    <w:rsid w:val="7DAC3EA8"/>
    <w:rsid w:val="7DC6165A"/>
    <w:rsid w:val="7DCD56F2"/>
    <w:rsid w:val="7DFF1D3A"/>
    <w:rsid w:val="7E0B1F99"/>
    <w:rsid w:val="7E2A289F"/>
    <w:rsid w:val="7E2D1189"/>
    <w:rsid w:val="7E5F0F9A"/>
    <w:rsid w:val="7E5F7DF8"/>
    <w:rsid w:val="7E786F03"/>
    <w:rsid w:val="7E7E09BD"/>
    <w:rsid w:val="7E952BAC"/>
    <w:rsid w:val="7EA53AC7"/>
    <w:rsid w:val="7ED71E7C"/>
    <w:rsid w:val="7F001CE7"/>
    <w:rsid w:val="7F0B56B6"/>
    <w:rsid w:val="7F166E48"/>
    <w:rsid w:val="7F1B4CC4"/>
    <w:rsid w:val="7F363DF6"/>
    <w:rsid w:val="7F3A7167"/>
    <w:rsid w:val="7F484791"/>
    <w:rsid w:val="7F843DAF"/>
    <w:rsid w:val="7FB51766"/>
    <w:rsid w:val="7FB81DB7"/>
    <w:rsid w:val="7FCC0A9F"/>
    <w:rsid w:val="7FCF6FF7"/>
    <w:rsid w:val="7FD073D8"/>
    <w:rsid w:val="7FD34D39"/>
    <w:rsid w:val="7FDB7EC5"/>
    <w:rsid w:val="7FDE4F5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qFormat="1" w:unhideWhenUsed="0" w:uiPriority="99" w:semiHidden="0" w:name="index 7" w:locked="1"/>
    <w:lsdException w:uiPriority="0" w:name="index 8" w:locked="1"/>
    <w:lsdException w:uiPriority="0" w:name="index 9" w:locked="1"/>
    <w:lsdException w:qFormat="1" w:unhideWhenUsed="0" w:uiPriority="39" w:semiHidden="0" w:name="toc 1" w:locked="1"/>
    <w:lsdException w:uiPriority="0" w:name="toc 2" w:locked="1"/>
    <w:lsdException w:uiPriority="0" w:name="toc 3" w:locked="1"/>
    <w:lsdException w:qFormat="1" w:unhideWhenUsed="0" w:uiPriority="0" w:semiHidden="0" w:name="toc 4" w:locked="1"/>
    <w:lsdException w:uiPriority="0" w:name="toc 5" w:locked="1"/>
    <w:lsdException w:uiPriority="0" w:name="toc 6" w:locked="1"/>
    <w:lsdException w:uiPriority="0" w:name="toc 7" w:locked="1"/>
    <w:lsdException w:uiPriority="0" w:name="toc 8" w:locked="1"/>
    <w:lsdException w:qFormat="1" w:unhideWhenUsed="0" w:uiPriority="0" w:semiHidden="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ocked="1"/>
    <w:lsdException w:qFormat="1" w:uiPriority="0" w:semiHidden="0" w:name="caption" w:locked="1"/>
    <w:lsdException w:qFormat="1" w:unhideWhenUsed="0" w:uiPriority="0" w:semiHidden="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qFormat="1" w:unhideWhenUsed="0" w:uiPriority="0" w:semiHidden="0" w:name="macro" w:locked="1"/>
    <w:lsdException w:uiPriority="0" w:name="toa heading" w:locked="1"/>
    <w:lsdException w:qFormat="1" w:unhideWhenUsed="0" w:uiPriority="0" w:semiHidden="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qFormat="1" w:uiPriority="99"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nhideWhenUsed="0" w:uiPriority="0" w:semiHidden="0" w:name="Body Text 2" w:locked="1"/>
    <w:lsdException w:uiPriority="0" w:name="Body Text 3" w:locked="1"/>
    <w:lsdException w:qFormat="1" w:uiPriority="99" w:semiHidden="0" w:name="Body Text Indent 2" w:locked="1"/>
    <w:lsdException w:uiPriority="0" w:name="Body Text Indent 3" w:locked="1"/>
    <w:lsdException w:uiPriority="0" w:name="Block Text" w:locked="1"/>
    <w:lsdException w:qFormat="1" w:uiPriority="0" w:semiHidden="0" w:name="Hyperlink" w:locked="1"/>
    <w:lsdException w:uiPriority="0" w:name="FollowedHyperlink" w:locked="1"/>
    <w:lsdException w:qFormat="1" w:unhideWhenUsed="0" w:uiPriority="22" w:semiHidden="0" w:name="Strong" w:locked="1"/>
    <w:lsdException w:qFormat="1" w:unhideWhenUsed="0" w:uiPriority="0" w:semiHidden="0" w:name="Emphasis" w:locked="1"/>
    <w:lsdException w:qFormat="1" w:uiPriority="0" w:name="Document Map" w:locked="1"/>
    <w:lsdException w:qFormat="1" w:unhideWhenUsed="0" w:uiPriority="99"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0" w:semiHidden="0" w:name="HTML Preformatted" w:locked="1"/>
    <w:lsdException w:uiPriority="0" w:name="HTML Sample" w:locked="1"/>
    <w:lsdException w:qFormat="1" w:unhideWhenUsed="0" w:uiPriority="0" w:semiHidden="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99"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72"/>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3"/>
    <w:autoRedefine/>
    <w:qFormat/>
    <w:locked/>
    <w:uiPriority w:val="9"/>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54"/>
    <w:autoRedefine/>
    <w:qFormat/>
    <w:locked/>
    <w:uiPriority w:val="0"/>
    <w:pPr>
      <w:keepNext/>
      <w:keepLines/>
      <w:spacing w:before="260" w:after="260" w:line="416" w:lineRule="auto"/>
      <w:outlineLvl w:val="2"/>
    </w:pPr>
    <w:rPr>
      <w:b/>
      <w:bCs/>
      <w:sz w:val="32"/>
      <w:szCs w:val="32"/>
    </w:rPr>
  </w:style>
  <w:style w:type="paragraph" w:styleId="6">
    <w:name w:val="heading 4"/>
    <w:basedOn w:val="1"/>
    <w:next w:val="1"/>
    <w:qFormat/>
    <w:locked/>
    <w:uiPriority w:val="0"/>
    <w:pPr>
      <w:keepNext/>
      <w:keepLines/>
      <w:widowControl w:val="0"/>
      <w:numPr>
        <w:ilvl w:val="3"/>
        <w:numId w:val="1"/>
      </w:numPr>
      <w:tabs>
        <w:tab w:val="left" w:pos="864"/>
      </w:tabs>
      <w:adjustRightInd w:val="0"/>
      <w:snapToGrid w:val="0"/>
      <w:spacing w:line="360" w:lineRule="auto"/>
      <w:ind w:left="864" w:hanging="864"/>
      <w:jc w:val="left"/>
      <w:outlineLvl w:val="3"/>
    </w:pPr>
    <w:rPr>
      <w:rFonts w:ascii="Times New Roman" w:hAnsi="Times New Roman" w:eastAsia="黑体" w:cs="Times New Roman"/>
      <w:b/>
      <w:bCs/>
      <w:color w:val="000000"/>
      <w:sz w:val="24"/>
      <w:lang w:val="en-US" w:eastAsia="zh-CN" w:bidi="ar-SA"/>
    </w:rPr>
  </w:style>
  <w:style w:type="character" w:default="1" w:styleId="39">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2">
    <w:name w:val="macro"/>
    <w:basedOn w:val="1"/>
    <w:next w:val="1"/>
    <w:link w:val="113"/>
    <w:autoRedefine/>
    <w:qFormat/>
    <w:locked/>
    <w:uiPriority w:val="0"/>
    <w:pPr>
      <w:numPr>
        <w:ilvl w:val="8"/>
        <w:numId w:val="2"/>
      </w:numPr>
      <w:tabs>
        <w:tab w:val="left" w:pos="480"/>
        <w:tab w:val="left" w:pos="960"/>
        <w:tab w:val="left" w:pos="1276"/>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pPr>
    <w:rPr>
      <w:rFonts w:eastAsia="黑体"/>
      <w:szCs w:val="21"/>
    </w:rPr>
  </w:style>
  <w:style w:type="paragraph" w:styleId="7">
    <w:name w:val="Normal Indent"/>
    <w:basedOn w:val="1"/>
    <w:link w:val="55"/>
    <w:autoRedefine/>
    <w:qFormat/>
    <w:locked/>
    <w:uiPriority w:val="0"/>
    <w:pPr>
      <w:adjustRightInd w:val="0"/>
      <w:spacing w:line="312" w:lineRule="atLeast"/>
      <w:ind w:firstLine="420"/>
      <w:textAlignment w:val="baseline"/>
    </w:pPr>
    <w:rPr>
      <w:rFonts w:ascii="宋体" w:hAnsi="Courier New"/>
      <w:kern w:val="0"/>
      <w:szCs w:val="20"/>
    </w:rPr>
  </w:style>
  <w:style w:type="paragraph" w:styleId="8">
    <w:name w:val="caption"/>
    <w:basedOn w:val="1"/>
    <w:next w:val="9"/>
    <w:link w:val="152"/>
    <w:autoRedefine/>
    <w:unhideWhenUsed/>
    <w:qFormat/>
    <w:locked/>
    <w:uiPriority w:val="0"/>
    <w:pPr>
      <w:keepNext/>
      <w:jc w:val="center"/>
    </w:pPr>
    <w:rPr>
      <w:rFonts w:ascii="等线 Light" w:hAnsi="等线 Light" w:eastAsia="黑体"/>
      <w:sz w:val="24"/>
    </w:rPr>
  </w:style>
  <w:style w:type="paragraph" w:customStyle="1" w:styleId="9">
    <w:name w:val="正文首行缩进 2 + Times New Roman"/>
    <w:basedOn w:val="1"/>
    <w:autoRedefine/>
    <w:unhideWhenUsed/>
    <w:qFormat/>
    <w:uiPriority w:val="0"/>
    <w:pPr>
      <w:tabs>
        <w:tab w:val="left" w:pos="0"/>
        <w:tab w:val="left" w:pos="2670"/>
      </w:tabs>
      <w:autoSpaceDE w:val="0"/>
      <w:autoSpaceDN w:val="0"/>
      <w:spacing w:beforeLines="0" w:afterLines="0" w:line="324" w:lineRule="auto"/>
      <w:ind w:firstLine="480" w:firstLineChars="200"/>
    </w:pPr>
    <w:rPr>
      <w:rFonts w:hint="default"/>
      <w:kern w:val="0"/>
      <w:sz w:val="24"/>
      <w:szCs w:val="24"/>
    </w:rPr>
  </w:style>
  <w:style w:type="paragraph" w:styleId="10">
    <w:name w:val="Document Map"/>
    <w:basedOn w:val="1"/>
    <w:link w:val="117"/>
    <w:autoRedefine/>
    <w:semiHidden/>
    <w:unhideWhenUsed/>
    <w:qFormat/>
    <w:locked/>
    <w:uiPriority w:val="0"/>
    <w:rPr>
      <w:rFonts w:ascii="Microsoft YaHei UI" w:eastAsia="Microsoft YaHei UI"/>
      <w:sz w:val="18"/>
      <w:szCs w:val="18"/>
    </w:rPr>
  </w:style>
  <w:style w:type="paragraph" w:styleId="11">
    <w:name w:val="annotation text"/>
    <w:basedOn w:val="1"/>
    <w:link w:val="56"/>
    <w:autoRedefine/>
    <w:qFormat/>
    <w:uiPriority w:val="0"/>
    <w:pPr>
      <w:spacing w:line="360" w:lineRule="auto"/>
      <w:ind w:firstLine="480" w:firstLineChars="200"/>
      <w:contextualSpacing/>
      <w:jc w:val="left"/>
    </w:pPr>
    <w:rPr>
      <w:bCs/>
      <w:color w:val="0000FF"/>
      <w:kern w:val="0"/>
      <w:sz w:val="24"/>
      <w:szCs w:val="20"/>
      <w:lang w:bidi="zh-CN"/>
    </w:rPr>
  </w:style>
  <w:style w:type="paragraph" w:styleId="12">
    <w:name w:val="Body Text"/>
    <w:basedOn w:val="1"/>
    <w:link w:val="57"/>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58"/>
    <w:autoRedefine/>
    <w:qFormat/>
    <w:uiPriority w:val="0"/>
    <w:pPr>
      <w:spacing w:after="120"/>
      <w:ind w:left="420" w:leftChars="200"/>
    </w:pPr>
    <w:rPr>
      <w:kern w:val="0"/>
      <w:sz w:val="24"/>
      <w:szCs w:val="20"/>
    </w:rPr>
  </w:style>
  <w:style w:type="paragraph" w:styleId="14">
    <w:name w:val="header"/>
    <w:basedOn w:val="1"/>
    <w:next w:val="15"/>
    <w:link w:val="63"/>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5">
    <w:name w:val="样式5"/>
    <w:basedOn w:val="12"/>
    <w:autoRedefine/>
    <w:qFormat/>
    <w:uiPriority w:val="0"/>
    <w:pPr>
      <w:tabs>
        <w:tab w:val="left" w:pos="420"/>
        <w:tab w:val="left" w:pos="1589"/>
      </w:tabs>
      <w:adjustRightInd w:val="0"/>
      <w:spacing w:before="0" w:after="0" w:line="480" w:lineRule="exact"/>
      <w:ind w:firstLine="480" w:firstLineChars="200"/>
      <w:jc w:val="left"/>
    </w:pPr>
    <w:rPr>
      <w:rFonts w:ascii="宋体" w:hAnsi="宋体"/>
      <w:b/>
      <w:snapToGrid w:val="0"/>
      <w:sz w:val="24"/>
      <w:szCs w:val="24"/>
      <w:lang w:val="zh-CN"/>
    </w:rPr>
  </w:style>
  <w:style w:type="paragraph" w:styleId="16">
    <w:name w:val="Plain Text"/>
    <w:basedOn w:val="1"/>
    <w:link w:val="59"/>
    <w:autoRedefine/>
    <w:qFormat/>
    <w:locked/>
    <w:uiPriority w:val="99"/>
    <w:rPr>
      <w:rFonts w:ascii="宋体" w:hAnsi="Courier New"/>
      <w:szCs w:val="21"/>
    </w:rPr>
  </w:style>
  <w:style w:type="paragraph" w:styleId="17">
    <w:name w:val="List Bullet 5"/>
    <w:basedOn w:val="1"/>
    <w:autoRedefine/>
    <w:semiHidden/>
    <w:unhideWhenUsed/>
    <w:qFormat/>
    <w:locked/>
    <w:uiPriority w:val="99"/>
    <w:pPr>
      <w:numPr>
        <w:ilvl w:val="0"/>
        <w:numId w:val="3"/>
      </w:numPr>
    </w:pPr>
    <w:rPr>
      <w:sz w:val="24"/>
    </w:rPr>
  </w:style>
  <w:style w:type="paragraph" w:styleId="18">
    <w:name w:val="Date"/>
    <w:basedOn w:val="1"/>
    <w:next w:val="1"/>
    <w:link w:val="60"/>
    <w:autoRedefine/>
    <w:qFormat/>
    <w:uiPriority w:val="0"/>
    <w:pPr>
      <w:ind w:left="100" w:leftChars="2500"/>
    </w:pPr>
    <w:rPr>
      <w:kern w:val="0"/>
      <w:sz w:val="24"/>
      <w:szCs w:val="20"/>
    </w:rPr>
  </w:style>
  <w:style w:type="paragraph" w:styleId="19">
    <w:name w:val="Body Text Indent 2"/>
    <w:basedOn w:val="1"/>
    <w:next w:val="20"/>
    <w:link w:val="111"/>
    <w:autoRedefine/>
    <w:unhideWhenUsed/>
    <w:qFormat/>
    <w:locked/>
    <w:uiPriority w:val="99"/>
    <w:pPr>
      <w:spacing w:after="120" w:line="480" w:lineRule="auto"/>
      <w:ind w:left="420" w:leftChars="200"/>
    </w:pPr>
  </w:style>
  <w:style w:type="paragraph" w:customStyle="1" w:styleId="20">
    <w:name w:val="reader-word-layer reader-word-s46-2"/>
    <w:basedOn w:val="1"/>
    <w:next w:val="21"/>
    <w:qFormat/>
    <w:uiPriority w:val="0"/>
    <w:pPr>
      <w:widowControl/>
      <w:spacing w:before="100" w:beforeAutospacing="1" w:after="100" w:afterAutospacing="1"/>
      <w:jc w:val="left"/>
    </w:pPr>
    <w:rPr>
      <w:rFonts w:ascii="宋体" w:hAnsi="宋体" w:cs="宋体"/>
      <w:kern w:val="0"/>
      <w:sz w:val="24"/>
    </w:rPr>
  </w:style>
  <w:style w:type="paragraph" w:customStyle="1" w:styleId="21">
    <w:name w:val="xl35"/>
    <w:basedOn w:val="1"/>
    <w:next w:val="1"/>
    <w:autoRedefine/>
    <w:qFormat/>
    <w:uiPriority w:val="0"/>
    <w:pPr>
      <w:widowControl/>
      <w:pBdr>
        <w:left w:val="single" w:color="auto" w:sz="12" w:space="0"/>
      </w:pBdr>
      <w:spacing w:before="100" w:beforeAutospacing="1" w:after="100" w:afterAutospacing="1"/>
      <w:jc w:val="center"/>
    </w:pPr>
    <w:rPr>
      <w:rFonts w:hint="eastAsia" w:ascii="Arial Unicode MS" w:hAnsi="Arial Unicode MS"/>
      <w:kern w:val="0"/>
      <w:sz w:val="16"/>
      <w:szCs w:val="16"/>
    </w:rPr>
  </w:style>
  <w:style w:type="paragraph" w:styleId="22">
    <w:name w:val="Balloon Text"/>
    <w:basedOn w:val="1"/>
    <w:link w:val="61"/>
    <w:autoRedefine/>
    <w:qFormat/>
    <w:uiPriority w:val="0"/>
    <w:rPr>
      <w:kern w:val="0"/>
      <w:sz w:val="18"/>
      <w:szCs w:val="20"/>
    </w:rPr>
  </w:style>
  <w:style w:type="paragraph" w:styleId="23">
    <w:name w:val="footer"/>
    <w:basedOn w:val="1"/>
    <w:link w:val="62"/>
    <w:autoRedefine/>
    <w:qFormat/>
    <w:uiPriority w:val="0"/>
    <w:pPr>
      <w:tabs>
        <w:tab w:val="center" w:pos="4153"/>
        <w:tab w:val="right" w:pos="8306"/>
      </w:tabs>
      <w:snapToGrid w:val="0"/>
      <w:jc w:val="left"/>
    </w:pPr>
    <w:rPr>
      <w:kern w:val="0"/>
      <w:sz w:val="18"/>
      <w:szCs w:val="20"/>
    </w:rPr>
  </w:style>
  <w:style w:type="paragraph" w:styleId="24">
    <w:name w:val="toc 1"/>
    <w:basedOn w:val="1"/>
    <w:next w:val="1"/>
    <w:autoRedefine/>
    <w:qFormat/>
    <w:locked/>
    <w:uiPriority w:val="39"/>
    <w:pPr>
      <w:spacing w:before="120" w:after="120"/>
      <w:jc w:val="left"/>
    </w:pPr>
    <w:rPr>
      <w:b/>
      <w:bCs/>
      <w:caps/>
      <w:sz w:val="24"/>
      <w:szCs w:val="20"/>
    </w:rPr>
  </w:style>
  <w:style w:type="paragraph" w:styleId="25">
    <w:name w:val="toc 4"/>
    <w:basedOn w:val="1"/>
    <w:next w:val="1"/>
    <w:qFormat/>
    <w:locked/>
    <w:uiPriority w:val="0"/>
    <w:pPr>
      <w:ind w:left="1260" w:leftChars="600"/>
    </w:pPr>
  </w:style>
  <w:style w:type="paragraph" w:styleId="26">
    <w:name w:val="List"/>
    <w:basedOn w:val="1"/>
    <w:autoRedefine/>
    <w:qFormat/>
    <w:locked/>
    <w:uiPriority w:val="0"/>
    <w:pPr>
      <w:ind w:left="200" w:hanging="200" w:hangingChars="200"/>
      <w:contextualSpacing/>
    </w:pPr>
  </w:style>
  <w:style w:type="paragraph" w:styleId="27">
    <w:name w:val="index 7"/>
    <w:basedOn w:val="1"/>
    <w:next w:val="1"/>
    <w:autoRedefine/>
    <w:qFormat/>
    <w:locked/>
    <w:uiPriority w:val="99"/>
    <w:pPr>
      <w:ind w:left="1200" w:leftChars="1200"/>
    </w:pPr>
  </w:style>
  <w:style w:type="paragraph" w:styleId="28">
    <w:name w:val="table of figures"/>
    <w:basedOn w:val="1"/>
    <w:next w:val="1"/>
    <w:autoRedefine/>
    <w:qFormat/>
    <w:locked/>
    <w:uiPriority w:val="0"/>
  </w:style>
  <w:style w:type="paragraph" w:styleId="29">
    <w:name w:val="toc 9"/>
    <w:basedOn w:val="1"/>
    <w:next w:val="1"/>
    <w:autoRedefine/>
    <w:qFormat/>
    <w:locked/>
    <w:uiPriority w:val="0"/>
    <w:pPr>
      <w:widowControl/>
      <w:wordWrap w:val="0"/>
      <w:ind w:left="2975"/>
    </w:pPr>
    <w:rPr>
      <w:sz w:val="21"/>
      <w:szCs w:val="22"/>
    </w:rPr>
  </w:style>
  <w:style w:type="paragraph" w:styleId="30">
    <w:name w:val="Body Text 2"/>
    <w:basedOn w:val="1"/>
    <w:link w:val="64"/>
    <w:autoRedefine/>
    <w:qFormat/>
    <w:locked/>
    <w:uiPriority w:val="0"/>
    <w:pPr>
      <w:spacing w:after="120" w:line="480" w:lineRule="auto"/>
    </w:pPr>
  </w:style>
  <w:style w:type="paragraph" w:styleId="31">
    <w:name w:val="HTML Preformatted"/>
    <w:basedOn w:val="1"/>
    <w:link w:val="65"/>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2">
    <w:name w:val="Normal (Web)"/>
    <w:basedOn w:val="1"/>
    <w:next w:val="27"/>
    <w:link w:val="66"/>
    <w:autoRedefine/>
    <w:qFormat/>
    <w:uiPriority w:val="99"/>
    <w:pPr>
      <w:widowControl/>
      <w:spacing w:before="100" w:beforeAutospacing="1" w:after="100" w:afterAutospacing="1"/>
      <w:jc w:val="left"/>
    </w:pPr>
    <w:rPr>
      <w:rFonts w:ascii="宋体" w:hAnsi="宋体"/>
      <w:kern w:val="0"/>
      <w:sz w:val="24"/>
      <w:szCs w:val="20"/>
    </w:rPr>
  </w:style>
  <w:style w:type="paragraph" w:styleId="33">
    <w:name w:val="annotation subject"/>
    <w:basedOn w:val="11"/>
    <w:next w:val="11"/>
    <w:link w:val="67"/>
    <w:autoRedefine/>
    <w:qFormat/>
    <w:uiPriority w:val="0"/>
    <w:rPr>
      <w:b/>
      <w:kern w:val="2"/>
    </w:rPr>
  </w:style>
  <w:style w:type="paragraph" w:styleId="34">
    <w:name w:val="Body Text First Indent"/>
    <w:basedOn w:val="12"/>
    <w:next w:val="1"/>
    <w:link w:val="125"/>
    <w:autoRedefine/>
    <w:qFormat/>
    <w:locked/>
    <w:uiPriority w:val="0"/>
    <w:pPr>
      <w:adjustRightInd w:val="0"/>
      <w:spacing w:after="0" w:line="336" w:lineRule="auto"/>
      <w:ind w:firstLine="200" w:firstLineChars="200"/>
    </w:pPr>
    <w:rPr>
      <w:rFonts w:ascii="宋体" w:hAnsi="宋体"/>
      <w:snapToGrid w:val="0"/>
      <w:color w:val="000000"/>
      <w:sz w:val="24"/>
    </w:rPr>
  </w:style>
  <w:style w:type="paragraph" w:styleId="35">
    <w:name w:val="Body Text First Indent 2"/>
    <w:basedOn w:val="13"/>
    <w:next w:val="1"/>
    <w:link w:val="68"/>
    <w:autoRedefine/>
    <w:qFormat/>
    <w:locked/>
    <w:uiPriority w:val="0"/>
    <w:pPr>
      <w:ind w:left="0" w:leftChars="0"/>
      <w:jc w:val="center"/>
    </w:pPr>
    <w:rPr>
      <w:b/>
      <w:bCs/>
      <w:color w:val="0000FF"/>
      <w:kern w:val="2"/>
      <w:szCs w:val="24"/>
    </w:rPr>
  </w:style>
  <w:style w:type="table" w:styleId="37">
    <w:name w:val="Table Grid"/>
    <w:basedOn w:val="36"/>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Table Theme"/>
    <w:basedOn w:val="36"/>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autoRedefine/>
    <w:qFormat/>
    <w:locked/>
    <w:uiPriority w:val="22"/>
    <w:rPr>
      <w:b/>
      <w:bCs/>
    </w:rPr>
  </w:style>
  <w:style w:type="character" w:styleId="41">
    <w:name w:val="page number"/>
    <w:autoRedefine/>
    <w:qFormat/>
    <w:locked/>
    <w:uiPriority w:val="0"/>
  </w:style>
  <w:style w:type="character" w:styleId="42">
    <w:name w:val="Emphasis"/>
    <w:autoRedefine/>
    <w:qFormat/>
    <w:locked/>
    <w:uiPriority w:val="0"/>
    <w:rPr>
      <w:i/>
    </w:rPr>
  </w:style>
  <w:style w:type="character" w:styleId="43">
    <w:name w:val="HTML Typewriter"/>
    <w:autoRedefine/>
    <w:qFormat/>
    <w:locked/>
    <w:uiPriority w:val="0"/>
    <w:rPr>
      <w:rFonts w:hint="default" w:ascii="Consolas" w:hAnsi="Consolas" w:eastAsia="Consolas" w:cs="Consolas"/>
      <w:sz w:val="22"/>
      <w:szCs w:val="22"/>
    </w:rPr>
  </w:style>
  <w:style w:type="character" w:styleId="44">
    <w:name w:val="Hyperlink"/>
    <w:autoRedefine/>
    <w:unhideWhenUsed/>
    <w:qFormat/>
    <w:locked/>
    <w:uiPriority w:val="0"/>
    <w:rPr>
      <w:color w:val="0000FF"/>
      <w:u w:val="single"/>
    </w:rPr>
  </w:style>
  <w:style w:type="character" w:styleId="45">
    <w:name w:val="annotation reference"/>
    <w:autoRedefine/>
    <w:qFormat/>
    <w:uiPriority w:val="0"/>
    <w:rPr>
      <w:sz w:val="21"/>
    </w:rPr>
  </w:style>
  <w:style w:type="paragraph" w:customStyle="1" w:styleId="46">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Calibri" w:hAnsi="Calibri"/>
      <w:bCs/>
      <w:color w:val="000000"/>
      <w:kern w:val="0"/>
      <w:sz w:val="24"/>
      <w:szCs w:val="28"/>
    </w:rPr>
  </w:style>
  <w:style w:type="paragraph" w:customStyle="1" w:styleId="47">
    <w:name w:val="样式 正文文本缩进 + 行距: 1.5 倍行距"/>
    <w:basedOn w:val="13"/>
    <w:next w:val="1"/>
    <w:autoRedefine/>
    <w:qFormat/>
    <w:uiPriority w:val="0"/>
    <w:pPr>
      <w:spacing w:after="120" w:line="360" w:lineRule="auto"/>
      <w:ind w:left="90" w:leftChars="32" w:firstLine="560" w:firstLineChars="200"/>
    </w:pPr>
    <w:rPr>
      <w:rFonts w:cs="宋体"/>
    </w:rPr>
  </w:style>
  <w:style w:type="paragraph" w:customStyle="1" w:styleId="48">
    <w:name w:val="正文文本缩进1"/>
    <w:basedOn w:val="1"/>
    <w:next w:val="47"/>
    <w:autoRedefine/>
    <w:qFormat/>
    <w:uiPriority w:val="0"/>
    <w:pPr>
      <w:spacing w:after="120"/>
      <w:ind w:left="420" w:leftChars="200"/>
    </w:pPr>
    <w:rPr>
      <w:sz w:val="24"/>
    </w:rPr>
  </w:style>
  <w:style w:type="paragraph" w:customStyle="1" w:styleId="49">
    <w:name w:val="Body Text Indent"/>
    <w:basedOn w:val="1"/>
    <w:next w:val="47"/>
    <w:autoRedefine/>
    <w:qFormat/>
    <w:uiPriority w:val="0"/>
    <w:pPr>
      <w:spacing w:after="120" w:afterLines="0"/>
      <w:ind w:left="420" w:leftChars="200"/>
    </w:pPr>
    <w:rPr>
      <w:rFonts w:ascii="Times New Roman" w:hAnsi="Times New Roman" w:eastAsia="宋体"/>
      <w:sz w:val="24"/>
    </w:rPr>
  </w:style>
  <w:style w:type="paragraph" w:customStyle="1" w:styleId="50">
    <w:name w:val="正文1"/>
    <w:basedOn w:val="1"/>
    <w:next w:val="1"/>
    <w:autoRedefine/>
    <w:qFormat/>
    <w:uiPriority w:val="0"/>
    <w:pPr>
      <w:adjustRightInd w:val="0"/>
      <w:snapToGrid w:val="0"/>
      <w:spacing w:line="500" w:lineRule="atLeast"/>
      <w:ind w:firstLine="567"/>
    </w:pPr>
    <w:rPr>
      <w:sz w:val="28"/>
      <w:szCs w:val="20"/>
    </w:rPr>
  </w:style>
  <w:style w:type="paragraph" w:customStyle="1" w:styleId="51">
    <w:name w:val="Default"/>
    <w:basedOn w:val="52"/>
    <w:next w:val="35"/>
    <w:autoRedefine/>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52">
    <w:name w:val="纯文本1"/>
    <w:basedOn w:val="1"/>
    <w:autoRedefine/>
    <w:qFormat/>
    <w:uiPriority w:val="0"/>
    <w:rPr>
      <w:rFonts w:ascii="宋体" w:hAnsi="Courier New"/>
      <w:kern w:val="0"/>
      <w:sz w:val="24"/>
      <w:szCs w:val="20"/>
    </w:rPr>
  </w:style>
  <w:style w:type="character" w:customStyle="1" w:styleId="53">
    <w:name w:val="标题 2 字符"/>
    <w:link w:val="4"/>
    <w:autoRedefine/>
    <w:qFormat/>
    <w:uiPriority w:val="0"/>
    <w:rPr>
      <w:rFonts w:ascii="等线 Light" w:hAnsi="等线 Light" w:eastAsia="等线 Light"/>
      <w:b/>
      <w:bCs/>
      <w:kern w:val="2"/>
      <w:sz w:val="32"/>
      <w:szCs w:val="32"/>
    </w:rPr>
  </w:style>
  <w:style w:type="character" w:customStyle="1" w:styleId="54">
    <w:name w:val="标题 3 字符"/>
    <w:link w:val="5"/>
    <w:autoRedefine/>
    <w:semiHidden/>
    <w:qFormat/>
    <w:uiPriority w:val="0"/>
    <w:rPr>
      <w:b/>
      <w:bCs/>
      <w:kern w:val="2"/>
      <w:sz w:val="32"/>
      <w:szCs w:val="32"/>
    </w:rPr>
  </w:style>
  <w:style w:type="character" w:customStyle="1" w:styleId="55">
    <w:name w:val="正文缩进 字符"/>
    <w:link w:val="7"/>
    <w:autoRedefine/>
    <w:qFormat/>
    <w:uiPriority w:val="0"/>
    <w:rPr>
      <w:rFonts w:ascii="宋体" w:hAnsi="Courier New"/>
      <w:sz w:val="21"/>
    </w:rPr>
  </w:style>
  <w:style w:type="character" w:customStyle="1" w:styleId="56">
    <w:name w:val="批注文字 字符"/>
    <w:link w:val="11"/>
    <w:qFormat/>
    <w:locked/>
    <w:uiPriority w:val="0"/>
    <w:rPr>
      <w:bCs/>
      <w:color w:val="0000FF"/>
      <w:sz w:val="24"/>
      <w:lang w:bidi="zh-CN"/>
    </w:rPr>
  </w:style>
  <w:style w:type="character" w:customStyle="1" w:styleId="57">
    <w:name w:val="正文文本 字符"/>
    <w:link w:val="12"/>
    <w:autoRedefine/>
    <w:qFormat/>
    <w:locked/>
    <w:uiPriority w:val="0"/>
    <w:rPr>
      <w:sz w:val="18"/>
    </w:rPr>
  </w:style>
  <w:style w:type="character" w:customStyle="1" w:styleId="58">
    <w:name w:val="正文文本缩进 字符"/>
    <w:link w:val="13"/>
    <w:autoRedefine/>
    <w:qFormat/>
    <w:locked/>
    <w:uiPriority w:val="0"/>
    <w:rPr>
      <w:rFonts w:ascii="Times New Roman" w:hAnsi="Times New Roman" w:eastAsia="宋体"/>
      <w:sz w:val="24"/>
    </w:rPr>
  </w:style>
  <w:style w:type="character" w:customStyle="1" w:styleId="59">
    <w:name w:val="纯文本 字符"/>
    <w:link w:val="16"/>
    <w:autoRedefine/>
    <w:qFormat/>
    <w:uiPriority w:val="99"/>
    <w:rPr>
      <w:rFonts w:ascii="宋体" w:hAnsi="Courier New" w:cs="Courier New"/>
      <w:kern w:val="2"/>
      <w:sz w:val="21"/>
      <w:szCs w:val="21"/>
    </w:rPr>
  </w:style>
  <w:style w:type="character" w:customStyle="1" w:styleId="60">
    <w:name w:val="日期 字符1"/>
    <w:link w:val="18"/>
    <w:autoRedefine/>
    <w:qFormat/>
    <w:locked/>
    <w:uiPriority w:val="0"/>
    <w:rPr>
      <w:rFonts w:ascii="Times New Roman" w:hAnsi="Times New Roman" w:eastAsia="宋体"/>
      <w:sz w:val="24"/>
    </w:rPr>
  </w:style>
  <w:style w:type="character" w:customStyle="1" w:styleId="61">
    <w:name w:val="批注框文本 字符"/>
    <w:link w:val="22"/>
    <w:qFormat/>
    <w:locked/>
    <w:uiPriority w:val="0"/>
    <w:rPr>
      <w:rFonts w:ascii="Times New Roman" w:hAnsi="Times New Roman" w:eastAsia="宋体"/>
      <w:sz w:val="18"/>
    </w:rPr>
  </w:style>
  <w:style w:type="character" w:customStyle="1" w:styleId="62">
    <w:name w:val="页脚 字符1"/>
    <w:link w:val="23"/>
    <w:autoRedefine/>
    <w:qFormat/>
    <w:locked/>
    <w:uiPriority w:val="0"/>
    <w:rPr>
      <w:sz w:val="18"/>
    </w:rPr>
  </w:style>
  <w:style w:type="character" w:customStyle="1" w:styleId="63">
    <w:name w:val="页眉 字符"/>
    <w:link w:val="14"/>
    <w:qFormat/>
    <w:locked/>
    <w:uiPriority w:val="0"/>
    <w:rPr>
      <w:sz w:val="18"/>
    </w:rPr>
  </w:style>
  <w:style w:type="character" w:customStyle="1" w:styleId="64">
    <w:name w:val="正文文本 2 字符1"/>
    <w:link w:val="30"/>
    <w:qFormat/>
    <w:uiPriority w:val="0"/>
    <w:rPr>
      <w:kern w:val="2"/>
      <w:sz w:val="21"/>
      <w:szCs w:val="24"/>
    </w:rPr>
  </w:style>
  <w:style w:type="character" w:customStyle="1" w:styleId="65">
    <w:name w:val="HTML 预设格式 字符"/>
    <w:link w:val="31"/>
    <w:autoRedefine/>
    <w:qFormat/>
    <w:uiPriority w:val="0"/>
    <w:rPr>
      <w:rFonts w:ascii="宋体" w:hAnsi="宋体"/>
      <w:sz w:val="24"/>
      <w:szCs w:val="24"/>
    </w:rPr>
  </w:style>
  <w:style w:type="character" w:customStyle="1" w:styleId="66">
    <w:name w:val="普通(网站) 字符1"/>
    <w:link w:val="32"/>
    <w:autoRedefine/>
    <w:qFormat/>
    <w:locked/>
    <w:uiPriority w:val="0"/>
    <w:rPr>
      <w:rFonts w:ascii="宋体" w:hAnsi="宋体" w:eastAsia="宋体"/>
      <w:sz w:val="24"/>
    </w:rPr>
  </w:style>
  <w:style w:type="character" w:customStyle="1" w:styleId="67">
    <w:name w:val="批注主题 字符"/>
    <w:link w:val="33"/>
    <w:autoRedefine/>
    <w:qFormat/>
    <w:locked/>
    <w:uiPriority w:val="0"/>
    <w:rPr>
      <w:rFonts w:ascii="Times New Roman" w:hAnsi="Times New Roman" w:eastAsia="宋体"/>
      <w:b/>
      <w:kern w:val="2"/>
      <w:sz w:val="24"/>
    </w:rPr>
  </w:style>
  <w:style w:type="character" w:customStyle="1" w:styleId="68">
    <w:name w:val="正文首行缩进 2 字符"/>
    <w:link w:val="35"/>
    <w:autoRedefine/>
    <w:qFormat/>
    <w:uiPriority w:val="0"/>
    <w:rPr>
      <w:b/>
      <w:bCs/>
      <w:color w:val="0000FF"/>
      <w:kern w:val="2"/>
      <w:sz w:val="24"/>
      <w:szCs w:val="24"/>
    </w:rPr>
  </w:style>
  <w:style w:type="paragraph" w:customStyle="1" w:styleId="69">
    <w:name w:val="报告表正文"/>
    <w:basedOn w:val="1"/>
    <w:autoRedefine/>
    <w:qFormat/>
    <w:uiPriority w:val="0"/>
    <w:pPr>
      <w:adjustRightInd w:val="0"/>
      <w:spacing w:line="312" w:lineRule="auto"/>
      <w:ind w:left="113" w:right="113" w:firstLine="482"/>
      <w:jc w:val="left"/>
      <w:textAlignment w:val="baseline"/>
    </w:pPr>
    <w:rPr>
      <w:rFonts w:ascii="Calibri" w:hAnsi="Calibri"/>
      <w:kern w:val="0"/>
      <w:sz w:val="24"/>
    </w:rPr>
  </w:style>
  <w:style w:type="character" w:customStyle="1" w:styleId="70">
    <w:name w:val="页脚 字符"/>
    <w:autoRedefine/>
    <w:qFormat/>
    <w:uiPriority w:val="0"/>
  </w:style>
  <w:style w:type="character" w:customStyle="1" w:styleId="71">
    <w:name w:val="正文文本 字符1"/>
    <w:autoRedefine/>
    <w:qFormat/>
    <w:uiPriority w:val="0"/>
    <w:rPr>
      <w:rFonts w:ascii="Times New Roman" w:hAnsi="Times New Roman" w:eastAsia="宋体"/>
      <w:sz w:val="24"/>
    </w:rPr>
  </w:style>
  <w:style w:type="character" w:customStyle="1" w:styleId="72">
    <w:name w:val="表格 Char"/>
    <w:link w:val="73"/>
    <w:autoRedefine/>
    <w:qFormat/>
    <w:locked/>
    <w:uiPriority w:val="0"/>
    <w:rPr>
      <w:sz w:val="21"/>
      <w:szCs w:val="21"/>
    </w:rPr>
  </w:style>
  <w:style w:type="paragraph" w:customStyle="1" w:styleId="73">
    <w:name w:val="表格"/>
    <w:basedOn w:val="7"/>
    <w:next w:val="1"/>
    <w:link w:val="72"/>
    <w:autoRedefine/>
    <w:qFormat/>
    <w:uiPriority w:val="0"/>
    <w:pPr>
      <w:adjustRightInd w:val="0"/>
      <w:snapToGrid w:val="0"/>
      <w:jc w:val="center"/>
    </w:pPr>
    <w:rPr>
      <w:kern w:val="0"/>
      <w:szCs w:val="21"/>
    </w:rPr>
  </w:style>
  <w:style w:type="character" w:customStyle="1" w:styleId="74">
    <w:name w:val="日期 字符"/>
    <w:autoRedefine/>
    <w:qFormat/>
    <w:uiPriority w:val="0"/>
    <w:rPr>
      <w:rFonts w:ascii="Times New Roman" w:hAnsi="Times New Roman" w:eastAsia="宋体"/>
      <w:sz w:val="24"/>
    </w:rPr>
  </w:style>
  <w:style w:type="character" w:customStyle="1" w:styleId="75">
    <w:name w:val="批注文字 字符1"/>
    <w:autoRedefine/>
    <w:qFormat/>
    <w:uiPriority w:val="0"/>
    <w:rPr>
      <w:rFonts w:ascii="Times New Roman" w:hAnsi="Times New Roman" w:eastAsia="宋体"/>
      <w:sz w:val="24"/>
    </w:rPr>
  </w:style>
  <w:style w:type="paragraph" w:customStyle="1" w:styleId="7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8">
    <w:name w:val="p0"/>
    <w:basedOn w:val="1"/>
    <w:autoRedefine/>
    <w:qFormat/>
    <w:uiPriority w:val="0"/>
    <w:pPr>
      <w:widowControl/>
    </w:pPr>
    <w:rPr>
      <w:kern w:val="0"/>
      <w:szCs w:val="21"/>
    </w:rPr>
  </w:style>
  <w:style w:type="character" w:customStyle="1" w:styleId="79">
    <w:name w:val="表格内容 Char"/>
    <w:link w:val="80"/>
    <w:autoRedefine/>
    <w:qFormat/>
    <w:uiPriority w:val="0"/>
    <w:rPr>
      <w:kern w:val="2"/>
      <w:sz w:val="21"/>
      <w:szCs w:val="21"/>
    </w:rPr>
  </w:style>
  <w:style w:type="paragraph" w:customStyle="1" w:styleId="80">
    <w:name w:val="表格内容"/>
    <w:basedOn w:val="1"/>
    <w:link w:val="79"/>
    <w:autoRedefine/>
    <w:qFormat/>
    <w:uiPriority w:val="0"/>
    <w:pPr>
      <w:adjustRightInd w:val="0"/>
      <w:snapToGrid w:val="0"/>
      <w:jc w:val="center"/>
    </w:pPr>
    <w:rPr>
      <w:szCs w:val="21"/>
    </w:rPr>
  </w:style>
  <w:style w:type="paragraph" w:customStyle="1" w:styleId="81">
    <w:name w:val="Table Paragraph"/>
    <w:basedOn w:val="1"/>
    <w:autoRedefine/>
    <w:qFormat/>
    <w:uiPriority w:val="1"/>
    <w:pPr>
      <w:spacing w:line="360" w:lineRule="exact"/>
      <w:contextualSpacing/>
      <w:jc w:val="center"/>
    </w:pPr>
    <w:rPr>
      <w:rFonts w:ascii="Calibri" w:hAnsi="Calibri"/>
      <w:kern w:val="0"/>
      <w:sz w:val="22"/>
      <w:szCs w:val="22"/>
    </w:rPr>
  </w:style>
  <w:style w:type="character" w:customStyle="1" w:styleId="82">
    <w:name w:val="font61"/>
    <w:autoRedefine/>
    <w:qFormat/>
    <w:uiPriority w:val="0"/>
    <w:rPr>
      <w:rFonts w:hint="default" w:ascii="Calibri" w:hAnsi="Calibri" w:cs="Calibri"/>
      <w:color w:val="000000"/>
      <w:sz w:val="21"/>
      <w:szCs w:val="21"/>
      <w:u w:val="none"/>
      <w:vertAlign w:val="superscript"/>
    </w:rPr>
  </w:style>
  <w:style w:type="character" w:customStyle="1" w:styleId="83">
    <w:name w:val="font51"/>
    <w:basedOn w:val="39"/>
    <w:autoRedefine/>
    <w:qFormat/>
    <w:uiPriority w:val="0"/>
    <w:rPr>
      <w:rFonts w:hint="default" w:ascii="Calibri" w:hAnsi="Calibri" w:cs="Calibri"/>
      <w:color w:val="000000"/>
      <w:sz w:val="21"/>
      <w:szCs w:val="21"/>
      <w:u w:val="none"/>
      <w:vertAlign w:val="superscript"/>
    </w:rPr>
  </w:style>
  <w:style w:type="character" w:customStyle="1" w:styleId="84">
    <w:name w:val="font21"/>
    <w:autoRedefine/>
    <w:qFormat/>
    <w:uiPriority w:val="0"/>
    <w:rPr>
      <w:rFonts w:hint="eastAsia" w:ascii="宋体" w:hAnsi="宋体" w:eastAsia="宋体" w:cs="宋体"/>
      <w:color w:val="000000"/>
      <w:sz w:val="21"/>
      <w:szCs w:val="21"/>
      <w:u w:val="none"/>
    </w:rPr>
  </w:style>
  <w:style w:type="character" w:customStyle="1" w:styleId="85">
    <w:name w:val="正文文本 2 字符"/>
    <w:autoRedefine/>
    <w:qFormat/>
    <w:uiPriority w:val="0"/>
    <w:rPr>
      <w:kern w:val="2"/>
      <w:sz w:val="21"/>
      <w:szCs w:val="24"/>
    </w:rPr>
  </w:style>
  <w:style w:type="paragraph" w:customStyle="1" w:styleId="86">
    <w:name w:val="样式 样式 正文 首行缩进:  2 字符 + (中文) 楷体_GB2312 + 首行缩进:  2 字符"/>
    <w:basedOn w:val="1"/>
    <w:autoRedefine/>
    <w:qFormat/>
    <w:uiPriority w:val="0"/>
    <w:pPr>
      <w:adjustRightInd w:val="0"/>
      <w:snapToGrid w:val="0"/>
      <w:spacing w:line="500" w:lineRule="exact"/>
      <w:ind w:firstLine="480" w:firstLineChars="200"/>
    </w:pPr>
    <w:rPr>
      <w:rFonts w:ascii="宋体" w:hAnsi="宋体" w:cs="宋体"/>
      <w:kern w:val="36"/>
      <w:sz w:val="24"/>
      <w:szCs w:val="20"/>
    </w:rPr>
  </w:style>
  <w:style w:type="paragraph" w:customStyle="1" w:styleId="87">
    <w:name w:val="表内样式"/>
    <w:basedOn w:val="1"/>
    <w:next w:val="1"/>
    <w:autoRedefine/>
    <w:qFormat/>
    <w:uiPriority w:val="0"/>
    <w:pPr>
      <w:jc w:val="center"/>
    </w:pPr>
    <w:rPr>
      <w:kern w:val="0"/>
    </w:rPr>
  </w:style>
  <w:style w:type="paragraph" w:styleId="88">
    <w:name w:val="List Paragraph"/>
    <w:basedOn w:val="1"/>
    <w:autoRedefine/>
    <w:qFormat/>
    <w:uiPriority w:val="0"/>
    <w:pPr>
      <w:widowControl/>
      <w:ind w:firstLine="420" w:firstLineChars="200"/>
      <w:jc w:val="left"/>
    </w:pPr>
    <w:rPr>
      <w:rFonts w:ascii="宋体" w:hAnsi="宋体" w:cs="宋体"/>
      <w:kern w:val="0"/>
      <w:sz w:val="24"/>
    </w:rPr>
  </w:style>
  <w:style w:type="paragraph" w:customStyle="1" w:styleId="89">
    <w:name w:val="表文字"/>
    <w:basedOn w:val="1"/>
    <w:autoRedefine/>
    <w:qFormat/>
    <w:uiPriority w:val="0"/>
    <w:pPr>
      <w:spacing w:line="240" w:lineRule="atLeast"/>
      <w:jc w:val="center"/>
    </w:pPr>
    <w:rPr>
      <w:rFonts w:ascii="宋体" w:hAnsi="宋体"/>
      <w:szCs w:val="28"/>
    </w:rPr>
  </w:style>
  <w:style w:type="paragraph" w:customStyle="1" w:styleId="90">
    <w:name w:val="样式 样式 样式 样式 小四 左 首行缩进:  2 字符 + 首行缩进:  2 字符 Char + 右  0 字符1 + 首行缩...3"/>
    <w:basedOn w:val="1"/>
    <w:autoRedefine/>
    <w:qFormat/>
    <w:uiPriority w:val="0"/>
    <w:pPr>
      <w:adjustRightInd w:val="0"/>
      <w:spacing w:line="360" w:lineRule="auto"/>
      <w:ind w:firstLine="480" w:firstLineChars="200"/>
      <w:jc w:val="left"/>
      <w:textAlignment w:val="baseline"/>
    </w:pPr>
    <w:rPr>
      <w:rFonts w:cs="宋体"/>
      <w:sz w:val="24"/>
      <w:szCs w:val="20"/>
    </w:rPr>
  </w:style>
  <w:style w:type="paragraph" w:customStyle="1" w:styleId="91">
    <w:name w:val="Char"/>
    <w:basedOn w:val="1"/>
    <w:autoRedefine/>
    <w:qFormat/>
    <w:uiPriority w:val="0"/>
    <w:rPr>
      <w:rFonts w:ascii="宋体" w:hAnsi="宋体" w:eastAsia="等线" w:cs="宋体"/>
      <w:sz w:val="24"/>
    </w:rPr>
  </w:style>
  <w:style w:type="character" w:customStyle="1" w:styleId="92">
    <w:name w:val="普通(网站) 字符"/>
    <w:autoRedefine/>
    <w:qFormat/>
    <w:locked/>
    <w:uiPriority w:val="0"/>
    <w:rPr>
      <w:rFonts w:ascii="宋体" w:hAnsi="宋体" w:eastAsia="宋体"/>
      <w:sz w:val="24"/>
    </w:rPr>
  </w:style>
  <w:style w:type="paragraph" w:customStyle="1" w:styleId="93">
    <w:name w:val="Char 标题"/>
    <w:basedOn w:val="1"/>
    <w:autoRedefine/>
    <w:qFormat/>
    <w:uiPriority w:val="0"/>
    <w:pPr>
      <w:keepNext/>
      <w:widowControl/>
      <w:spacing w:before="194" w:after="194"/>
      <w:jc w:val="center"/>
      <w:outlineLvl w:val="0"/>
    </w:pPr>
    <w:rPr>
      <w:rFonts w:ascii="宋体" w:hAnsi="宋体" w:cs="宋体"/>
      <w:b/>
      <w:bCs/>
      <w:sz w:val="44"/>
      <w:szCs w:val="20"/>
    </w:rPr>
  </w:style>
  <w:style w:type="paragraph" w:customStyle="1" w:styleId="94">
    <w:name w:val="表头"/>
    <w:basedOn w:val="1"/>
    <w:autoRedefine/>
    <w:qFormat/>
    <w:uiPriority w:val="0"/>
    <w:pPr>
      <w:adjustRightInd w:val="0"/>
      <w:snapToGrid w:val="0"/>
      <w:spacing w:line="500" w:lineRule="exact"/>
      <w:jc w:val="center"/>
    </w:pPr>
    <w:rPr>
      <w:rFonts w:cs="宋体"/>
      <w:b/>
      <w:bCs/>
      <w:szCs w:val="21"/>
    </w:rPr>
  </w:style>
  <w:style w:type="paragraph" w:customStyle="1" w:styleId="95">
    <w:name w:val="居中正文"/>
    <w:basedOn w:val="34"/>
    <w:autoRedefine/>
    <w:qFormat/>
    <w:uiPriority w:val="0"/>
    <w:pPr>
      <w:widowControl w:val="0"/>
      <w:snapToGrid/>
      <w:spacing w:before="120" w:line="360" w:lineRule="auto"/>
      <w:ind w:firstLine="0" w:firstLineChars="0"/>
      <w:jc w:val="center"/>
      <w:textAlignment w:val="baseline"/>
    </w:pPr>
    <w:rPr>
      <w:rFonts w:hAnsi="Times New Roman"/>
      <w:snapToGrid/>
      <w:color w:val="auto"/>
      <w:kern w:val="28"/>
    </w:rPr>
  </w:style>
  <w:style w:type="paragraph" w:customStyle="1" w:styleId="96">
    <w:name w:val="样式 样式 正文 行距: 固定值 25 磅 + 首行缩进:  2 字符"/>
    <w:basedOn w:val="1"/>
    <w:autoRedefine/>
    <w:qFormat/>
    <w:uiPriority w:val="0"/>
    <w:pPr>
      <w:adjustRightInd w:val="0"/>
      <w:snapToGrid w:val="0"/>
      <w:spacing w:line="500" w:lineRule="exact"/>
      <w:ind w:firstLine="200" w:firstLineChars="200"/>
    </w:pPr>
    <w:rPr>
      <w:rFonts w:cs="宋体"/>
      <w:sz w:val="24"/>
      <w:szCs w:val="20"/>
    </w:rPr>
  </w:style>
  <w:style w:type="paragraph" w:customStyle="1" w:styleId="97">
    <w:name w:val="样式 正文 行距: 固定值 25 磅"/>
    <w:basedOn w:val="1"/>
    <w:autoRedefine/>
    <w:qFormat/>
    <w:uiPriority w:val="0"/>
    <w:pPr>
      <w:adjustRightInd w:val="0"/>
      <w:spacing w:line="500" w:lineRule="exact"/>
      <w:ind w:firstLine="200" w:firstLineChars="200"/>
    </w:pPr>
    <w:rPr>
      <w:rFonts w:cs="宋体"/>
      <w:sz w:val="24"/>
    </w:rPr>
  </w:style>
  <w:style w:type="paragraph" w:customStyle="1" w:styleId="98">
    <w:name w:val="默认段落字体 Para Char Char Char Char"/>
    <w:basedOn w:val="1"/>
    <w:autoRedefine/>
    <w:qFormat/>
    <w:uiPriority w:val="0"/>
  </w:style>
  <w:style w:type="paragraph" w:customStyle="1" w:styleId="99">
    <w:name w:val="表格填充1"/>
    <w:basedOn w:val="16"/>
    <w:link w:val="126"/>
    <w:autoRedefine/>
    <w:qFormat/>
    <w:uiPriority w:val="0"/>
    <w:pPr>
      <w:snapToGrid w:val="0"/>
    </w:pPr>
    <w:rPr>
      <w:rFonts w:hAnsi="Times New Roman" w:eastAsia="仿宋_GB2312"/>
      <w:snapToGrid w:val="0"/>
      <w:sz w:val="28"/>
      <w:szCs w:val="20"/>
    </w:rPr>
  </w:style>
  <w:style w:type="paragraph" w:customStyle="1" w:styleId="100">
    <w:name w:val="表"/>
    <w:basedOn w:val="26"/>
    <w:autoRedefine/>
    <w:qFormat/>
    <w:uiPriority w:val="0"/>
    <w:pPr>
      <w:keepNext/>
      <w:keepLines/>
      <w:spacing w:before="60" w:after="60" w:line="240" w:lineRule="exact"/>
      <w:ind w:left="0" w:firstLine="0" w:firstLineChars="0"/>
      <w:jc w:val="center"/>
    </w:pPr>
    <w:rPr>
      <w:szCs w:val="21"/>
    </w:rPr>
  </w:style>
  <w:style w:type="paragraph" w:customStyle="1" w:styleId="101">
    <w:name w:val="正文王"/>
    <w:basedOn w:val="1"/>
    <w:autoRedefine/>
    <w:semiHidden/>
    <w:qFormat/>
    <w:uiPriority w:val="0"/>
    <w:pPr>
      <w:spacing w:line="360" w:lineRule="auto"/>
      <w:ind w:firstLine="720" w:firstLineChars="200"/>
    </w:pPr>
    <w:rPr>
      <w:sz w:val="24"/>
    </w:rPr>
  </w:style>
  <w:style w:type="paragraph" w:customStyle="1" w:styleId="102">
    <w:name w:val="Default1"/>
    <w:basedOn w:val="1"/>
    <w:autoRedefine/>
    <w:qFormat/>
    <w:uiPriority w:val="0"/>
    <w:pPr>
      <w:autoSpaceDE w:val="0"/>
      <w:autoSpaceDN w:val="0"/>
      <w:adjustRightInd w:val="0"/>
      <w:spacing w:line="360" w:lineRule="auto"/>
      <w:ind w:firstLine="480" w:firstLineChars="200"/>
      <w:jc w:val="left"/>
    </w:pPr>
    <w:rPr>
      <w:bCs/>
      <w:color w:val="0000FF"/>
      <w:kern w:val="0"/>
      <w:sz w:val="24"/>
      <w:szCs w:val="20"/>
    </w:rPr>
  </w:style>
  <w:style w:type="paragraph" w:customStyle="1" w:styleId="103">
    <w:name w:val="正文 首行缩进:  2 字符"/>
    <w:basedOn w:val="1"/>
    <w:link w:val="132"/>
    <w:autoRedefine/>
    <w:qFormat/>
    <w:uiPriority w:val="0"/>
    <w:pPr>
      <w:snapToGrid w:val="0"/>
      <w:spacing w:line="500" w:lineRule="exact"/>
      <w:ind w:firstLine="480" w:firstLineChars="200"/>
      <w:jc w:val="left"/>
    </w:pPr>
    <w:rPr>
      <w:rFonts w:cs="宋体"/>
      <w:sz w:val="24"/>
      <w:szCs w:val="20"/>
    </w:rPr>
  </w:style>
  <w:style w:type="character" w:customStyle="1" w:styleId="104">
    <w:name w:val="15"/>
    <w:autoRedefine/>
    <w:qFormat/>
    <w:uiPriority w:val="0"/>
    <w:rPr>
      <w:rFonts w:hint="default" w:ascii="Times New Roman" w:hAnsi="Times New Roman" w:cs="Times New Roman"/>
    </w:rPr>
  </w:style>
  <w:style w:type="character" w:customStyle="1" w:styleId="105">
    <w:name w:val="正文首行缩进 2 Char"/>
    <w:autoRedefine/>
    <w:qFormat/>
    <w:uiPriority w:val="0"/>
    <w:rPr>
      <w:rFonts w:ascii="Times New Roman" w:hAnsi="Times New Roman" w:eastAsia="宋体"/>
      <w:kern w:val="2"/>
      <w:sz w:val="21"/>
      <w:szCs w:val="24"/>
    </w:rPr>
  </w:style>
  <w:style w:type="paragraph" w:customStyle="1" w:styleId="106">
    <w:name w:val="Header Base"/>
    <w:basedOn w:val="12"/>
    <w:autoRedefine/>
    <w:qFormat/>
    <w:uiPriority w:val="0"/>
    <w:pPr>
      <w:keepLines/>
      <w:tabs>
        <w:tab w:val="center" w:pos="4320"/>
        <w:tab w:val="right" w:pos="8640"/>
      </w:tabs>
      <w:spacing w:line="180" w:lineRule="atLeast"/>
    </w:pPr>
    <w:rPr>
      <w:rFonts w:ascii="Arial" w:hAnsi="Arial"/>
      <w:spacing w:val="-5"/>
      <w:sz w:val="28"/>
    </w:rPr>
  </w:style>
  <w:style w:type="paragraph" w:customStyle="1" w:styleId="107">
    <w:name w:val="表格标题-gao"/>
    <w:basedOn w:val="35"/>
    <w:autoRedefine/>
    <w:qFormat/>
    <w:uiPriority w:val="0"/>
    <w:pPr>
      <w:spacing w:before="120" w:beforeLines="50" w:afterLines="50"/>
    </w:pPr>
    <w:rPr>
      <w:b w:val="0"/>
      <w:bCs w:val="0"/>
      <w:kern w:val="0"/>
    </w:rPr>
  </w:style>
  <w:style w:type="character" w:customStyle="1" w:styleId="108">
    <w:name w:val="表格格式6月24日 Char"/>
    <w:link w:val="109"/>
    <w:autoRedefine/>
    <w:qFormat/>
    <w:uiPriority w:val="0"/>
    <w:rPr>
      <w:bCs/>
      <w:sz w:val="21"/>
      <w:szCs w:val="21"/>
    </w:rPr>
  </w:style>
  <w:style w:type="paragraph" w:customStyle="1" w:styleId="109">
    <w:name w:val="表格格式6月24日"/>
    <w:basedOn w:val="1"/>
    <w:link w:val="108"/>
    <w:autoRedefine/>
    <w:qFormat/>
    <w:uiPriority w:val="0"/>
    <w:pPr>
      <w:adjustRightInd w:val="0"/>
      <w:snapToGrid w:val="0"/>
      <w:jc w:val="center"/>
    </w:pPr>
    <w:rPr>
      <w:bCs/>
      <w:kern w:val="0"/>
      <w:szCs w:val="21"/>
    </w:rPr>
  </w:style>
  <w:style w:type="paragraph" w:customStyle="1" w:styleId="110">
    <w:name w:val="样式 表名 + 段前: 0.5 行"/>
    <w:basedOn w:val="1"/>
    <w:autoRedefine/>
    <w:qFormat/>
    <w:uiPriority w:val="0"/>
    <w:pPr>
      <w:widowControl/>
      <w:autoSpaceDE w:val="0"/>
      <w:autoSpaceDN w:val="0"/>
      <w:adjustRightInd w:val="0"/>
      <w:snapToGrid w:val="0"/>
      <w:spacing w:beforeLines="50"/>
      <w:jc w:val="center"/>
      <w:textAlignment w:val="baseline"/>
    </w:pPr>
    <w:rPr>
      <w:rFonts w:ascii="Arial" w:hAnsi="Arial" w:eastAsia="黑体"/>
      <w:kern w:val="0"/>
      <w:sz w:val="20"/>
      <w:szCs w:val="20"/>
    </w:rPr>
  </w:style>
  <w:style w:type="character" w:customStyle="1" w:styleId="111">
    <w:name w:val="正文文本缩进 2 字符"/>
    <w:basedOn w:val="39"/>
    <w:link w:val="19"/>
    <w:autoRedefine/>
    <w:semiHidden/>
    <w:qFormat/>
    <w:uiPriority w:val="0"/>
    <w:rPr>
      <w:kern w:val="2"/>
      <w:sz w:val="21"/>
      <w:szCs w:val="24"/>
    </w:rPr>
  </w:style>
  <w:style w:type="paragraph" w:customStyle="1" w:styleId="112">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rFonts w:cs="宋体"/>
      <w:spacing w:val="5"/>
      <w:kern w:val="0"/>
      <w:szCs w:val="21"/>
    </w:rPr>
  </w:style>
  <w:style w:type="character" w:customStyle="1" w:styleId="113">
    <w:name w:val="宏文本 字符"/>
    <w:basedOn w:val="39"/>
    <w:link w:val="2"/>
    <w:autoRedefine/>
    <w:qFormat/>
    <w:uiPriority w:val="0"/>
    <w:rPr>
      <w:rFonts w:eastAsia="黑体"/>
      <w:kern w:val="2"/>
      <w:sz w:val="21"/>
      <w:szCs w:val="21"/>
    </w:rPr>
  </w:style>
  <w:style w:type="paragraph" w:customStyle="1" w:styleId="114">
    <w:name w:val="小标题"/>
    <w:basedOn w:val="115"/>
    <w:autoRedefine/>
    <w:qFormat/>
    <w:uiPriority w:val="0"/>
    <w:pPr>
      <w:numPr>
        <w:ilvl w:val="0"/>
        <w:numId w:val="4"/>
      </w:numPr>
      <w:autoSpaceDE w:val="0"/>
      <w:autoSpaceDN w:val="0"/>
      <w:adjustRightInd w:val="0"/>
      <w:snapToGrid w:val="0"/>
      <w:spacing w:line="360" w:lineRule="auto"/>
    </w:pPr>
    <w:rPr>
      <w:b/>
      <w:kern w:val="0"/>
      <w:sz w:val="24"/>
    </w:rPr>
  </w:style>
  <w:style w:type="paragraph" w:customStyle="1" w:styleId="115">
    <w:name w:val="正文d"/>
    <w:basedOn w:val="1"/>
    <w:autoRedefine/>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116">
    <w:name w:val="_Style 39"/>
    <w:basedOn w:val="10"/>
    <w:autoRedefine/>
    <w:qFormat/>
    <w:uiPriority w:val="0"/>
    <w:pPr>
      <w:shd w:val="clear" w:color="auto" w:fill="000080"/>
    </w:pPr>
    <w:rPr>
      <w:rFonts w:ascii="宋体" w:eastAsia="宋体"/>
    </w:rPr>
  </w:style>
  <w:style w:type="character" w:customStyle="1" w:styleId="117">
    <w:name w:val="文档结构图 字符"/>
    <w:basedOn w:val="39"/>
    <w:link w:val="10"/>
    <w:autoRedefine/>
    <w:semiHidden/>
    <w:qFormat/>
    <w:uiPriority w:val="0"/>
    <w:rPr>
      <w:rFonts w:ascii="Microsoft YaHei UI" w:eastAsia="Microsoft YaHei UI"/>
      <w:kern w:val="2"/>
      <w:sz w:val="18"/>
      <w:szCs w:val="18"/>
    </w:rPr>
  </w:style>
  <w:style w:type="paragraph" w:customStyle="1" w:styleId="118">
    <w:name w:val="正文3"/>
    <w:autoRedefine/>
    <w:qFormat/>
    <w:uiPriority w:val="0"/>
    <w:pPr>
      <w:jc w:val="both"/>
    </w:pPr>
    <w:rPr>
      <w:rFonts w:ascii="Calibri" w:hAnsi="Calibri" w:eastAsia="宋体" w:cs="宋体"/>
      <w:kern w:val="2"/>
      <w:sz w:val="21"/>
      <w:szCs w:val="21"/>
      <w:lang w:val="en-US" w:eastAsia="zh-CN" w:bidi="ar-SA"/>
    </w:rPr>
  </w:style>
  <w:style w:type="table" w:customStyle="1" w:styleId="119">
    <w:name w:val="无格式表格 11"/>
    <w:basedOn w:val="36"/>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20">
    <w:name w:val="网格型浅色1"/>
    <w:basedOn w:val="36"/>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121">
    <w:name w:val="样式35"/>
    <w:basedOn w:val="1"/>
    <w:next w:val="1"/>
    <w:autoRedefine/>
    <w:qFormat/>
    <w:uiPriority w:val="0"/>
    <w:pPr>
      <w:spacing w:line="312" w:lineRule="auto"/>
      <w:ind w:firstLine="567"/>
    </w:pPr>
    <w:rPr>
      <w:rFonts w:ascii="宋体"/>
      <w:sz w:val="28"/>
    </w:rPr>
  </w:style>
  <w:style w:type="paragraph" w:customStyle="1" w:styleId="122">
    <w:name w:val="1、大表格内"/>
    <w:basedOn w:val="1"/>
    <w:link w:val="123"/>
    <w:autoRedefine/>
    <w:qFormat/>
    <w:uiPriority w:val="0"/>
    <w:pPr>
      <w:keepNext/>
      <w:keepLines/>
      <w:autoSpaceDE w:val="0"/>
      <w:autoSpaceDN w:val="0"/>
      <w:adjustRightInd w:val="0"/>
      <w:spacing w:line="360" w:lineRule="auto"/>
      <w:ind w:firstLine="480" w:firstLineChars="200"/>
      <w:textAlignment w:val="bottom"/>
    </w:pPr>
    <w:rPr>
      <w:sz w:val="24"/>
      <w:szCs w:val="22"/>
    </w:rPr>
  </w:style>
  <w:style w:type="character" w:customStyle="1" w:styleId="123">
    <w:name w:val="1、大表格内 Char Char"/>
    <w:link w:val="122"/>
    <w:autoRedefine/>
    <w:qFormat/>
    <w:uiPriority w:val="0"/>
    <w:rPr>
      <w:kern w:val="2"/>
      <w:sz w:val="24"/>
      <w:szCs w:val="22"/>
    </w:rPr>
  </w:style>
  <w:style w:type="paragraph" w:customStyle="1" w:styleId="124">
    <w:name w:val="Char1 Char Char2 Char"/>
    <w:basedOn w:val="1"/>
    <w:autoRedefine/>
    <w:qFormat/>
    <w:uiPriority w:val="0"/>
    <w:pPr>
      <w:widowControl/>
      <w:tabs>
        <w:tab w:val="left" w:pos="450"/>
      </w:tabs>
      <w:autoSpaceDE w:val="0"/>
      <w:autoSpaceDN w:val="0"/>
      <w:adjustRightInd w:val="0"/>
      <w:snapToGrid w:val="0"/>
      <w:spacing w:line="360" w:lineRule="auto"/>
      <w:ind w:left="450" w:firstLine="200" w:firstLineChars="200"/>
      <w:jc w:val="left"/>
    </w:pPr>
    <w:rPr>
      <w:rFonts w:ascii="宋体" w:hAnsi="宋体" w:eastAsia="Times New Roman"/>
      <w:sz w:val="18"/>
      <w:szCs w:val="18"/>
    </w:rPr>
  </w:style>
  <w:style w:type="character" w:customStyle="1" w:styleId="125">
    <w:name w:val="正文首行缩进 字符"/>
    <w:link w:val="34"/>
    <w:autoRedefine/>
    <w:qFormat/>
    <w:uiPriority w:val="0"/>
    <w:rPr>
      <w:rFonts w:ascii="宋体" w:hAnsi="宋体"/>
      <w:snapToGrid w:val="0"/>
      <w:color w:val="000000"/>
      <w:sz w:val="24"/>
    </w:rPr>
  </w:style>
  <w:style w:type="character" w:customStyle="1" w:styleId="126">
    <w:name w:val="表格填充1 Char"/>
    <w:link w:val="99"/>
    <w:autoRedefine/>
    <w:qFormat/>
    <w:uiPriority w:val="0"/>
    <w:rPr>
      <w:rFonts w:ascii="宋体" w:eastAsia="仿宋_GB2312"/>
      <w:snapToGrid w:val="0"/>
      <w:kern w:val="2"/>
      <w:sz w:val="28"/>
    </w:rPr>
  </w:style>
  <w:style w:type="paragraph" w:customStyle="1" w:styleId="127">
    <w:name w:val="表前文字"/>
    <w:basedOn w:val="1"/>
    <w:autoRedefine/>
    <w:qFormat/>
    <w:uiPriority w:val="0"/>
    <w:pPr>
      <w:spacing w:line="360" w:lineRule="auto"/>
      <w:jc w:val="center"/>
    </w:pPr>
    <w:rPr>
      <w:rFonts w:ascii="黑体" w:hAnsi="宋体" w:eastAsia="黑体"/>
      <w:sz w:val="24"/>
      <w:szCs w:val="21"/>
    </w:rPr>
  </w:style>
  <w:style w:type="paragraph" w:customStyle="1" w:styleId="128">
    <w:name w:val="正文修改"/>
    <w:basedOn w:val="1"/>
    <w:link w:val="129"/>
    <w:autoRedefine/>
    <w:qFormat/>
    <w:uiPriority w:val="0"/>
    <w:pPr>
      <w:spacing w:line="360" w:lineRule="auto"/>
      <w:ind w:firstLine="480" w:firstLineChars="200"/>
    </w:pPr>
    <w:rPr>
      <w:rFonts w:cs="宋体"/>
      <w:kern w:val="0"/>
      <w:sz w:val="24"/>
      <w:szCs w:val="20"/>
    </w:rPr>
  </w:style>
  <w:style w:type="character" w:customStyle="1" w:styleId="129">
    <w:name w:val="正文修改 Char"/>
    <w:link w:val="128"/>
    <w:autoRedefine/>
    <w:qFormat/>
    <w:uiPriority w:val="0"/>
    <w:rPr>
      <w:rFonts w:cs="宋体"/>
      <w:sz w:val="24"/>
    </w:rPr>
  </w:style>
  <w:style w:type="paragraph" w:customStyle="1" w:styleId="130">
    <w:name w:val="表格文字"/>
    <w:basedOn w:val="7"/>
    <w:link w:val="131"/>
    <w:autoRedefine/>
    <w:qFormat/>
    <w:uiPriority w:val="0"/>
    <w:pPr>
      <w:ind w:firstLine="0"/>
      <w:jc w:val="center"/>
    </w:pPr>
    <w:rPr>
      <w:rFonts w:ascii="仿宋_GB2312" w:hAnsi="Arial Black" w:eastAsia="仿宋_GB2312"/>
      <w:kern w:val="44"/>
      <w:sz w:val="24"/>
      <w:lang w:val="zh-CN"/>
    </w:rPr>
  </w:style>
  <w:style w:type="character" w:customStyle="1" w:styleId="131">
    <w:name w:val="表格文字 Char"/>
    <w:link w:val="130"/>
    <w:autoRedefine/>
    <w:qFormat/>
    <w:uiPriority w:val="0"/>
    <w:rPr>
      <w:rFonts w:ascii="仿宋_GB2312" w:hAnsi="Arial Black" w:eastAsia="仿宋_GB2312"/>
      <w:kern w:val="44"/>
      <w:sz w:val="24"/>
      <w:lang w:val="zh-CN"/>
    </w:rPr>
  </w:style>
  <w:style w:type="character" w:customStyle="1" w:styleId="132">
    <w:name w:val="正文 首行缩进:  2 字符 Char Char"/>
    <w:link w:val="103"/>
    <w:autoRedefine/>
    <w:qFormat/>
    <w:uiPriority w:val="0"/>
    <w:rPr>
      <w:rFonts w:cs="宋体"/>
      <w:kern w:val="2"/>
      <w:sz w:val="24"/>
    </w:rPr>
  </w:style>
  <w:style w:type="paragraph" w:customStyle="1" w:styleId="133">
    <w:name w:val="空行"/>
    <w:basedOn w:val="1"/>
    <w:next w:val="34"/>
    <w:autoRedefine/>
    <w:qFormat/>
    <w:uiPriority w:val="0"/>
    <w:pPr>
      <w:topLinePunct/>
      <w:adjustRightInd w:val="0"/>
      <w:snapToGrid w:val="0"/>
      <w:jc w:val="center"/>
    </w:pPr>
    <w:rPr>
      <w:kern w:val="0"/>
      <w:sz w:val="28"/>
      <w:szCs w:val="20"/>
    </w:rPr>
  </w:style>
  <w:style w:type="paragraph" w:customStyle="1" w:styleId="134">
    <w:name w:val="表内格式"/>
    <w:autoRedefine/>
    <w:qFormat/>
    <w:uiPriority w:val="0"/>
    <w:pPr>
      <w:widowControl w:val="0"/>
      <w:adjustRightInd w:val="0"/>
      <w:snapToGrid w:val="0"/>
      <w:jc w:val="center"/>
    </w:pPr>
    <w:rPr>
      <w:rFonts w:ascii="Times New Roman" w:hAnsi="Times New Roman" w:eastAsia="宋体" w:cs="Times New Roman"/>
      <w:sz w:val="18"/>
      <w:szCs w:val="18"/>
      <w:lang w:val="en-US" w:eastAsia="zh-CN" w:bidi="ar-SA"/>
    </w:rPr>
  </w:style>
  <w:style w:type="paragraph" w:customStyle="1" w:styleId="135">
    <w:name w:val="表（或图）标题 样式 宋体 五号 居中 SL CON"/>
    <w:basedOn w:val="1"/>
    <w:link w:val="136"/>
    <w:autoRedefine/>
    <w:qFormat/>
    <w:uiPriority w:val="0"/>
    <w:pPr>
      <w:widowControl/>
      <w:tabs>
        <w:tab w:val="left" w:pos="377"/>
      </w:tabs>
      <w:spacing w:before="100" w:beforeAutospacing="1" w:line="360" w:lineRule="auto"/>
      <w:jc w:val="center"/>
    </w:pPr>
    <w:rPr>
      <w:rFonts w:ascii="宋体" w:hAnsi="宋体" w:cs="宋体"/>
      <w:b/>
      <w:kern w:val="0"/>
      <w:sz w:val="24"/>
      <w:szCs w:val="20"/>
    </w:rPr>
  </w:style>
  <w:style w:type="character" w:customStyle="1" w:styleId="136">
    <w:name w:val="表（或图）标题 样式 宋体 五号 居中 SL CON Char Char"/>
    <w:link w:val="135"/>
    <w:autoRedefine/>
    <w:qFormat/>
    <w:uiPriority w:val="0"/>
    <w:rPr>
      <w:rFonts w:ascii="宋体" w:hAnsi="宋体" w:cs="宋体"/>
      <w:b/>
      <w:sz w:val="24"/>
    </w:rPr>
  </w:style>
  <w:style w:type="paragraph" w:customStyle="1" w:styleId="137">
    <w:name w:val="正文样式1"/>
    <w:basedOn w:val="1"/>
    <w:link w:val="138"/>
    <w:autoRedefine/>
    <w:qFormat/>
    <w:uiPriority w:val="0"/>
    <w:pPr>
      <w:widowControl/>
      <w:adjustRightInd w:val="0"/>
      <w:snapToGrid w:val="0"/>
      <w:spacing w:line="288" w:lineRule="auto"/>
      <w:ind w:firstLine="360" w:firstLineChars="150"/>
      <w:jc w:val="left"/>
      <w:textAlignment w:val="baseline"/>
    </w:pPr>
    <w:rPr>
      <w:rFonts w:cs="宋体"/>
      <w:kern w:val="0"/>
      <w:sz w:val="24"/>
      <w:szCs w:val="20"/>
    </w:rPr>
  </w:style>
  <w:style w:type="character" w:customStyle="1" w:styleId="138">
    <w:name w:val="正文样式1 Char Char"/>
    <w:link w:val="137"/>
    <w:autoRedefine/>
    <w:qFormat/>
    <w:uiPriority w:val="0"/>
    <w:rPr>
      <w:rFonts w:cs="宋体"/>
      <w:sz w:val="24"/>
    </w:rPr>
  </w:style>
  <w:style w:type="character" w:customStyle="1" w:styleId="139">
    <w:name w:val="标准正文文本 Char"/>
    <w:link w:val="140"/>
    <w:autoRedefine/>
    <w:qFormat/>
    <w:uiPriority w:val="0"/>
    <w:rPr>
      <w:sz w:val="24"/>
    </w:rPr>
  </w:style>
  <w:style w:type="paragraph" w:customStyle="1" w:styleId="140">
    <w:name w:val="标准正文文本"/>
    <w:basedOn w:val="1"/>
    <w:link w:val="139"/>
    <w:autoRedefine/>
    <w:qFormat/>
    <w:uiPriority w:val="0"/>
    <w:pPr>
      <w:adjustRightInd w:val="0"/>
      <w:snapToGrid w:val="0"/>
      <w:spacing w:line="360" w:lineRule="auto"/>
      <w:ind w:firstLine="643" w:firstLineChars="200"/>
    </w:pPr>
    <w:rPr>
      <w:kern w:val="0"/>
      <w:sz w:val="24"/>
      <w:szCs w:val="20"/>
    </w:rPr>
  </w:style>
  <w:style w:type="paragraph" w:customStyle="1" w:styleId="141">
    <w:name w:val="Char Char Char Char Char Char Char Char Char1 Char Char Char Char Char Char Char Char Char Char Char Char Char Char Char Char"/>
    <w:basedOn w:val="3"/>
    <w:autoRedefine/>
    <w:qFormat/>
    <w:uiPriority w:val="0"/>
    <w:pPr>
      <w:keepLines/>
      <w:tabs>
        <w:tab w:val="left" w:pos="425"/>
      </w:tabs>
      <w:overflowPunct/>
      <w:spacing w:before="240" w:after="240" w:line="348" w:lineRule="auto"/>
      <w:ind w:left="0" w:firstLine="0"/>
    </w:pPr>
    <w:rPr>
      <w:rFonts w:ascii="Tahoma" w:hAnsi="Tahoma" w:eastAsia="宋体"/>
      <w:color w:val="auto"/>
      <w:kern w:val="2"/>
      <w:sz w:val="24"/>
      <w:szCs w:val="20"/>
      <w:lang w:val="en-GB" w:eastAsia="zh-TW"/>
    </w:rPr>
  </w:style>
  <w:style w:type="paragraph" w:customStyle="1" w:styleId="142">
    <w:name w:val="p18"/>
    <w:basedOn w:val="1"/>
    <w:autoRedefine/>
    <w:qFormat/>
    <w:uiPriority w:val="0"/>
    <w:pPr>
      <w:widowControl/>
      <w:ind w:firstLine="414"/>
      <w:jc w:val="left"/>
    </w:pPr>
    <w:rPr>
      <w:kern w:val="0"/>
      <w:sz w:val="24"/>
    </w:rPr>
  </w:style>
  <w:style w:type="paragraph" w:customStyle="1" w:styleId="143">
    <w:name w:val="环评专用标准仿宋体正文"/>
    <w:basedOn w:val="1"/>
    <w:autoRedefine/>
    <w:qFormat/>
    <w:uiPriority w:val="99"/>
    <w:pPr>
      <w:topLinePunct/>
      <w:adjustRightInd w:val="0"/>
      <w:snapToGrid w:val="0"/>
      <w:spacing w:line="360" w:lineRule="auto"/>
      <w:ind w:firstLine="200" w:firstLineChars="200"/>
    </w:pPr>
    <w:rPr>
      <w:rFonts w:ascii="仿宋_GB2312" w:hAnsi="Calibri" w:eastAsia="仿宋_GB2312" w:cs="仿宋_GB2312"/>
      <w:kern w:val="0"/>
      <w:sz w:val="28"/>
      <w:szCs w:val="28"/>
    </w:rPr>
  </w:style>
  <w:style w:type="character" w:customStyle="1" w:styleId="144">
    <w:name w:val="正文文本缩进 Char"/>
    <w:autoRedefine/>
    <w:qFormat/>
    <w:locked/>
    <w:uiPriority w:val="0"/>
    <w:rPr>
      <w:rFonts w:ascii="Times New Roman" w:hAnsi="Times New Roman" w:eastAsia="宋体"/>
      <w:sz w:val="24"/>
    </w:rPr>
  </w:style>
  <w:style w:type="paragraph" w:customStyle="1" w:styleId="145">
    <w:name w:val="正文小标题"/>
    <w:basedOn w:val="146"/>
    <w:autoRedefine/>
    <w:qFormat/>
    <w:uiPriority w:val="0"/>
    <w:pPr>
      <w:ind w:firstLine="0" w:firstLineChars="0"/>
    </w:pPr>
    <w:rPr>
      <w:b/>
      <w:kern w:val="0"/>
      <w:szCs w:val="21"/>
    </w:rPr>
  </w:style>
  <w:style w:type="paragraph" w:customStyle="1" w:styleId="146">
    <w:name w:val="正文-文本"/>
    <w:basedOn w:val="1"/>
    <w:next w:val="35"/>
    <w:autoRedefine/>
    <w:qFormat/>
    <w:uiPriority w:val="0"/>
    <w:pPr>
      <w:spacing w:line="360" w:lineRule="auto"/>
      <w:ind w:firstLine="200" w:firstLineChars="200"/>
    </w:pPr>
    <w:rPr>
      <w:sz w:val="24"/>
      <w:szCs w:val="20"/>
    </w:rPr>
  </w:style>
  <w:style w:type="paragraph" w:customStyle="1" w:styleId="147">
    <w:name w:val="图"/>
    <w:basedOn w:val="94"/>
    <w:next w:val="146"/>
    <w:autoRedefine/>
    <w:qFormat/>
    <w:uiPriority w:val="99"/>
    <w:pPr>
      <w:keepNext/>
      <w:adjustRightInd/>
      <w:snapToGrid/>
      <w:spacing w:line="360" w:lineRule="auto"/>
      <w:jc w:val="both"/>
      <w:textAlignment w:val="baseline"/>
    </w:pPr>
    <w:rPr>
      <w:rFonts w:ascii="黑体" w:hAnsi="黑体" w:eastAsia="黑体" w:cs="Times New Roman"/>
      <w:b w:val="0"/>
      <w:bCs w:val="0"/>
      <w:kern w:val="0"/>
      <w:sz w:val="24"/>
      <w:szCs w:val="20"/>
      <w:lang w:val="zh-CN"/>
    </w:rPr>
  </w:style>
  <w:style w:type="table" w:customStyle="1" w:styleId="148">
    <w:name w:val="表格主题2"/>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图表文字"/>
    <w:basedOn w:val="1"/>
    <w:autoRedefine/>
    <w:qFormat/>
    <w:uiPriority w:val="0"/>
    <w:pPr>
      <w:spacing w:line="300" w:lineRule="exact"/>
      <w:jc w:val="center"/>
    </w:pPr>
    <w:rPr>
      <w:rFonts w:ascii="仿宋_GB2312" w:hAnsi="宋体" w:eastAsia="仿宋_GB2312"/>
      <w:color w:val="000000"/>
      <w:sz w:val="28"/>
      <w:szCs w:val="20"/>
    </w:rPr>
  </w:style>
  <w:style w:type="character" w:customStyle="1" w:styleId="150">
    <w:name w:val="表内字 Char"/>
    <w:link w:val="151"/>
    <w:autoRedefine/>
    <w:qFormat/>
    <w:locked/>
    <w:uiPriority w:val="0"/>
    <w:rPr>
      <w:bCs/>
      <w:kern w:val="2"/>
      <w:sz w:val="21"/>
      <w:szCs w:val="21"/>
    </w:rPr>
  </w:style>
  <w:style w:type="paragraph" w:customStyle="1" w:styleId="151">
    <w:name w:val="表内字"/>
    <w:link w:val="150"/>
    <w:autoRedefine/>
    <w:qFormat/>
    <w:uiPriority w:val="0"/>
    <w:pPr>
      <w:spacing w:line="320" w:lineRule="exact"/>
      <w:jc w:val="center"/>
    </w:pPr>
    <w:rPr>
      <w:rFonts w:ascii="Times New Roman" w:hAnsi="Times New Roman" w:eastAsia="宋体" w:cs="Times New Roman"/>
      <w:bCs/>
      <w:kern w:val="2"/>
      <w:sz w:val="21"/>
      <w:szCs w:val="21"/>
      <w:lang w:val="en-US" w:eastAsia="zh-CN" w:bidi="ar-SA"/>
    </w:rPr>
  </w:style>
  <w:style w:type="character" w:customStyle="1" w:styleId="152">
    <w:name w:val="题注 字符"/>
    <w:link w:val="8"/>
    <w:autoRedefine/>
    <w:qFormat/>
    <w:locked/>
    <w:uiPriority w:val="0"/>
    <w:rPr>
      <w:rFonts w:ascii="等线 Light" w:hAnsi="等线 Light" w:eastAsia="黑体"/>
      <w:kern w:val="2"/>
      <w:sz w:val="24"/>
      <w:szCs w:val="24"/>
    </w:rPr>
  </w:style>
  <w:style w:type="paragraph" w:customStyle="1" w:styleId="153">
    <w:name w:val="表文"/>
    <w:basedOn w:val="1"/>
    <w:autoRedefine/>
    <w:qFormat/>
    <w:uiPriority w:val="0"/>
    <w:pPr>
      <w:autoSpaceDE w:val="0"/>
      <w:autoSpaceDN w:val="0"/>
      <w:adjustRightInd w:val="0"/>
      <w:snapToGrid w:val="0"/>
      <w:spacing w:line="360" w:lineRule="exact"/>
      <w:jc w:val="center"/>
    </w:pPr>
    <w:rPr>
      <w:rFonts w:cs="宋体"/>
      <w:kern w:val="0"/>
      <w:szCs w:val="21"/>
    </w:rPr>
  </w:style>
  <w:style w:type="character" w:customStyle="1" w:styleId="154">
    <w:name w:val="font11"/>
    <w:basedOn w:val="39"/>
    <w:qFormat/>
    <w:uiPriority w:val="0"/>
    <w:rPr>
      <w:rFonts w:hint="eastAsia" w:ascii="宋体" w:hAnsi="宋体" w:eastAsia="宋体"/>
      <w:color w:val="000000"/>
      <w:sz w:val="21"/>
      <w:szCs w:val="21"/>
      <w:u w:val="none"/>
    </w:rPr>
  </w:style>
  <w:style w:type="paragraph" w:customStyle="1" w:styleId="155">
    <w:name w:val="表例"/>
    <w:basedOn w:val="1"/>
    <w:autoRedefine/>
    <w:qFormat/>
    <w:uiPriority w:val="0"/>
    <w:pPr>
      <w:jc w:val="center"/>
    </w:pPr>
    <w:rPr>
      <w:b/>
      <w:szCs w:val="21"/>
    </w:rPr>
  </w:style>
  <w:style w:type="paragraph" w:customStyle="1" w:styleId="156">
    <w:name w:val="A正文"/>
    <w:basedOn w:val="1"/>
    <w:autoRedefine/>
    <w:qFormat/>
    <w:uiPriority w:val="0"/>
    <w:pPr>
      <w:spacing w:line="360" w:lineRule="auto"/>
      <w:ind w:firstLine="480" w:firstLineChars="200"/>
    </w:pPr>
    <w:rPr>
      <w:rFonts w:ascii="Calibri" w:hAnsi="Calibri"/>
      <w:kern w:val="0"/>
      <w:sz w:val="24"/>
      <w:szCs w:val="24"/>
    </w:rPr>
  </w:style>
  <w:style w:type="paragraph" w:customStyle="1" w:styleId="157">
    <w:name w:val="Table Text"/>
    <w:basedOn w:val="1"/>
    <w:autoRedefine/>
    <w:semiHidden/>
    <w:qFormat/>
    <w:uiPriority w:val="0"/>
    <w:rPr>
      <w:rFonts w:ascii="宋体" w:hAnsi="宋体" w:eastAsia="宋体" w:cs="宋体"/>
      <w:sz w:val="21"/>
      <w:szCs w:val="21"/>
      <w:lang w:val="en-US" w:eastAsia="en-US" w:bidi="ar-SA"/>
    </w:rPr>
  </w:style>
  <w:style w:type="table" w:customStyle="1" w:styleId="158">
    <w:name w:val="Table Normal"/>
    <w:autoRedefine/>
    <w:unhideWhenUsed/>
    <w:qFormat/>
    <w:uiPriority w:val="0"/>
    <w:pPr>
      <w:widowControl w:val="0"/>
    </w:pPr>
    <w:rPr>
      <w:sz w:val="22"/>
      <w:szCs w:val="22"/>
      <w:lang w:val="en-US" w:eastAsia="en-US" w:bidi="ar-SA"/>
    </w:rPr>
    <w:tblPr>
      <w:tblCellMar>
        <w:top w:w="0" w:type="dxa"/>
        <w:left w:w="0" w:type="dxa"/>
        <w:bottom w:w="0" w:type="dxa"/>
        <w:right w:w="0" w:type="dxa"/>
      </w:tblCellMar>
    </w:tblPr>
  </w:style>
  <w:style w:type="paragraph" w:customStyle="1" w:styleId="159">
    <w:name w:val="样式 样式 首行缩进:  2 字符 + 首行缩进:  2 字符"/>
    <w:basedOn w:val="1"/>
    <w:next w:val="24"/>
    <w:autoRedefine/>
    <w:qFormat/>
    <w:uiPriority w:val="0"/>
    <w:pPr>
      <w:snapToGrid w:val="0"/>
      <w:spacing w:line="360" w:lineRule="auto"/>
      <w:ind w:firstLine="560" w:firstLineChars="200"/>
    </w:pPr>
    <w:rPr>
      <w:sz w:val="28"/>
    </w:rPr>
  </w:style>
  <w:style w:type="paragraph" w:customStyle="1" w:styleId="160">
    <w:name w:val="报告"/>
    <w:basedOn w:val="1"/>
    <w:autoRedefine/>
    <w:qFormat/>
    <w:uiPriority w:val="0"/>
    <w:pPr>
      <w:spacing w:line="360" w:lineRule="auto"/>
      <w:ind w:firstLine="482"/>
    </w:pPr>
    <w:rPr>
      <w:sz w:val="24"/>
      <w:szCs w:val="24"/>
    </w:rPr>
  </w:style>
  <w:style w:type="character" w:customStyle="1" w:styleId="161">
    <w:name w:val="font71"/>
    <w:basedOn w:val="39"/>
    <w:autoRedefine/>
    <w:qFormat/>
    <w:uiPriority w:val="0"/>
    <w:rPr>
      <w:rFonts w:hint="eastAsia" w:ascii="宋体" w:hAnsi="宋体" w:eastAsia="宋体" w:cs="宋体"/>
      <w:b/>
      <w:bCs/>
      <w:color w:val="000000"/>
      <w:sz w:val="21"/>
      <w:szCs w:val="21"/>
      <w:u w:val="none"/>
    </w:rPr>
  </w:style>
  <w:style w:type="character" w:customStyle="1" w:styleId="162">
    <w:name w:val="font31"/>
    <w:basedOn w:val="39"/>
    <w:autoRedefine/>
    <w:qFormat/>
    <w:uiPriority w:val="0"/>
    <w:rPr>
      <w:rFonts w:hint="default" w:ascii="Times New Roman" w:hAnsi="Times New Roman" w:cs="Times New Roman"/>
      <w:color w:val="000000"/>
      <w:sz w:val="21"/>
      <w:szCs w:val="21"/>
      <w:u w:val="none"/>
    </w:rPr>
  </w:style>
  <w:style w:type="character" w:customStyle="1" w:styleId="163">
    <w:name w:val="font81"/>
    <w:basedOn w:val="39"/>
    <w:autoRedefine/>
    <w:qFormat/>
    <w:uiPriority w:val="0"/>
    <w:rPr>
      <w:rFonts w:hint="default" w:ascii="Times New Roman" w:hAnsi="Times New Roman" w:cs="Times New Roman"/>
      <w:color w:val="000000"/>
      <w:sz w:val="21"/>
      <w:szCs w:val="21"/>
      <w:u w:val="none"/>
      <w:vertAlign w:val="superscript"/>
    </w:rPr>
  </w:style>
  <w:style w:type="character" w:customStyle="1" w:styleId="164">
    <w:name w:val="font01"/>
    <w:basedOn w:val="39"/>
    <w:autoRedefine/>
    <w:qFormat/>
    <w:uiPriority w:val="0"/>
    <w:rPr>
      <w:rFonts w:hint="eastAsia" w:ascii="宋体" w:hAnsi="宋体" w:eastAsia="宋体" w:cs="宋体"/>
      <w:color w:val="000000"/>
      <w:sz w:val="22"/>
      <w:szCs w:val="22"/>
      <w:u w:val="none"/>
    </w:rPr>
  </w:style>
  <w:style w:type="character" w:customStyle="1" w:styleId="165">
    <w:name w:val="font101"/>
    <w:basedOn w:val="39"/>
    <w:autoRedefine/>
    <w:qFormat/>
    <w:uiPriority w:val="0"/>
    <w:rPr>
      <w:rFonts w:hint="default" w:ascii="Times New Roman" w:hAnsi="Times New Roman" w:cs="Times New Roman"/>
      <w:color w:val="000000"/>
      <w:sz w:val="21"/>
      <w:szCs w:val="21"/>
      <w:u w:val="none"/>
      <w:vertAlign w:val="superscript"/>
    </w:rPr>
  </w:style>
  <w:style w:type="character" w:customStyle="1" w:styleId="166">
    <w:name w:val="font112"/>
    <w:basedOn w:val="39"/>
    <w:autoRedefine/>
    <w:qFormat/>
    <w:uiPriority w:val="0"/>
    <w:rPr>
      <w:rFonts w:hint="eastAsia" w:ascii="宋体" w:hAnsi="宋体" w:eastAsia="宋体" w:cs="宋体"/>
      <w:color w:val="000000"/>
      <w:sz w:val="21"/>
      <w:szCs w:val="21"/>
      <w:u w:val="none"/>
    </w:rPr>
  </w:style>
  <w:style w:type="character" w:customStyle="1" w:styleId="167">
    <w:name w:val="font41"/>
    <w:basedOn w:val="39"/>
    <w:autoRedefine/>
    <w:qFormat/>
    <w:uiPriority w:val="0"/>
    <w:rPr>
      <w:rFonts w:hint="default" w:ascii="Times New Roman" w:hAnsi="Times New Roman" w:cs="Times New Roman"/>
      <w:color w:val="000000"/>
      <w:sz w:val="21"/>
      <w:szCs w:val="21"/>
      <w:u w:val="none"/>
    </w:rPr>
  </w:style>
  <w:style w:type="character" w:customStyle="1" w:styleId="168">
    <w:name w:val="font121"/>
    <w:basedOn w:val="39"/>
    <w:autoRedefine/>
    <w:qFormat/>
    <w:uiPriority w:val="0"/>
    <w:rPr>
      <w:rFonts w:hint="eastAsia" w:ascii="宋体" w:hAnsi="宋体" w:eastAsia="宋体" w:cs="宋体"/>
      <w:b/>
      <w:bCs/>
      <w:color w:val="FF0000"/>
      <w:sz w:val="21"/>
      <w:szCs w:val="21"/>
      <w:u w:val="none"/>
    </w:rPr>
  </w:style>
  <w:style w:type="character" w:customStyle="1" w:styleId="169">
    <w:name w:val="font131"/>
    <w:basedOn w:val="39"/>
    <w:autoRedefine/>
    <w:qFormat/>
    <w:uiPriority w:val="0"/>
    <w:rPr>
      <w:rFonts w:hint="eastAsia" w:ascii="宋体" w:hAnsi="宋体" w:eastAsia="宋体" w:cs="宋体"/>
      <w:color w:val="000000"/>
      <w:sz w:val="22"/>
      <w:szCs w:val="22"/>
      <w:u w:val="none"/>
    </w:rPr>
  </w:style>
  <w:style w:type="character" w:customStyle="1" w:styleId="170">
    <w:name w:val="font91"/>
    <w:basedOn w:val="39"/>
    <w:autoRedefine/>
    <w:qFormat/>
    <w:uiPriority w:val="0"/>
    <w:rPr>
      <w:rFonts w:hint="eastAsia" w:ascii="宋体" w:hAnsi="宋体" w:eastAsia="宋体" w:cs="宋体"/>
      <w:color w:val="FF0000"/>
      <w:sz w:val="22"/>
      <w:szCs w:val="22"/>
      <w:u w:val="none"/>
    </w:rPr>
  </w:style>
  <w:style w:type="paragraph" w:customStyle="1" w:styleId="171">
    <w:name w:val="表格内容样式"/>
    <w:basedOn w:val="1"/>
    <w:autoRedefine/>
    <w:qFormat/>
    <w:uiPriority w:val="0"/>
    <w:pPr>
      <w:tabs>
        <w:tab w:val="left" w:pos="540"/>
      </w:tabs>
      <w:spacing w:line="360" w:lineRule="auto"/>
      <w:jc w:val="center"/>
    </w:pPr>
    <w:rPr>
      <w:szCs w:val="21"/>
    </w:rPr>
  </w:style>
  <w:style w:type="character" w:customStyle="1" w:styleId="172">
    <w:name w:val="标题 1 Char"/>
    <w:link w:val="3"/>
    <w:autoRedefine/>
    <w:qFormat/>
    <w:uiPriority w:val="0"/>
    <w:rPr>
      <w:rFonts w:eastAsia="黑体"/>
      <w:b/>
      <w:bCs/>
      <w:color w:val="000000"/>
      <w:kern w:val="44"/>
      <w:sz w:val="30"/>
      <w:szCs w:val="30"/>
    </w:rPr>
  </w:style>
  <w:style w:type="paragraph" w:customStyle="1" w:styleId="173">
    <w:name w:val="JX表内文字"/>
    <w:basedOn w:val="1"/>
    <w:next w:val="1"/>
    <w:autoRedefine/>
    <w:qFormat/>
    <w:uiPriority w:val="0"/>
    <w:pPr>
      <w:spacing w:line="240" w:lineRule="auto"/>
      <w:ind w:firstLine="0" w:firstLineChars="0"/>
      <w:jc w:val="center"/>
    </w:pPr>
    <w:rPr>
      <w:rFonts w:cs="Times New Roman"/>
      <w:sz w:val="21"/>
      <w:szCs w:val="24"/>
      <w:lang w:val="zh-CN"/>
    </w:rPr>
  </w:style>
  <w:style w:type="paragraph" w:customStyle="1" w:styleId="174">
    <w:name w:val="wf-表格内容"/>
    <w:autoRedefine/>
    <w:qFormat/>
    <w:uiPriority w:val="0"/>
    <w:pPr>
      <w:widowControl w:val="0"/>
      <w:adjustRightInd w:val="0"/>
      <w:jc w:val="center"/>
      <w:textAlignment w:val="baseline"/>
    </w:pPr>
    <w:rPr>
      <w:rFonts w:ascii="Times New Roman" w:hAnsi="Times New Roman" w:eastAsia="宋体" w:cs="Times New Roman"/>
      <w:kern w:val="2"/>
      <w:sz w:val="21"/>
      <w:szCs w:val="21"/>
      <w:lang w:val="en-US" w:eastAsia="zh-CN" w:bidi="ar-SA"/>
    </w:rPr>
  </w:style>
  <w:style w:type="character" w:customStyle="1" w:styleId="175">
    <w:name w:val="font161"/>
    <w:basedOn w:val="39"/>
    <w:autoRedefine/>
    <w:qFormat/>
    <w:uiPriority w:val="0"/>
    <w:rPr>
      <w:rFonts w:ascii="黑体" w:hAnsi="宋体" w:eastAsia="黑体" w:cs="黑体"/>
      <w:b/>
      <w:bCs/>
      <w:color w:val="000000"/>
      <w:sz w:val="21"/>
      <w:szCs w:val="21"/>
      <w:u w:val="none"/>
    </w:rPr>
  </w:style>
  <w:style w:type="character" w:customStyle="1" w:styleId="176">
    <w:name w:val="font171"/>
    <w:basedOn w:val="39"/>
    <w:autoRedefine/>
    <w:qFormat/>
    <w:uiPriority w:val="0"/>
    <w:rPr>
      <w:rFonts w:hint="default" w:ascii="Times New Roman" w:hAnsi="Times New Roman" w:cs="Times New Roman"/>
      <w:b/>
      <w:bCs/>
      <w:color w:val="000000"/>
      <w:sz w:val="21"/>
      <w:szCs w:val="21"/>
      <w:u w:val="none"/>
      <w:vertAlign w:val="superscript"/>
    </w:rPr>
  </w:style>
  <w:style w:type="character" w:customStyle="1" w:styleId="177">
    <w:name w:val="font141"/>
    <w:basedOn w:val="39"/>
    <w:autoRedefine/>
    <w:qFormat/>
    <w:uiPriority w:val="0"/>
    <w:rPr>
      <w:rFonts w:hint="default" w:ascii="Times New Roman" w:hAnsi="Times New Roman" w:cs="Times New Roman"/>
      <w:color w:val="000000"/>
      <w:sz w:val="21"/>
      <w:szCs w:val="21"/>
      <w:u w:val="none"/>
      <w:vertAlign w:val="subscript"/>
    </w:rPr>
  </w:style>
  <w:style w:type="character" w:customStyle="1" w:styleId="178">
    <w:name w:val="font181"/>
    <w:basedOn w:val="39"/>
    <w:autoRedefine/>
    <w:qFormat/>
    <w:uiPriority w:val="0"/>
    <w:rPr>
      <w:rFonts w:hint="eastAsia" w:ascii="宋体" w:hAnsi="宋体" w:eastAsia="宋体" w:cs="宋体"/>
      <w:color w:val="000000"/>
      <w:sz w:val="21"/>
      <w:szCs w:val="21"/>
      <w:u w:val="none"/>
    </w:rPr>
  </w:style>
  <w:style w:type="paragraph" w:customStyle="1" w:styleId="179">
    <w:name w:val="zhengwen  zhang"/>
    <w:basedOn w:val="1"/>
    <w:autoRedefine/>
    <w:qFormat/>
    <w:uiPriority w:val="0"/>
    <w:pPr>
      <w:ind w:firstLine="200" w:firstLineChars="200"/>
    </w:pPr>
  </w:style>
  <w:style w:type="paragraph" w:customStyle="1" w:styleId="180">
    <w:name w:val="表格题目"/>
    <w:basedOn w:val="1"/>
    <w:autoRedefine/>
    <w:qFormat/>
    <w:uiPriority w:val="0"/>
    <w:pPr>
      <w:spacing w:line="360" w:lineRule="auto"/>
      <w:ind w:firstLine="482" w:firstLineChars="200"/>
    </w:pPr>
    <w:rPr>
      <w:b/>
      <w:sz w:val="24"/>
    </w:rPr>
  </w:style>
  <w:style w:type="paragraph" w:customStyle="1" w:styleId="181">
    <w:name w:val="样式 样式 (符号) 宋体 12 磅 黑色 行距: 1.5 倍行距 + 首行缩进:  2 字符1"/>
    <w:basedOn w:val="1"/>
    <w:autoRedefine/>
    <w:qFormat/>
    <w:uiPriority w:val="0"/>
    <w:pPr>
      <w:widowControl/>
      <w:spacing w:line="360" w:lineRule="auto"/>
      <w:ind w:firstLine="480" w:firstLineChars="200"/>
      <w:jc w:val="left"/>
    </w:pPr>
    <w:rPr>
      <w:rFonts w:ascii="Calibri" w:hAnsi="Calibri"/>
      <w:color w:val="000000"/>
      <w:kern w:val="0"/>
      <w:sz w:val="24"/>
      <w:szCs w:val="20"/>
    </w:rPr>
  </w:style>
  <w:style w:type="paragraph" w:customStyle="1" w:styleId="182">
    <w:name w:val="Other|1"/>
    <w:basedOn w:val="1"/>
    <w:autoRedefine/>
    <w:qFormat/>
    <w:uiPriority w:val="0"/>
    <w:pPr>
      <w:widowControl w:val="0"/>
      <w:shd w:val="clear" w:color="auto" w:fill="auto"/>
      <w:spacing w:line="307" w:lineRule="exact"/>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0" Type="http://schemas.openxmlformats.org/officeDocument/2006/relationships/fontTable" Target="fontTable.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9.jpeg"/><Relationship Id="rId46" Type="http://schemas.openxmlformats.org/officeDocument/2006/relationships/image" Target="media/image18.png"/><Relationship Id="rId45" Type="http://schemas.openxmlformats.org/officeDocument/2006/relationships/image" Target="media/image17.jpeg"/><Relationship Id="rId44" Type="http://schemas.openxmlformats.org/officeDocument/2006/relationships/image" Target="media/image16.png"/><Relationship Id="rId43" Type="http://schemas.openxmlformats.org/officeDocument/2006/relationships/image" Target="media/image15.jpeg"/><Relationship Id="rId42" Type="http://schemas.openxmlformats.org/officeDocument/2006/relationships/image" Target="media/image14.png"/><Relationship Id="rId41" Type="http://schemas.openxmlformats.org/officeDocument/2006/relationships/oleObject" Target="embeddings/oleObject18.bin"/><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oleObject" Target="embeddings/oleObject16.bin"/><Relationship Id="rId38" Type="http://schemas.openxmlformats.org/officeDocument/2006/relationships/image" Target="media/image13.wmf"/><Relationship Id="rId37" Type="http://schemas.openxmlformats.org/officeDocument/2006/relationships/oleObject" Target="embeddings/oleObject15.bin"/><Relationship Id="rId36" Type="http://schemas.openxmlformats.org/officeDocument/2006/relationships/oleObject" Target="embeddings/oleObject14.bin"/><Relationship Id="rId35" Type="http://schemas.openxmlformats.org/officeDocument/2006/relationships/oleObject" Target="embeddings/oleObject13.bin"/><Relationship Id="rId34" Type="http://schemas.openxmlformats.org/officeDocument/2006/relationships/image" Target="media/image12.wmf"/><Relationship Id="rId33" Type="http://schemas.openxmlformats.org/officeDocument/2006/relationships/oleObject" Target="embeddings/oleObject12.bin"/><Relationship Id="rId32" Type="http://schemas.openxmlformats.org/officeDocument/2006/relationships/image" Target="media/image11.wmf"/><Relationship Id="rId31" Type="http://schemas.openxmlformats.org/officeDocument/2006/relationships/oleObject" Target="embeddings/oleObject11.bin"/><Relationship Id="rId30" Type="http://schemas.openxmlformats.org/officeDocument/2006/relationships/image" Target="media/image10.w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9.wmf"/><Relationship Id="rId27" Type="http://schemas.openxmlformats.org/officeDocument/2006/relationships/oleObject" Target="embeddings/oleObject9.bin"/><Relationship Id="rId26" Type="http://schemas.openxmlformats.org/officeDocument/2006/relationships/image" Target="media/image8.wmf"/><Relationship Id="rId25" Type="http://schemas.openxmlformats.org/officeDocument/2006/relationships/oleObject" Target="embeddings/oleObject8.bin"/><Relationship Id="rId24" Type="http://schemas.openxmlformats.org/officeDocument/2006/relationships/image" Target="media/image7.wmf"/><Relationship Id="rId23" Type="http://schemas.openxmlformats.org/officeDocument/2006/relationships/oleObject" Target="embeddings/oleObject7.bin"/><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116</Pages>
  <Words>57873</Words>
  <Characters>70478</Characters>
  <Lines>1</Lines>
  <Paragraphs>1</Paragraphs>
  <TotalTime>4</TotalTime>
  <ScaleCrop>false</ScaleCrop>
  <LinksUpToDate>false</LinksUpToDate>
  <CharactersWithSpaces>70859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2024-09-25T08:25:00Z</dcterms:created>
  <dc:creator>lhj</dc:creator>
  <cp:lastModifiedBy>王百忍</cp:lastModifiedBy>
  <cp:lastPrinted>2025-01-26T01:30:00Z</cp:lastPrinted>
  <dcterms:modified xsi:type="dcterms:W3CDTF">2025-07-29T02:47:15Z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50E8CF636C724B31A8C2033B26DF7CAE_13</vt:lpwstr>
  </property>
  <property fmtid="{D5CDD505-2E9C-101B-9397-08002B2CF9AE}" pid="4" name="KSOTemplateDocerSaveRecord">
    <vt:lpwstr>eyJoZGlkIjoiNzg0Zjc4OTE5MWE1NWJmODM4ZDdjMjEzYWU3MzgzZWIiLCJ1c2VySWQiOiI0MzgxNTc3NTUifQ==</vt:lpwstr>
  </property>
</Properties>
</file>