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313" w:beforeLines="100" w:line="560" w:lineRule="exact"/>
        <w:jc w:val="center"/>
        <w:textAlignment w:val="baseline"/>
        <w:rPr>
          <w:rFonts w:hint="eastAsia" w:ascii="方正小标宋简体" w:hAnsi="方正小标宋简体" w:eastAsia="方正小标宋简体" w:cs="方正小标宋简体"/>
          <w:b/>
          <w:bCs/>
          <w:color w:val="000000"/>
          <w:sz w:val="44"/>
          <w:szCs w:val="44"/>
          <w:lang w:val="en-US" w:eastAsia="zh-CN"/>
        </w:rPr>
      </w:pPr>
      <w:r>
        <w:rPr>
          <w:rFonts w:hint="eastAsia" w:ascii="方正小标宋简体" w:hAnsi="方正小标宋简体" w:eastAsia="方正小标宋简体" w:cs="方正小标宋简体"/>
          <w:b/>
          <w:bCs/>
          <w:color w:val="000000"/>
          <w:sz w:val="44"/>
          <w:szCs w:val="44"/>
          <w:lang w:val="en-US" w:eastAsia="zh-CN"/>
        </w:rPr>
        <w:t>2024年度嘉祥县人民政府重大行政决策事项目录动态管理详表</w:t>
      </w:r>
    </w:p>
    <w:p>
      <w:pPr>
        <w:keepNext w:val="0"/>
        <w:keepLines w:val="0"/>
        <w:pageBreakBefore w:val="0"/>
        <w:widowControl w:val="0"/>
        <w:kinsoku/>
        <w:wordWrap/>
        <w:overflowPunct/>
        <w:topLinePunct w:val="0"/>
        <w:autoSpaceDE/>
        <w:autoSpaceDN/>
        <w:bidi w:val="0"/>
        <w:adjustRightInd/>
        <w:snapToGrid/>
        <w:spacing w:before="313" w:beforeLines="100" w:line="560" w:lineRule="exact"/>
        <w:jc w:val="center"/>
        <w:textAlignment w:val="baseline"/>
        <w:rPr>
          <w:rFonts w:hint="default" w:ascii="方正小标宋简体" w:hAnsi="方正小标宋简体" w:eastAsia="方正小标宋简体" w:cs="方正小标宋简体"/>
          <w:b/>
          <w:bCs/>
          <w:color w:val="000000"/>
          <w:sz w:val="44"/>
          <w:szCs w:val="44"/>
          <w:lang w:val="en-US" w:eastAsia="zh-CN"/>
        </w:rPr>
      </w:pPr>
      <w:r>
        <w:rPr>
          <w:rFonts w:hint="eastAsia" w:ascii="方正小标宋简体" w:hAnsi="方正小标宋简体" w:eastAsia="方正小标宋简体" w:cs="方正小标宋简体"/>
          <w:b/>
          <w:bCs/>
          <w:color w:val="000000"/>
          <w:sz w:val="44"/>
          <w:szCs w:val="44"/>
          <w:lang w:val="en-US" w:eastAsia="zh-CN"/>
        </w:rPr>
        <w:t>（12月16日）</w:t>
      </w:r>
    </w:p>
    <w:p>
      <w:pPr>
        <w:keepNext w:val="0"/>
        <w:keepLines w:val="0"/>
        <w:pageBreakBefore w:val="0"/>
        <w:widowControl w:val="0"/>
        <w:kinsoku/>
        <w:wordWrap/>
        <w:overflowPunct/>
        <w:topLinePunct w:val="0"/>
        <w:autoSpaceDE/>
        <w:autoSpaceDN/>
        <w:bidi w:val="0"/>
        <w:adjustRightInd/>
        <w:snapToGrid/>
        <w:spacing w:before="313" w:beforeLines="100" w:line="320" w:lineRule="exact"/>
        <w:jc w:val="center"/>
        <w:textAlignment w:val="baseline"/>
        <w:rPr>
          <w:rFonts w:hint="eastAsia" w:ascii="方正小标宋简体" w:hAnsi="方正小标宋简体" w:eastAsia="方正小标宋简体" w:cs="方正小标宋简体"/>
          <w:b/>
          <w:bCs/>
          <w:color w:val="000000"/>
          <w:sz w:val="44"/>
          <w:szCs w:val="44"/>
          <w:lang w:val="en-US" w:eastAsia="zh-CN"/>
        </w:rPr>
      </w:pPr>
    </w:p>
    <w:tbl>
      <w:tblPr>
        <w:tblStyle w:val="2"/>
        <w:tblW w:w="1189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915"/>
        <w:gridCol w:w="2280"/>
        <w:gridCol w:w="2378"/>
        <w:gridCol w:w="2002"/>
        <w:gridCol w:w="1212"/>
        <w:gridCol w:w="1554"/>
        <w:gridCol w:w="155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0" w:hRule="atLeast"/>
          <w:tblHeader/>
          <w:jc w:val="center"/>
        </w:trPr>
        <w:tc>
          <w:tcPr>
            <w:tcW w:w="915" w:type="dxa"/>
            <w:noWrap w:val="0"/>
            <w:vAlign w:val="center"/>
          </w:tcPr>
          <w:p>
            <w:pPr>
              <w:spacing w:line="320" w:lineRule="exact"/>
              <w:jc w:val="center"/>
              <w:textAlignment w:val="baseline"/>
              <w:rPr>
                <w:rFonts w:hint="default" w:ascii="Times New Roman" w:hAnsi="Times New Roman" w:eastAsia="方正黑体简体" w:cs="Times New Roman"/>
                <w:b/>
                <w:bCs/>
                <w:color w:val="000000"/>
                <w:sz w:val="24"/>
              </w:rPr>
            </w:pPr>
            <w:r>
              <w:rPr>
                <w:rFonts w:hint="default" w:ascii="Times New Roman" w:hAnsi="Times New Roman" w:eastAsia="方正黑体简体" w:cs="Times New Roman"/>
                <w:b/>
                <w:bCs/>
                <w:color w:val="000000"/>
                <w:sz w:val="24"/>
              </w:rPr>
              <w:t>序号</w:t>
            </w:r>
          </w:p>
        </w:tc>
        <w:tc>
          <w:tcPr>
            <w:tcW w:w="2280" w:type="dxa"/>
            <w:noWrap w:val="0"/>
            <w:vAlign w:val="center"/>
          </w:tcPr>
          <w:p>
            <w:pPr>
              <w:spacing w:line="320" w:lineRule="exact"/>
              <w:jc w:val="center"/>
              <w:textAlignment w:val="baseline"/>
              <w:rPr>
                <w:rFonts w:hint="default" w:ascii="Times New Roman" w:hAnsi="Times New Roman" w:eastAsia="方正黑体简体" w:cs="Times New Roman"/>
                <w:b/>
                <w:bCs/>
                <w:color w:val="000000"/>
                <w:sz w:val="24"/>
              </w:rPr>
            </w:pPr>
            <w:r>
              <w:rPr>
                <w:rFonts w:hint="default" w:ascii="Times New Roman" w:hAnsi="Times New Roman" w:eastAsia="方正黑体简体" w:cs="Times New Roman"/>
                <w:b/>
                <w:bCs/>
                <w:color w:val="000000"/>
                <w:sz w:val="24"/>
              </w:rPr>
              <w:t>决策事项建议</w:t>
            </w:r>
          </w:p>
        </w:tc>
        <w:tc>
          <w:tcPr>
            <w:tcW w:w="2378" w:type="dxa"/>
            <w:noWrap w:val="0"/>
            <w:vAlign w:val="center"/>
          </w:tcPr>
          <w:p>
            <w:pPr>
              <w:spacing w:line="320" w:lineRule="exact"/>
              <w:jc w:val="center"/>
              <w:textAlignment w:val="baseline"/>
              <w:rPr>
                <w:rFonts w:hint="eastAsia" w:ascii="Times New Roman" w:hAnsi="Times New Roman" w:eastAsia="方正黑体简体" w:cs="Times New Roman"/>
                <w:b/>
                <w:bCs/>
                <w:color w:val="000000"/>
                <w:sz w:val="24"/>
                <w:lang w:val="en-US" w:eastAsia="zh-CN"/>
              </w:rPr>
            </w:pPr>
            <w:r>
              <w:rPr>
                <w:rFonts w:hint="eastAsia" w:ascii="Times New Roman" w:hAnsi="Times New Roman" w:eastAsia="方正黑体简体" w:cs="Times New Roman"/>
                <w:b/>
                <w:bCs/>
                <w:color w:val="000000"/>
                <w:sz w:val="24"/>
                <w:lang w:val="en-US" w:eastAsia="zh-CN"/>
              </w:rPr>
              <w:t>决策依据</w:t>
            </w:r>
          </w:p>
        </w:tc>
        <w:tc>
          <w:tcPr>
            <w:tcW w:w="2002" w:type="dxa"/>
            <w:noWrap w:val="0"/>
            <w:vAlign w:val="center"/>
          </w:tcPr>
          <w:p>
            <w:pPr>
              <w:spacing w:line="320" w:lineRule="exact"/>
              <w:jc w:val="center"/>
              <w:textAlignment w:val="baseline"/>
              <w:rPr>
                <w:rFonts w:hint="eastAsia" w:ascii="Times New Roman" w:hAnsi="Times New Roman" w:eastAsia="方正黑体简体" w:cs="Times New Roman"/>
                <w:b/>
                <w:bCs/>
                <w:color w:val="000000"/>
                <w:sz w:val="24"/>
                <w:lang w:eastAsia="zh-CN"/>
              </w:rPr>
            </w:pPr>
            <w:r>
              <w:rPr>
                <w:rFonts w:hint="eastAsia" w:ascii="Times New Roman" w:hAnsi="Times New Roman" w:eastAsia="方正黑体简体" w:cs="Times New Roman"/>
                <w:b/>
                <w:bCs/>
                <w:color w:val="000000"/>
                <w:sz w:val="24"/>
                <w:lang w:val="en-US" w:eastAsia="zh-CN"/>
              </w:rPr>
              <w:t>决策程序</w:t>
            </w:r>
          </w:p>
        </w:tc>
        <w:tc>
          <w:tcPr>
            <w:tcW w:w="1212" w:type="dxa"/>
            <w:noWrap w:val="0"/>
            <w:vAlign w:val="center"/>
          </w:tcPr>
          <w:p>
            <w:pPr>
              <w:spacing w:line="320" w:lineRule="exact"/>
              <w:jc w:val="center"/>
              <w:textAlignment w:val="baseline"/>
              <w:rPr>
                <w:rFonts w:hint="eastAsia" w:ascii="Times New Roman" w:hAnsi="Times New Roman" w:eastAsia="方正黑体简体" w:cs="Times New Roman"/>
                <w:b/>
                <w:bCs/>
                <w:color w:val="000000"/>
                <w:sz w:val="24"/>
                <w:lang w:eastAsia="zh-CN"/>
              </w:rPr>
            </w:pPr>
            <w:r>
              <w:rPr>
                <w:rFonts w:hint="eastAsia" w:ascii="Times New Roman" w:hAnsi="Times New Roman" w:eastAsia="方正黑体简体" w:cs="Times New Roman"/>
                <w:b/>
                <w:bCs/>
                <w:color w:val="000000"/>
                <w:sz w:val="24"/>
                <w:lang w:val="en-US" w:eastAsia="zh-CN"/>
              </w:rPr>
              <w:t>承办单位</w:t>
            </w:r>
          </w:p>
        </w:tc>
        <w:tc>
          <w:tcPr>
            <w:tcW w:w="1554" w:type="dxa"/>
            <w:noWrap w:val="0"/>
            <w:vAlign w:val="center"/>
          </w:tcPr>
          <w:p>
            <w:pPr>
              <w:spacing w:line="320" w:lineRule="exact"/>
              <w:jc w:val="center"/>
              <w:textAlignment w:val="baseline"/>
              <w:rPr>
                <w:rFonts w:hint="eastAsia" w:ascii="Times New Roman" w:hAnsi="Times New Roman" w:eastAsia="方正黑体简体" w:cs="Times New Roman"/>
                <w:b/>
                <w:bCs/>
                <w:color w:val="000000"/>
                <w:sz w:val="24"/>
                <w:lang w:eastAsia="zh-CN"/>
              </w:rPr>
            </w:pPr>
            <w:r>
              <w:rPr>
                <w:rFonts w:hint="eastAsia" w:ascii="Times New Roman" w:hAnsi="Times New Roman" w:eastAsia="方正黑体简体" w:cs="Times New Roman"/>
                <w:b/>
                <w:bCs/>
                <w:color w:val="000000"/>
                <w:sz w:val="24"/>
                <w:lang w:val="en-US" w:eastAsia="zh-CN"/>
              </w:rPr>
              <w:t>完成时限</w:t>
            </w:r>
          </w:p>
        </w:tc>
        <w:tc>
          <w:tcPr>
            <w:tcW w:w="1554" w:type="dxa"/>
            <w:noWrap w:val="0"/>
            <w:vAlign w:val="center"/>
          </w:tcPr>
          <w:p>
            <w:pPr>
              <w:spacing w:line="320" w:lineRule="exact"/>
              <w:jc w:val="center"/>
              <w:textAlignment w:val="baseline"/>
              <w:rPr>
                <w:rFonts w:hint="default" w:ascii="Times New Roman" w:hAnsi="Times New Roman" w:eastAsia="方正黑体简体" w:cs="Times New Roman"/>
                <w:b/>
                <w:bCs/>
                <w:color w:val="000000"/>
                <w:sz w:val="24"/>
                <w:lang w:val="en-US" w:eastAsia="zh-CN"/>
              </w:rPr>
            </w:pPr>
            <w:r>
              <w:rPr>
                <w:rFonts w:hint="eastAsia" w:ascii="Times New Roman" w:hAnsi="Times New Roman" w:eastAsia="方正黑体简体" w:cs="Times New Roman"/>
                <w:b/>
                <w:bCs/>
                <w:color w:val="000000"/>
                <w:sz w:val="24"/>
                <w:lang w:val="en-US" w:eastAsia="zh-CN"/>
              </w:rPr>
              <w:t>进展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45" w:hRule="atLeast"/>
          <w:jc w:val="center"/>
        </w:trPr>
        <w:tc>
          <w:tcPr>
            <w:tcW w:w="915"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baseline"/>
              <w:rPr>
                <w:rFonts w:hint="eastAsia" w:ascii="Times New Roman" w:hAnsi="Times New Roman" w:eastAsia="方正仿宋简体" w:cs="Times New Roman"/>
                <w:b/>
                <w:bCs/>
                <w:color w:val="000000"/>
                <w:sz w:val="24"/>
                <w:lang w:eastAsia="zh-CN"/>
              </w:rPr>
            </w:pPr>
            <w:r>
              <w:rPr>
                <w:rFonts w:hint="eastAsia" w:ascii="Times New Roman" w:hAnsi="Times New Roman" w:eastAsia="方正仿宋简体" w:cs="Times New Roman"/>
                <w:b/>
                <w:bCs/>
                <w:color w:val="000000"/>
                <w:sz w:val="24"/>
                <w:lang w:val="en-US" w:eastAsia="zh-CN"/>
              </w:rPr>
              <w:t>1</w:t>
            </w:r>
          </w:p>
        </w:tc>
        <w:tc>
          <w:tcPr>
            <w:tcW w:w="228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i w:val="0"/>
                <w:iCs w:val="0"/>
                <w:color w:val="000000"/>
                <w:kern w:val="2"/>
                <w:sz w:val="24"/>
                <w:szCs w:val="24"/>
                <w:u w:val="none"/>
                <w:lang w:val="en-US" w:eastAsia="zh-CN" w:bidi="ar-SA"/>
              </w:rPr>
            </w:pPr>
            <w:r>
              <w:rPr>
                <w:rFonts w:hint="default" w:ascii="Times New Roman" w:hAnsi="Times New Roman" w:eastAsia="方正仿宋简体" w:cs="Times New Roman"/>
                <w:b/>
                <w:bCs/>
                <w:color w:val="000000"/>
                <w:sz w:val="24"/>
                <w:szCs w:val="24"/>
              </w:rPr>
              <w:t>嘉祥县国土空间总体规划（2021-20</w:t>
            </w:r>
            <w:r>
              <w:rPr>
                <w:rFonts w:hint="eastAsia" w:ascii="Times New Roman" w:hAnsi="Times New Roman" w:eastAsia="方正仿宋简体" w:cs="Times New Roman"/>
                <w:b/>
                <w:bCs/>
                <w:color w:val="000000"/>
                <w:sz w:val="24"/>
                <w:szCs w:val="24"/>
                <w:lang w:val="en-US" w:eastAsia="zh-CN"/>
              </w:rPr>
              <w:t>3</w:t>
            </w:r>
            <w:r>
              <w:rPr>
                <w:rFonts w:hint="default" w:ascii="Times New Roman" w:hAnsi="Times New Roman" w:eastAsia="方正仿宋简体" w:cs="Times New Roman"/>
                <w:b/>
                <w:bCs/>
                <w:color w:val="000000"/>
                <w:sz w:val="24"/>
                <w:szCs w:val="24"/>
              </w:rPr>
              <w:t>5）</w:t>
            </w:r>
          </w:p>
        </w:tc>
        <w:tc>
          <w:tcPr>
            <w:tcW w:w="2378"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baseline"/>
              <w:rPr>
                <w:rFonts w:hint="default" w:ascii="Times New Roman" w:hAnsi="Times New Roman" w:eastAsia="方正仿宋简体" w:cs="Times New Roman"/>
                <w:b/>
                <w:bCs/>
                <w:color w:val="000000"/>
                <w:sz w:val="24"/>
                <w:szCs w:val="24"/>
              </w:rPr>
            </w:pPr>
            <w:r>
              <w:rPr>
                <w:rFonts w:hint="default" w:ascii="Times New Roman" w:hAnsi="Times New Roman" w:eastAsia="方正仿宋简体" w:cs="Times New Roman"/>
                <w:b/>
                <w:bCs/>
                <w:i w:val="0"/>
                <w:iCs w:val="0"/>
                <w:color w:val="000000"/>
                <w:kern w:val="2"/>
                <w:sz w:val="24"/>
                <w:szCs w:val="24"/>
                <w:u w:val="none"/>
                <w:lang w:val="en-US" w:eastAsia="zh-CN" w:bidi="ar-SA"/>
              </w:rPr>
              <w:t>《中共中央国务院关于建立国土空间规划体系并监督实施的若干意见》《中共山东省委山东省人民政府关于建立国土空间规划体系并监督实施的通知》</w:t>
            </w:r>
          </w:p>
        </w:tc>
        <w:tc>
          <w:tcPr>
            <w:tcW w:w="200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i w:val="0"/>
                <w:iCs w:val="0"/>
                <w:color w:val="000000"/>
                <w:kern w:val="2"/>
                <w:sz w:val="24"/>
                <w:szCs w:val="24"/>
                <w:u w:val="none"/>
                <w:lang w:val="en-US" w:eastAsia="zh-CN" w:bidi="ar-SA"/>
              </w:rPr>
            </w:pPr>
            <w:r>
              <w:rPr>
                <w:rFonts w:hint="default" w:ascii="Times New Roman" w:hAnsi="Times New Roman" w:eastAsia="方正仿宋简体" w:cs="Times New Roman"/>
                <w:b/>
                <w:bCs/>
                <w:i w:val="0"/>
                <w:iCs w:val="0"/>
                <w:color w:val="000000"/>
                <w:kern w:val="2"/>
                <w:sz w:val="24"/>
                <w:szCs w:val="24"/>
                <w:u w:val="none"/>
                <w:lang w:val="en-US" w:eastAsia="zh-CN" w:bidi="ar-SA"/>
              </w:rPr>
              <w:t>公众参与、专家论证、风险评估、合法性审查、集体讨论决定</w:t>
            </w:r>
          </w:p>
        </w:tc>
        <w:tc>
          <w:tcPr>
            <w:tcW w:w="1212"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baseline"/>
              <w:rPr>
                <w:rFonts w:hint="default" w:ascii="Times New Roman" w:hAnsi="Times New Roman" w:eastAsia="方正仿宋简体" w:cs="Times New Roman"/>
                <w:b/>
                <w:bCs/>
                <w:color w:val="000000"/>
                <w:sz w:val="24"/>
                <w:szCs w:val="24"/>
              </w:rPr>
            </w:pPr>
            <w:r>
              <w:rPr>
                <w:rFonts w:hint="default" w:ascii="Times New Roman" w:hAnsi="Times New Roman" w:eastAsia="方正仿宋简体" w:cs="Times New Roman"/>
                <w:b/>
                <w:bCs/>
                <w:i w:val="0"/>
                <w:iCs w:val="0"/>
                <w:color w:val="000000"/>
                <w:kern w:val="0"/>
                <w:sz w:val="24"/>
                <w:szCs w:val="24"/>
                <w:u w:val="none"/>
                <w:lang w:val="en-US" w:eastAsia="zh-CN" w:bidi="ar"/>
              </w:rPr>
              <w:t>县规划发展服务中心</w:t>
            </w:r>
          </w:p>
        </w:tc>
        <w:tc>
          <w:tcPr>
            <w:tcW w:w="1554"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baseline"/>
              <w:rPr>
                <w:rFonts w:hint="default" w:ascii="Times New Roman" w:hAnsi="Times New Roman" w:eastAsia="方正仿宋简体" w:cs="Times New Roman"/>
                <w:b/>
                <w:bCs/>
                <w:color w:val="000000"/>
                <w:sz w:val="24"/>
                <w:szCs w:val="24"/>
              </w:rPr>
            </w:pPr>
            <w:r>
              <w:rPr>
                <w:rFonts w:hint="default" w:ascii="Times New Roman" w:hAnsi="Times New Roman" w:eastAsia="方正仿宋简体" w:cs="Times New Roman"/>
                <w:b/>
                <w:bCs/>
                <w:color w:val="000000"/>
                <w:sz w:val="24"/>
                <w:szCs w:val="24"/>
              </w:rPr>
              <w:t>202</w:t>
            </w:r>
            <w:r>
              <w:rPr>
                <w:rFonts w:hint="default" w:ascii="Times New Roman" w:hAnsi="Times New Roman" w:eastAsia="方正仿宋简体" w:cs="Times New Roman"/>
                <w:b/>
                <w:bCs/>
                <w:color w:val="000000"/>
                <w:sz w:val="24"/>
                <w:szCs w:val="24"/>
                <w:lang w:val="en-US" w:eastAsia="zh-CN"/>
              </w:rPr>
              <w:t>4</w:t>
            </w:r>
            <w:r>
              <w:rPr>
                <w:rFonts w:hint="default" w:ascii="Times New Roman" w:hAnsi="Times New Roman" w:eastAsia="方正仿宋简体" w:cs="Times New Roman"/>
                <w:b/>
                <w:bCs/>
                <w:color w:val="000000"/>
                <w:sz w:val="24"/>
                <w:szCs w:val="24"/>
              </w:rPr>
              <w:t>年</w:t>
            </w:r>
            <w:r>
              <w:rPr>
                <w:rFonts w:hint="default" w:ascii="Times New Roman" w:hAnsi="Times New Roman" w:eastAsia="方正仿宋简体" w:cs="Times New Roman"/>
                <w:b/>
                <w:bCs/>
                <w:color w:val="000000"/>
                <w:sz w:val="24"/>
                <w:szCs w:val="24"/>
                <w:lang w:val="en-US" w:eastAsia="zh-CN"/>
              </w:rPr>
              <w:t>1</w:t>
            </w:r>
            <w:r>
              <w:rPr>
                <w:rFonts w:hint="default" w:ascii="Times New Roman" w:hAnsi="Times New Roman" w:eastAsia="方正仿宋简体" w:cs="Times New Roman"/>
                <w:b/>
                <w:bCs/>
                <w:color w:val="000000"/>
                <w:sz w:val="24"/>
                <w:szCs w:val="24"/>
              </w:rPr>
              <w:t>2月</w:t>
            </w:r>
          </w:p>
        </w:tc>
        <w:tc>
          <w:tcPr>
            <w:tcW w:w="1554"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baseline"/>
              <w:rPr>
                <w:rFonts w:hint="eastAsia" w:ascii="Times New Roman" w:hAnsi="Times New Roman" w:eastAsia="方正仿宋简体" w:cs="Times New Roman"/>
                <w:b/>
                <w:bCs/>
                <w:color w:val="000000"/>
                <w:sz w:val="24"/>
                <w:szCs w:val="24"/>
                <w:lang w:val="en-US" w:eastAsia="zh-CN"/>
              </w:rPr>
            </w:pPr>
            <w:r>
              <w:rPr>
                <w:rFonts w:hint="eastAsia" w:ascii="Times New Roman" w:hAnsi="Times New Roman" w:eastAsia="方正仿宋简体" w:cs="Times New Roman"/>
                <w:b/>
                <w:bCs/>
                <w:color w:val="000000"/>
                <w:sz w:val="24"/>
                <w:szCs w:val="24"/>
                <w:lang w:val="en-US" w:eastAsia="zh-CN"/>
              </w:rPr>
              <w:t>已完成</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45" w:hRule="atLeast"/>
          <w:jc w:val="center"/>
        </w:trPr>
        <w:tc>
          <w:tcPr>
            <w:tcW w:w="915"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baseline"/>
              <w:rPr>
                <w:rFonts w:hint="eastAsia" w:ascii="Times New Roman" w:hAnsi="Times New Roman" w:eastAsia="方正仿宋简体" w:cs="Times New Roman"/>
                <w:b/>
                <w:bCs/>
                <w:color w:val="000000"/>
                <w:sz w:val="24"/>
                <w:lang w:eastAsia="zh-CN"/>
              </w:rPr>
            </w:pPr>
            <w:r>
              <w:rPr>
                <w:rFonts w:hint="eastAsia" w:ascii="Times New Roman" w:hAnsi="Times New Roman" w:eastAsia="方正仿宋简体" w:cs="Times New Roman"/>
                <w:b/>
                <w:bCs/>
                <w:color w:val="000000"/>
                <w:sz w:val="24"/>
                <w:lang w:val="en-US" w:eastAsia="zh-CN"/>
              </w:rPr>
              <w:t>2</w:t>
            </w:r>
          </w:p>
        </w:tc>
        <w:tc>
          <w:tcPr>
            <w:tcW w:w="228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color w:val="000000"/>
                <w:sz w:val="24"/>
                <w:szCs w:val="24"/>
              </w:rPr>
            </w:pPr>
            <w:r>
              <w:rPr>
                <w:rFonts w:hint="default" w:ascii="Times New Roman" w:hAnsi="Times New Roman" w:eastAsia="方正仿宋简体" w:cs="Times New Roman"/>
                <w:b/>
                <w:bCs/>
                <w:color w:val="000000"/>
                <w:kern w:val="0"/>
                <w:sz w:val="24"/>
                <w:szCs w:val="24"/>
                <w:lang w:bidi="ar"/>
              </w:rPr>
              <w:t>嘉祥县国有土地上房屋征收与补偿办法</w:t>
            </w:r>
          </w:p>
        </w:tc>
        <w:tc>
          <w:tcPr>
            <w:tcW w:w="2378"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color w:val="000000"/>
                <w:kern w:val="0"/>
                <w:sz w:val="24"/>
                <w:szCs w:val="24"/>
                <w:lang w:bidi="ar"/>
              </w:rPr>
            </w:pPr>
            <w:r>
              <w:rPr>
                <w:rFonts w:hint="default" w:ascii="Times New Roman" w:hAnsi="Times New Roman" w:eastAsia="方正仿宋简体" w:cs="Times New Roman"/>
                <w:b/>
                <w:bCs/>
                <w:i w:val="0"/>
                <w:iCs w:val="0"/>
                <w:color w:val="000000"/>
                <w:kern w:val="2"/>
                <w:sz w:val="24"/>
                <w:szCs w:val="24"/>
                <w:u w:val="none"/>
                <w:lang w:val="en-US" w:eastAsia="zh-CN" w:bidi="ar-SA"/>
              </w:rPr>
              <w:t>《国有土地上房屋征收与补偿条例》《山东省国有土地上房屋征收与补偿条例》</w:t>
            </w:r>
            <w:r>
              <w:rPr>
                <w:rFonts w:hint="eastAsia" w:ascii="Times New Roman" w:hAnsi="Times New Roman" w:eastAsia="方正仿宋简体" w:cs="Times New Roman"/>
                <w:b/>
                <w:bCs/>
                <w:i w:val="0"/>
                <w:iCs w:val="0"/>
                <w:color w:val="000000"/>
                <w:kern w:val="2"/>
                <w:sz w:val="24"/>
                <w:szCs w:val="24"/>
                <w:u w:val="none"/>
                <w:lang w:val="en-US" w:eastAsia="zh-CN" w:bidi="ar-SA"/>
              </w:rPr>
              <w:t>《济宁市国有土地上房屋征收补偿办法》</w:t>
            </w:r>
          </w:p>
        </w:tc>
        <w:tc>
          <w:tcPr>
            <w:tcW w:w="200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color w:val="000000"/>
                <w:kern w:val="2"/>
                <w:sz w:val="24"/>
                <w:szCs w:val="24"/>
                <w:lang w:val="en-US" w:eastAsia="zh-CN" w:bidi="ar-SA"/>
              </w:rPr>
            </w:pPr>
            <w:r>
              <w:rPr>
                <w:rFonts w:hint="default" w:ascii="Times New Roman" w:hAnsi="Times New Roman" w:eastAsia="方正仿宋简体" w:cs="Times New Roman"/>
                <w:b/>
                <w:bCs/>
                <w:i w:val="0"/>
                <w:iCs w:val="0"/>
                <w:color w:val="000000"/>
                <w:kern w:val="2"/>
                <w:sz w:val="24"/>
                <w:szCs w:val="24"/>
                <w:u w:val="none"/>
                <w:lang w:val="en-US" w:eastAsia="zh-CN" w:bidi="ar-SA"/>
              </w:rPr>
              <w:t>公众参与、专家论证、风险评估、合法性审查、集体讨论决定</w:t>
            </w:r>
          </w:p>
        </w:tc>
        <w:tc>
          <w:tcPr>
            <w:tcW w:w="1212"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baseline"/>
              <w:rPr>
                <w:rFonts w:hint="default" w:ascii="Times New Roman" w:hAnsi="Times New Roman" w:eastAsia="方正仿宋简体" w:cs="Times New Roman"/>
                <w:b/>
                <w:bCs/>
                <w:color w:val="000000"/>
                <w:sz w:val="24"/>
                <w:szCs w:val="24"/>
              </w:rPr>
            </w:pPr>
            <w:r>
              <w:rPr>
                <w:rStyle w:val="4"/>
                <w:rFonts w:hint="default" w:ascii="Times New Roman" w:hAnsi="Times New Roman" w:cs="Times New Roman"/>
                <w:color w:val="000000"/>
                <w:lang w:val="en-US" w:eastAsia="zh-CN" w:bidi="ar"/>
              </w:rPr>
              <w:t>县土地房屋征收事务中心</w:t>
            </w:r>
          </w:p>
        </w:tc>
        <w:tc>
          <w:tcPr>
            <w:tcW w:w="1554"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baseline"/>
              <w:rPr>
                <w:rFonts w:hint="default" w:ascii="Times New Roman" w:hAnsi="Times New Roman" w:eastAsia="方正仿宋简体" w:cs="Times New Roman"/>
                <w:b/>
                <w:bCs/>
                <w:color w:val="000000"/>
                <w:sz w:val="24"/>
                <w:szCs w:val="24"/>
              </w:rPr>
            </w:pPr>
            <w:r>
              <w:rPr>
                <w:rFonts w:hint="default" w:ascii="Times New Roman" w:hAnsi="Times New Roman" w:eastAsia="方正仿宋简体" w:cs="Times New Roman"/>
                <w:b/>
                <w:bCs/>
                <w:color w:val="000000"/>
                <w:sz w:val="24"/>
                <w:szCs w:val="24"/>
              </w:rPr>
              <w:t>202</w:t>
            </w:r>
            <w:r>
              <w:rPr>
                <w:rFonts w:hint="default" w:ascii="Times New Roman" w:hAnsi="Times New Roman" w:eastAsia="方正仿宋简体" w:cs="Times New Roman"/>
                <w:b/>
                <w:bCs/>
                <w:color w:val="000000"/>
                <w:sz w:val="24"/>
                <w:szCs w:val="24"/>
                <w:lang w:val="en-US" w:eastAsia="zh-CN"/>
              </w:rPr>
              <w:t>4</w:t>
            </w:r>
            <w:r>
              <w:rPr>
                <w:rFonts w:hint="default" w:ascii="Times New Roman" w:hAnsi="Times New Roman" w:eastAsia="方正仿宋简体" w:cs="Times New Roman"/>
                <w:b/>
                <w:bCs/>
                <w:color w:val="000000"/>
                <w:sz w:val="24"/>
                <w:szCs w:val="24"/>
              </w:rPr>
              <w:t>年</w:t>
            </w:r>
            <w:r>
              <w:rPr>
                <w:rFonts w:hint="default" w:ascii="Times New Roman" w:hAnsi="Times New Roman" w:eastAsia="方正仿宋简体" w:cs="Times New Roman"/>
                <w:b/>
                <w:bCs/>
                <w:color w:val="000000"/>
                <w:sz w:val="24"/>
                <w:szCs w:val="24"/>
                <w:lang w:val="en-US" w:eastAsia="zh-CN"/>
              </w:rPr>
              <w:t>1</w:t>
            </w:r>
            <w:r>
              <w:rPr>
                <w:rFonts w:hint="default" w:ascii="Times New Roman" w:hAnsi="Times New Roman" w:eastAsia="方正仿宋简体" w:cs="Times New Roman"/>
                <w:b/>
                <w:bCs/>
                <w:color w:val="000000"/>
                <w:sz w:val="24"/>
                <w:szCs w:val="24"/>
              </w:rPr>
              <w:t>2月</w:t>
            </w:r>
          </w:p>
        </w:tc>
        <w:tc>
          <w:tcPr>
            <w:tcW w:w="1554"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baseline"/>
              <w:rPr>
                <w:rFonts w:hint="default" w:ascii="Times New Roman" w:hAnsi="Times New Roman" w:eastAsia="方正仿宋简体" w:cs="Times New Roman"/>
                <w:b/>
                <w:bCs/>
                <w:color w:val="000000"/>
                <w:sz w:val="24"/>
                <w:szCs w:val="24"/>
                <w:lang w:val="en-US" w:eastAsia="zh-CN"/>
              </w:rPr>
            </w:pPr>
            <w:r>
              <w:rPr>
                <w:rFonts w:hint="eastAsia" w:ascii="Times New Roman" w:hAnsi="Times New Roman" w:eastAsia="方正仿宋简体" w:cs="Times New Roman"/>
                <w:b/>
                <w:bCs/>
                <w:color w:val="000000"/>
                <w:sz w:val="24"/>
                <w:szCs w:val="24"/>
                <w:lang w:val="en-US" w:eastAsia="zh-CN"/>
              </w:rPr>
              <w:t>已完成</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1045" w:hRule="atLeast"/>
          <w:jc w:val="center"/>
        </w:trPr>
        <w:tc>
          <w:tcPr>
            <w:tcW w:w="915"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baseline"/>
              <w:rPr>
                <w:rFonts w:hint="eastAsia" w:ascii="Times New Roman" w:hAnsi="Times New Roman" w:eastAsia="方正仿宋简体" w:cs="Times New Roman"/>
                <w:b/>
                <w:bCs/>
                <w:color w:val="000000"/>
                <w:sz w:val="24"/>
                <w:lang w:eastAsia="zh-CN"/>
              </w:rPr>
            </w:pPr>
            <w:r>
              <w:rPr>
                <w:rFonts w:hint="eastAsia" w:ascii="Times New Roman" w:hAnsi="Times New Roman" w:eastAsia="方正仿宋简体" w:cs="Times New Roman"/>
                <w:b/>
                <w:bCs/>
                <w:color w:val="000000"/>
                <w:sz w:val="24"/>
                <w:lang w:val="en-US" w:eastAsia="zh-CN"/>
              </w:rPr>
              <w:t>3</w:t>
            </w:r>
          </w:p>
        </w:tc>
        <w:tc>
          <w:tcPr>
            <w:tcW w:w="228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color w:val="000000"/>
                <w:sz w:val="24"/>
                <w:szCs w:val="24"/>
              </w:rPr>
            </w:pPr>
            <w:r>
              <w:rPr>
                <w:rFonts w:hint="default" w:ascii="Times New Roman" w:hAnsi="Times New Roman" w:eastAsia="方正仿宋简体" w:cs="Times New Roman"/>
                <w:b/>
                <w:bCs/>
                <w:color w:val="000000"/>
                <w:kern w:val="0"/>
                <w:sz w:val="24"/>
                <w:szCs w:val="24"/>
                <w:lang w:bidi="ar"/>
              </w:rPr>
              <w:t>嘉祥县城区公共停车场管理办法</w:t>
            </w:r>
          </w:p>
        </w:tc>
        <w:tc>
          <w:tcPr>
            <w:tcW w:w="2378"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baseline"/>
              <w:rPr>
                <w:rFonts w:hint="default" w:ascii="Times New Roman" w:hAnsi="Times New Roman" w:eastAsia="方正仿宋简体" w:cs="Times New Roman"/>
                <w:b/>
                <w:bCs/>
                <w:color w:val="000000"/>
                <w:kern w:val="0"/>
                <w:sz w:val="24"/>
                <w:szCs w:val="24"/>
                <w:lang w:bidi="ar"/>
              </w:rPr>
            </w:pPr>
            <w:r>
              <w:rPr>
                <w:rFonts w:hint="eastAsia" w:ascii="Times New Roman" w:hAnsi="Times New Roman" w:eastAsia="方正仿宋简体" w:cs="Times New Roman"/>
                <w:b/>
                <w:bCs/>
                <w:color w:val="000000"/>
                <w:kern w:val="0"/>
                <w:sz w:val="24"/>
                <w:szCs w:val="24"/>
                <w:lang w:val="en-US" w:eastAsia="zh-CN" w:bidi="ar"/>
              </w:rPr>
              <w:t>住建部</w:t>
            </w:r>
            <w:r>
              <w:rPr>
                <w:rFonts w:hint="default" w:ascii="Times New Roman" w:hAnsi="Times New Roman" w:eastAsia="方正仿宋简体" w:cs="Times New Roman"/>
                <w:b/>
                <w:bCs/>
                <w:color w:val="000000"/>
                <w:kern w:val="0"/>
                <w:sz w:val="24"/>
                <w:szCs w:val="24"/>
                <w:lang w:bidi="ar"/>
              </w:rPr>
              <w:t>《关于加强城市停车设施管理的通知》《中华人民共和国城乡规划法》《中华人民共和国道路交通安全法》</w:t>
            </w:r>
          </w:p>
        </w:tc>
        <w:tc>
          <w:tcPr>
            <w:tcW w:w="200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color w:val="000000"/>
                <w:kern w:val="2"/>
                <w:sz w:val="24"/>
                <w:szCs w:val="24"/>
                <w:lang w:val="en-US" w:eastAsia="zh-CN" w:bidi="ar-SA"/>
              </w:rPr>
            </w:pPr>
            <w:r>
              <w:rPr>
                <w:rFonts w:hint="default" w:ascii="Times New Roman" w:hAnsi="Times New Roman" w:eastAsia="方正仿宋简体" w:cs="Times New Roman"/>
                <w:b/>
                <w:bCs/>
                <w:i w:val="0"/>
                <w:iCs w:val="0"/>
                <w:color w:val="000000"/>
                <w:kern w:val="2"/>
                <w:sz w:val="24"/>
                <w:szCs w:val="24"/>
                <w:u w:val="none"/>
                <w:lang w:val="en-US" w:eastAsia="zh-CN" w:bidi="ar-SA"/>
              </w:rPr>
              <w:t>公众参与、专家论证、风险评</w:t>
            </w:r>
            <w:bookmarkStart w:id="0" w:name="_GoBack"/>
            <w:bookmarkEnd w:id="0"/>
            <w:r>
              <w:rPr>
                <w:rFonts w:hint="default" w:ascii="Times New Roman" w:hAnsi="Times New Roman" w:eastAsia="方正仿宋简体" w:cs="Times New Roman"/>
                <w:b/>
                <w:bCs/>
                <w:i w:val="0"/>
                <w:iCs w:val="0"/>
                <w:color w:val="000000"/>
                <w:kern w:val="2"/>
                <w:sz w:val="24"/>
                <w:szCs w:val="24"/>
                <w:u w:val="none"/>
                <w:lang w:val="en-US" w:eastAsia="zh-CN" w:bidi="ar-SA"/>
              </w:rPr>
              <w:t>估、合法性审查、集体讨论决定</w:t>
            </w:r>
          </w:p>
        </w:tc>
        <w:tc>
          <w:tcPr>
            <w:tcW w:w="1212"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baseline"/>
              <w:rPr>
                <w:rFonts w:hint="default" w:ascii="Times New Roman" w:hAnsi="Times New Roman" w:eastAsia="方正仿宋简体" w:cs="Times New Roman"/>
                <w:b/>
                <w:bCs/>
                <w:color w:val="000000"/>
                <w:sz w:val="24"/>
                <w:szCs w:val="24"/>
              </w:rPr>
            </w:pPr>
            <w:r>
              <w:rPr>
                <w:rStyle w:val="5"/>
                <w:rFonts w:hint="default" w:ascii="Times New Roman" w:hAnsi="Times New Roman" w:cs="Times New Roman"/>
                <w:color w:val="000000"/>
                <w:lang w:val="en-US" w:eastAsia="zh-CN" w:bidi="ar"/>
              </w:rPr>
              <w:t>县住房和城乡建设局</w:t>
            </w:r>
          </w:p>
        </w:tc>
        <w:tc>
          <w:tcPr>
            <w:tcW w:w="1554"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baseline"/>
              <w:rPr>
                <w:rFonts w:hint="default" w:ascii="Times New Roman" w:hAnsi="Times New Roman" w:eastAsia="方正仿宋简体" w:cs="Times New Roman"/>
                <w:b/>
                <w:bCs/>
                <w:color w:val="000000"/>
                <w:sz w:val="24"/>
                <w:szCs w:val="24"/>
              </w:rPr>
            </w:pPr>
            <w:r>
              <w:rPr>
                <w:rFonts w:hint="default" w:ascii="Times New Roman" w:hAnsi="Times New Roman" w:eastAsia="方正仿宋简体" w:cs="Times New Roman"/>
                <w:b/>
                <w:bCs/>
                <w:color w:val="000000"/>
                <w:sz w:val="24"/>
                <w:szCs w:val="24"/>
              </w:rPr>
              <w:t>202</w:t>
            </w:r>
            <w:r>
              <w:rPr>
                <w:rFonts w:hint="default" w:ascii="Times New Roman" w:hAnsi="Times New Roman" w:eastAsia="方正仿宋简体" w:cs="Times New Roman"/>
                <w:b/>
                <w:bCs/>
                <w:color w:val="000000"/>
                <w:sz w:val="24"/>
                <w:szCs w:val="24"/>
                <w:lang w:val="en-US" w:eastAsia="zh-CN"/>
              </w:rPr>
              <w:t>4</w:t>
            </w:r>
            <w:r>
              <w:rPr>
                <w:rFonts w:hint="default" w:ascii="Times New Roman" w:hAnsi="Times New Roman" w:eastAsia="方正仿宋简体" w:cs="Times New Roman"/>
                <w:b/>
                <w:bCs/>
                <w:color w:val="000000"/>
                <w:sz w:val="24"/>
                <w:szCs w:val="24"/>
              </w:rPr>
              <w:t>年</w:t>
            </w:r>
            <w:r>
              <w:rPr>
                <w:rFonts w:hint="default" w:ascii="Times New Roman" w:hAnsi="Times New Roman" w:eastAsia="方正仿宋简体" w:cs="Times New Roman"/>
                <w:b/>
                <w:bCs/>
                <w:color w:val="000000"/>
                <w:sz w:val="24"/>
                <w:szCs w:val="24"/>
                <w:lang w:val="en-US" w:eastAsia="zh-CN"/>
              </w:rPr>
              <w:t>1</w:t>
            </w:r>
            <w:r>
              <w:rPr>
                <w:rFonts w:hint="default" w:ascii="Times New Roman" w:hAnsi="Times New Roman" w:eastAsia="方正仿宋简体" w:cs="Times New Roman"/>
                <w:b/>
                <w:bCs/>
                <w:color w:val="000000"/>
                <w:sz w:val="24"/>
                <w:szCs w:val="24"/>
              </w:rPr>
              <w:t>2月</w:t>
            </w:r>
          </w:p>
        </w:tc>
        <w:tc>
          <w:tcPr>
            <w:tcW w:w="1554"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baseline"/>
              <w:rPr>
                <w:rFonts w:hint="eastAsia" w:ascii="Times New Roman" w:hAnsi="Times New Roman" w:eastAsia="方正仿宋简体" w:cs="Times New Roman"/>
                <w:b/>
                <w:bCs/>
                <w:color w:val="000000"/>
                <w:sz w:val="24"/>
                <w:szCs w:val="24"/>
                <w:lang w:val="en-US" w:eastAsia="zh-CN"/>
              </w:rPr>
            </w:pPr>
            <w:r>
              <w:rPr>
                <w:rFonts w:hint="eastAsia" w:ascii="Times New Roman" w:hAnsi="Times New Roman" w:eastAsia="方正仿宋简体" w:cs="Times New Roman"/>
                <w:b/>
                <w:bCs/>
                <w:color w:val="000000"/>
                <w:sz w:val="24"/>
                <w:szCs w:val="24"/>
                <w:lang w:val="en-US" w:eastAsia="zh-CN"/>
              </w:rPr>
              <w:t>已完成</w:t>
            </w:r>
          </w:p>
        </w:tc>
      </w:tr>
    </w:tbl>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简体">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黑体简体">
    <w:panose1 w:val="03000509000000000000"/>
    <w:charset w:val="86"/>
    <w:family w:val="script"/>
    <w:pitch w:val="default"/>
    <w:sig w:usb0="00000001" w:usb1="080E0000" w:usb2="00000000" w:usb3="00000000" w:csb0="00040000" w:csb1="00000000"/>
  </w:font>
  <w:font w:name="方正书宋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4NWRjOWZmNjBmNmVmMWEzNzdmOTgxOWMwZWIzYTcifQ=="/>
  </w:docVars>
  <w:rsids>
    <w:rsidRoot w:val="38901180"/>
    <w:rsid w:val="38901180"/>
    <w:rsid w:val="3EF734CB"/>
    <w:rsid w:val="5CFFC659"/>
    <w:rsid w:val="6FBBC462"/>
    <w:rsid w:val="70554D97"/>
    <w:rsid w:val="76BED9E6"/>
    <w:rsid w:val="777661E2"/>
    <w:rsid w:val="7DED1F02"/>
    <w:rsid w:val="7E6FB978"/>
    <w:rsid w:val="B7EFA2BC"/>
    <w:rsid w:val="BF7AD6E2"/>
    <w:rsid w:val="F4FD0A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character" w:customStyle="1" w:styleId="4">
    <w:name w:val="font11"/>
    <w:basedOn w:val="3"/>
    <w:qFormat/>
    <w:uiPriority w:val="0"/>
    <w:rPr>
      <w:rFonts w:hint="eastAsia" w:ascii="方正仿宋简体" w:hAnsi="方正仿宋简体" w:eastAsia="方正仿宋简体" w:cs="方正仿宋简体"/>
      <w:b/>
      <w:bCs/>
      <w:color w:val="000000"/>
      <w:sz w:val="24"/>
      <w:szCs w:val="24"/>
      <w:u w:val="none"/>
    </w:rPr>
  </w:style>
  <w:style w:type="character" w:customStyle="1" w:styleId="5">
    <w:name w:val="font41"/>
    <w:basedOn w:val="3"/>
    <w:qFormat/>
    <w:uiPriority w:val="0"/>
    <w:rPr>
      <w:rFonts w:hint="eastAsia" w:ascii="方正仿宋简体" w:hAnsi="方正仿宋简体" w:eastAsia="方正仿宋简体" w:cs="方正仿宋简体"/>
      <w:b/>
      <w:bCs/>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43</TotalTime>
  <ScaleCrop>false</ScaleCrop>
  <LinksUpToDate>false</LinksUpToDate>
  <CharactersWithSpaces>0</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2024-08-15T09:52:00Z</dcterms:created>
  <dc:creator>kmoon</dc:creator>
  <cp:lastModifiedBy>kmoon</cp:lastModifiedBy>
  <dcterms:modified xsi:type="dcterms:W3CDTF">2024-12-16T17:14:16Z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5C3F8209C9C64681AF2BB474D8B3396E_11</vt:lpwstr>
  </property>
</Properties>
</file>