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嘉祥县</w:t>
      </w:r>
      <w:r>
        <w:rPr>
          <w:rFonts w:hint="default" w:ascii="Times New Roman" w:hAnsi="Times New Roman" w:eastAsia="方正小标宋简体" w:cs="Times New Roman"/>
          <w:sz w:val="44"/>
          <w:szCs w:val="44"/>
        </w:rPr>
        <w:t>人民政府办公室2020年政府信息</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公开工作年度报告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本报告是根据《中华人民共和国政府信息公开条例》（国务院令第711号）和《国务院办公厅政府信息与政务公开办公室关于政府信息公开工作年度报告有关事项的通知》（国办公开办函〔2019〕60号）要求，结合我办政府信息公开工作有关统计数据撰写。报告主要包括：总体情况、主动公开政府信息情况、收到和处理政府信息公开申请情况、因政府信息公开被申请行政复议和提起行政诉讼情况、政府信息公开工作存在主要问题及改进情况和其他需要报告事项。本报告中使用数据统计期限为2020年1月1日至12月31日。报告的电子版可在</w:t>
      </w:r>
      <w:r>
        <w:rPr>
          <w:rFonts w:hint="default" w:ascii="Times New Roman" w:hAnsi="Times New Roman" w:eastAsia="方正仿宋简体" w:cs="Times New Roman"/>
          <w:b/>
          <w:bCs/>
          <w:sz w:val="32"/>
          <w:szCs w:val="32"/>
          <w:lang w:val="en-US" w:eastAsia="zh-CN"/>
        </w:rPr>
        <w:t>嘉祥县</w:t>
      </w:r>
      <w:r>
        <w:rPr>
          <w:rFonts w:hint="default" w:ascii="Times New Roman" w:hAnsi="Times New Roman" w:eastAsia="方正仿宋简体" w:cs="Times New Roman"/>
          <w:b/>
          <w:bCs/>
          <w:sz w:val="32"/>
          <w:szCs w:val="32"/>
        </w:rPr>
        <w:t>人民政府网站</w:t>
      </w:r>
      <w:r>
        <w:rPr>
          <w:rFonts w:hint="default" w:ascii="Times New Roman" w:hAnsi="Times New Roman" w:eastAsia="方正仿宋简体" w:cs="Times New Roman"/>
          <w:b/>
          <w:bCs/>
          <w:sz w:val="32"/>
          <w:szCs w:val="32"/>
          <w:lang w:val="en-US" w:eastAsia="zh-CN"/>
        </w:rPr>
        <w:t>政务公开栏目</w:t>
      </w:r>
      <w:r>
        <w:rPr>
          <w:rFonts w:hint="default" w:ascii="Times New Roman" w:hAnsi="Times New Roman" w:eastAsia="方正仿宋简体" w:cs="Times New Roman"/>
          <w:b/>
          <w:bCs/>
          <w:sz w:val="32"/>
          <w:szCs w:val="32"/>
        </w:rPr>
        <w:t>下载。如对本报告有任何疑问，请与</w:t>
      </w:r>
      <w:r>
        <w:rPr>
          <w:rFonts w:hint="default" w:ascii="Times New Roman" w:hAnsi="Times New Roman" w:eastAsia="方正仿宋简体" w:cs="Times New Roman"/>
          <w:b/>
          <w:bCs/>
          <w:sz w:val="32"/>
          <w:szCs w:val="32"/>
          <w:lang w:val="en-US" w:eastAsia="zh-CN"/>
        </w:rPr>
        <w:t>嘉祥县</w:t>
      </w:r>
      <w:r>
        <w:rPr>
          <w:rFonts w:hint="default" w:ascii="Times New Roman" w:hAnsi="Times New Roman" w:eastAsia="方正仿宋简体" w:cs="Times New Roman"/>
          <w:b/>
          <w:bCs/>
          <w:sz w:val="32"/>
          <w:szCs w:val="32"/>
        </w:rPr>
        <w:t>人民政府办公室联系（地址：</w:t>
      </w:r>
      <w:r>
        <w:rPr>
          <w:rFonts w:hint="default" w:ascii="Times New Roman" w:hAnsi="Times New Roman" w:eastAsia="方正仿宋简体" w:cs="Times New Roman"/>
          <w:b/>
          <w:bCs/>
          <w:sz w:val="32"/>
          <w:szCs w:val="32"/>
          <w:lang w:val="en-US" w:eastAsia="zh-CN"/>
        </w:rPr>
        <w:t>嘉祥县呈祥大道99号</w:t>
      </w:r>
      <w:r>
        <w:rPr>
          <w:rFonts w:hint="default" w:ascii="Times New Roman" w:hAnsi="Times New Roman" w:eastAsia="方正仿宋简体" w:cs="Times New Roman"/>
          <w:b/>
          <w:bCs/>
          <w:sz w:val="32"/>
          <w:szCs w:val="32"/>
        </w:rPr>
        <w:t>，电话：05</w:t>
      </w:r>
      <w:r>
        <w:rPr>
          <w:rFonts w:hint="default" w:ascii="Times New Roman" w:hAnsi="Times New Roman" w:eastAsia="方正仿宋简体" w:cs="Times New Roman"/>
          <w:b/>
          <w:bCs/>
          <w:sz w:val="32"/>
          <w:szCs w:val="32"/>
          <w:lang w:val="en-US" w:eastAsia="zh-CN"/>
        </w:rPr>
        <w:t>37</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b/>
          <w:bCs/>
          <w:sz w:val="32"/>
          <w:szCs w:val="32"/>
          <w:lang w:val="en-US" w:eastAsia="zh-CN"/>
        </w:rPr>
        <w:t>6861546</w:t>
      </w:r>
      <w:r>
        <w:rPr>
          <w:rFonts w:hint="default" w:ascii="Times New Roman" w:hAnsi="Times New Roman" w:eastAsia="方正仿宋简体" w:cs="Times New Roman"/>
          <w:b/>
          <w:bCs/>
          <w:sz w:val="32"/>
          <w:szCs w:val="32"/>
        </w:rPr>
        <w:t>，邮编：2</w:t>
      </w:r>
      <w:r>
        <w:rPr>
          <w:rFonts w:hint="default" w:ascii="Times New Roman" w:hAnsi="Times New Roman" w:eastAsia="方正仿宋简体" w:cs="Times New Roman"/>
          <w:b/>
          <w:bCs/>
          <w:sz w:val="32"/>
          <w:szCs w:val="32"/>
          <w:lang w:val="en-US" w:eastAsia="zh-CN"/>
        </w:rPr>
        <w:t>72400</w:t>
      </w:r>
      <w:r>
        <w:rPr>
          <w:rFonts w:hint="default" w:ascii="Times New Roman" w:hAnsi="Times New Roman" w:eastAsia="方正仿宋简体" w:cs="Times New Roman"/>
          <w:b/>
          <w:bCs/>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方正大黑简体" w:hAnsi="方正大黑简体" w:eastAsia="方正大黑简体" w:cs="方正大黑简体"/>
          <w:b/>
          <w:bCs/>
          <w:sz w:val="32"/>
          <w:szCs w:val="32"/>
          <w:lang w:val="en-US" w:eastAsia="zh-CN"/>
        </w:rPr>
      </w:pPr>
      <w:r>
        <w:rPr>
          <w:rFonts w:hint="eastAsia" w:ascii="方正大黑简体" w:hAnsi="方正大黑简体" w:eastAsia="方正大黑简体" w:cs="方正大黑简体"/>
          <w:b/>
          <w:bCs/>
          <w:sz w:val="32"/>
          <w:szCs w:val="32"/>
          <w:lang w:val="en-US" w:eastAsia="zh-CN"/>
        </w:rPr>
        <w:t>一、总体情况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2020年嘉祥县人民政府办公室以习近平新时代中国特色社会主义思想为指导，全面贯彻党的十九大和十九届二中、三中、四中、五中全会精神，坚持以人民为中心的发展思想，认真贯彻落实党中央、国务院、省委省政府、市委市政府以及县委县政府关于政务公开工作决策部署，准确执行《中华人民共和国政府信息公开条例》，以公开促落实、促规范、促服务取得一定成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（一）主动公开情况。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2020年，主动公开政府信息1060条，政务新媒体“嘉祥政务”微信公众号发布信息236条。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1</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lang w:val="en-US" w:eastAsia="zh-CN"/>
        </w:rPr>
        <w:t>决策公开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在重大决策预公开方面，积极推动落实“五公开”，需要社会知晓的重要改革方案，重大决策措施，重点工程项目，除依法保密外，均以适当方式向社会公布决策草案、依据，提供意见反馈渠道，广泛听取公众意见公开意见收集和采纳情况,公开未予采纳理由，全年共开展意见征集10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在会议公开方面，常态化公开2020年政府常务会议7次，涉及</w:t>
      </w:r>
      <w:r>
        <w:rPr>
          <w:rFonts w:hint="default" w:ascii="Times New Roman" w:hAnsi="Times New Roman" w:eastAsia="方正仿宋简体" w:cs="Times New Roman"/>
          <w:b/>
          <w:bCs/>
          <w:color w:val="auto"/>
          <w:sz w:val="32"/>
          <w:szCs w:val="32"/>
          <w:lang w:val="en-US" w:eastAsia="zh-CN"/>
        </w:rPr>
        <w:t>安全生产</w:t>
      </w:r>
      <w:r>
        <w:rPr>
          <w:rFonts w:hint="default" w:ascii="Times New Roman" w:hAnsi="Times New Roman" w:eastAsia="方正仿宋简体" w:cs="Times New Roman"/>
          <w:b/>
          <w:bCs/>
          <w:sz w:val="32"/>
          <w:szCs w:val="32"/>
          <w:lang w:val="en-US" w:eastAsia="zh-CN"/>
        </w:rPr>
        <w:t>、重点项目建设、民生实事项目进展情况、食品安全等多领域民生问题议定，并邀请媒体代表、人大代表、政协委员、利益相关方、政府法律顾问列席，公开会议议定事项并进行图文解读。公开政府专题会议29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政策文件方面，设置政策文件解读专题，从决策背景、决策依据、出台目的、重要举措等方面进行全面解读，从公众生产生活实际需求出发，以视频、音频、图表图文、文字等形式解读政策共计37件，为方</w:t>
      </w:r>
      <w:r>
        <w:rPr>
          <w:rFonts w:hint="eastAsia" w:ascii="Times New Roman" w:hAnsi="Times New Roman" w:eastAsia="方正仿宋简体" w:cs="Times New Roman"/>
          <w:b/>
          <w:bCs/>
          <w:sz w:val="32"/>
          <w:szCs w:val="32"/>
          <w:lang w:val="en-US" w:eastAsia="zh-CN"/>
        </w:rPr>
        <w:t>便</w:t>
      </w:r>
      <w:r>
        <w:rPr>
          <w:rFonts w:hint="default" w:ascii="Times New Roman" w:hAnsi="Times New Roman" w:eastAsia="方正仿宋简体" w:cs="Times New Roman"/>
          <w:b/>
          <w:bCs/>
          <w:sz w:val="32"/>
          <w:szCs w:val="32"/>
          <w:lang w:val="en-US" w:eastAsia="zh-CN"/>
        </w:rPr>
        <w:t>公众查询，提供标题、正文、年份等多种形式的分类和智能检索。公开规范性文件备案目录以及近三年内规范性文件清理结果，并在已发布的文件上明确标注了所有文件发文时间和责任单位。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2</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lang w:val="en-US" w:eastAsia="zh-CN"/>
        </w:rPr>
        <w:t>管理和服务公开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明确权责清单。通过县政府网站和“山东政务服务网（嘉祥县分厅）”统一公开本单位的权责清单，并能够根据法律法规立改废释情况、机构和职能调整情况及时调整。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公开执法信息。设立“双随机一公开”“行政执法公示”专栏，各部门及时公开“双随机、一公开”监管、行政执法公示，并集中公布行政执法主体信息、法制审核目录、执法流程、服务指南、年度行政执法总体情况等情况。建立行政执法人员信息库，集中公开行政许可、行政处罚结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强化政民互动。统一发布证明事项实施清单，事项划转清单，公开政务服务办事指南，为更好搭建互动交流平台，畅通政民互通渠道，对于企业群众评价、政务服务情况、差评处理结果等按月进行集中公示。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3</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lang w:val="en-US" w:eastAsia="zh-CN"/>
        </w:rPr>
        <w:t>执行和结果公开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落实重要部署执行公开。公开国家省市重大决策部署、政府工作报告、年度重点工作、民生实事项目的进展情况、成效举措、督查整改及执行评估情况。重点公开执行措施、实施步骤、责任分工、监督方式，并按季度跟进工作推进情况及时公开工作进展、取得成效、后续举措等信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做好建议提案办理结果公开。设置人大代表建议办理结果和政协提案办理结果以及建议和提案办理总体情况专栏，分类公开县十七届人大四次会议议案建议和县政协九届四次会议委员提案的责任分解、办理建议提案的答复及各单位总体办理情况，规范发布名称，便于公众查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4</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lang w:val="en-US" w:eastAsia="zh-CN"/>
        </w:rPr>
        <w:t>重点领域公开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深化财政预决算信息公开。在政府网站政务公开栏目财政预决算栏目中集中将2020年政府预决算、部门预决算、重点项目绩效评价信息集中公开，按月公开全县财政收支情况，解读财政收支增减变化情况及原因，及时分析财政收支走势，便于公众了解财政情况；按季度公开嘉祥县政府债务率及政府债务余额表，及时公开嘉祥县2020年政府债券使用情况，维护群众知情权，防范政府债务风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深化重大建设项目批准和实施领域信息公开。在县政府网站政府信息公开专栏设置重大建设项目专栏，集中公开了重大建设项目清单、项目申报信息。全年公开重大建设项目8个，公开信息130条，每个项目按照批准结果信息、招投标信息、征收土地信息、重大设计变更、施工、质量安全监管、竣工信息进行公开，将政务公开贯穿重大项目建设全过程，方便公众查阅和监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深化公共监管信息公开。积极推进国资国企信息公开，每月公开国有企业经济效益指标、主要行业盈利、重大变化事项，及时公开履行社会责任重点工作情况；及时发布市场监管领域产品质量和食品安全信息；提高应急管理重视程度，及时发布应急救援预案、预警信息以及安全生产执法检查信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（二）依申请公开情况。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我办高度重视依申请公开工作，根据《 济宁市政府信息依申请公开答复格式文书》，制定了《嘉祥县政府信息依申请公开答复格式文书》，进一步规范政府信息公开申请登记、审核、办理、答复、归档。全年受理依申请公开5件，其中在线申请2件，信函邮寄申请3件，按时办理5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（三）政府信息管理情况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一是进一步提升规范性文件公开质量，列明文件的文号、成文日期、发布时间、失效时间等信息，提供政策文件下载功能。二是设立政策文件检索，根据文件标题、发文文号、公文类别、年份等信息进行文件检索，方便群众查阅。三是进一步规范政府信息发布和管理，确保信息发布准确、安全、高效，严格落实“三审”制度，加强信息发布审核把关，严格执行“分级审核、先审后发”程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（四）平台建设情况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根据《国务院办公厅政府信息与政务公开办公室关于规范政府信息公开平台有关事项的通知》（国办公开办函〔2019〕61号）要求和省市统一安排部署，改版升级录入嘉祥县政府信息公开平台，设置了“双随机一公开”“行政执法公示”专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（五）监督保障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1、加强政务公开工作组织领导，及时调整完善我县政府政务公开工作领导小组，同时要求各镇各部门也相应建立健全领导机制和工作机构，配齐补强专职人员。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2</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lang w:val="en-US" w:eastAsia="zh-CN"/>
        </w:rPr>
        <w:t>建立健全日常调度机制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对于各部门政务公开工作开展情况进行专项调度，“早发现、早改正”，及时发现问题，第一时间进行整改。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3</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lang w:val="en-US" w:eastAsia="zh-CN"/>
        </w:rPr>
        <w:t>开展业务培训常态化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县政府办公室分别于6月15日、11月25日、12月8日组织召开了全县政务公开培训会议，就基层政务公开标准化规范化、政务公开考核等内容进行了培训，提高了相关人员的业务能力和水平。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（六）机构建设及人员配置情况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县委常委、副县长为组长，县政府办公室主任为副组长的领导小组，各镇（街）人民政府（办事处）、县政府各部门主要负责人为成员的领导小组，办公室设在县政府办公室，工作人员为县政府办公室政务公开科人员，全面负责做好政府信息公开管理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（七）人大建议政协提案办理情况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2020年，县政府办公室未承办人大代表建议和政协委员提案。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方正大黑简体" w:hAnsi="方正大黑简体" w:eastAsia="方正大黑简体" w:cs="方正大黑简体"/>
          <w:b/>
          <w:bCs/>
          <w:sz w:val="32"/>
          <w:szCs w:val="32"/>
          <w:lang w:val="en-US" w:eastAsia="zh-CN"/>
        </w:rPr>
      </w:pPr>
      <w:r>
        <w:rPr>
          <w:rFonts w:hint="default" w:ascii="方正大黑简体" w:hAnsi="方正大黑简体" w:eastAsia="方正大黑简体" w:cs="方正大黑简体"/>
          <w:b/>
          <w:bCs/>
          <w:sz w:val="32"/>
          <w:szCs w:val="32"/>
          <w:lang w:val="en-US" w:eastAsia="zh-CN"/>
        </w:rPr>
        <w:t>二、主动公开政府信息情况</w:t>
      </w:r>
    </w:p>
    <w:tbl>
      <w:tblPr>
        <w:tblStyle w:val="3"/>
        <w:tblW w:w="8140" w:type="dxa"/>
        <w:jc w:val="center"/>
        <w:tblInd w:w="0" w:type="dxa"/>
        <w:tblLayout w:type="fixed"/>
        <w:tblCellMar>
          <w:top w:w="0" w:type="dxa"/>
          <w:left w:w="0" w:type="dxa"/>
          <w:bottom w:w="0" w:type="dxa"/>
          <w:right w:w="0" w:type="dxa"/>
        </w:tblCellMar>
      </w:tblPr>
      <w:tblGrid>
        <w:gridCol w:w="3113"/>
        <w:gridCol w:w="1875"/>
        <w:gridCol w:w="6"/>
        <w:gridCol w:w="1265"/>
        <w:gridCol w:w="1881"/>
      </w:tblGrid>
      <w:tr>
        <w:tblPrEx>
          <w:tblLayout w:type="fixed"/>
          <w:tblCellMar>
            <w:top w:w="0" w:type="dxa"/>
            <w:left w:w="0" w:type="dxa"/>
            <w:bottom w:w="0" w:type="dxa"/>
            <w:right w:w="0" w:type="dxa"/>
          </w:tblCellMar>
        </w:tblPrEx>
        <w:trPr>
          <w:trHeight w:val="495"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bidi="ar"/>
              </w:rPr>
              <w:t>第二十条第（一）项</w:t>
            </w:r>
          </w:p>
        </w:tc>
      </w:tr>
      <w:tr>
        <w:tblPrEx>
          <w:tblLayout w:type="fixed"/>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bidi="ar"/>
              </w:rPr>
              <w:t>信息内容</w:t>
            </w:r>
          </w:p>
        </w:tc>
        <w:tc>
          <w:tcPr>
            <w:tcW w:w="1875" w:type="dxa"/>
            <w:tcBorders>
              <w:top w:val="single" w:color="auto" w:sz="8" w:space="0"/>
              <w:left w:val="nil"/>
              <w:bottom w:val="single" w:color="auto" w:sz="8" w:space="0"/>
              <w:right w:val="single" w:color="auto" w:sz="8" w:space="0"/>
            </w:tcBorders>
            <w:noWrap/>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bidi="ar"/>
              </w:rPr>
              <w:t>本年新</w:t>
            </w:r>
            <w:r>
              <w:rPr>
                <w:rFonts w:hint="default" w:ascii="Times New Roman" w:hAnsi="Times New Roman" w:eastAsia="宋体" w:cs="Times New Roman"/>
                <w:kern w:val="0"/>
                <w:sz w:val="20"/>
                <w:szCs w:val="20"/>
                <w:lang w:bidi="ar"/>
              </w:rPr>
              <w:br w:type="textWrapping"/>
            </w:r>
            <w:r>
              <w:rPr>
                <w:rFonts w:hint="default" w:ascii="Times New Roman" w:hAnsi="Times New Roman" w:eastAsia="宋体" w:cs="Times New Roman"/>
                <w:kern w:val="0"/>
                <w:sz w:val="20"/>
                <w:szCs w:val="20"/>
                <w:lang w:bidi="ar"/>
              </w:rPr>
              <w:t>制作数量</w:t>
            </w:r>
          </w:p>
        </w:tc>
        <w:tc>
          <w:tcPr>
            <w:tcW w:w="1271" w:type="dxa"/>
            <w:gridSpan w:val="2"/>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bidi="ar"/>
              </w:rPr>
              <w:t>本年新</w:t>
            </w:r>
            <w:r>
              <w:rPr>
                <w:rFonts w:hint="default" w:ascii="Times New Roman" w:hAnsi="Times New Roman" w:eastAsia="宋体" w:cs="Times New Roman"/>
                <w:kern w:val="0"/>
                <w:sz w:val="20"/>
                <w:szCs w:val="20"/>
                <w:lang w:bidi="ar"/>
              </w:rPr>
              <w:br w:type="textWrapping"/>
            </w:r>
            <w:r>
              <w:rPr>
                <w:rFonts w:hint="default" w:ascii="Times New Roman" w:hAnsi="Times New Roman" w:eastAsia="宋体" w:cs="Times New Roman"/>
                <w:kern w:val="0"/>
                <w:sz w:val="20"/>
                <w:szCs w:val="20"/>
                <w:lang w:bidi="ar"/>
              </w:rPr>
              <w:t>公开数量</w:t>
            </w:r>
          </w:p>
        </w:tc>
        <w:tc>
          <w:tcPr>
            <w:tcW w:w="1881"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bidi="ar"/>
              </w:rPr>
              <w:t>对外公开总数量</w:t>
            </w:r>
          </w:p>
        </w:tc>
      </w:tr>
      <w:tr>
        <w:tblPrEx>
          <w:tblLayout w:type="fixed"/>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jc w:val="left"/>
              <w:rPr>
                <w:rFonts w:hint="default" w:ascii="Times New Roman" w:hAnsi="Times New Roman" w:eastAsia="宋体" w:cs="Times New Roman"/>
              </w:rPr>
            </w:pPr>
            <w:r>
              <w:rPr>
                <w:rFonts w:hint="default" w:ascii="Times New Roman" w:hAnsi="Times New Roman" w:eastAsia="宋体" w:cs="Times New Roman"/>
                <w:kern w:val="0"/>
                <w:sz w:val="20"/>
                <w:szCs w:val="20"/>
                <w:lang w:bidi="ar"/>
              </w:rPr>
              <w:t>规章</w:t>
            </w:r>
          </w:p>
        </w:tc>
        <w:tc>
          <w:tcPr>
            <w:tcW w:w="1875"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left"/>
              <w:rPr>
                <w:rFonts w:hint="default" w:ascii="Times New Roman" w:hAnsi="Times New Roman" w:eastAsia="宋体" w:cs="Times New Roman"/>
                <w:lang w:val="en-US" w:eastAsia="zh-CN"/>
              </w:rPr>
            </w:pPr>
            <w:r>
              <w:rPr>
                <w:rFonts w:hint="default" w:ascii="Times New Roman" w:hAnsi="Times New Roman" w:eastAsia="宋体" w:cs="Times New Roman"/>
                <w:kern w:val="0"/>
                <w:sz w:val="20"/>
                <w:szCs w:val="20"/>
                <w:lang w:bidi="ar"/>
              </w:rPr>
              <w:t>　　</w:t>
            </w:r>
            <w:r>
              <w:rPr>
                <w:rFonts w:hint="default" w:ascii="Times New Roman" w:hAnsi="Times New Roman" w:eastAsia="宋体" w:cs="Times New Roman"/>
                <w:kern w:val="0"/>
                <w:sz w:val="20"/>
                <w:szCs w:val="20"/>
                <w:lang w:val="en-US" w:eastAsia="zh-CN" w:bidi="ar"/>
              </w:rPr>
              <w:t>0</w:t>
            </w:r>
          </w:p>
        </w:tc>
        <w:tc>
          <w:tcPr>
            <w:tcW w:w="1271" w:type="dxa"/>
            <w:gridSpan w:val="2"/>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rPr>
                <w:rFonts w:hint="default" w:ascii="Times New Roman" w:hAnsi="Times New Roman" w:eastAsia="宋体" w:cs="Times New Roman"/>
                <w:lang w:val="en-US" w:eastAsia="zh-CN"/>
              </w:rPr>
            </w:pPr>
            <w:r>
              <w:rPr>
                <w:rFonts w:hint="default" w:ascii="Times New Roman" w:hAnsi="Times New Roman" w:eastAsia="宋体" w:cs="Times New Roman"/>
                <w:kern w:val="0"/>
                <w:sz w:val="20"/>
                <w:szCs w:val="20"/>
                <w:lang w:bidi="ar"/>
              </w:rPr>
              <w:t> </w:t>
            </w:r>
            <w:r>
              <w:rPr>
                <w:rFonts w:hint="default" w:ascii="Times New Roman" w:hAnsi="Times New Roman" w:eastAsia="宋体" w:cs="Times New Roman"/>
                <w:kern w:val="0"/>
                <w:sz w:val="20"/>
                <w:szCs w:val="20"/>
                <w:lang w:val="en-US" w:eastAsia="zh-CN" w:bidi="ar"/>
              </w:rPr>
              <w:t>0</w:t>
            </w:r>
          </w:p>
        </w:tc>
        <w:tc>
          <w:tcPr>
            <w:tcW w:w="1881"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left"/>
              <w:rPr>
                <w:rFonts w:hint="default" w:ascii="Times New Roman" w:hAnsi="Times New Roman" w:eastAsia="宋体" w:cs="Times New Roman"/>
                <w:lang w:val="en-US" w:eastAsia="zh-CN"/>
              </w:rPr>
            </w:pPr>
            <w:r>
              <w:rPr>
                <w:rFonts w:hint="default" w:ascii="Times New Roman" w:hAnsi="Times New Roman" w:eastAsia="宋体" w:cs="Times New Roman"/>
                <w:kern w:val="0"/>
                <w:sz w:val="20"/>
                <w:szCs w:val="20"/>
                <w:lang w:bidi="ar"/>
              </w:rPr>
              <w:t>　</w:t>
            </w:r>
            <w:r>
              <w:rPr>
                <w:rFonts w:hint="default" w:ascii="Times New Roman" w:hAnsi="Times New Roman" w:eastAsia="宋体" w:cs="Times New Roman"/>
                <w:kern w:val="0"/>
                <w:sz w:val="20"/>
                <w:szCs w:val="20"/>
                <w:lang w:val="en-US" w:eastAsia="zh-CN" w:bidi="ar"/>
              </w:rPr>
              <w:t>0</w:t>
            </w:r>
          </w:p>
        </w:tc>
      </w:tr>
      <w:tr>
        <w:tblPrEx>
          <w:tblLayout w:type="fixed"/>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jc w:val="left"/>
              <w:rPr>
                <w:rFonts w:hint="default" w:ascii="Times New Roman" w:hAnsi="Times New Roman" w:eastAsia="宋体" w:cs="Times New Roman"/>
              </w:rPr>
            </w:pPr>
            <w:r>
              <w:rPr>
                <w:rFonts w:hint="default" w:ascii="Times New Roman" w:hAnsi="Times New Roman" w:eastAsia="宋体" w:cs="Times New Roman"/>
                <w:kern w:val="0"/>
                <w:sz w:val="20"/>
                <w:szCs w:val="20"/>
                <w:lang w:bidi="ar"/>
              </w:rPr>
              <w:t>规范性文件</w:t>
            </w:r>
          </w:p>
        </w:tc>
        <w:tc>
          <w:tcPr>
            <w:tcW w:w="1875"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left"/>
              <w:rPr>
                <w:rFonts w:hint="default" w:ascii="Times New Roman" w:hAnsi="Times New Roman" w:eastAsia="宋体" w:cs="Times New Roman"/>
                <w:lang w:val="en-US" w:eastAsia="zh-CN"/>
              </w:rPr>
            </w:pPr>
            <w:r>
              <w:rPr>
                <w:rFonts w:hint="default" w:ascii="Times New Roman" w:hAnsi="Times New Roman" w:eastAsia="宋体" w:cs="Times New Roman"/>
                <w:kern w:val="0"/>
                <w:sz w:val="20"/>
                <w:szCs w:val="20"/>
                <w:lang w:bidi="ar"/>
              </w:rPr>
              <w:t>　　</w:t>
            </w:r>
            <w:r>
              <w:rPr>
                <w:rFonts w:hint="default" w:ascii="Times New Roman" w:hAnsi="Times New Roman" w:eastAsia="宋体" w:cs="Times New Roman"/>
                <w:kern w:val="0"/>
                <w:sz w:val="20"/>
                <w:szCs w:val="20"/>
                <w:lang w:val="en-US" w:eastAsia="zh-CN" w:bidi="ar"/>
              </w:rPr>
              <w:t>1</w:t>
            </w:r>
          </w:p>
        </w:tc>
        <w:tc>
          <w:tcPr>
            <w:tcW w:w="1271" w:type="dxa"/>
            <w:gridSpan w:val="2"/>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rPr>
                <w:rFonts w:hint="default" w:ascii="Times New Roman" w:hAnsi="Times New Roman" w:eastAsia="宋体" w:cs="Times New Roman"/>
                <w:lang w:val="en-US" w:eastAsia="zh-CN"/>
              </w:rPr>
            </w:pPr>
            <w:r>
              <w:rPr>
                <w:rFonts w:hint="default" w:ascii="Times New Roman" w:hAnsi="Times New Roman" w:eastAsia="宋体" w:cs="Times New Roman"/>
                <w:kern w:val="0"/>
                <w:sz w:val="20"/>
                <w:szCs w:val="20"/>
                <w:lang w:bidi="ar"/>
              </w:rPr>
              <w:t> </w:t>
            </w:r>
            <w:r>
              <w:rPr>
                <w:rFonts w:hint="default" w:ascii="Times New Roman" w:hAnsi="Times New Roman" w:eastAsia="宋体" w:cs="Times New Roman"/>
                <w:kern w:val="0"/>
                <w:sz w:val="20"/>
                <w:szCs w:val="20"/>
                <w:lang w:val="en-US" w:eastAsia="zh-CN" w:bidi="ar"/>
              </w:rPr>
              <w:t>1</w:t>
            </w:r>
          </w:p>
        </w:tc>
        <w:tc>
          <w:tcPr>
            <w:tcW w:w="1881"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left"/>
              <w:rPr>
                <w:rFonts w:hint="default" w:ascii="Times New Roman" w:hAnsi="Times New Roman" w:eastAsia="宋体" w:cs="Times New Roman"/>
                <w:lang w:val="en-US" w:eastAsia="zh-CN"/>
              </w:rPr>
            </w:pPr>
            <w:r>
              <w:rPr>
                <w:rFonts w:hint="default" w:ascii="Times New Roman" w:hAnsi="Times New Roman" w:eastAsia="宋体" w:cs="Times New Roman"/>
                <w:kern w:val="0"/>
                <w:sz w:val="20"/>
                <w:szCs w:val="20"/>
                <w:lang w:bidi="ar"/>
              </w:rPr>
              <w:t>　</w:t>
            </w:r>
            <w:r>
              <w:rPr>
                <w:rFonts w:hint="default" w:ascii="Times New Roman" w:hAnsi="Times New Roman" w:eastAsia="宋体" w:cs="Times New Roman"/>
                <w:kern w:val="0"/>
                <w:sz w:val="20"/>
                <w:szCs w:val="20"/>
                <w:lang w:val="en-US" w:eastAsia="zh-CN" w:bidi="ar"/>
              </w:rPr>
              <w:t>5</w:t>
            </w:r>
          </w:p>
        </w:tc>
      </w:tr>
      <w:tr>
        <w:tblPrEx>
          <w:tblLayout w:type="fixed"/>
          <w:tblCellMar>
            <w:top w:w="0" w:type="dxa"/>
            <w:left w:w="0" w:type="dxa"/>
            <w:bottom w:w="0" w:type="dxa"/>
            <w:right w:w="0" w:type="dxa"/>
          </w:tblCellMar>
        </w:tblPrEx>
        <w:trPr>
          <w:trHeight w:val="480"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bidi="ar"/>
              </w:rPr>
              <w:t>第二十条第（五）项</w:t>
            </w:r>
          </w:p>
        </w:tc>
      </w:tr>
      <w:tr>
        <w:tblPrEx>
          <w:tblLayout w:type="fixed"/>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bidi="ar"/>
              </w:rPr>
              <w:t>信息内容</w:t>
            </w:r>
          </w:p>
        </w:tc>
        <w:tc>
          <w:tcPr>
            <w:tcW w:w="1875" w:type="dxa"/>
            <w:tcBorders>
              <w:top w:val="single" w:color="auto" w:sz="8" w:space="0"/>
              <w:left w:val="nil"/>
              <w:bottom w:val="single" w:color="auto" w:sz="8" w:space="0"/>
              <w:right w:val="single" w:color="auto" w:sz="8" w:space="0"/>
            </w:tcBorders>
            <w:noWrap/>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bidi="ar"/>
              </w:rPr>
              <w:t>上一年项目数量</w:t>
            </w:r>
          </w:p>
        </w:tc>
        <w:tc>
          <w:tcPr>
            <w:tcW w:w="1271" w:type="dxa"/>
            <w:gridSpan w:val="2"/>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bidi="ar"/>
              </w:rPr>
              <w:t>本年增/减</w:t>
            </w:r>
          </w:p>
        </w:tc>
        <w:tc>
          <w:tcPr>
            <w:tcW w:w="1881"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bidi="ar"/>
              </w:rPr>
              <w:t>处理决定数量</w:t>
            </w:r>
          </w:p>
        </w:tc>
      </w:tr>
      <w:tr>
        <w:tblPrEx>
          <w:tblLayout w:type="fixed"/>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jc w:val="left"/>
              <w:rPr>
                <w:rFonts w:hint="default" w:ascii="Times New Roman" w:hAnsi="Times New Roman" w:eastAsia="宋体" w:cs="Times New Roman"/>
              </w:rPr>
            </w:pPr>
            <w:r>
              <w:rPr>
                <w:rFonts w:hint="default" w:ascii="Times New Roman" w:hAnsi="Times New Roman" w:eastAsia="宋体" w:cs="Times New Roman"/>
                <w:kern w:val="0"/>
                <w:sz w:val="20"/>
                <w:szCs w:val="20"/>
                <w:lang w:bidi="ar"/>
              </w:rPr>
              <w:t>行政许可</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widowControl/>
              <w:spacing w:after="180"/>
              <w:jc w:val="left"/>
              <w:rPr>
                <w:rFonts w:hint="default" w:ascii="Times New Roman" w:hAnsi="Times New Roman" w:eastAsia="宋体" w:cs="Times New Roman"/>
                <w:lang w:val="en-US" w:eastAsia="zh-CN"/>
              </w:rPr>
            </w:pPr>
            <w:r>
              <w:rPr>
                <w:rFonts w:hint="default" w:ascii="Times New Roman" w:hAnsi="Times New Roman" w:eastAsia="宋体" w:cs="Times New Roman"/>
                <w:kern w:val="0"/>
                <w:sz w:val="20"/>
                <w:szCs w:val="20"/>
                <w:lang w:bidi="ar"/>
              </w:rPr>
              <w:t>　</w:t>
            </w:r>
            <w:r>
              <w:rPr>
                <w:rFonts w:hint="default" w:ascii="Times New Roman" w:hAnsi="Times New Roman" w:eastAsia="宋体" w:cs="Times New Roman"/>
                <w:kern w:val="0"/>
                <w:sz w:val="20"/>
                <w:szCs w:val="20"/>
                <w:lang w:val="en-US" w:eastAsia="zh-CN" w:bidi="ar"/>
              </w:rPr>
              <w:t>0</w:t>
            </w:r>
          </w:p>
        </w:tc>
        <w:tc>
          <w:tcPr>
            <w:tcW w:w="1265"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left"/>
              <w:rPr>
                <w:rFonts w:hint="default" w:ascii="Times New Roman" w:hAnsi="Times New Roman" w:eastAsia="宋体" w:cs="Times New Roman"/>
                <w:lang w:val="en-US" w:eastAsia="zh-CN"/>
              </w:rPr>
            </w:pPr>
            <w:r>
              <w:rPr>
                <w:rFonts w:hint="default" w:ascii="Times New Roman" w:hAnsi="Times New Roman" w:eastAsia="宋体" w:cs="Times New Roman"/>
                <w:kern w:val="0"/>
                <w:sz w:val="20"/>
                <w:szCs w:val="20"/>
                <w:lang w:val="en-US" w:eastAsia="zh-CN" w:bidi="ar"/>
              </w:rPr>
              <w:t>0</w:t>
            </w:r>
            <w:r>
              <w:rPr>
                <w:rFonts w:hint="default" w:ascii="Times New Roman" w:hAnsi="Times New Roman" w:eastAsia="宋体" w:cs="Times New Roman"/>
                <w:kern w:val="0"/>
                <w:sz w:val="20"/>
                <w:szCs w:val="20"/>
                <w:lang w:bidi="ar"/>
              </w:rPr>
              <w:t>　</w:t>
            </w:r>
          </w:p>
        </w:tc>
        <w:tc>
          <w:tcPr>
            <w:tcW w:w="1881"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left"/>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r>
              <w:rPr>
                <w:rFonts w:hint="default" w:ascii="Times New Roman" w:hAnsi="Times New Roman" w:eastAsia="宋体" w:cs="Times New Roman"/>
                <w:kern w:val="0"/>
                <w:sz w:val="20"/>
                <w:szCs w:val="20"/>
                <w:lang w:bidi="ar"/>
              </w:rPr>
              <w:t>　</w:t>
            </w:r>
          </w:p>
        </w:tc>
      </w:tr>
      <w:tr>
        <w:tblPrEx>
          <w:tblLayout w:type="fixed"/>
          <w:tblCellMar>
            <w:top w:w="0" w:type="dxa"/>
            <w:left w:w="0" w:type="dxa"/>
            <w:bottom w:w="0" w:type="dxa"/>
            <w:right w:w="0"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jc w:val="left"/>
              <w:rPr>
                <w:rFonts w:hint="default" w:ascii="Times New Roman" w:hAnsi="Times New Roman" w:eastAsia="宋体" w:cs="Times New Roman"/>
              </w:rPr>
            </w:pPr>
            <w:r>
              <w:rPr>
                <w:rFonts w:hint="default" w:ascii="Times New Roman" w:hAnsi="Times New Roman" w:eastAsia="宋体" w:cs="Times New Roman"/>
                <w:kern w:val="0"/>
                <w:sz w:val="20"/>
                <w:szCs w:val="20"/>
                <w:lang w:bidi="ar"/>
              </w:rPr>
              <w:t>其他对外管理服务事项</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widowControl/>
              <w:spacing w:after="180"/>
              <w:jc w:val="left"/>
              <w:rPr>
                <w:rFonts w:hint="default" w:ascii="Times New Roman" w:hAnsi="Times New Roman" w:eastAsia="宋体" w:cs="Times New Roman"/>
                <w:lang w:val="en-US" w:eastAsia="zh-CN"/>
              </w:rPr>
            </w:pPr>
            <w:r>
              <w:rPr>
                <w:rFonts w:hint="default" w:ascii="Times New Roman" w:hAnsi="Times New Roman" w:eastAsia="宋体" w:cs="Times New Roman"/>
                <w:kern w:val="0"/>
                <w:sz w:val="20"/>
                <w:szCs w:val="20"/>
                <w:lang w:bidi="ar"/>
              </w:rPr>
              <w:t>　</w:t>
            </w:r>
            <w:r>
              <w:rPr>
                <w:rFonts w:hint="default" w:ascii="Times New Roman" w:hAnsi="Times New Roman" w:eastAsia="宋体" w:cs="Times New Roman"/>
                <w:kern w:val="0"/>
                <w:sz w:val="20"/>
                <w:szCs w:val="20"/>
                <w:lang w:val="en-US" w:eastAsia="zh-CN" w:bidi="ar"/>
              </w:rPr>
              <w:t>0</w:t>
            </w:r>
          </w:p>
        </w:tc>
        <w:tc>
          <w:tcPr>
            <w:tcW w:w="1265"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left"/>
              <w:rPr>
                <w:rFonts w:hint="default" w:ascii="Times New Roman" w:hAnsi="Times New Roman" w:eastAsia="宋体" w:cs="Times New Roman"/>
                <w:lang w:val="en-US" w:eastAsia="zh-CN"/>
              </w:rPr>
            </w:pPr>
            <w:r>
              <w:rPr>
                <w:rFonts w:hint="default" w:ascii="Times New Roman" w:hAnsi="Times New Roman" w:eastAsia="宋体" w:cs="Times New Roman"/>
                <w:kern w:val="0"/>
                <w:sz w:val="20"/>
                <w:szCs w:val="20"/>
                <w:lang w:bidi="ar"/>
              </w:rPr>
              <w:t>　</w:t>
            </w:r>
            <w:r>
              <w:rPr>
                <w:rFonts w:hint="default" w:ascii="Times New Roman" w:hAnsi="Times New Roman" w:eastAsia="宋体" w:cs="Times New Roman"/>
                <w:kern w:val="0"/>
                <w:sz w:val="20"/>
                <w:szCs w:val="20"/>
                <w:lang w:val="en-US" w:eastAsia="zh-CN" w:bidi="ar"/>
              </w:rPr>
              <w:t>0</w:t>
            </w:r>
          </w:p>
        </w:tc>
        <w:tc>
          <w:tcPr>
            <w:tcW w:w="1881"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left"/>
              <w:rPr>
                <w:rFonts w:hint="default" w:ascii="Times New Roman" w:hAnsi="Times New Roman" w:eastAsia="宋体" w:cs="Times New Roman"/>
                <w:lang w:val="en-US" w:eastAsia="zh-CN"/>
              </w:rPr>
            </w:pPr>
            <w:r>
              <w:rPr>
                <w:rFonts w:hint="default" w:ascii="Times New Roman" w:hAnsi="Times New Roman" w:eastAsia="宋体" w:cs="Times New Roman"/>
                <w:kern w:val="0"/>
                <w:sz w:val="20"/>
                <w:szCs w:val="20"/>
                <w:lang w:bidi="ar"/>
              </w:rPr>
              <w:t>　</w:t>
            </w:r>
            <w:r>
              <w:rPr>
                <w:rFonts w:hint="default" w:ascii="Times New Roman" w:hAnsi="Times New Roman" w:eastAsia="宋体" w:cs="Times New Roman"/>
                <w:kern w:val="0"/>
                <w:sz w:val="20"/>
                <w:szCs w:val="20"/>
                <w:lang w:val="en-US" w:eastAsia="zh-CN" w:bidi="ar"/>
              </w:rPr>
              <w:t>0</w:t>
            </w:r>
          </w:p>
        </w:tc>
      </w:tr>
      <w:tr>
        <w:tblPrEx>
          <w:tblLayout w:type="fixed"/>
          <w:tblCellMar>
            <w:top w:w="0" w:type="dxa"/>
            <w:left w:w="0" w:type="dxa"/>
            <w:bottom w:w="0" w:type="dxa"/>
            <w:right w:w="0" w:type="dxa"/>
          </w:tblCellMar>
        </w:tblPrEx>
        <w:trPr>
          <w:trHeight w:val="40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bidi="ar"/>
              </w:rPr>
              <w:t>第二十条第（六）项</w:t>
            </w:r>
          </w:p>
        </w:tc>
      </w:tr>
      <w:tr>
        <w:tblPrEx>
          <w:tblLayout w:type="fixed"/>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bidi="ar"/>
              </w:rPr>
              <w:t>信息内容</w:t>
            </w:r>
          </w:p>
        </w:tc>
        <w:tc>
          <w:tcPr>
            <w:tcW w:w="1875" w:type="dxa"/>
            <w:tcBorders>
              <w:top w:val="single" w:color="auto" w:sz="8" w:space="0"/>
              <w:left w:val="nil"/>
              <w:bottom w:val="single" w:color="auto" w:sz="8" w:space="0"/>
              <w:right w:val="single" w:color="auto" w:sz="8" w:space="0"/>
            </w:tcBorders>
            <w:noWrap/>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bidi="ar"/>
              </w:rPr>
              <w:t>上一年项目数量</w:t>
            </w:r>
          </w:p>
        </w:tc>
        <w:tc>
          <w:tcPr>
            <w:tcW w:w="1271" w:type="dxa"/>
            <w:gridSpan w:val="2"/>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bidi="ar"/>
              </w:rPr>
              <w:t>本年增/减</w:t>
            </w:r>
          </w:p>
        </w:tc>
        <w:tc>
          <w:tcPr>
            <w:tcW w:w="1881"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bidi="ar"/>
              </w:rPr>
              <w:t>处理决定数量</w:t>
            </w:r>
          </w:p>
        </w:tc>
      </w:tr>
      <w:tr>
        <w:tblPrEx>
          <w:tblLayout w:type="fixed"/>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jc w:val="left"/>
              <w:rPr>
                <w:rFonts w:hint="default" w:ascii="Times New Roman" w:hAnsi="Times New Roman" w:eastAsia="宋体" w:cs="Times New Roman"/>
              </w:rPr>
            </w:pPr>
            <w:r>
              <w:rPr>
                <w:rFonts w:hint="default" w:ascii="Times New Roman" w:hAnsi="Times New Roman" w:eastAsia="宋体" w:cs="Times New Roman"/>
                <w:kern w:val="0"/>
                <w:sz w:val="20"/>
                <w:szCs w:val="20"/>
                <w:lang w:bidi="ar"/>
              </w:rPr>
              <w:t>行政处罚</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widowControl/>
              <w:spacing w:after="180"/>
              <w:jc w:val="center"/>
              <w:rPr>
                <w:rFonts w:hint="default" w:ascii="Times New Roman" w:hAnsi="Times New Roman" w:eastAsia="宋体" w:cs="Times New Roman"/>
                <w:lang w:val="en-US" w:eastAsia="zh-CN"/>
              </w:rPr>
            </w:pPr>
            <w:r>
              <w:rPr>
                <w:rFonts w:hint="default" w:ascii="Times New Roman" w:hAnsi="Times New Roman" w:eastAsia="宋体" w:cs="Times New Roman"/>
                <w:kern w:val="0"/>
                <w:sz w:val="20"/>
                <w:szCs w:val="20"/>
                <w:lang w:val="en-US" w:eastAsia="zh-CN" w:bidi="ar"/>
              </w:rPr>
              <w:t>0</w:t>
            </w:r>
          </w:p>
        </w:tc>
        <w:tc>
          <w:tcPr>
            <w:tcW w:w="1265"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1881"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r>
      <w:tr>
        <w:tblPrEx>
          <w:tblLayout w:type="fixed"/>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jc w:val="left"/>
              <w:rPr>
                <w:rFonts w:hint="default" w:ascii="Times New Roman" w:hAnsi="Times New Roman" w:eastAsia="宋体" w:cs="Times New Roman"/>
              </w:rPr>
            </w:pPr>
            <w:r>
              <w:rPr>
                <w:rFonts w:hint="default" w:ascii="Times New Roman" w:hAnsi="Times New Roman" w:eastAsia="宋体" w:cs="Times New Roman"/>
                <w:kern w:val="0"/>
                <w:sz w:val="20"/>
                <w:szCs w:val="20"/>
                <w:lang w:bidi="ar"/>
              </w:rPr>
              <w:t>行政强制</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widowControl/>
              <w:spacing w:after="180"/>
              <w:jc w:val="center"/>
              <w:rPr>
                <w:rFonts w:hint="default" w:ascii="Times New Roman" w:hAnsi="Times New Roman" w:eastAsia="宋体" w:cs="Times New Roman"/>
                <w:lang w:val="en-US" w:eastAsia="zh-CN"/>
              </w:rPr>
            </w:pPr>
            <w:r>
              <w:rPr>
                <w:rFonts w:hint="default" w:ascii="Times New Roman" w:hAnsi="Times New Roman" w:eastAsia="宋体" w:cs="Times New Roman"/>
                <w:kern w:val="0"/>
                <w:sz w:val="20"/>
                <w:szCs w:val="20"/>
                <w:lang w:val="en-US" w:eastAsia="zh-CN" w:bidi="ar"/>
              </w:rPr>
              <w:t>0</w:t>
            </w:r>
          </w:p>
        </w:tc>
        <w:tc>
          <w:tcPr>
            <w:tcW w:w="1265"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center"/>
              <w:rPr>
                <w:rFonts w:hint="default" w:ascii="Times New Roman" w:hAnsi="Times New Roman" w:eastAsia="宋体" w:cs="Times New Roman"/>
                <w:lang w:val="en-US" w:eastAsia="zh-CN"/>
              </w:rPr>
            </w:pPr>
            <w:r>
              <w:rPr>
                <w:rFonts w:hint="default" w:ascii="Times New Roman" w:hAnsi="Times New Roman" w:eastAsia="宋体" w:cs="Times New Roman"/>
                <w:kern w:val="0"/>
                <w:sz w:val="20"/>
                <w:szCs w:val="20"/>
                <w:lang w:val="en-US" w:eastAsia="zh-CN" w:bidi="ar"/>
              </w:rPr>
              <w:t>0</w:t>
            </w:r>
          </w:p>
        </w:tc>
        <w:tc>
          <w:tcPr>
            <w:tcW w:w="1881"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center"/>
              <w:rPr>
                <w:rFonts w:hint="default" w:ascii="Times New Roman" w:hAnsi="Times New Roman" w:eastAsia="宋体" w:cs="Times New Roman"/>
                <w:lang w:val="en-US" w:eastAsia="zh-CN"/>
              </w:rPr>
            </w:pPr>
            <w:r>
              <w:rPr>
                <w:rFonts w:hint="default" w:ascii="Times New Roman" w:hAnsi="Times New Roman" w:eastAsia="宋体" w:cs="Times New Roman"/>
                <w:kern w:val="0"/>
                <w:sz w:val="20"/>
                <w:szCs w:val="20"/>
                <w:lang w:val="en-US" w:eastAsia="zh-CN" w:bidi="ar"/>
              </w:rPr>
              <w:t>0</w:t>
            </w:r>
          </w:p>
        </w:tc>
      </w:tr>
      <w:tr>
        <w:tblPrEx>
          <w:tblLayout w:type="fixed"/>
          <w:tblCellMar>
            <w:top w:w="0" w:type="dxa"/>
            <w:left w:w="0" w:type="dxa"/>
            <w:bottom w:w="0" w:type="dxa"/>
            <w:right w:w="0" w:type="dxa"/>
          </w:tblCellMar>
        </w:tblPrEx>
        <w:trPr>
          <w:trHeight w:val="474"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bidi="ar"/>
              </w:rPr>
              <w:t>第二十条第（八）项</w:t>
            </w:r>
          </w:p>
        </w:tc>
      </w:tr>
      <w:tr>
        <w:tblPrEx>
          <w:tblLayout w:type="fixed"/>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bidi="ar"/>
              </w:rPr>
              <w:t>信息内容</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widowControl/>
              <w:spacing w:after="180"/>
              <w:jc w:val="left"/>
              <w:rPr>
                <w:rFonts w:hint="default" w:ascii="Times New Roman" w:hAnsi="Times New Roman" w:eastAsia="宋体" w:cs="Times New Roman"/>
              </w:rPr>
            </w:pPr>
            <w:r>
              <w:rPr>
                <w:rFonts w:hint="default" w:ascii="Times New Roman" w:hAnsi="Times New Roman" w:eastAsia="宋体" w:cs="Times New Roman"/>
                <w:kern w:val="0"/>
                <w:sz w:val="20"/>
                <w:szCs w:val="20"/>
                <w:lang w:bidi="ar"/>
              </w:rPr>
              <w:t>上一年项目数量</w:t>
            </w:r>
          </w:p>
        </w:tc>
        <w:tc>
          <w:tcPr>
            <w:tcW w:w="3146" w:type="dxa"/>
            <w:gridSpan w:val="2"/>
            <w:tcBorders>
              <w:top w:val="single" w:color="auto" w:sz="8" w:space="0"/>
              <w:left w:val="nil"/>
              <w:bottom w:val="single" w:color="auto" w:sz="8" w:space="0"/>
              <w:right w:val="single" w:color="000000" w:sz="8" w:space="0"/>
            </w:tcBorders>
            <w:noWrap/>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bidi="ar"/>
              </w:rPr>
              <w:t>本年增/减</w:t>
            </w:r>
          </w:p>
        </w:tc>
      </w:tr>
      <w:tr>
        <w:tblPrEx>
          <w:tblLayout w:type="fixed"/>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jc w:val="left"/>
              <w:rPr>
                <w:rFonts w:hint="default" w:ascii="Times New Roman" w:hAnsi="Times New Roman" w:eastAsia="宋体" w:cs="Times New Roman"/>
              </w:rPr>
            </w:pPr>
            <w:r>
              <w:rPr>
                <w:rFonts w:hint="default" w:ascii="Times New Roman" w:hAnsi="Times New Roman" w:eastAsia="宋体" w:cs="Times New Roman"/>
                <w:kern w:val="0"/>
                <w:sz w:val="20"/>
                <w:szCs w:val="20"/>
                <w:lang w:bidi="ar"/>
              </w:rPr>
              <w:t>行政事业性收费</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widowControl/>
              <w:spacing w:after="180"/>
              <w:jc w:val="center"/>
              <w:rPr>
                <w:rFonts w:hint="default" w:ascii="Times New Roman" w:hAnsi="Times New Roman" w:eastAsia="宋体" w:cs="Times New Roman"/>
                <w:lang w:val="en-US" w:eastAsia="zh-CN"/>
              </w:rPr>
            </w:pPr>
            <w:r>
              <w:rPr>
                <w:rFonts w:hint="default" w:ascii="Times New Roman" w:hAnsi="Times New Roman" w:eastAsia="宋体" w:cs="Times New Roman"/>
                <w:kern w:val="0"/>
                <w:sz w:val="20"/>
                <w:szCs w:val="20"/>
                <w:lang w:val="en-US" w:eastAsia="zh-CN" w:bidi="ar"/>
              </w:rPr>
              <w:t>0</w:t>
            </w:r>
          </w:p>
        </w:tc>
        <w:tc>
          <w:tcPr>
            <w:tcW w:w="3146" w:type="dxa"/>
            <w:gridSpan w:val="2"/>
            <w:tcBorders>
              <w:top w:val="nil"/>
              <w:left w:val="nil"/>
              <w:bottom w:val="single" w:color="auto" w:sz="8" w:space="0"/>
              <w:right w:val="single" w:color="000000" w:sz="8" w:space="0"/>
            </w:tcBorders>
            <w:noWrap/>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r>
      <w:tr>
        <w:tblPrEx>
          <w:tblLayout w:type="fixed"/>
          <w:tblCellMar>
            <w:top w:w="0" w:type="dxa"/>
            <w:left w:w="0" w:type="dxa"/>
            <w:bottom w:w="0" w:type="dxa"/>
            <w:right w:w="0" w:type="dxa"/>
          </w:tblCellMar>
        </w:tblPrEx>
        <w:trPr>
          <w:trHeight w:val="47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bidi="ar"/>
              </w:rPr>
              <w:t>第二十条第（九）项</w:t>
            </w:r>
          </w:p>
        </w:tc>
      </w:tr>
      <w:tr>
        <w:tblPrEx>
          <w:tblLayout w:type="fixed"/>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bidi="ar"/>
              </w:rPr>
              <w:t>信息内容</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bidi="ar"/>
              </w:rPr>
              <w:t>采购项目数量</w:t>
            </w:r>
          </w:p>
        </w:tc>
        <w:tc>
          <w:tcPr>
            <w:tcW w:w="3146" w:type="dxa"/>
            <w:gridSpan w:val="2"/>
            <w:tcBorders>
              <w:top w:val="single" w:color="auto" w:sz="8" w:space="0"/>
              <w:left w:val="nil"/>
              <w:bottom w:val="single" w:color="auto" w:sz="8" w:space="0"/>
              <w:right w:val="single" w:color="000000" w:sz="8" w:space="0"/>
            </w:tcBorders>
            <w:noWrap/>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bidi="ar"/>
              </w:rPr>
              <w:t>采购总金额</w:t>
            </w:r>
          </w:p>
        </w:tc>
      </w:tr>
      <w:tr>
        <w:tblPrEx>
          <w:tblLayout w:type="fixed"/>
          <w:tblCellMar>
            <w:top w:w="0" w:type="dxa"/>
            <w:left w:w="0" w:type="dxa"/>
            <w:bottom w:w="0" w:type="dxa"/>
            <w:right w:w="0"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after="180"/>
              <w:jc w:val="left"/>
              <w:rPr>
                <w:rFonts w:hint="default" w:ascii="Times New Roman" w:hAnsi="Times New Roman" w:eastAsia="宋体" w:cs="Times New Roman"/>
              </w:rPr>
            </w:pPr>
            <w:r>
              <w:rPr>
                <w:rFonts w:hint="default" w:ascii="Times New Roman" w:hAnsi="Times New Roman" w:eastAsia="宋体" w:cs="Times New Roman"/>
                <w:kern w:val="0"/>
                <w:sz w:val="20"/>
                <w:szCs w:val="20"/>
                <w:lang w:bidi="ar"/>
              </w:rPr>
              <w:t>政府集中采购</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widowControl/>
              <w:spacing w:after="180"/>
              <w:jc w:val="center"/>
              <w:rPr>
                <w:rFonts w:hint="eastAsia" w:ascii="Times New Roman" w:hAnsi="Times New Roman" w:eastAsia="宋体" w:cs="Times New Roman"/>
                <w:lang w:val="en-US" w:eastAsia="zh-CN"/>
              </w:rPr>
            </w:pPr>
            <w:r>
              <w:rPr>
                <w:rFonts w:hint="eastAsia" w:ascii="Times New Roman" w:hAnsi="Times New Roman" w:eastAsia="宋体" w:cs="Times New Roman"/>
                <w:kern w:val="0"/>
                <w:sz w:val="20"/>
                <w:szCs w:val="20"/>
                <w:lang w:val="en-US" w:eastAsia="zh-CN" w:bidi="ar"/>
              </w:rPr>
              <w:t>5</w:t>
            </w:r>
          </w:p>
        </w:tc>
        <w:tc>
          <w:tcPr>
            <w:tcW w:w="3146" w:type="dxa"/>
            <w:gridSpan w:val="2"/>
            <w:tcBorders>
              <w:top w:val="nil"/>
              <w:left w:val="nil"/>
              <w:bottom w:val="single" w:color="auto" w:sz="8" w:space="0"/>
              <w:right w:val="single" w:color="000000" w:sz="8" w:space="0"/>
            </w:tcBorders>
            <w:noWrap/>
            <w:tcMar>
              <w:left w:w="108" w:type="dxa"/>
              <w:right w:w="108" w:type="dxa"/>
            </w:tcMar>
            <w:vAlign w:val="center"/>
          </w:tcPr>
          <w:p>
            <w:pPr>
              <w:jc w:val="center"/>
              <w:rPr>
                <w:rFonts w:hint="default" w:ascii="Times New Roman" w:hAnsi="Times New Roman" w:eastAsia="宋体" w:cs="Times New Roman"/>
                <w:sz w:val="24"/>
              </w:rPr>
            </w:pPr>
            <w:r>
              <w:rPr>
                <w:rFonts w:hint="default" w:ascii="Times New Roman" w:hAnsi="Times New Roman" w:eastAsia="宋体" w:cs="Times New Roman"/>
                <w:sz w:val="24"/>
              </w:rPr>
              <w:t>1396218</w:t>
            </w:r>
          </w:p>
        </w:tc>
      </w:tr>
    </w:tbl>
    <w:p>
      <w:pPr>
        <w:pStyle w:val="2"/>
        <w:widowControl/>
        <w:shd w:val="clear" w:color="auto" w:fill="FFFFFF"/>
        <w:spacing w:before="0" w:beforeAutospacing="0" w:after="0" w:afterAutospacing="0"/>
        <w:ind w:firstLine="420"/>
        <w:jc w:val="both"/>
        <w:rPr>
          <w:rFonts w:hint="default" w:ascii="Times New Roman" w:hAnsi="Times New Roman" w:eastAsia="宋体" w:cs="Times New Roma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方正大黑简体" w:hAnsi="方正大黑简体" w:eastAsia="方正大黑简体" w:cs="方正大黑简体"/>
          <w:b/>
          <w:bCs/>
          <w:sz w:val="32"/>
          <w:szCs w:val="32"/>
          <w:lang w:val="en-US" w:eastAsia="zh-CN"/>
        </w:rPr>
      </w:pPr>
      <w:r>
        <w:rPr>
          <w:rFonts w:hint="default" w:ascii="方正大黑简体" w:hAnsi="方正大黑简体" w:eastAsia="方正大黑简体" w:cs="方正大黑简体"/>
          <w:b/>
          <w:bCs/>
          <w:sz w:val="32"/>
          <w:szCs w:val="32"/>
          <w:lang w:val="en-US" w:eastAsia="zh-CN"/>
        </w:rPr>
        <w:t>三、收到和处理政府信息公开申请情况</w:t>
      </w:r>
    </w:p>
    <w:tbl>
      <w:tblPr>
        <w:tblStyle w:val="3"/>
        <w:tblW w:w="9071"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6"/>
        <w:gridCol w:w="854"/>
        <w:gridCol w:w="2086"/>
        <w:gridCol w:w="813"/>
        <w:gridCol w:w="755"/>
        <w:gridCol w:w="755"/>
        <w:gridCol w:w="813"/>
        <w:gridCol w:w="973"/>
        <w:gridCol w:w="711"/>
        <w:gridCol w:w="6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56" w:type="dxa"/>
            <w:gridSpan w:val="3"/>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bidi="ar"/>
              </w:rPr>
              <w:t>（本列数据的勾稽关系为：第一项加第二项之和，等于第三项加第四项之和）</w:t>
            </w:r>
          </w:p>
        </w:tc>
        <w:tc>
          <w:tcPr>
            <w:tcW w:w="5515" w:type="dxa"/>
            <w:gridSpan w:val="7"/>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56"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default" w:ascii="Times New Roman" w:hAnsi="Times New Roman" w:eastAsia="宋体" w:cs="Times New Roman"/>
                <w:sz w:val="24"/>
              </w:rPr>
            </w:pPr>
          </w:p>
        </w:tc>
        <w:tc>
          <w:tcPr>
            <w:tcW w:w="813" w:type="dxa"/>
            <w:vMerge w:val="restart"/>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bidi="ar"/>
              </w:rPr>
              <w:t>自然人</w:t>
            </w:r>
          </w:p>
        </w:tc>
        <w:tc>
          <w:tcPr>
            <w:tcW w:w="400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bidi="ar"/>
              </w:rPr>
              <w:t>法人或其他组织</w:t>
            </w:r>
          </w:p>
        </w:tc>
        <w:tc>
          <w:tcPr>
            <w:tcW w:w="695"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56"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default" w:ascii="Times New Roman" w:hAnsi="Times New Roman" w:eastAsia="宋体" w:cs="Times New Roman"/>
                <w:sz w:val="24"/>
              </w:rPr>
            </w:pPr>
          </w:p>
        </w:tc>
        <w:tc>
          <w:tcPr>
            <w:tcW w:w="813"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default" w:ascii="Times New Roman" w:hAnsi="Times New Roman" w:eastAsia="宋体" w:cs="Times New Roman"/>
                <w:sz w:val="24"/>
              </w:rPr>
            </w:pPr>
          </w:p>
        </w:tc>
        <w:tc>
          <w:tcPr>
            <w:tcW w:w="75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bidi="ar"/>
              </w:rPr>
              <w:t>商业企业</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bidi="ar"/>
              </w:rPr>
              <w:t>科研机构</w:t>
            </w:r>
          </w:p>
        </w:tc>
        <w:tc>
          <w:tcPr>
            <w:tcW w:w="813"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bidi="ar"/>
              </w:rPr>
              <w:t>社会公益组织</w:t>
            </w:r>
          </w:p>
        </w:tc>
        <w:tc>
          <w:tcPr>
            <w:tcW w:w="973"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bidi="ar"/>
              </w:rPr>
              <w:t>法律服务机构</w:t>
            </w:r>
          </w:p>
        </w:tc>
        <w:tc>
          <w:tcPr>
            <w:tcW w:w="711"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bidi="ar"/>
              </w:rPr>
              <w:t>其他</w:t>
            </w:r>
          </w:p>
        </w:tc>
        <w:tc>
          <w:tcPr>
            <w:tcW w:w="695"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default" w:ascii="Times New Roman" w:hAnsi="Times New Roman" w:eastAsia="宋体" w:cs="Times New Roman"/>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56"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after="180"/>
              <w:jc w:val="left"/>
              <w:rPr>
                <w:rFonts w:hint="default" w:ascii="Times New Roman" w:hAnsi="Times New Roman" w:eastAsia="宋体" w:cs="Times New Roman"/>
              </w:rPr>
            </w:pPr>
            <w:r>
              <w:rPr>
                <w:rFonts w:hint="default" w:ascii="Times New Roman" w:hAnsi="Times New Roman" w:eastAsia="宋体" w:cs="Times New Roman"/>
                <w:kern w:val="0"/>
                <w:sz w:val="20"/>
                <w:szCs w:val="20"/>
                <w:lang w:bidi="ar"/>
              </w:rPr>
              <w:t>一、本年新收政府信息公开申请数量</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lang w:val="en-US" w:eastAsia="zh-CN"/>
              </w:rPr>
            </w:pPr>
            <w:r>
              <w:rPr>
                <w:rFonts w:hint="default" w:ascii="Times New Roman" w:hAnsi="Times New Roman" w:eastAsia="宋体" w:cs="Times New Roman"/>
                <w:kern w:val="0"/>
                <w:sz w:val="20"/>
                <w:szCs w:val="20"/>
                <w:lang w:val="en-US" w:eastAsia="zh-CN" w:bidi="ar"/>
              </w:rPr>
              <w:t>5</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lang w:val="en-US" w:eastAsia="zh-CN"/>
              </w:rPr>
            </w:pPr>
            <w:r>
              <w:rPr>
                <w:rFonts w:hint="default" w:ascii="Times New Roman" w:hAnsi="Times New Roman" w:eastAsia="宋体" w:cs="Times New Roman"/>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lang w:val="en-US" w:eastAsia="zh-CN"/>
              </w:rPr>
            </w:pPr>
            <w:r>
              <w:rPr>
                <w:rFonts w:hint="default" w:ascii="Times New Roman" w:hAnsi="Times New Roman" w:eastAsia="宋体" w:cs="Times New Roman"/>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56"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after="180"/>
              <w:jc w:val="left"/>
              <w:rPr>
                <w:rFonts w:hint="default" w:ascii="Times New Roman" w:hAnsi="Times New Roman" w:eastAsia="宋体" w:cs="Times New Roman"/>
              </w:rPr>
            </w:pPr>
            <w:r>
              <w:rPr>
                <w:rFonts w:hint="default" w:ascii="Times New Roman" w:hAnsi="Times New Roman" w:eastAsia="宋体" w:cs="Times New Roman"/>
                <w:kern w:val="0"/>
                <w:sz w:val="20"/>
                <w:szCs w:val="20"/>
                <w:lang w:bidi="ar"/>
              </w:rPr>
              <w:t>二、上年结转政府信息公开申请数量</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bidi="ar"/>
              </w:rPr>
              <w:t>三、本年度办理结果</w:t>
            </w:r>
          </w:p>
        </w:tc>
        <w:tc>
          <w:tcPr>
            <w:tcW w:w="2940" w:type="dxa"/>
            <w:gridSpan w:val="2"/>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rPr>
                <w:rFonts w:hint="default" w:ascii="Times New Roman" w:hAnsi="Times New Roman" w:eastAsia="宋体" w:cs="Times New Roman"/>
              </w:rPr>
            </w:pPr>
            <w:r>
              <w:rPr>
                <w:rFonts w:hint="default" w:ascii="Times New Roman" w:hAnsi="Times New Roman" w:eastAsia="楷体" w:cs="Times New Roman"/>
                <w:kern w:val="0"/>
                <w:sz w:val="20"/>
                <w:szCs w:val="20"/>
                <w:lang w:bidi="ar"/>
              </w:rPr>
              <w:t>（一）予以公开</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5</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69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default" w:ascii="Times New Roman" w:hAnsi="Times New Roman" w:eastAsia="宋体" w:cs="Times New Roman"/>
                <w:sz w:val="24"/>
              </w:rPr>
            </w:pPr>
          </w:p>
        </w:tc>
        <w:tc>
          <w:tcPr>
            <w:tcW w:w="2940" w:type="dxa"/>
            <w:gridSpan w:val="2"/>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rPr>
                <w:rFonts w:hint="default" w:ascii="Times New Roman" w:hAnsi="Times New Roman" w:eastAsia="宋体" w:cs="Times New Roman"/>
              </w:rPr>
            </w:pPr>
            <w:r>
              <w:rPr>
                <w:rFonts w:hint="default" w:ascii="Times New Roman" w:hAnsi="Times New Roman" w:eastAsia="楷体" w:cs="Times New Roman"/>
                <w:kern w:val="0"/>
                <w:sz w:val="20"/>
                <w:szCs w:val="20"/>
                <w:lang w:bidi="ar"/>
              </w:rPr>
              <w:t>（二）部分公开（区分处理的，只计这一情形，不计其他情形）</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default" w:ascii="Times New Roman" w:hAnsi="Times New Roman" w:eastAsia="宋体" w:cs="Times New Roman"/>
                <w:sz w:val="24"/>
              </w:rPr>
            </w:pPr>
          </w:p>
        </w:tc>
        <w:tc>
          <w:tcPr>
            <w:tcW w:w="854" w:type="dxa"/>
            <w:vMerge w:val="restart"/>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rPr>
                <w:rFonts w:hint="default" w:ascii="Times New Roman" w:hAnsi="Times New Roman" w:eastAsia="宋体" w:cs="Times New Roman"/>
              </w:rPr>
            </w:pPr>
            <w:r>
              <w:rPr>
                <w:rFonts w:hint="default" w:ascii="Times New Roman" w:hAnsi="Times New Roman" w:eastAsia="楷体" w:cs="Times New Roman"/>
                <w:kern w:val="0"/>
                <w:sz w:val="20"/>
                <w:szCs w:val="20"/>
                <w:lang w:bidi="ar"/>
              </w:rPr>
              <w:t>（三）不予公开</w:t>
            </w:r>
          </w:p>
        </w:tc>
        <w:tc>
          <w:tcPr>
            <w:tcW w:w="208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rPr>
                <w:rFonts w:hint="default" w:ascii="Times New Roman" w:hAnsi="Times New Roman" w:eastAsia="宋体" w:cs="Times New Roman"/>
              </w:rPr>
            </w:pPr>
            <w:r>
              <w:rPr>
                <w:rFonts w:hint="default" w:ascii="Times New Roman" w:hAnsi="Times New Roman" w:eastAsia="楷体" w:cs="Times New Roman"/>
                <w:kern w:val="0"/>
                <w:sz w:val="20"/>
                <w:szCs w:val="20"/>
                <w:lang w:bidi="ar"/>
              </w:rPr>
              <w:t>1.属于国家秘密</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69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default" w:ascii="Times New Roman" w:hAnsi="Times New Roman" w:eastAsia="宋体" w:cs="Times New Roman"/>
                <w:sz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default" w:ascii="Times New Roman" w:hAnsi="Times New Roman" w:eastAsia="宋体" w:cs="Times New Roman"/>
                <w:sz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rPr>
                <w:rFonts w:hint="default" w:ascii="Times New Roman" w:hAnsi="Times New Roman" w:eastAsia="宋体" w:cs="Times New Roman"/>
              </w:rPr>
            </w:pPr>
            <w:r>
              <w:rPr>
                <w:rFonts w:hint="default" w:ascii="Times New Roman" w:hAnsi="Times New Roman" w:eastAsia="楷体" w:cs="Times New Roman"/>
                <w:kern w:val="0"/>
                <w:sz w:val="20"/>
                <w:szCs w:val="20"/>
                <w:lang w:bidi="ar"/>
              </w:rPr>
              <w:t>2.其他法律行政法规禁止公开</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default" w:ascii="Times New Roman" w:hAnsi="Times New Roman" w:eastAsia="宋体" w:cs="Times New Roman"/>
                <w:sz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default" w:ascii="Times New Roman" w:hAnsi="Times New Roman" w:eastAsia="宋体" w:cs="Times New Roman"/>
                <w:sz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rPr>
                <w:rFonts w:hint="default" w:ascii="Times New Roman" w:hAnsi="Times New Roman" w:eastAsia="宋体" w:cs="Times New Roman"/>
              </w:rPr>
            </w:pPr>
            <w:r>
              <w:rPr>
                <w:rFonts w:hint="default" w:ascii="Times New Roman" w:hAnsi="Times New Roman" w:eastAsia="楷体" w:cs="Times New Roman"/>
                <w:kern w:val="0"/>
                <w:sz w:val="20"/>
                <w:szCs w:val="20"/>
                <w:lang w:bidi="ar"/>
              </w:rPr>
              <w:t>3.危及“三安全一稳定”</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default" w:ascii="Times New Roman" w:hAnsi="Times New Roman" w:eastAsia="宋体" w:cs="Times New Roman"/>
                <w:sz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default" w:ascii="Times New Roman" w:hAnsi="Times New Roman" w:eastAsia="宋体" w:cs="Times New Roman"/>
                <w:sz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rPr>
                <w:rFonts w:hint="default" w:ascii="Times New Roman" w:hAnsi="Times New Roman" w:eastAsia="宋体" w:cs="Times New Roman"/>
              </w:rPr>
            </w:pPr>
            <w:r>
              <w:rPr>
                <w:rFonts w:hint="default" w:ascii="Times New Roman" w:hAnsi="Times New Roman" w:eastAsia="楷体" w:cs="Times New Roman"/>
                <w:kern w:val="0"/>
                <w:sz w:val="20"/>
                <w:szCs w:val="20"/>
                <w:lang w:bidi="ar"/>
              </w:rPr>
              <w:t>4.保护第三方合法权益</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default" w:ascii="Times New Roman" w:hAnsi="Times New Roman" w:eastAsia="宋体" w:cs="Times New Roman"/>
                <w:sz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default" w:ascii="Times New Roman" w:hAnsi="Times New Roman" w:eastAsia="宋体" w:cs="Times New Roman"/>
                <w:sz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rPr>
                <w:rFonts w:hint="default" w:ascii="Times New Roman" w:hAnsi="Times New Roman" w:eastAsia="宋体" w:cs="Times New Roman"/>
              </w:rPr>
            </w:pPr>
            <w:r>
              <w:rPr>
                <w:rFonts w:hint="default" w:ascii="Times New Roman" w:hAnsi="Times New Roman" w:eastAsia="楷体" w:cs="Times New Roman"/>
                <w:kern w:val="0"/>
                <w:sz w:val="20"/>
                <w:szCs w:val="20"/>
                <w:lang w:bidi="ar"/>
              </w:rPr>
              <w:t>5.属于三类内部事务信息</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default" w:ascii="Times New Roman" w:hAnsi="Times New Roman" w:eastAsia="宋体" w:cs="Times New Roman"/>
                <w:sz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default" w:ascii="Times New Roman" w:hAnsi="Times New Roman" w:eastAsia="宋体" w:cs="Times New Roman"/>
                <w:sz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rPr>
                <w:rFonts w:hint="default" w:ascii="Times New Roman" w:hAnsi="Times New Roman" w:eastAsia="宋体" w:cs="Times New Roman"/>
              </w:rPr>
            </w:pPr>
            <w:r>
              <w:rPr>
                <w:rFonts w:hint="default" w:ascii="Times New Roman" w:hAnsi="Times New Roman" w:eastAsia="楷体" w:cs="Times New Roman"/>
                <w:kern w:val="0"/>
                <w:sz w:val="20"/>
                <w:szCs w:val="20"/>
                <w:lang w:bidi="ar"/>
              </w:rPr>
              <w:t>6.属于四类过程性信息</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default" w:ascii="Times New Roman" w:hAnsi="Times New Roman" w:eastAsia="宋体" w:cs="Times New Roman"/>
                <w:sz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default" w:ascii="Times New Roman" w:hAnsi="Times New Roman" w:eastAsia="宋体" w:cs="Times New Roman"/>
                <w:sz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rPr>
                <w:rFonts w:hint="default" w:ascii="Times New Roman" w:hAnsi="Times New Roman" w:eastAsia="宋体" w:cs="Times New Roman"/>
              </w:rPr>
            </w:pPr>
            <w:r>
              <w:rPr>
                <w:rFonts w:hint="default" w:ascii="Times New Roman" w:hAnsi="Times New Roman" w:eastAsia="楷体" w:cs="Times New Roman"/>
                <w:kern w:val="0"/>
                <w:sz w:val="20"/>
                <w:szCs w:val="20"/>
                <w:lang w:bidi="ar"/>
              </w:rPr>
              <w:t>7.属于行政执法案卷</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default" w:ascii="Times New Roman" w:hAnsi="Times New Roman" w:eastAsia="宋体" w:cs="Times New Roman"/>
                <w:sz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default" w:ascii="Times New Roman" w:hAnsi="Times New Roman" w:eastAsia="宋体" w:cs="Times New Roman"/>
                <w:sz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rPr>
                <w:rFonts w:hint="default" w:ascii="Times New Roman" w:hAnsi="Times New Roman" w:eastAsia="宋体" w:cs="Times New Roman"/>
              </w:rPr>
            </w:pPr>
            <w:r>
              <w:rPr>
                <w:rFonts w:hint="default" w:ascii="Times New Roman" w:hAnsi="Times New Roman" w:eastAsia="楷体" w:cs="Times New Roman"/>
                <w:kern w:val="0"/>
                <w:sz w:val="20"/>
                <w:szCs w:val="20"/>
                <w:lang w:bidi="ar"/>
              </w:rPr>
              <w:t>8.属于行政查询事项</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default" w:ascii="Times New Roman" w:hAnsi="Times New Roman" w:eastAsia="宋体" w:cs="Times New Roman"/>
                <w:sz w:val="24"/>
              </w:rPr>
            </w:pPr>
          </w:p>
        </w:tc>
        <w:tc>
          <w:tcPr>
            <w:tcW w:w="854" w:type="dxa"/>
            <w:vMerge w:val="restart"/>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rPr>
                <w:rFonts w:hint="default" w:ascii="Times New Roman" w:hAnsi="Times New Roman" w:eastAsia="宋体" w:cs="Times New Roman"/>
              </w:rPr>
            </w:pPr>
            <w:r>
              <w:rPr>
                <w:rFonts w:hint="default" w:ascii="Times New Roman" w:hAnsi="Times New Roman" w:eastAsia="楷体" w:cs="Times New Roman"/>
                <w:kern w:val="0"/>
                <w:sz w:val="20"/>
                <w:szCs w:val="20"/>
                <w:lang w:bidi="ar"/>
              </w:rPr>
              <w:t>（四）无法提供</w:t>
            </w:r>
          </w:p>
        </w:tc>
        <w:tc>
          <w:tcPr>
            <w:tcW w:w="208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rPr>
                <w:rFonts w:hint="default" w:ascii="Times New Roman" w:hAnsi="Times New Roman" w:eastAsia="宋体" w:cs="Times New Roman"/>
              </w:rPr>
            </w:pPr>
            <w:r>
              <w:rPr>
                <w:rFonts w:hint="default" w:ascii="Times New Roman" w:hAnsi="Times New Roman" w:eastAsia="楷体" w:cs="Times New Roman"/>
                <w:kern w:val="0"/>
                <w:sz w:val="20"/>
                <w:szCs w:val="20"/>
                <w:lang w:bidi="ar"/>
              </w:rPr>
              <w:t>1.本机关不掌握相关政府信息</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default" w:ascii="Times New Roman" w:hAnsi="Times New Roman" w:eastAsia="宋体" w:cs="Times New Roman"/>
                <w:sz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default" w:ascii="Times New Roman" w:hAnsi="Times New Roman" w:eastAsia="宋体" w:cs="Times New Roman"/>
                <w:sz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rPr>
                <w:rFonts w:hint="default" w:ascii="Times New Roman" w:hAnsi="Times New Roman" w:eastAsia="宋体" w:cs="Times New Roman"/>
              </w:rPr>
            </w:pPr>
            <w:r>
              <w:rPr>
                <w:rFonts w:hint="default" w:ascii="Times New Roman" w:hAnsi="Times New Roman" w:eastAsia="楷体" w:cs="Times New Roman"/>
                <w:kern w:val="0"/>
                <w:sz w:val="20"/>
                <w:szCs w:val="20"/>
                <w:lang w:bidi="ar"/>
              </w:rPr>
              <w:t>2.没有现成信息需要另行制作</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default" w:ascii="Times New Roman" w:hAnsi="Times New Roman" w:eastAsia="宋体" w:cs="Times New Roman"/>
                <w:sz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default" w:ascii="Times New Roman" w:hAnsi="Times New Roman" w:eastAsia="宋体" w:cs="Times New Roman"/>
                <w:sz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rPr>
                <w:rFonts w:hint="default" w:ascii="Times New Roman" w:hAnsi="Times New Roman" w:eastAsia="宋体" w:cs="Times New Roman"/>
              </w:rPr>
            </w:pPr>
            <w:r>
              <w:rPr>
                <w:rFonts w:hint="default" w:ascii="Times New Roman" w:hAnsi="Times New Roman" w:eastAsia="楷体" w:cs="Times New Roman"/>
                <w:kern w:val="0"/>
                <w:sz w:val="20"/>
                <w:szCs w:val="20"/>
                <w:lang w:bidi="ar"/>
              </w:rPr>
              <w:t>3.补正后申请内容仍不明确</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default" w:ascii="Times New Roman" w:hAnsi="Times New Roman" w:eastAsia="宋体" w:cs="Times New Roman"/>
                <w:sz w:val="24"/>
              </w:rPr>
            </w:pPr>
          </w:p>
        </w:tc>
        <w:tc>
          <w:tcPr>
            <w:tcW w:w="854" w:type="dxa"/>
            <w:vMerge w:val="restart"/>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rPr>
                <w:rFonts w:hint="default" w:ascii="Times New Roman" w:hAnsi="Times New Roman" w:eastAsia="宋体" w:cs="Times New Roman"/>
              </w:rPr>
            </w:pPr>
            <w:r>
              <w:rPr>
                <w:rFonts w:hint="default" w:ascii="Times New Roman" w:hAnsi="Times New Roman" w:eastAsia="楷体" w:cs="Times New Roman"/>
                <w:kern w:val="0"/>
                <w:sz w:val="20"/>
                <w:szCs w:val="20"/>
                <w:lang w:bidi="ar"/>
              </w:rPr>
              <w:t>（五）不予处理</w:t>
            </w:r>
          </w:p>
        </w:tc>
        <w:tc>
          <w:tcPr>
            <w:tcW w:w="208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rPr>
                <w:rFonts w:hint="default" w:ascii="Times New Roman" w:hAnsi="Times New Roman" w:eastAsia="宋体" w:cs="Times New Roman"/>
              </w:rPr>
            </w:pPr>
            <w:r>
              <w:rPr>
                <w:rFonts w:hint="default" w:ascii="Times New Roman" w:hAnsi="Times New Roman" w:eastAsia="楷体" w:cs="Times New Roman"/>
                <w:kern w:val="0"/>
                <w:sz w:val="20"/>
                <w:szCs w:val="20"/>
                <w:lang w:bidi="ar"/>
              </w:rPr>
              <w:t>1.信访举报投诉类申请</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default" w:ascii="Times New Roman" w:hAnsi="Times New Roman" w:eastAsia="宋体" w:cs="Times New Roman"/>
                <w:sz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default" w:ascii="Times New Roman" w:hAnsi="Times New Roman" w:eastAsia="宋体" w:cs="Times New Roman"/>
                <w:sz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rPr>
                <w:rFonts w:hint="default" w:ascii="Times New Roman" w:hAnsi="Times New Roman" w:eastAsia="宋体" w:cs="Times New Roman"/>
              </w:rPr>
            </w:pPr>
            <w:r>
              <w:rPr>
                <w:rFonts w:hint="default" w:ascii="Times New Roman" w:hAnsi="Times New Roman" w:eastAsia="楷体" w:cs="Times New Roman"/>
                <w:kern w:val="0"/>
                <w:sz w:val="20"/>
                <w:szCs w:val="20"/>
                <w:lang w:bidi="ar"/>
              </w:rPr>
              <w:t>2.重复申请</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default" w:ascii="Times New Roman" w:hAnsi="Times New Roman" w:eastAsia="宋体" w:cs="Times New Roman"/>
                <w:sz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default" w:ascii="Times New Roman" w:hAnsi="Times New Roman" w:eastAsia="宋体" w:cs="Times New Roman"/>
                <w:sz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rPr>
                <w:rFonts w:hint="default" w:ascii="Times New Roman" w:hAnsi="Times New Roman" w:eastAsia="宋体" w:cs="Times New Roman"/>
              </w:rPr>
            </w:pPr>
            <w:r>
              <w:rPr>
                <w:rFonts w:hint="default" w:ascii="Times New Roman" w:hAnsi="Times New Roman" w:eastAsia="楷体" w:cs="Times New Roman"/>
                <w:kern w:val="0"/>
                <w:sz w:val="20"/>
                <w:szCs w:val="20"/>
                <w:lang w:bidi="ar"/>
              </w:rPr>
              <w:t>3.要求提供公开出版物</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default" w:ascii="Times New Roman" w:hAnsi="Times New Roman" w:eastAsia="宋体" w:cs="Times New Roman"/>
                <w:sz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default" w:ascii="Times New Roman" w:hAnsi="Times New Roman" w:eastAsia="宋体" w:cs="Times New Roman"/>
                <w:sz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rPr>
                <w:rFonts w:hint="default" w:ascii="Times New Roman" w:hAnsi="Times New Roman" w:eastAsia="宋体" w:cs="Times New Roman"/>
              </w:rPr>
            </w:pPr>
            <w:r>
              <w:rPr>
                <w:rFonts w:hint="default" w:ascii="Times New Roman" w:hAnsi="Times New Roman" w:eastAsia="楷体" w:cs="Times New Roman"/>
                <w:kern w:val="0"/>
                <w:sz w:val="20"/>
                <w:szCs w:val="20"/>
                <w:lang w:bidi="ar"/>
              </w:rPr>
              <w:t>4.无正当理由大量反复申请</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default" w:ascii="Times New Roman" w:hAnsi="Times New Roman" w:eastAsia="宋体" w:cs="Times New Roman"/>
                <w:sz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default" w:ascii="Times New Roman" w:hAnsi="Times New Roman" w:eastAsia="宋体" w:cs="Times New Roman"/>
                <w:sz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rPr>
                <w:rFonts w:hint="default" w:ascii="Times New Roman" w:hAnsi="Times New Roman" w:eastAsia="宋体" w:cs="Times New Roman"/>
              </w:rPr>
            </w:pPr>
            <w:r>
              <w:rPr>
                <w:rFonts w:hint="default" w:ascii="Times New Roman" w:hAnsi="Times New Roman" w:eastAsia="楷体" w:cs="Times New Roman"/>
                <w:kern w:val="0"/>
                <w:sz w:val="20"/>
                <w:szCs w:val="20"/>
                <w:lang w:bidi="ar"/>
              </w:rPr>
              <w:t>5.要求行政机关确认或重新出具已获取信息</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default" w:ascii="Times New Roman" w:hAnsi="Times New Roman" w:eastAsia="宋体" w:cs="Times New Roman"/>
                <w:sz w:val="24"/>
              </w:rPr>
            </w:pPr>
          </w:p>
        </w:tc>
        <w:tc>
          <w:tcPr>
            <w:tcW w:w="2940" w:type="dxa"/>
            <w:gridSpan w:val="2"/>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rPr>
                <w:rFonts w:hint="default" w:ascii="Times New Roman" w:hAnsi="Times New Roman" w:eastAsia="宋体" w:cs="Times New Roman"/>
              </w:rPr>
            </w:pPr>
            <w:r>
              <w:rPr>
                <w:rFonts w:hint="default" w:ascii="Times New Roman" w:hAnsi="Times New Roman" w:eastAsia="楷体" w:cs="Times New Roman"/>
                <w:kern w:val="0"/>
                <w:sz w:val="20"/>
                <w:szCs w:val="20"/>
                <w:lang w:bidi="ar"/>
              </w:rPr>
              <w:t>（六）其他处理</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default" w:ascii="Times New Roman" w:hAnsi="Times New Roman" w:eastAsia="宋体" w:cs="Times New Roman"/>
                <w:sz w:val="24"/>
              </w:rPr>
            </w:pPr>
          </w:p>
        </w:tc>
        <w:tc>
          <w:tcPr>
            <w:tcW w:w="2940" w:type="dxa"/>
            <w:gridSpan w:val="2"/>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rPr>
                <w:rFonts w:hint="default" w:ascii="Times New Roman" w:hAnsi="Times New Roman" w:eastAsia="宋体" w:cs="Times New Roman"/>
              </w:rPr>
            </w:pPr>
            <w:r>
              <w:rPr>
                <w:rFonts w:hint="default" w:ascii="Times New Roman" w:hAnsi="Times New Roman" w:eastAsia="楷体" w:cs="Times New Roman"/>
                <w:kern w:val="0"/>
                <w:sz w:val="20"/>
                <w:szCs w:val="20"/>
                <w:lang w:bidi="ar"/>
              </w:rPr>
              <w:t>（七）总计</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5</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lang w:val="en-US" w:eastAsia="zh-CN"/>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56"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after="180"/>
              <w:jc w:val="left"/>
              <w:rPr>
                <w:rFonts w:hint="default" w:ascii="Times New Roman" w:hAnsi="Times New Roman" w:eastAsia="宋体" w:cs="Times New Roman"/>
              </w:rPr>
            </w:pPr>
            <w:r>
              <w:rPr>
                <w:rFonts w:hint="default" w:ascii="Times New Roman" w:hAnsi="Times New Roman" w:eastAsia="宋体" w:cs="Times New Roman"/>
                <w:kern w:val="0"/>
                <w:sz w:val="20"/>
                <w:szCs w:val="20"/>
                <w:lang w:bidi="ar"/>
              </w:rPr>
              <w:t>四、结转下年度继续办理</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sz w:val="24"/>
              </w:rPr>
            </w:pPr>
            <w:r>
              <w:rPr>
                <w:rFonts w:hint="default" w:ascii="Times New Roman" w:hAnsi="Times New Roman" w:eastAsia="宋体" w:cs="Times New Roman"/>
                <w:kern w:val="0"/>
                <w:sz w:val="20"/>
                <w:szCs w:val="20"/>
                <w:lang w:val="en-US" w:eastAsia="zh-CN" w:bidi="ar"/>
              </w:rPr>
              <w:t>0</w:t>
            </w:r>
          </w:p>
        </w:tc>
      </w:tr>
    </w:tbl>
    <w:p>
      <w:pPr>
        <w:pStyle w:val="2"/>
        <w:widowControl/>
        <w:shd w:val="clear" w:color="auto" w:fill="FFFFFF"/>
        <w:spacing w:before="0" w:beforeAutospacing="0" w:after="0" w:afterAutospacing="0"/>
        <w:ind w:firstLine="420"/>
        <w:jc w:val="both"/>
        <w:rPr>
          <w:rFonts w:hint="default" w:ascii="Times New Roman" w:hAnsi="Times New Roman" w:eastAsia="宋体" w:cs="Times New Roma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方正大黑简体" w:hAnsi="方正大黑简体" w:eastAsia="方正大黑简体" w:cs="方正大黑简体"/>
          <w:b/>
          <w:bCs/>
          <w:sz w:val="32"/>
          <w:szCs w:val="32"/>
          <w:lang w:val="en-US" w:eastAsia="zh-CN"/>
        </w:rPr>
      </w:pPr>
      <w:r>
        <w:rPr>
          <w:rFonts w:hint="default" w:ascii="方正大黑简体" w:hAnsi="方正大黑简体" w:eastAsia="方正大黑简体" w:cs="方正大黑简体"/>
          <w:b/>
          <w:bCs/>
          <w:sz w:val="32"/>
          <w:szCs w:val="32"/>
          <w:lang w:val="en-US" w:eastAsia="zh-CN"/>
        </w:rPr>
        <w:t>四、政府信息公开行政复议、行政诉讼情况</w:t>
      </w:r>
    </w:p>
    <w:p>
      <w:pPr>
        <w:pStyle w:val="2"/>
        <w:widowControl/>
        <w:shd w:val="clear" w:color="auto" w:fill="FFFFFF"/>
        <w:spacing w:before="0" w:beforeAutospacing="0" w:after="0" w:afterAutospacing="0"/>
        <w:ind w:firstLine="420"/>
        <w:jc w:val="both"/>
        <w:rPr>
          <w:rFonts w:hint="default" w:ascii="Times New Roman" w:hAnsi="Times New Roman" w:eastAsia="宋体" w:cs="Times New Roman"/>
        </w:rPr>
      </w:pPr>
    </w:p>
    <w:tbl>
      <w:tblPr>
        <w:tblStyle w:val="3"/>
        <w:tblW w:w="9071"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bidi="ar"/>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bidi="ar"/>
              </w:rPr>
              <w:t>结果维持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bidi="ar"/>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bidi="ar"/>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bidi="ar"/>
              </w:rPr>
              <w:t>尚未审结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bidi="ar"/>
              </w:rPr>
              <w:t>总计</w:t>
            </w:r>
          </w:p>
        </w:tc>
        <w:tc>
          <w:tcPr>
            <w:tcW w:w="297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bidi="ar"/>
              </w:rPr>
              <w:t>未经复议直接起诉</w:t>
            </w:r>
          </w:p>
        </w:tc>
        <w:tc>
          <w:tcPr>
            <w:tcW w:w="302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default" w:ascii="Times New Roman" w:hAnsi="Times New Roman" w:eastAsia="宋体" w:cs="Times New Roman"/>
                <w:sz w:val="24"/>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default" w:ascii="Times New Roman" w:hAnsi="Times New Roman" w:eastAsia="宋体" w:cs="Times New Roman"/>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default" w:ascii="Times New Roman" w:hAnsi="Times New Roman" w:eastAsia="宋体" w:cs="Times New Roman"/>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default" w:ascii="Times New Roman" w:hAnsi="Times New Roman" w:eastAsia="宋体" w:cs="Times New Roman"/>
                <w:sz w:val="24"/>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default" w:ascii="Times New Roman" w:hAnsi="Times New Roman" w:eastAsia="宋体" w:cs="Times New Roman"/>
                <w:sz w:val="24"/>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bidi="ar"/>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bidi="ar"/>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bidi="ar"/>
              </w:rPr>
              <w:t>其他结果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bidi="ar"/>
              </w:rPr>
              <w:t>尚未审结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bidi="ar"/>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bidi="ar"/>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bidi="ar"/>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bidi="ar"/>
              </w:rPr>
              <w:t>其他结果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bidi="ar"/>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lang w:val="en-US" w:eastAsia="zh-CN"/>
              </w:rPr>
            </w:pPr>
            <w:r>
              <w:rPr>
                <w:rFonts w:hint="default" w:ascii="Times New Roman" w:hAnsi="Times New Roman" w:eastAsia="宋体" w:cs="Times New Roman"/>
                <w:kern w:val="0"/>
                <w:sz w:val="20"/>
                <w:szCs w:val="20"/>
                <w:lang w:val="en-US" w:eastAsia="zh-CN" w:bidi="ar"/>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55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cs="Times New Roman"/>
              </w:rPr>
            </w:pPr>
            <w:r>
              <w:rPr>
                <w:rFonts w:hint="default" w:ascii="Times New Roman" w:hAnsi="Times New Roman" w:eastAsia="宋体" w:cs="Times New Roman"/>
                <w:kern w:val="0"/>
                <w:sz w:val="20"/>
                <w:szCs w:val="20"/>
                <w:lang w:val="en-US" w:eastAsia="zh-CN" w:bidi="ar"/>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方正大黑简体" w:hAnsi="方正大黑简体" w:eastAsia="方正大黑简体" w:cs="方正大黑简体"/>
          <w:b/>
          <w:bCs/>
          <w:sz w:val="32"/>
          <w:szCs w:val="32"/>
          <w:lang w:val="en-US" w:eastAsia="zh-CN"/>
        </w:rPr>
      </w:pPr>
      <w:r>
        <w:rPr>
          <w:rFonts w:hint="default" w:ascii="方正大黑简体" w:hAnsi="方正大黑简体" w:eastAsia="方正大黑简体" w:cs="方正大黑简体"/>
          <w:b/>
          <w:bCs/>
          <w:sz w:val="32"/>
          <w:szCs w:val="32"/>
          <w:lang w:val="en-US" w:eastAsia="zh-CN"/>
        </w:rPr>
        <w:t>五、存在的主要问题及改进情况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2020年，我办政府信息公开工作全面深入推进，取得了一定成效，但同时也存在短板和不足。一是队伍建设有待加强。部分单位政务公开工作人员身兼数职且变动频繁，影响了政务公开工作水平的提升。二是政府信息公开形式较为单一。如我办公开的政策文件解读材料大多为文字形式，以视频、图片、音频等进行解读的形式还不够丰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2021年将重点做好以下工作：一是提升培训效果。做好人员调整备案制度，及时修订完善目录规范，通过集中培训、一对一培训等多种方式做好培训工作。二是进一步改革创新，引导工作人员大胆尝试，采用音视频、图文结合等多种形式解读政策文件，切实提高政策文件解读的质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方正大黑简体" w:hAnsi="方正大黑简体" w:eastAsia="方正大黑简体" w:cs="方正大黑简体"/>
          <w:b/>
          <w:bCs/>
          <w:sz w:val="32"/>
          <w:szCs w:val="32"/>
          <w:lang w:val="en-US" w:eastAsia="zh-CN"/>
        </w:rPr>
      </w:pPr>
      <w:r>
        <w:rPr>
          <w:rFonts w:hint="default" w:ascii="方正大黑简体" w:hAnsi="方正大黑简体" w:eastAsia="方正大黑简体" w:cs="方正大黑简体"/>
          <w:b/>
          <w:bCs/>
          <w:sz w:val="32"/>
          <w:szCs w:val="32"/>
          <w:lang w:val="en-US" w:eastAsia="zh-CN"/>
        </w:rPr>
        <w:t>六、其他需要报告的事项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（一）依据《政府信息公开信息处理费管理办法》，嘉祥县人民政府办公室2020年没有收取信息处理费情况。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lang w:val="en-US" w:eastAsia="zh-CN"/>
        </w:rPr>
      </w:pPr>
      <w:bookmarkStart w:id="0" w:name="_GoBack"/>
      <w:bookmarkEnd w:id="0"/>
      <w:r>
        <w:rPr>
          <w:rFonts w:hint="default" w:ascii="Times New Roman" w:hAnsi="Times New Roman" w:eastAsia="方正仿宋简体" w:cs="Times New Roman"/>
          <w:b/>
          <w:bCs/>
          <w:sz w:val="32"/>
          <w:szCs w:val="32"/>
          <w:lang w:val="en-US" w:eastAsia="zh-CN"/>
        </w:rPr>
        <w:t>（二）落实上级年度政务公开工作要点情况。严格落实2020年度济宁市政务公开工作要点，继续做好主动公开工作、完善依申请公开工作办理程序、不断细化政策解读工作。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大黑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1555F5"/>
    <w:rsid w:val="07B43EED"/>
    <w:rsid w:val="0DCF380A"/>
    <w:rsid w:val="2242664C"/>
    <w:rsid w:val="24BA3B8C"/>
    <w:rsid w:val="27D6081A"/>
    <w:rsid w:val="339927D8"/>
    <w:rsid w:val="370857F9"/>
    <w:rsid w:val="40611CB9"/>
    <w:rsid w:val="51C1076D"/>
    <w:rsid w:val="56775D3E"/>
    <w:rsid w:val="60B75C50"/>
    <w:rsid w:val="6C1555F5"/>
    <w:rsid w:val="6D7C562A"/>
    <w:rsid w:val="752862DE"/>
    <w:rsid w:val="7F4F2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65</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2021-02-04T07:23:00Z</dcterms:created>
  <dc:creator>new</dc:creator>
  <cp:lastModifiedBy>new</cp:lastModifiedBy>
  <dcterms:modified xsi:type="dcterms:W3CDTF">2022-10-13T02:24:00Z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