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966ED">
      <w:pPr>
        <w:adjustRightInd w:val="0"/>
        <w:snapToGrid w:val="0"/>
        <w:spacing w:before="192" w:beforeLines="80"/>
        <w:jc w:val="center"/>
        <w:rPr>
          <w:rFonts w:hint="default" w:ascii="Times New Roman" w:hAnsi="Times New Roman" w:eastAsia="宋体" w:cs="Times New Roman"/>
          <w:bCs/>
          <w:color w:val="auto"/>
          <w:spacing w:val="0"/>
          <w:sz w:val="48"/>
          <w:szCs w:val="48"/>
        </w:rPr>
      </w:pPr>
    </w:p>
    <w:p w14:paraId="39622C49">
      <w:pPr>
        <w:adjustRightInd w:val="0"/>
        <w:snapToGrid w:val="0"/>
        <w:spacing w:before="192" w:beforeLines="80"/>
        <w:jc w:val="center"/>
        <w:rPr>
          <w:rFonts w:hint="default" w:ascii="Times New Roman" w:hAnsi="Times New Roman" w:eastAsia="宋体" w:cs="Times New Roman"/>
          <w:bCs/>
          <w:color w:val="auto"/>
          <w:spacing w:val="0"/>
          <w:sz w:val="48"/>
          <w:szCs w:val="48"/>
        </w:rPr>
      </w:pPr>
    </w:p>
    <w:p w14:paraId="2A6D56E1">
      <w:pPr>
        <w:adjustRightInd w:val="0"/>
        <w:snapToGrid w:val="0"/>
        <w:jc w:val="center"/>
        <w:outlineLvl w:val="0"/>
        <w:rPr>
          <w:rFonts w:hint="default" w:ascii="Times New Roman" w:hAnsi="Times New Roman" w:eastAsia="宋体" w:cs="Times New Roman"/>
          <w:bCs/>
          <w:color w:val="auto"/>
          <w:spacing w:val="0"/>
          <w:sz w:val="72"/>
          <w:szCs w:val="72"/>
        </w:rPr>
      </w:pPr>
      <w:bookmarkStart w:id="0" w:name="_Toc18840"/>
      <w:bookmarkStart w:id="1" w:name="_Toc18903"/>
      <w:r>
        <w:rPr>
          <w:rFonts w:hint="default" w:ascii="Times New Roman" w:hAnsi="Times New Roman" w:eastAsia="宋体" w:cs="Times New Roman"/>
          <w:bCs/>
          <w:color w:val="auto"/>
          <w:spacing w:val="0"/>
          <w:sz w:val="72"/>
          <w:szCs w:val="72"/>
        </w:rPr>
        <w:t>建设项目环境影响报告表</w:t>
      </w:r>
      <w:bookmarkEnd w:id="0"/>
    </w:p>
    <w:p w14:paraId="51B46319">
      <w:pPr>
        <w:adjustRightInd w:val="0"/>
        <w:snapToGrid w:val="0"/>
        <w:spacing w:before="192" w:beforeLines="80"/>
        <w:jc w:val="center"/>
        <w:rPr>
          <w:rFonts w:hint="default" w:ascii="Times New Roman" w:hAnsi="Times New Roman" w:eastAsia="宋体" w:cs="Times New Roman"/>
          <w:bCs/>
          <w:color w:val="auto"/>
          <w:spacing w:val="0"/>
          <w:sz w:val="48"/>
          <w:szCs w:val="48"/>
        </w:rPr>
      </w:pPr>
      <w:r>
        <w:rPr>
          <w:rFonts w:hint="default" w:ascii="Times New Roman" w:hAnsi="Times New Roman" w:eastAsia="宋体" w:cs="Times New Roman"/>
          <w:bCs/>
          <w:color w:val="auto"/>
          <w:spacing w:val="0"/>
          <w:sz w:val="48"/>
          <w:szCs w:val="48"/>
        </w:rPr>
        <w:t>（污染影响类）</w:t>
      </w:r>
    </w:p>
    <w:p w14:paraId="686BAFF9">
      <w:pPr>
        <w:adjustRightInd w:val="0"/>
        <w:snapToGrid w:val="0"/>
        <w:spacing w:before="192" w:beforeLines="80"/>
        <w:jc w:val="center"/>
        <w:rPr>
          <w:rFonts w:hint="default" w:ascii="Times New Roman" w:hAnsi="Times New Roman" w:eastAsia="宋体" w:cs="Times New Roman"/>
          <w:bCs/>
          <w:color w:val="auto"/>
          <w:spacing w:val="0"/>
          <w:sz w:val="48"/>
          <w:szCs w:val="48"/>
        </w:rPr>
      </w:pPr>
    </w:p>
    <w:p w14:paraId="53B6FBC8">
      <w:pPr>
        <w:adjustRightInd w:val="0"/>
        <w:snapToGrid w:val="0"/>
        <w:spacing w:before="192" w:beforeLines="80"/>
        <w:jc w:val="center"/>
        <w:rPr>
          <w:rFonts w:hint="default" w:ascii="Times New Roman" w:hAnsi="Times New Roman" w:eastAsia="宋体" w:cs="Times New Roman"/>
          <w:bCs/>
          <w:color w:val="auto"/>
          <w:spacing w:val="0"/>
          <w:sz w:val="48"/>
          <w:szCs w:val="48"/>
        </w:rPr>
      </w:pPr>
    </w:p>
    <w:p w14:paraId="20972B32">
      <w:pPr>
        <w:adjustRightInd w:val="0"/>
        <w:snapToGrid w:val="0"/>
        <w:spacing w:before="192" w:beforeLines="80"/>
        <w:jc w:val="center"/>
        <w:rPr>
          <w:rFonts w:hint="default" w:ascii="Times New Roman" w:hAnsi="Times New Roman" w:eastAsia="宋体" w:cs="Times New Roman"/>
          <w:bCs/>
          <w:color w:val="auto"/>
          <w:spacing w:val="0"/>
          <w:sz w:val="48"/>
          <w:szCs w:val="48"/>
        </w:rPr>
      </w:pPr>
    </w:p>
    <w:p w14:paraId="7E0B90CD">
      <w:pPr>
        <w:adjustRightInd w:val="0"/>
        <w:snapToGrid w:val="0"/>
        <w:spacing w:before="192" w:beforeLines="80"/>
        <w:jc w:val="center"/>
        <w:rPr>
          <w:rFonts w:hint="default" w:ascii="Times New Roman" w:hAnsi="Times New Roman" w:eastAsia="宋体" w:cs="Times New Roman"/>
          <w:bCs/>
          <w:color w:val="auto"/>
          <w:spacing w:val="0"/>
          <w:sz w:val="48"/>
          <w:szCs w:val="48"/>
        </w:rPr>
      </w:pPr>
    </w:p>
    <w:p w14:paraId="45C9C66D">
      <w:pPr>
        <w:adjustRightInd w:val="0"/>
        <w:snapToGrid w:val="0"/>
        <w:spacing w:before="192" w:beforeLines="80"/>
        <w:jc w:val="center"/>
        <w:rPr>
          <w:rFonts w:hint="default" w:ascii="Times New Roman" w:hAnsi="Times New Roman" w:eastAsia="宋体" w:cs="Times New Roman"/>
          <w:bCs/>
          <w:color w:val="auto"/>
          <w:spacing w:val="0"/>
          <w:sz w:val="48"/>
          <w:szCs w:val="48"/>
        </w:rPr>
      </w:pPr>
    </w:p>
    <w:p w14:paraId="48178B13">
      <w:pPr>
        <w:adjustRightInd w:val="0"/>
        <w:snapToGrid w:val="0"/>
        <w:spacing w:before="192" w:beforeLines="80"/>
        <w:jc w:val="center"/>
        <w:rPr>
          <w:rFonts w:hint="default" w:ascii="Times New Roman" w:hAnsi="Times New Roman" w:eastAsia="宋体" w:cs="Times New Roman"/>
          <w:bCs/>
          <w:color w:val="auto"/>
          <w:spacing w:val="0"/>
          <w:sz w:val="48"/>
          <w:szCs w:val="48"/>
        </w:rPr>
      </w:pPr>
    </w:p>
    <w:p w14:paraId="36DF49F2">
      <w:pPr>
        <w:adjustRightInd w:val="0"/>
        <w:snapToGrid w:val="0"/>
        <w:spacing w:before="192" w:beforeLines="80"/>
        <w:jc w:val="center"/>
        <w:rPr>
          <w:rFonts w:hint="default" w:ascii="Times New Roman" w:hAnsi="Times New Roman" w:eastAsia="宋体" w:cs="Times New Roman"/>
          <w:bCs/>
          <w:color w:val="auto"/>
          <w:spacing w:val="0"/>
          <w:sz w:val="48"/>
          <w:szCs w:val="48"/>
        </w:rPr>
      </w:pPr>
    </w:p>
    <w:p w14:paraId="48ACA775">
      <w:pPr>
        <w:adjustRightInd w:val="0"/>
        <w:snapToGrid w:val="0"/>
        <w:spacing w:before="192" w:beforeLines="80"/>
        <w:jc w:val="center"/>
        <w:rPr>
          <w:rFonts w:hint="default" w:ascii="Times New Roman" w:hAnsi="Times New Roman" w:eastAsia="宋体" w:cs="Times New Roman"/>
          <w:bCs/>
          <w:color w:val="auto"/>
          <w:spacing w:val="0"/>
          <w:sz w:val="48"/>
          <w:szCs w:val="48"/>
        </w:rPr>
      </w:pPr>
    </w:p>
    <w:p w14:paraId="3279144A">
      <w:pPr>
        <w:adjustRightInd w:val="0"/>
        <w:snapToGrid w:val="0"/>
        <w:spacing w:before="192" w:beforeLines="80"/>
        <w:jc w:val="center"/>
        <w:rPr>
          <w:rFonts w:hint="default" w:ascii="Times New Roman" w:hAnsi="Times New Roman" w:eastAsia="宋体" w:cs="Times New Roman"/>
          <w:bCs/>
          <w:color w:val="auto"/>
          <w:spacing w:val="0"/>
          <w:sz w:val="48"/>
          <w:szCs w:val="48"/>
        </w:rPr>
      </w:pPr>
    </w:p>
    <w:p w14:paraId="2CAA951D">
      <w:pPr>
        <w:adjustRightInd w:val="0"/>
        <w:snapToGrid w:val="0"/>
        <w:spacing w:line="288" w:lineRule="auto"/>
        <w:ind w:firstLine="720" w:firstLineChars="200"/>
        <w:rPr>
          <w:rFonts w:hint="default" w:ascii="Times New Roman" w:hAnsi="Times New Roman" w:eastAsia="宋体" w:cs="Times New Roman"/>
          <w:color w:val="auto"/>
          <w:spacing w:val="0"/>
          <w:sz w:val="36"/>
          <w:szCs w:val="36"/>
          <w:u w:val="single"/>
          <w:lang w:eastAsia="zh-CN"/>
        </w:rPr>
      </w:pPr>
      <w:r>
        <w:rPr>
          <w:rFonts w:hint="default" w:ascii="Times New Roman" w:hAnsi="Times New Roman" w:eastAsia="宋体" w:cs="Times New Roman"/>
          <w:color w:val="auto"/>
          <w:spacing w:val="0"/>
          <w:sz w:val="36"/>
          <w:szCs w:val="36"/>
        </w:rPr>
        <w:t>项目名称：</w:t>
      </w:r>
      <w:r>
        <w:rPr>
          <w:rFonts w:hint="eastAsia" w:cs="Times New Roman"/>
          <w:color w:val="auto"/>
          <w:spacing w:val="0"/>
          <w:sz w:val="36"/>
          <w:szCs w:val="36"/>
          <w:u w:val="single"/>
          <w:lang w:eastAsia="zh-CN"/>
        </w:rPr>
        <w:t>年产26000吨水泥制品项目</w:t>
      </w:r>
    </w:p>
    <w:p w14:paraId="30AACE1B">
      <w:pPr>
        <w:adjustRightInd w:val="0"/>
        <w:snapToGrid w:val="0"/>
        <w:spacing w:line="288" w:lineRule="auto"/>
        <w:ind w:firstLine="720" w:firstLineChars="200"/>
        <w:rPr>
          <w:rFonts w:hint="default" w:ascii="Times New Roman" w:hAnsi="Times New Roman" w:eastAsia="宋体" w:cs="Times New Roman"/>
          <w:color w:val="auto"/>
          <w:spacing w:val="0"/>
          <w:sz w:val="36"/>
          <w:szCs w:val="36"/>
          <w:u w:val="single"/>
          <w:lang w:eastAsia="zh-CN"/>
        </w:rPr>
      </w:pPr>
      <w:r>
        <w:rPr>
          <w:rFonts w:hint="default" w:ascii="Times New Roman" w:hAnsi="Times New Roman" w:eastAsia="宋体" w:cs="Times New Roman"/>
          <w:color w:val="auto"/>
          <w:spacing w:val="0"/>
          <w:sz w:val="36"/>
          <w:szCs w:val="36"/>
        </w:rPr>
        <w:t>建设单位</w:t>
      </w:r>
      <w:r>
        <w:rPr>
          <w:rFonts w:hint="default" w:ascii="Times New Roman" w:hAnsi="Times New Roman" w:eastAsia="宋体" w:cs="Times New Roman"/>
          <w:color w:val="auto"/>
          <w:spacing w:val="0"/>
          <w:sz w:val="22"/>
          <w:szCs w:val="22"/>
        </w:rPr>
        <w:t>（盖章）：</w:t>
      </w:r>
      <w:r>
        <w:rPr>
          <w:rFonts w:hint="eastAsia" w:cs="Times New Roman"/>
          <w:color w:val="auto"/>
          <w:spacing w:val="0"/>
          <w:sz w:val="36"/>
          <w:szCs w:val="36"/>
          <w:u w:val="single"/>
          <w:lang w:eastAsia="zh-CN"/>
        </w:rPr>
        <w:t>山东恒益源水泥制品有限公司</w:t>
      </w:r>
    </w:p>
    <w:p w14:paraId="0F2D1661">
      <w:pPr>
        <w:adjustRightInd w:val="0"/>
        <w:snapToGrid w:val="0"/>
        <w:spacing w:line="288" w:lineRule="auto"/>
        <w:ind w:firstLine="720" w:firstLineChars="200"/>
        <w:rPr>
          <w:rFonts w:hint="default" w:ascii="Times New Roman" w:hAnsi="Times New Roman" w:eastAsia="宋体" w:cs="Times New Roman"/>
          <w:color w:val="auto"/>
          <w:spacing w:val="0"/>
          <w:sz w:val="36"/>
          <w:szCs w:val="36"/>
          <w:u w:val="single"/>
        </w:rPr>
      </w:pPr>
      <w:r>
        <w:rPr>
          <w:rFonts w:hint="default" w:ascii="Times New Roman" w:hAnsi="Times New Roman" w:eastAsia="宋体" w:cs="Times New Roman"/>
          <w:color w:val="auto"/>
          <w:spacing w:val="0"/>
          <w:sz w:val="36"/>
          <w:szCs w:val="36"/>
        </w:rPr>
        <w:t>编制日期：</w:t>
      </w:r>
      <w:r>
        <w:rPr>
          <w:rFonts w:hint="default" w:ascii="Times New Roman" w:hAnsi="Times New Roman" w:eastAsia="宋体" w:cs="Times New Roman"/>
          <w:color w:val="auto"/>
          <w:spacing w:val="0"/>
          <w:sz w:val="36"/>
          <w:szCs w:val="36"/>
          <w:u w:val="single"/>
        </w:rPr>
        <w:t>202</w:t>
      </w:r>
      <w:r>
        <w:rPr>
          <w:rFonts w:hint="eastAsia" w:cs="Times New Roman"/>
          <w:color w:val="auto"/>
          <w:spacing w:val="0"/>
          <w:sz w:val="36"/>
          <w:szCs w:val="36"/>
          <w:u w:val="single"/>
          <w:lang w:val="en-US" w:eastAsia="zh-CN"/>
        </w:rPr>
        <w:t>5</w:t>
      </w:r>
      <w:r>
        <w:rPr>
          <w:rFonts w:hint="default" w:ascii="Times New Roman" w:hAnsi="Times New Roman" w:eastAsia="宋体" w:cs="Times New Roman"/>
          <w:color w:val="auto"/>
          <w:spacing w:val="0"/>
          <w:sz w:val="36"/>
          <w:szCs w:val="36"/>
          <w:u w:val="single"/>
        </w:rPr>
        <w:t>年</w:t>
      </w:r>
      <w:r>
        <w:rPr>
          <w:rFonts w:hint="eastAsia" w:cs="Times New Roman"/>
          <w:color w:val="auto"/>
          <w:spacing w:val="0"/>
          <w:sz w:val="36"/>
          <w:szCs w:val="36"/>
          <w:u w:val="single"/>
          <w:lang w:val="en-US" w:eastAsia="zh-CN"/>
        </w:rPr>
        <w:t>3</w:t>
      </w:r>
      <w:r>
        <w:rPr>
          <w:rFonts w:hint="default" w:ascii="Times New Roman" w:hAnsi="Times New Roman" w:eastAsia="宋体" w:cs="Times New Roman"/>
          <w:color w:val="auto"/>
          <w:spacing w:val="0"/>
          <w:sz w:val="36"/>
          <w:szCs w:val="36"/>
          <w:u w:val="single"/>
        </w:rPr>
        <w:t>月</w:t>
      </w:r>
    </w:p>
    <w:p w14:paraId="3A72BC87">
      <w:pPr>
        <w:adjustRightInd w:val="0"/>
        <w:snapToGrid w:val="0"/>
        <w:spacing w:line="288" w:lineRule="auto"/>
        <w:ind w:firstLine="1040"/>
        <w:rPr>
          <w:rFonts w:hint="default" w:ascii="Times New Roman" w:hAnsi="Times New Roman" w:eastAsia="宋体" w:cs="Times New Roman"/>
          <w:color w:val="auto"/>
          <w:spacing w:val="0"/>
          <w:sz w:val="36"/>
          <w:szCs w:val="36"/>
        </w:rPr>
      </w:pPr>
      <w:bookmarkStart w:id="2" w:name="_Hlk57884087"/>
    </w:p>
    <w:p w14:paraId="600A7601">
      <w:pPr>
        <w:adjustRightInd w:val="0"/>
        <w:snapToGrid w:val="0"/>
        <w:spacing w:line="288" w:lineRule="auto"/>
        <w:ind w:firstLine="1040"/>
        <w:rPr>
          <w:rFonts w:hint="default" w:ascii="Times New Roman" w:hAnsi="Times New Roman" w:eastAsia="宋体" w:cs="Times New Roman"/>
          <w:color w:val="auto"/>
          <w:spacing w:val="0"/>
          <w:sz w:val="36"/>
          <w:szCs w:val="36"/>
        </w:rPr>
      </w:pPr>
    </w:p>
    <w:bookmarkEnd w:id="2"/>
    <w:p w14:paraId="71A0D900">
      <w:pPr>
        <w:adjustRightInd w:val="0"/>
        <w:snapToGrid w:val="0"/>
        <w:spacing w:line="288" w:lineRule="auto"/>
        <w:jc w:val="center"/>
        <w:outlineLvl w:val="0"/>
        <w:rPr>
          <w:rFonts w:hint="default" w:ascii="Times New Roman" w:hAnsi="Times New Roman" w:eastAsia="宋体" w:cs="Times New Roman"/>
          <w:color w:val="auto"/>
          <w:spacing w:val="0"/>
          <w:sz w:val="36"/>
          <w:szCs w:val="36"/>
        </w:rPr>
      </w:pPr>
      <w:r>
        <w:rPr>
          <w:rFonts w:hint="default" w:ascii="Times New Roman" w:hAnsi="Times New Roman" w:eastAsia="宋体" w:cs="Times New Roman"/>
          <w:color w:val="auto"/>
          <w:spacing w:val="0"/>
          <w:sz w:val="36"/>
          <w:szCs w:val="36"/>
        </w:rPr>
        <w:t>中华人民共和国生态环境部制</w:t>
      </w:r>
      <w:bookmarkEnd w:id="1"/>
    </w:p>
    <w:p w14:paraId="4545ED52">
      <w:pPr>
        <w:adjustRightInd w:val="0"/>
        <w:snapToGrid w:val="0"/>
        <w:spacing w:line="288" w:lineRule="auto"/>
        <w:ind w:firstLine="1040"/>
        <w:rPr>
          <w:rFonts w:hint="default" w:ascii="Times New Roman" w:hAnsi="Times New Roman" w:eastAsia="宋体" w:cs="Times New Roman"/>
          <w:color w:val="auto"/>
          <w:spacing w:val="0"/>
          <w:sz w:val="36"/>
          <w:szCs w:val="36"/>
        </w:rPr>
        <w:sectPr>
          <w:footerReference r:id="rId3" w:type="default"/>
          <w:footerReference r:id="rId4" w:type="even"/>
          <w:pgSz w:w="11906" w:h="16838"/>
          <w:pgMar w:top="1440" w:right="1800" w:bottom="1440" w:left="1800" w:header="851" w:footer="1077" w:gutter="0"/>
          <w:pgBorders>
            <w:top w:val="none" w:sz="0" w:space="0"/>
            <w:left w:val="none" w:sz="0" w:space="0"/>
            <w:bottom w:val="none" w:sz="0" w:space="0"/>
            <w:right w:val="none" w:sz="0" w:space="0"/>
          </w:pgBorders>
          <w:pgNumType w:start="3"/>
          <w:cols w:space="720" w:num="1"/>
          <w:docGrid w:linePitch="312" w:charSpace="0"/>
        </w:sectPr>
      </w:pPr>
    </w:p>
    <w:p w14:paraId="6017D3BB">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outlineLvl w:val="0"/>
        <w:rPr>
          <w:rFonts w:hint="default" w:ascii="Times New Roman" w:hAnsi="Times New Roman" w:eastAsia="宋体" w:cs="Times New Roman"/>
          <w:b/>
          <w:bCs/>
          <w:snapToGrid w:val="0"/>
          <w:color w:val="auto"/>
          <w:spacing w:val="0"/>
          <w:sz w:val="30"/>
          <w:szCs w:val="30"/>
        </w:rPr>
      </w:pPr>
      <w:bookmarkStart w:id="3" w:name="_Toc16406"/>
      <w:r>
        <w:rPr>
          <w:rFonts w:hint="default" w:ascii="Times New Roman" w:hAnsi="Times New Roman" w:eastAsia="宋体" w:cs="Times New Roman"/>
          <w:b/>
          <w:bCs/>
          <w:snapToGrid w:val="0"/>
          <w:color w:val="auto"/>
          <w:spacing w:val="0"/>
          <w:sz w:val="30"/>
          <w:szCs w:val="30"/>
        </w:rPr>
        <w:t>一、建设项目基本情况</w:t>
      </w:r>
      <w:bookmarkEnd w:id="3"/>
    </w:p>
    <w:tbl>
      <w:tblPr>
        <w:tblStyle w:val="36"/>
        <w:tblW w:w="49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6"/>
        <w:gridCol w:w="773"/>
        <w:gridCol w:w="2052"/>
        <w:gridCol w:w="1846"/>
        <w:gridCol w:w="3145"/>
      </w:tblGrid>
      <w:tr w14:paraId="2B96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753" w:type="pct"/>
            <w:gridSpan w:val="2"/>
            <w:tcBorders>
              <w:tl2br w:val="nil"/>
              <w:tr2bl w:val="nil"/>
            </w:tcBorders>
            <w:noWrap w:val="0"/>
            <w:tcMar>
              <w:top w:w="16" w:type="dxa"/>
              <w:left w:w="16" w:type="dxa"/>
              <w:right w:w="16" w:type="dxa"/>
            </w:tcMar>
            <w:vAlign w:val="center"/>
          </w:tcPr>
          <w:p w14:paraId="18839254">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建设项目</w:t>
            </w:r>
          </w:p>
          <w:p w14:paraId="488DA1C5">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名称</w:t>
            </w:r>
          </w:p>
        </w:tc>
        <w:tc>
          <w:tcPr>
            <w:tcW w:w="4246" w:type="pct"/>
            <w:gridSpan w:val="3"/>
            <w:tcBorders>
              <w:tl2br w:val="nil"/>
              <w:tr2bl w:val="nil"/>
            </w:tcBorders>
            <w:noWrap w:val="0"/>
            <w:vAlign w:val="center"/>
          </w:tcPr>
          <w:p w14:paraId="48C26B68">
            <w:pPr>
              <w:adjustRightInd w:val="0"/>
              <w:snapToGrid w:val="0"/>
              <w:jc w:val="center"/>
              <w:rPr>
                <w:rFonts w:hint="default" w:ascii="Times New Roman" w:hAnsi="Times New Roman" w:eastAsia="宋体" w:cs="Times New Roman"/>
                <w:color w:val="auto"/>
                <w:spacing w:val="0"/>
                <w:sz w:val="24"/>
                <w:lang w:eastAsia="zh-CN"/>
              </w:rPr>
            </w:pPr>
            <w:r>
              <w:rPr>
                <w:rFonts w:hint="eastAsia" w:cs="Times New Roman"/>
                <w:color w:val="auto"/>
                <w:spacing w:val="0"/>
                <w:sz w:val="24"/>
                <w:lang w:eastAsia="zh-CN"/>
              </w:rPr>
              <w:t>年产26000吨水泥制品项目</w:t>
            </w:r>
          </w:p>
        </w:tc>
      </w:tr>
      <w:tr w14:paraId="5851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53" w:type="pct"/>
            <w:gridSpan w:val="2"/>
            <w:tcBorders>
              <w:tl2br w:val="nil"/>
              <w:tr2bl w:val="nil"/>
            </w:tcBorders>
            <w:noWrap w:val="0"/>
            <w:tcMar>
              <w:top w:w="16" w:type="dxa"/>
              <w:left w:w="16" w:type="dxa"/>
              <w:right w:w="16" w:type="dxa"/>
            </w:tcMar>
            <w:vAlign w:val="center"/>
          </w:tcPr>
          <w:p w14:paraId="04A72B34">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项目代码</w:t>
            </w:r>
          </w:p>
        </w:tc>
        <w:tc>
          <w:tcPr>
            <w:tcW w:w="4246" w:type="pct"/>
            <w:gridSpan w:val="3"/>
            <w:tcBorders>
              <w:tl2br w:val="nil"/>
              <w:tr2bl w:val="nil"/>
            </w:tcBorders>
            <w:noWrap w:val="0"/>
            <w:vAlign w:val="center"/>
          </w:tcPr>
          <w:p w14:paraId="2235DFC5">
            <w:pPr>
              <w:adjustRightInd w:val="0"/>
              <w:snapToGrid w:val="0"/>
              <w:jc w:val="center"/>
              <w:rPr>
                <w:rFonts w:hint="default" w:ascii="Times New Roman" w:hAnsi="Times New Roman" w:eastAsia="宋体" w:cs="Times New Roman"/>
                <w:color w:val="auto"/>
                <w:spacing w:val="0"/>
                <w:sz w:val="24"/>
              </w:rPr>
            </w:pPr>
            <w:r>
              <w:rPr>
                <w:rFonts w:hint="eastAsia" w:cs="Times New Roman"/>
                <w:color w:val="auto"/>
                <w:spacing w:val="0"/>
                <w:sz w:val="24"/>
                <w:lang w:val="en-US" w:eastAsia="zh-CN"/>
              </w:rPr>
              <w:t>2502-370829-04-05-644058</w:t>
            </w:r>
          </w:p>
        </w:tc>
      </w:tr>
      <w:tr w14:paraId="52C3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53" w:type="pct"/>
            <w:gridSpan w:val="2"/>
            <w:tcBorders>
              <w:tl2br w:val="nil"/>
              <w:tr2bl w:val="nil"/>
            </w:tcBorders>
            <w:noWrap w:val="0"/>
            <w:tcMar>
              <w:top w:w="16" w:type="dxa"/>
              <w:left w:w="16" w:type="dxa"/>
              <w:right w:w="16" w:type="dxa"/>
            </w:tcMar>
            <w:vAlign w:val="center"/>
          </w:tcPr>
          <w:p w14:paraId="77176079">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建设单位</w:t>
            </w:r>
          </w:p>
          <w:p w14:paraId="2873BB64">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联系人</w:t>
            </w:r>
          </w:p>
        </w:tc>
        <w:tc>
          <w:tcPr>
            <w:tcW w:w="1237" w:type="pct"/>
            <w:tcBorders>
              <w:tl2br w:val="nil"/>
              <w:tr2bl w:val="nil"/>
            </w:tcBorders>
            <w:noWrap w:val="0"/>
            <w:vAlign w:val="center"/>
          </w:tcPr>
          <w:p w14:paraId="6881630B">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楚海燕</w:t>
            </w:r>
          </w:p>
        </w:tc>
        <w:tc>
          <w:tcPr>
            <w:tcW w:w="1113" w:type="pct"/>
            <w:tcBorders>
              <w:tl2br w:val="nil"/>
              <w:tr2bl w:val="nil"/>
            </w:tcBorders>
            <w:noWrap w:val="0"/>
            <w:vAlign w:val="center"/>
          </w:tcPr>
          <w:p w14:paraId="70E0FC39">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联系方式</w:t>
            </w:r>
          </w:p>
        </w:tc>
        <w:tc>
          <w:tcPr>
            <w:tcW w:w="1894" w:type="pct"/>
            <w:tcBorders>
              <w:tl2br w:val="nil"/>
              <w:tr2bl w:val="nil"/>
            </w:tcBorders>
            <w:noWrap w:val="0"/>
            <w:vAlign w:val="center"/>
          </w:tcPr>
          <w:p w14:paraId="2971AD9B">
            <w:pPr>
              <w:adjustRightInd w:val="0"/>
              <w:snapToGrid w:val="0"/>
              <w:jc w:val="center"/>
              <w:rPr>
                <w:rFonts w:hint="default" w:ascii="Times New Roman" w:hAnsi="Times New Roman" w:eastAsia="宋体" w:cs="Times New Roman"/>
                <w:color w:val="auto"/>
                <w:spacing w:val="0"/>
                <w:sz w:val="24"/>
                <w:lang w:val="en-US" w:eastAsia="zh-CN"/>
              </w:rPr>
            </w:pPr>
            <w:r>
              <w:rPr>
                <w:rFonts w:hint="default" w:ascii="Times New Roman" w:hAnsi="Times New Roman" w:eastAsia="宋体" w:cs="Times New Roman"/>
                <w:color w:val="auto"/>
                <w:spacing w:val="0"/>
                <w:sz w:val="24"/>
                <w:lang w:val="en-US" w:eastAsia="zh-CN"/>
              </w:rPr>
              <w:t>13639449365</w:t>
            </w:r>
          </w:p>
        </w:tc>
      </w:tr>
      <w:tr w14:paraId="4CF1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53" w:type="pct"/>
            <w:gridSpan w:val="2"/>
            <w:tcBorders>
              <w:tl2br w:val="nil"/>
              <w:tr2bl w:val="nil"/>
            </w:tcBorders>
            <w:noWrap w:val="0"/>
            <w:tcMar>
              <w:top w:w="16" w:type="dxa"/>
              <w:left w:w="16" w:type="dxa"/>
              <w:right w:w="16" w:type="dxa"/>
            </w:tcMar>
            <w:vAlign w:val="center"/>
          </w:tcPr>
          <w:p w14:paraId="0DEA6DE2">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建设地点</w:t>
            </w:r>
          </w:p>
        </w:tc>
        <w:tc>
          <w:tcPr>
            <w:tcW w:w="4246" w:type="pct"/>
            <w:gridSpan w:val="3"/>
            <w:tcBorders>
              <w:tl2br w:val="nil"/>
              <w:tr2bl w:val="nil"/>
            </w:tcBorders>
            <w:noWrap w:val="0"/>
            <w:vAlign w:val="center"/>
          </w:tcPr>
          <w:p w14:paraId="38CFF402">
            <w:pPr>
              <w:adjustRightInd w:val="0"/>
              <w:snapToGrid w:val="0"/>
              <w:jc w:val="center"/>
              <w:rPr>
                <w:rFonts w:hint="eastAsia" w:ascii="Times New Roman" w:hAnsi="Times New Roman" w:eastAsia="宋体" w:cs="Times New Roman"/>
                <w:color w:val="auto"/>
                <w:spacing w:val="0"/>
                <w:sz w:val="24"/>
                <w:lang w:val="en-US" w:eastAsia="zh-CN"/>
              </w:rPr>
            </w:pPr>
            <w:r>
              <w:rPr>
                <w:rFonts w:hint="eastAsia" w:cs="Times New Roman"/>
                <w:color w:val="auto"/>
                <w:spacing w:val="0"/>
                <w:sz w:val="24"/>
                <w:lang w:eastAsia="zh-CN"/>
              </w:rPr>
              <w:t>山东省济宁市嘉祥县马村镇河南刘村南200米</w:t>
            </w:r>
          </w:p>
        </w:tc>
      </w:tr>
      <w:tr w14:paraId="4566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53" w:type="pct"/>
            <w:gridSpan w:val="2"/>
            <w:tcBorders>
              <w:tl2br w:val="nil"/>
              <w:tr2bl w:val="nil"/>
            </w:tcBorders>
            <w:noWrap w:val="0"/>
            <w:tcMar>
              <w:top w:w="16" w:type="dxa"/>
              <w:left w:w="16" w:type="dxa"/>
              <w:right w:w="16" w:type="dxa"/>
            </w:tcMar>
            <w:vAlign w:val="center"/>
          </w:tcPr>
          <w:p w14:paraId="369E26CA">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地理坐标</w:t>
            </w:r>
          </w:p>
        </w:tc>
        <w:tc>
          <w:tcPr>
            <w:tcW w:w="4246" w:type="pct"/>
            <w:gridSpan w:val="3"/>
            <w:tcBorders>
              <w:tl2br w:val="nil"/>
              <w:tr2bl w:val="nil"/>
            </w:tcBorders>
            <w:noWrap w:val="0"/>
            <w:vAlign w:val="center"/>
          </w:tcPr>
          <w:p w14:paraId="1A2055A9">
            <w:pPr>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u w:val="none"/>
              </w:rPr>
              <w:t>（116度</w:t>
            </w:r>
            <w:r>
              <w:rPr>
                <w:rFonts w:hint="eastAsia" w:cs="Times New Roman"/>
                <w:color w:val="auto"/>
                <w:spacing w:val="0"/>
                <w:sz w:val="24"/>
                <w:u w:val="none"/>
                <w:lang w:val="en-US" w:eastAsia="zh-CN"/>
              </w:rPr>
              <w:t>16</w:t>
            </w:r>
            <w:r>
              <w:rPr>
                <w:rFonts w:hint="default" w:ascii="Times New Roman" w:hAnsi="Times New Roman" w:eastAsia="宋体" w:cs="Times New Roman"/>
                <w:color w:val="auto"/>
                <w:spacing w:val="0"/>
                <w:sz w:val="24"/>
                <w:u w:val="none"/>
              </w:rPr>
              <w:t>分</w:t>
            </w:r>
            <w:r>
              <w:rPr>
                <w:rFonts w:hint="eastAsia" w:cs="Times New Roman"/>
                <w:color w:val="auto"/>
                <w:spacing w:val="0"/>
                <w:sz w:val="24"/>
                <w:u w:val="none"/>
                <w:lang w:val="en-US" w:eastAsia="zh-CN"/>
              </w:rPr>
              <w:t>48.671</w:t>
            </w:r>
            <w:r>
              <w:rPr>
                <w:rFonts w:hint="default" w:ascii="Times New Roman" w:hAnsi="Times New Roman" w:eastAsia="宋体" w:cs="Times New Roman"/>
                <w:color w:val="auto"/>
                <w:spacing w:val="0"/>
                <w:sz w:val="24"/>
                <w:u w:val="none"/>
              </w:rPr>
              <w:t>秒，35度</w:t>
            </w:r>
            <w:r>
              <w:rPr>
                <w:rFonts w:hint="eastAsia" w:cs="Times New Roman"/>
                <w:color w:val="auto"/>
                <w:spacing w:val="0"/>
                <w:sz w:val="24"/>
                <w:u w:val="none"/>
                <w:lang w:val="en-US" w:eastAsia="zh-CN"/>
              </w:rPr>
              <w:t>29</w:t>
            </w:r>
            <w:r>
              <w:rPr>
                <w:rFonts w:hint="default" w:ascii="Times New Roman" w:hAnsi="Times New Roman" w:eastAsia="宋体" w:cs="Times New Roman"/>
                <w:color w:val="auto"/>
                <w:spacing w:val="0"/>
                <w:sz w:val="24"/>
                <w:u w:val="none"/>
              </w:rPr>
              <w:t>分</w:t>
            </w:r>
            <w:r>
              <w:rPr>
                <w:rFonts w:hint="eastAsia" w:cs="Times New Roman"/>
                <w:color w:val="auto"/>
                <w:spacing w:val="0"/>
                <w:sz w:val="24"/>
                <w:u w:val="none"/>
                <w:lang w:val="en-US" w:eastAsia="zh-CN"/>
              </w:rPr>
              <w:t>0.171</w:t>
            </w:r>
            <w:r>
              <w:rPr>
                <w:rFonts w:hint="default" w:ascii="Times New Roman" w:hAnsi="Times New Roman" w:eastAsia="宋体" w:cs="Times New Roman"/>
                <w:color w:val="auto"/>
                <w:spacing w:val="0"/>
                <w:sz w:val="24"/>
                <w:u w:val="none"/>
              </w:rPr>
              <w:t>秒）</w:t>
            </w:r>
          </w:p>
        </w:tc>
      </w:tr>
      <w:tr w14:paraId="3A65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53" w:type="pct"/>
            <w:gridSpan w:val="2"/>
            <w:tcBorders>
              <w:tl2br w:val="nil"/>
              <w:tr2bl w:val="nil"/>
            </w:tcBorders>
            <w:noWrap w:val="0"/>
            <w:tcMar>
              <w:top w:w="16" w:type="dxa"/>
              <w:left w:w="16" w:type="dxa"/>
              <w:right w:w="16" w:type="dxa"/>
            </w:tcMar>
            <w:vAlign w:val="center"/>
          </w:tcPr>
          <w:p w14:paraId="4D6C7806">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国民经济</w:t>
            </w:r>
          </w:p>
          <w:p w14:paraId="07D92E35">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行业类别</w:t>
            </w:r>
          </w:p>
        </w:tc>
        <w:tc>
          <w:tcPr>
            <w:tcW w:w="1237" w:type="pct"/>
            <w:tcBorders>
              <w:tl2br w:val="nil"/>
              <w:tr2bl w:val="nil"/>
            </w:tcBorders>
            <w:noWrap w:val="0"/>
            <w:vAlign w:val="center"/>
          </w:tcPr>
          <w:p w14:paraId="406FA415">
            <w:pPr>
              <w:pStyle w:val="141"/>
              <w:ind w:firstLine="0"/>
              <w:jc w:val="center"/>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C3021</w:t>
            </w:r>
          </w:p>
          <w:p w14:paraId="5C785DE0">
            <w:pPr>
              <w:pStyle w:val="141"/>
              <w:ind w:firstLine="0"/>
              <w:jc w:val="center"/>
              <w:rPr>
                <w:rFonts w:hint="default" w:ascii="Times New Roman" w:hAnsi="Times New Roman" w:eastAsia="宋体" w:cs="Times New Roman"/>
                <w:color w:val="auto"/>
                <w:spacing w:val="0"/>
              </w:rPr>
            </w:pPr>
            <w:r>
              <w:rPr>
                <w:rFonts w:hint="default" w:ascii="Times New Roman" w:hAnsi="Times New Roman" w:eastAsia="宋体" w:cs="Times New Roman"/>
                <w:color w:val="auto"/>
                <w:spacing w:val="0"/>
                <w:sz w:val="24"/>
                <w:szCs w:val="24"/>
              </w:rPr>
              <w:t>水泥制品制造</w:t>
            </w:r>
          </w:p>
        </w:tc>
        <w:tc>
          <w:tcPr>
            <w:tcW w:w="1113" w:type="pct"/>
            <w:tcBorders>
              <w:tl2br w:val="nil"/>
              <w:tr2bl w:val="nil"/>
            </w:tcBorders>
            <w:noWrap w:val="0"/>
            <w:vAlign w:val="center"/>
          </w:tcPr>
          <w:p w14:paraId="1D3030CD">
            <w:pPr>
              <w:adjustRightInd w:val="0"/>
              <w:snapToGrid w:val="0"/>
              <w:jc w:val="center"/>
              <w:rPr>
                <w:rFonts w:hint="default" w:ascii="Times New Roman" w:hAnsi="Times New Roman" w:eastAsia="宋体" w:cs="Times New Roman"/>
                <w:color w:val="auto"/>
                <w:spacing w:val="0"/>
                <w:sz w:val="24"/>
              </w:rPr>
            </w:pPr>
            <w:bookmarkStart w:id="4" w:name="_Hlk49843745"/>
            <w:r>
              <w:rPr>
                <w:rFonts w:hint="default" w:ascii="Times New Roman" w:hAnsi="Times New Roman" w:eastAsia="宋体" w:cs="Times New Roman"/>
                <w:color w:val="auto"/>
                <w:spacing w:val="0"/>
                <w:sz w:val="24"/>
              </w:rPr>
              <w:t>建设项目</w:t>
            </w:r>
          </w:p>
          <w:p w14:paraId="007DDDD1">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行业类别</w:t>
            </w:r>
            <w:bookmarkEnd w:id="4"/>
          </w:p>
        </w:tc>
        <w:tc>
          <w:tcPr>
            <w:tcW w:w="1894" w:type="pct"/>
            <w:tcBorders>
              <w:tl2br w:val="nil"/>
              <w:tr2bl w:val="nil"/>
            </w:tcBorders>
            <w:noWrap w:val="0"/>
            <w:vAlign w:val="center"/>
          </w:tcPr>
          <w:p w14:paraId="5CB735DE">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二十七、非金属矿物制品业30中“55石膏、水泥制品及类似制品制造302”中的“</w:t>
            </w:r>
            <w:r>
              <w:rPr>
                <w:rFonts w:hint="default" w:ascii="Times New Roman" w:hAnsi="Times New Roman" w:eastAsia="宋体" w:cs="Times New Roman"/>
                <w:color w:val="auto"/>
                <w:spacing w:val="0"/>
                <w:sz w:val="24"/>
                <w:lang w:val="en-US" w:eastAsia="zh-CN"/>
              </w:rPr>
              <w:t>水泥制品</w:t>
            </w:r>
            <w:r>
              <w:rPr>
                <w:rFonts w:hint="default" w:ascii="Times New Roman" w:hAnsi="Times New Roman" w:eastAsia="宋体" w:cs="Times New Roman"/>
                <w:color w:val="auto"/>
                <w:spacing w:val="0"/>
                <w:sz w:val="24"/>
              </w:rPr>
              <w:t>制造”</w:t>
            </w:r>
          </w:p>
        </w:tc>
      </w:tr>
      <w:tr w14:paraId="255D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53" w:type="pct"/>
            <w:gridSpan w:val="2"/>
            <w:tcBorders>
              <w:tl2br w:val="nil"/>
              <w:tr2bl w:val="nil"/>
            </w:tcBorders>
            <w:noWrap w:val="0"/>
            <w:tcMar>
              <w:top w:w="16" w:type="dxa"/>
              <w:left w:w="16" w:type="dxa"/>
              <w:right w:w="16" w:type="dxa"/>
            </w:tcMar>
            <w:vAlign w:val="center"/>
          </w:tcPr>
          <w:p w14:paraId="2C2DF528">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建设性质</w:t>
            </w:r>
          </w:p>
        </w:tc>
        <w:tc>
          <w:tcPr>
            <w:tcW w:w="1237" w:type="pct"/>
            <w:tcBorders>
              <w:tl2br w:val="nil"/>
              <w:tr2bl w:val="nil"/>
            </w:tcBorders>
            <w:noWrap w:val="0"/>
            <w:vAlign w:val="center"/>
          </w:tcPr>
          <w:p w14:paraId="33F9FC79">
            <w:pPr>
              <w:jc w:val="left"/>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sym w:font="Wingdings 2" w:char="0052"/>
            </w:r>
            <w:r>
              <w:rPr>
                <w:rFonts w:hint="default" w:ascii="Times New Roman" w:hAnsi="Times New Roman" w:eastAsia="宋体" w:cs="Times New Roman"/>
                <w:color w:val="auto"/>
                <w:spacing w:val="0"/>
                <w:sz w:val="24"/>
              </w:rPr>
              <w:t>新建（迁建）</w:t>
            </w:r>
          </w:p>
          <w:p w14:paraId="2DE70F29">
            <w:pPr>
              <w:jc w:val="left"/>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sym w:font="Wingdings 2" w:char="00A3"/>
            </w:r>
            <w:r>
              <w:rPr>
                <w:rFonts w:hint="default" w:ascii="Times New Roman" w:hAnsi="Times New Roman" w:eastAsia="宋体" w:cs="Times New Roman"/>
                <w:color w:val="auto"/>
                <w:spacing w:val="0"/>
                <w:sz w:val="24"/>
              </w:rPr>
              <w:t>改建</w:t>
            </w:r>
          </w:p>
          <w:p w14:paraId="3A76CA10">
            <w:pPr>
              <w:jc w:val="left"/>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sym w:font="Wingdings 2" w:char="00A3"/>
            </w:r>
            <w:r>
              <w:rPr>
                <w:rFonts w:hint="default" w:ascii="Times New Roman" w:hAnsi="Times New Roman" w:eastAsia="宋体" w:cs="Times New Roman"/>
                <w:color w:val="auto"/>
                <w:spacing w:val="0"/>
                <w:sz w:val="24"/>
              </w:rPr>
              <w:t>扩建</w:t>
            </w:r>
          </w:p>
          <w:p w14:paraId="5105AE6E">
            <w:pPr>
              <w:jc w:val="left"/>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sym w:font="Wingdings 2" w:char="00A3"/>
            </w:r>
            <w:r>
              <w:rPr>
                <w:rFonts w:hint="default" w:ascii="Times New Roman" w:hAnsi="Times New Roman" w:eastAsia="宋体" w:cs="Times New Roman"/>
                <w:color w:val="auto"/>
                <w:spacing w:val="0"/>
                <w:sz w:val="24"/>
              </w:rPr>
              <w:t>技术改造</w:t>
            </w:r>
          </w:p>
        </w:tc>
        <w:tc>
          <w:tcPr>
            <w:tcW w:w="1113" w:type="pct"/>
            <w:tcBorders>
              <w:tl2br w:val="nil"/>
              <w:tr2bl w:val="nil"/>
            </w:tcBorders>
            <w:noWrap w:val="0"/>
            <w:vAlign w:val="center"/>
          </w:tcPr>
          <w:p w14:paraId="77BCA172">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建设项目</w:t>
            </w:r>
          </w:p>
          <w:p w14:paraId="3D69E074">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申报情形</w:t>
            </w:r>
          </w:p>
        </w:tc>
        <w:tc>
          <w:tcPr>
            <w:tcW w:w="1894" w:type="pct"/>
            <w:tcBorders>
              <w:tl2br w:val="nil"/>
              <w:tr2bl w:val="nil"/>
            </w:tcBorders>
            <w:noWrap w:val="0"/>
            <w:vAlign w:val="center"/>
          </w:tcPr>
          <w:p w14:paraId="68C59073">
            <w:pPr>
              <w:jc w:val="left"/>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☑首次申报项目</w:t>
            </w:r>
          </w:p>
          <w:p w14:paraId="091DFFD6">
            <w:pPr>
              <w:jc w:val="left"/>
              <w:rPr>
                <w:rFonts w:hint="default" w:ascii="Times New Roman" w:hAnsi="Times New Roman" w:eastAsia="宋体" w:cs="Times New Roman"/>
                <w:color w:val="auto"/>
                <w:spacing w:val="0"/>
                <w:sz w:val="24"/>
              </w:rPr>
            </w:pPr>
            <w:r>
              <w:rPr>
                <w:rFonts w:hint="eastAsia" w:cs="Times New Roman"/>
                <w:color w:val="auto"/>
                <w:spacing w:val="0"/>
                <w:sz w:val="24"/>
                <w:lang w:eastAsia="zh-CN"/>
              </w:rPr>
              <w:t>□</w:t>
            </w:r>
            <w:r>
              <w:rPr>
                <w:rFonts w:hint="default" w:ascii="Times New Roman" w:hAnsi="Times New Roman" w:eastAsia="宋体" w:cs="Times New Roman"/>
                <w:color w:val="auto"/>
                <w:spacing w:val="0"/>
                <w:sz w:val="24"/>
              </w:rPr>
              <w:t>不予批准后再次申报项目</w:t>
            </w:r>
          </w:p>
          <w:p w14:paraId="232C908D">
            <w:pPr>
              <w:jc w:val="left"/>
              <w:rPr>
                <w:rFonts w:hint="default" w:ascii="Times New Roman" w:hAnsi="Times New Roman" w:eastAsia="宋体" w:cs="Times New Roman"/>
                <w:color w:val="auto"/>
                <w:spacing w:val="0"/>
                <w:sz w:val="24"/>
              </w:rPr>
            </w:pPr>
            <w:r>
              <w:rPr>
                <w:rFonts w:hint="eastAsia" w:cs="Times New Roman"/>
                <w:color w:val="auto"/>
                <w:spacing w:val="0"/>
                <w:sz w:val="24"/>
                <w:lang w:eastAsia="zh-CN"/>
              </w:rPr>
              <w:t>□</w:t>
            </w:r>
            <w:r>
              <w:rPr>
                <w:rFonts w:hint="default" w:ascii="Times New Roman" w:hAnsi="Times New Roman" w:eastAsia="宋体" w:cs="Times New Roman"/>
                <w:color w:val="auto"/>
                <w:spacing w:val="0"/>
                <w:sz w:val="24"/>
              </w:rPr>
              <w:t>超五年重新审核项目</w:t>
            </w:r>
          </w:p>
          <w:p w14:paraId="34E54F50">
            <w:pPr>
              <w:jc w:val="left"/>
              <w:rPr>
                <w:rFonts w:hint="default" w:ascii="Times New Roman" w:hAnsi="Times New Roman" w:eastAsia="宋体" w:cs="Times New Roman"/>
                <w:color w:val="auto"/>
                <w:spacing w:val="0"/>
                <w:sz w:val="24"/>
              </w:rPr>
            </w:pPr>
            <w:r>
              <w:rPr>
                <w:rFonts w:hint="eastAsia" w:cs="Times New Roman"/>
                <w:color w:val="auto"/>
                <w:spacing w:val="0"/>
                <w:sz w:val="24"/>
                <w:lang w:eastAsia="zh-CN"/>
              </w:rPr>
              <w:t>□</w:t>
            </w:r>
            <w:r>
              <w:rPr>
                <w:rFonts w:hint="default" w:ascii="Times New Roman" w:hAnsi="Times New Roman" w:eastAsia="宋体" w:cs="Times New Roman"/>
                <w:color w:val="auto"/>
                <w:spacing w:val="0"/>
                <w:sz w:val="24"/>
              </w:rPr>
              <w:t>重大变动重新报批项目</w:t>
            </w:r>
          </w:p>
        </w:tc>
      </w:tr>
      <w:tr w14:paraId="3D5B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753" w:type="pct"/>
            <w:gridSpan w:val="2"/>
            <w:tcBorders>
              <w:tl2br w:val="nil"/>
              <w:tr2bl w:val="nil"/>
            </w:tcBorders>
            <w:noWrap w:val="0"/>
            <w:tcMar>
              <w:top w:w="16" w:type="dxa"/>
              <w:left w:w="16" w:type="dxa"/>
              <w:right w:w="16" w:type="dxa"/>
            </w:tcMar>
            <w:vAlign w:val="center"/>
          </w:tcPr>
          <w:p w14:paraId="08889D27">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项目审批（核准/备案）部门（选填）</w:t>
            </w:r>
          </w:p>
        </w:tc>
        <w:tc>
          <w:tcPr>
            <w:tcW w:w="1237" w:type="pct"/>
            <w:tcBorders>
              <w:tl2br w:val="nil"/>
              <w:tr2bl w:val="nil"/>
            </w:tcBorders>
            <w:noWrap w:val="0"/>
            <w:vAlign w:val="center"/>
          </w:tcPr>
          <w:p w14:paraId="46731551">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lang w:val="en-US" w:eastAsia="zh-CN"/>
              </w:rPr>
              <w:t>嘉祥</w:t>
            </w:r>
            <w:r>
              <w:rPr>
                <w:rFonts w:hint="default" w:ascii="Times New Roman" w:hAnsi="Times New Roman" w:eastAsia="宋体" w:cs="Times New Roman"/>
                <w:color w:val="auto"/>
                <w:spacing w:val="0"/>
                <w:sz w:val="24"/>
              </w:rPr>
              <w:t>县行政审批服务局</w:t>
            </w:r>
          </w:p>
        </w:tc>
        <w:tc>
          <w:tcPr>
            <w:tcW w:w="1113" w:type="pct"/>
            <w:tcBorders>
              <w:tl2br w:val="nil"/>
              <w:tr2bl w:val="nil"/>
            </w:tcBorders>
            <w:noWrap w:val="0"/>
            <w:vAlign w:val="center"/>
          </w:tcPr>
          <w:p w14:paraId="55CABD3A">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项目审批（核准/</w:t>
            </w:r>
          </w:p>
          <w:p w14:paraId="48416286">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备案）文号（选填）</w:t>
            </w:r>
          </w:p>
        </w:tc>
        <w:tc>
          <w:tcPr>
            <w:tcW w:w="1894" w:type="pct"/>
            <w:tcBorders>
              <w:tl2br w:val="nil"/>
              <w:tr2bl w:val="nil"/>
            </w:tcBorders>
            <w:noWrap w:val="0"/>
            <w:vAlign w:val="center"/>
          </w:tcPr>
          <w:p w14:paraId="2CF540EA">
            <w:pPr>
              <w:adjustRightInd w:val="0"/>
              <w:snapToGrid w:val="0"/>
              <w:jc w:val="center"/>
              <w:rPr>
                <w:rFonts w:hint="default" w:ascii="Times New Roman" w:hAnsi="Times New Roman" w:eastAsia="宋体" w:cs="Times New Roman"/>
                <w:color w:val="auto"/>
                <w:spacing w:val="0"/>
                <w:sz w:val="24"/>
              </w:rPr>
            </w:pPr>
            <w:r>
              <w:rPr>
                <w:rFonts w:hint="eastAsia" w:cs="Times New Roman"/>
                <w:color w:val="auto"/>
                <w:spacing w:val="0"/>
                <w:sz w:val="24"/>
                <w:lang w:val="en-US" w:eastAsia="zh-CN"/>
              </w:rPr>
              <w:t>2502-370829-04-05-644058</w:t>
            </w:r>
          </w:p>
        </w:tc>
      </w:tr>
      <w:tr w14:paraId="5B4B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53" w:type="pct"/>
            <w:gridSpan w:val="2"/>
            <w:tcBorders>
              <w:tl2br w:val="nil"/>
              <w:tr2bl w:val="nil"/>
            </w:tcBorders>
            <w:noWrap w:val="0"/>
            <w:tcMar>
              <w:top w:w="16" w:type="dxa"/>
              <w:left w:w="16" w:type="dxa"/>
              <w:right w:w="16" w:type="dxa"/>
            </w:tcMar>
            <w:vAlign w:val="center"/>
          </w:tcPr>
          <w:p w14:paraId="5FDFD0A7">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总投资</w:t>
            </w:r>
          </w:p>
          <w:p w14:paraId="03BB5913">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（万元）</w:t>
            </w:r>
          </w:p>
        </w:tc>
        <w:tc>
          <w:tcPr>
            <w:tcW w:w="1237" w:type="pct"/>
            <w:tcBorders>
              <w:tl2br w:val="nil"/>
              <w:tr2bl w:val="nil"/>
            </w:tcBorders>
            <w:noWrap w:val="0"/>
            <w:vAlign w:val="center"/>
          </w:tcPr>
          <w:p w14:paraId="7514536D">
            <w:pPr>
              <w:adjustRightInd w:val="0"/>
              <w:snapToGrid w:val="0"/>
              <w:jc w:val="center"/>
              <w:rPr>
                <w:rFonts w:hint="default" w:ascii="Times New Roman" w:hAnsi="Times New Roman" w:eastAsia="宋体" w:cs="Times New Roman"/>
                <w:color w:val="auto"/>
                <w:spacing w:val="0"/>
                <w:sz w:val="24"/>
                <w:lang w:val="en-US" w:eastAsia="zh-CN"/>
              </w:rPr>
            </w:pPr>
            <w:r>
              <w:rPr>
                <w:rFonts w:hint="eastAsia" w:cs="Times New Roman"/>
                <w:color w:val="auto"/>
                <w:spacing w:val="0"/>
                <w:sz w:val="24"/>
                <w:lang w:val="en-US" w:eastAsia="zh-CN"/>
              </w:rPr>
              <w:t>600</w:t>
            </w:r>
          </w:p>
        </w:tc>
        <w:tc>
          <w:tcPr>
            <w:tcW w:w="1113" w:type="pct"/>
            <w:tcBorders>
              <w:tl2br w:val="nil"/>
              <w:tr2bl w:val="nil"/>
            </w:tcBorders>
            <w:noWrap w:val="0"/>
            <w:tcMar>
              <w:top w:w="16" w:type="dxa"/>
              <w:left w:w="16" w:type="dxa"/>
              <w:right w:w="16" w:type="dxa"/>
            </w:tcMar>
            <w:vAlign w:val="center"/>
          </w:tcPr>
          <w:p w14:paraId="0045BA66">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环保投资（万元）</w:t>
            </w:r>
          </w:p>
        </w:tc>
        <w:tc>
          <w:tcPr>
            <w:tcW w:w="1894" w:type="pct"/>
            <w:tcBorders>
              <w:tl2br w:val="nil"/>
              <w:tr2bl w:val="nil"/>
            </w:tcBorders>
            <w:noWrap w:val="0"/>
            <w:vAlign w:val="center"/>
          </w:tcPr>
          <w:p w14:paraId="6B1B8C99">
            <w:pPr>
              <w:adjustRightInd w:val="0"/>
              <w:snapToGrid w:val="0"/>
              <w:jc w:val="center"/>
              <w:rPr>
                <w:rFonts w:hint="default" w:ascii="Times New Roman" w:hAnsi="Times New Roman" w:eastAsia="宋体" w:cs="Times New Roman"/>
                <w:color w:val="auto"/>
                <w:spacing w:val="0"/>
                <w:sz w:val="24"/>
                <w:lang w:val="en-US" w:eastAsia="zh-CN"/>
              </w:rPr>
            </w:pPr>
            <w:r>
              <w:rPr>
                <w:rFonts w:hint="eastAsia" w:cs="Times New Roman"/>
                <w:color w:val="auto"/>
                <w:spacing w:val="0"/>
                <w:sz w:val="24"/>
                <w:lang w:val="en-US" w:eastAsia="zh-CN"/>
              </w:rPr>
              <w:t>20</w:t>
            </w:r>
          </w:p>
        </w:tc>
      </w:tr>
      <w:tr w14:paraId="6CAD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753" w:type="pct"/>
            <w:gridSpan w:val="2"/>
            <w:tcBorders>
              <w:tl2br w:val="nil"/>
              <w:tr2bl w:val="nil"/>
            </w:tcBorders>
            <w:noWrap w:val="0"/>
            <w:tcMar>
              <w:top w:w="16" w:type="dxa"/>
              <w:left w:w="16" w:type="dxa"/>
              <w:right w:w="16" w:type="dxa"/>
            </w:tcMar>
            <w:vAlign w:val="center"/>
          </w:tcPr>
          <w:p w14:paraId="24444332">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环保投资</w:t>
            </w:r>
          </w:p>
          <w:p w14:paraId="43FAC676">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占比（%）</w:t>
            </w:r>
          </w:p>
        </w:tc>
        <w:tc>
          <w:tcPr>
            <w:tcW w:w="1237" w:type="pct"/>
            <w:tcBorders>
              <w:tl2br w:val="nil"/>
              <w:tr2bl w:val="nil"/>
            </w:tcBorders>
            <w:noWrap w:val="0"/>
            <w:vAlign w:val="center"/>
          </w:tcPr>
          <w:p w14:paraId="1E1B9751">
            <w:pPr>
              <w:adjustRightInd w:val="0"/>
              <w:snapToGrid w:val="0"/>
              <w:jc w:val="center"/>
              <w:rPr>
                <w:rFonts w:hint="default" w:ascii="Times New Roman" w:hAnsi="Times New Roman" w:eastAsia="宋体" w:cs="Times New Roman"/>
                <w:color w:val="auto"/>
                <w:spacing w:val="0"/>
                <w:sz w:val="24"/>
                <w:lang w:val="en-US" w:eastAsia="zh-CN"/>
              </w:rPr>
            </w:pPr>
            <w:r>
              <w:rPr>
                <w:rFonts w:hint="eastAsia" w:cs="Times New Roman"/>
                <w:color w:val="auto"/>
                <w:spacing w:val="0"/>
                <w:sz w:val="24"/>
                <w:lang w:val="en-US" w:eastAsia="zh-CN"/>
              </w:rPr>
              <w:t>3.3</w:t>
            </w:r>
          </w:p>
        </w:tc>
        <w:tc>
          <w:tcPr>
            <w:tcW w:w="1113" w:type="pct"/>
            <w:tcBorders>
              <w:tl2br w:val="nil"/>
              <w:tr2bl w:val="nil"/>
            </w:tcBorders>
            <w:noWrap w:val="0"/>
            <w:tcMar>
              <w:top w:w="16" w:type="dxa"/>
              <w:left w:w="16" w:type="dxa"/>
              <w:right w:w="16" w:type="dxa"/>
            </w:tcMar>
            <w:vAlign w:val="center"/>
          </w:tcPr>
          <w:p w14:paraId="13315EE5">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施工工期</w:t>
            </w:r>
          </w:p>
        </w:tc>
        <w:tc>
          <w:tcPr>
            <w:tcW w:w="1894" w:type="pct"/>
            <w:tcBorders>
              <w:tl2br w:val="nil"/>
              <w:tr2bl w:val="nil"/>
            </w:tcBorders>
            <w:noWrap w:val="0"/>
            <w:vAlign w:val="center"/>
          </w:tcPr>
          <w:p w14:paraId="041A8869">
            <w:pPr>
              <w:adjustRightInd w:val="0"/>
              <w:snapToGrid w:val="0"/>
              <w:jc w:val="center"/>
              <w:rPr>
                <w:rFonts w:hint="default" w:ascii="Times New Roman" w:hAnsi="Times New Roman" w:eastAsia="宋体" w:cs="Times New Roman"/>
                <w:color w:val="auto"/>
                <w:spacing w:val="0"/>
                <w:sz w:val="24"/>
              </w:rPr>
            </w:pPr>
            <w:r>
              <w:rPr>
                <w:rFonts w:hint="eastAsia" w:cs="Times New Roman"/>
                <w:color w:val="auto"/>
                <w:spacing w:val="0"/>
                <w:sz w:val="24"/>
                <w:szCs w:val="22"/>
                <w:lang w:val="en-US" w:eastAsia="zh-CN"/>
              </w:rPr>
              <w:t>1</w:t>
            </w:r>
            <w:r>
              <w:rPr>
                <w:rFonts w:hint="default" w:ascii="Times New Roman" w:hAnsi="Times New Roman" w:eastAsia="宋体" w:cs="Times New Roman"/>
                <w:color w:val="auto"/>
                <w:spacing w:val="0"/>
                <w:sz w:val="24"/>
                <w:szCs w:val="22"/>
              </w:rPr>
              <w:t>个月</w:t>
            </w:r>
          </w:p>
        </w:tc>
      </w:tr>
      <w:tr w14:paraId="3033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753" w:type="pct"/>
            <w:gridSpan w:val="2"/>
            <w:tcBorders>
              <w:tl2br w:val="nil"/>
              <w:tr2bl w:val="nil"/>
            </w:tcBorders>
            <w:noWrap w:val="0"/>
            <w:tcMar>
              <w:top w:w="16" w:type="dxa"/>
              <w:left w:w="16" w:type="dxa"/>
              <w:right w:w="16" w:type="dxa"/>
            </w:tcMar>
            <w:vAlign w:val="center"/>
          </w:tcPr>
          <w:p w14:paraId="192D956A">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是否开工</w:t>
            </w:r>
          </w:p>
          <w:p w14:paraId="21C8E93A">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建设</w:t>
            </w:r>
          </w:p>
        </w:tc>
        <w:tc>
          <w:tcPr>
            <w:tcW w:w="1237" w:type="pct"/>
            <w:tcBorders>
              <w:tl2br w:val="nil"/>
              <w:tr2bl w:val="nil"/>
            </w:tcBorders>
            <w:noWrap w:val="0"/>
            <w:vAlign w:val="center"/>
          </w:tcPr>
          <w:p w14:paraId="7BCB3914">
            <w:pPr>
              <w:adjustRightInd w:val="0"/>
              <w:snapToGrid w:val="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☑否</w:t>
            </w:r>
          </w:p>
          <w:p w14:paraId="3F1A4A79">
            <w:pPr>
              <w:adjustRightInd w:val="0"/>
              <w:snapToGrid w:val="0"/>
              <w:rPr>
                <w:rFonts w:hint="default" w:ascii="Times New Roman" w:hAnsi="Times New Roman" w:eastAsia="宋体" w:cs="Times New Roman"/>
                <w:color w:val="auto"/>
                <w:spacing w:val="0"/>
                <w:sz w:val="24"/>
              </w:rPr>
            </w:pPr>
            <w:r>
              <w:rPr>
                <w:rFonts w:hint="eastAsia" w:cs="Times New Roman"/>
                <w:color w:val="auto"/>
                <w:spacing w:val="0"/>
                <w:sz w:val="24"/>
                <w:lang w:eastAsia="zh-CN"/>
              </w:rPr>
              <w:t>□</w:t>
            </w:r>
            <w:r>
              <w:rPr>
                <w:rFonts w:hint="default" w:ascii="Times New Roman" w:hAnsi="Times New Roman" w:eastAsia="宋体" w:cs="Times New Roman"/>
                <w:color w:val="auto"/>
                <w:spacing w:val="0"/>
                <w:sz w:val="24"/>
              </w:rPr>
              <w:t>是：</w:t>
            </w:r>
            <w:r>
              <w:rPr>
                <w:rFonts w:hint="default" w:ascii="Times New Roman" w:hAnsi="Times New Roman" w:eastAsia="宋体" w:cs="Times New Roman"/>
                <w:color w:val="auto"/>
                <w:spacing w:val="0"/>
                <w:sz w:val="24"/>
                <w:u w:val="single"/>
              </w:rPr>
              <w:t xml:space="preserve">        </w:t>
            </w:r>
          </w:p>
        </w:tc>
        <w:tc>
          <w:tcPr>
            <w:tcW w:w="1113" w:type="pct"/>
            <w:tcBorders>
              <w:tl2br w:val="nil"/>
              <w:tr2bl w:val="nil"/>
            </w:tcBorders>
            <w:noWrap w:val="0"/>
            <w:tcMar>
              <w:top w:w="16" w:type="dxa"/>
              <w:left w:w="16" w:type="dxa"/>
              <w:right w:w="16" w:type="dxa"/>
            </w:tcMar>
            <w:vAlign w:val="center"/>
          </w:tcPr>
          <w:p w14:paraId="556B2836">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用地（用海）</w:t>
            </w:r>
          </w:p>
          <w:p w14:paraId="245E021B">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面积（m</w:t>
            </w:r>
            <w:r>
              <w:rPr>
                <w:rFonts w:hint="default" w:ascii="Times New Roman" w:hAnsi="Times New Roman" w:eastAsia="宋体" w:cs="Times New Roman"/>
                <w:color w:val="auto"/>
                <w:spacing w:val="0"/>
                <w:sz w:val="24"/>
                <w:vertAlign w:val="superscript"/>
              </w:rPr>
              <w:t>2</w:t>
            </w:r>
            <w:r>
              <w:rPr>
                <w:rFonts w:hint="default" w:ascii="Times New Roman" w:hAnsi="Times New Roman" w:eastAsia="宋体" w:cs="Times New Roman"/>
                <w:color w:val="auto"/>
                <w:spacing w:val="0"/>
                <w:sz w:val="24"/>
              </w:rPr>
              <w:t>）</w:t>
            </w:r>
          </w:p>
        </w:tc>
        <w:tc>
          <w:tcPr>
            <w:tcW w:w="1894" w:type="pct"/>
            <w:tcBorders>
              <w:tl2br w:val="nil"/>
              <w:tr2bl w:val="nil"/>
            </w:tcBorders>
            <w:noWrap w:val="0"/>
            <w:vAlign w:val="center"/>
          </w:tcPr>
          <w:p w14:paraId="2BE77E6F">
            <w:pPr>
              <w:adjustRightInd w:val="0"/>
              <w:snapToGrid w:val="0"/>
              <w:jc w:val="center"/>
              <w:rPr>
                <w:rFonts w:hint="default" w:ascii="Times New Roman" w:hAnsi="Times New Roman" w:eastAsia="宋体" w:cs="Times New Roman"/>
                <w:color w:val="auto"/>
                <w:spacing w:val="0"/>
                <w:sz w:val="24"/>
                <w:lang w:val="en-US" w:eastAsia="zh-CN"/>
              </w:rPr>
            </w:pPr>
            <w:r>
              <w:rPr>
                <w:rFonts w:hint="eastAsia" w:cs="Times New Roman"/>
                <w:color w:val="auto"/>
                <w:spacing w:val="0"/>
                <w:sz w:val="24"/>
                <w:lang w:val="en-US" w:eastAsia="zh-CN"/>
              </w:rPr>
              <w:t>4500</w:t>
            </w:r>
          </w:p>
        </w:tc>
      </w:tr>
      <w:tr w14:paraId="184B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53" w:type="pct"/>
            <w:gridSpan w:val="2"/>
            <w:tcBorders>
              <w:tl2br w:val="nil"/>
              <w:tr2bl w:val="nil"/>
            </w:tcBorders>
            <w:noWrap w:val="0"/>
            <w:vAlign w:val="center"/>
          </w:tcPr>
          <w:p w14:paraId="2F3B7341">
            <w:pPr>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专项评价</w:t>
            </w:r>
          </w:p>
          <w:p w14:paraId="707B6334">
            <w:pPr>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设置情况</w:t>
            </w:r>
          </w:p>
        </w:tc>
        <w:tc>
          <w:tcPr>
            <w:tcW w:w="7041" w:type="dxa"/>
            <w:gridSpan w:val="3"/>
            <w:tcBorders>
              <w:tl2br w:val="nil"/>
              <w:tr2bl w:val="nil"/>
            </w:tcBorders>
            <w:noWrap w:val="0"/>
            <w:vAlign w:val="center"/>
          </w:tcPr>
          <w:p w14:paraId="72B3CF9A">
            <w:pPr>
              <w:jc w:val="center"/>
              <w:rPr>
                <w:rFonts w:hint="default" w:ascii="Times New Roman" w:hAnsi="Times New Roman" w:eastAsia="宋体" w:cs="Times New Roman"/>
                <w:color w:val="auto"/>
                <w:spacing w:val="0"/>
                <w:kern w:val="0"/>
                <w:sz w:val="24"/>
              </w:rPr>
            </w:pPr>
            <w:r>
              <w:rPr>
                <w:rFonts w:hint="default" w:ascii="Times New Roman" w:hAnsi="Times New Roman" w:eastAsia="宋体" w:cs="Times New Roman"/>
                <w:caps w:val="0"/>
                <w:color w:val="auto"/>
                <w:spacing w:val="0"/>
                <w:kern w:val="0"/>
                <w:sz w:val="24"/>
              </w:rPr>
              <w:t>无</w:t>
            </w:r>
          </w:p>
        </w:tc>
      </w:tr>
      <w:tr w14:paraId="7C1D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53" w:type="pct"/>
            <w:gridSpan w:val="2"/>
            <w:tcBorders>
              <w:tl2br w:val="nil"/>
              <w:tr2bl w:val="nil"/>
            </w:tcBorders>
            <w:noWrap w:val="0"/>
            <w:vAlign w:val="center"/>
          </w:tcPr>
          <w:p w14:paraId="5409CE7F">
            <w:pPr>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规划情况</w:t>
            </w:r>
          </w:p>
        </w:tc>
        <w:tc>
          <w:tcPr>
            <w:tcW w:w="7041" w:type="dxa"/>
            <w:gridSpan w:val="3"/>
            <w:tcBorders>
              <w:tl2br w:val="nil"/>
              <w:tr2bl w:val="nil"/>
            </w:tcBorders>
            <w:noWrap w:val="0"/>
            <w:vAlign w:val="center"/>
          </w:tcPr>
          <w:p w14:paraId="0F8AA6D2">
            <w:pPr>
              <w:jc w:val="center"/>
              <w:rPr>
                <w:rFonts w:hint="eastAsia" w:ascii="Times New Roman" w:hAnsi="Times New Roman" w:eastAsia="宋体" w:cs="Times New Roman"/>
                <w:color w:val="auto"/>
                <w:spacing w:val="0"/>
                <w:kern w:val="0"/>
                <w:sz w:val="24"/>
                <w:lang w:val="en-US" w:eastAsia="zh-CN"/>
              </w:rPr>
            </w:pPr>
            <w:r>
              <w:rPr>
                <w:rFonts w:hint="default" w:ascii="Times New Roman" w:hAnsi="Times New Roman" w:eastAsia="宋体" w:cs="Times New Roman"/>
                <w:caps w:val="0"/>
                <w:color w:val="auto"/>
                <w:spacing w:val="0"/>
                <w:kern w:val="0"/>
                <w:sz w:val="24"/>
              </w:rPr>
              <w:t>无</w:t>
            </w:r>
          </w:p>
        </w:tc>
      </w:tr>
      <w:tr w14:paraId="0A93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pct"/>
            <w:gridSpan w:val="2"/>
            <w:tcBorders>
              <w:tl2br w:val="nil"/>
              <w:tr2bl w:val="nil"/>
            </w:tcBorders>
            <w:noWrap w:val="0"/>
            <w:vAlign w:val="center"/>
          </w:tcPr>
          <w:p w14:paraId="4D62B847">
            <w:pPr>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规划环境影响评价情况</w:t>
            </w:r>
          </w:p>
        </w:tc>
        <w:tc>
          <w:tcPr>
            <w:tcW w:w="7041" w:type="dxa"/>
            <w:gridSpan w:val="3"/>
            <w:tcBorders>
              <w:tl2br w:val="nil"/>
              <w:tr2bl w:val="nil"/>
            </w:tcBorders>
            <w:noWrap w:val="0"/>
            <w:vAlign w:val="center"/>
          </w:tcPr>
          <w:p w14:paraId="701AB532">
            <w:pPr>
              <w:jc w:val="center"/>
              <w:rPr>
                <w:rFonts w:hint="default" w:ascii="Times New Roman" w:hAnsi="Times New Roman" w:eastAsia="宋体" w:cs="Times New Roman"/>
                <w:color w:val="auto"/>
                <w:spacing w:val="0"/>
                <w:kern w:val="0"/>
                <w:sz w:val="24"/>
              </w:rPr>
            </w:pPr>
            <w:r>
              <w:rPr>
                <w:rFonts w:hint="default" w:ascii="Times New Roman" w:hAnsi="Times New Roman" w:eastAsia="宋体" w:cs="Times New Roman"/>
                <w:caps w:val="0"/>
                <w:color w:val="auto"/>
                <w:spacing w:val="0"/>
                <w:kern w:val="0"/>
                <w:sz w:val="24"/>
              </w:rPr>
              <w:t>无</w:t>
            </w:r>
          </w:p>
        </w:tc>
      </w:tr>
      <w:tr w14:paraId="3528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53" w:type="pct"/>
            <w:gridSpan w:val="2"/>
            <w:tcBorders>
              <w:tl2br w:val="nil"/>
              <w:tr2bl w:val="nil"/>
            </w:tcBorders>
            <w:noWrap w:val="0"/>
            <w:vAlign w:val="center"/>
          </w:tcPr>
          <w:p w14:paraId="471F8EC5">
            <w:pPr>
              <w:jc w:val="center"/>
              <w:rPr>
                <w:rFonts w:hint="default" w:ascii="Times New Roman" w:hAnsi="Times New Roman" w:eastAsia="宋体" w:cs="Times New Roman"/>
                <w:b/>
                <w:bCs/>
                <w:color w:val="auto"/>
                <w:spacing w:val="0"/>
                <w:sz w:val="24"/>
              </w:rPr>
            </w:pPr>
            <w:r>
              <w:rPr>
                <w:rFonts w:hint="default" w:ascii="Times New Roman" w:hAnsi="Times New Roman" w:eastAsia="宋体" w:cs="Times New Roman"/>
                <w:color w:val="auto"/>
                <w:spacing w:val="0"/>
                <w:sz w:val="24"/>
              </w:rPr>
              <w:t>规划及规划环境影响评价符合性分析</w:t>
            </w:r>
          </w:p>
        </w:tc>
        <w:tc>
          <w:tcPr>
            <w:tcW w:w="7041" w:type="dxa"/>
            <w:gridSpan w:val="3"/>
            <w:tcBorders>
              <w:tl2br w:val="nil"/>
              <w:tr2bl w:val="nil"/>
            </w:tcBorders>
            <w:noWrap w:val="0"/>
            <w:vAlign w:val="center"/>
          </w:tcPr>
          <w:p w14:paraId="4F8EF2C6">
            <w:pPr>
              <w:jc w:val="center"/>
              <w:rPr>
                <w:rFonts w:hint="default" w:ascii="Times New Roman" w:hAnsi="Times New Roman" w:eastAsia="宋体" w:cs="Times New Roman"/>
                <w:color w:val="auto"/>
                <w:spacing w:val="0"/>
                <w:kern w:val="0"/>
                <w:sz w:val="24"/>
              </w:rPr>
            </w:pPr>
            <w:r>
              <w:rPr>
                <w:rFonts w:hint="default" w:ascii="Times New Roman" w:hAnsi="Times New Roman" w:eastAsia="宋体" w:cs="Times New Roman"/>
                <w:caps w:val="0"/>
                <w:color w:val="auto"/>
                <w:spacing w:val="0"/>
                <w:kern w:val="0"/>
                <w:sz w:val="24"/>
              </w:rPr>
              <w:t>无</w:t>
            </w:r>
          </w:p>
        </w:tc>
      </w:tr>
      <w:tr w14:paraId="10AF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287" w:type="pct"/>
            <w:tcBorders>
              <w:tl2br w:val="nil"/>
              <w:tr2bl w:val="nil"/>
            </w:tcBorders>
            <w:noWrap w:val="0"/>
            <w:vAlign w:val="center"/>
          </w:tcPr>
          <w:p w14:paraId="14D2F43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其他符合性分析</w:t>
            </w:r>
          </w:p>
        </w:tc>
        <w:tc>
          <w:tcPr>
            <w:tcW w:w="4712" w:type="pct"/>
            <w:gridSpan w:val="4"/>
            <w:tcBorders>
              <w:tl2br w:val="nil"/>
              <w:tr2bl w:val="nil"/>
            </w:tcBorders>
            <w:noWrap w:val="0"/>
            <w:vAlign w:val="center"/>
          </w:tcPr>
          <w:p w14:paraId="02BF35FE">
            <w:pPr>
              <w:keepNext w:val="0"/>
              <w:keepLines w:val="0"/>
              <w:pageBreakBefore w:val="0"/>
              <w:widowControl w:val="0"/>
              <w:numPr>
                <w:ilvl w:val="0"/>
                <w:numId w:val="4"/>
              </w:numPr>
              <w:kinsoku/>
              <w:wordWrap/>
              <w:overflowPunct/>
              <w:topLinePunct w:val="0"/>
              <w:bidi w:val="0"/>
              <w:adjustRightInd/>
              <w:snapToGrid/>
              <w:spacing w:line="360" w:lineRule="auto"/>
              <w:ind w:left="0" w:leftChars="0" w:right="0" w:rightChars="0" w:firstLine="482" w:firstLineChars="200"/>
              <w:jc w:val="both"/>
              <w:textAlignment w:val="auto"/>
              <w:rPr>
                <w:rFonts w:hint="default" w:ascii="Times New Roman" w:hAnsi="Times New Roman" w:eastAsia="宋体" w:cs="Times New Roman"/>
                <w:b/>
                <w:bCs/>
                <w:color w:val="auto"/>
                <w:spacing w:val="0"/>
                <w:sz w:val="24"/>
              </w:rPr>
            </w:pPr>
            <w:r>
              <w:rPr>
                <w:rFonts w:hint="default" w:ascii="Times New Roman" w:hAnsi="Times New Roman" w:eastAsia="宋体" w:cs="Times New Roman"/>
                <w:b/>
                <w:bCs/>
                <w:color w:val="auto"/>
                <w:spacing w:val="0"/>
                <w:sz w:val="24"/>
              </w:rPr>
              <w:t>产业政策符合性</w:t>
            </w:r>
          </w:p>
          <w:p w14:paraId="005A489C">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auto"/>
                <w:spacing w:val="0"/>
                <w:kern w:val="0"/>
                <w:sz w:val="24"/>
                <w:szCs w:val="24"/>
                <w:highlight w:val="none"/>
                <w:lang w:val="en-US" w:eastAsia="zh-CN"/>
              </w:rPr>
            </w:pPr>
            <w:r>
              <w:rPr>
                <w:rFonts w:hint="default" w:ascii="Times New Roman" w:hAnsi="Times New Roman" w:eastAsia="宋体" w:cs="Times New Roman"/>
                <w:bCs/>
                <w:color w:val="auto"/>
                <w:spacing w:val="0"/>
                <w:sz w:val="24"/>
              </w:rPr>
              <w:t>根据《产业结构调整指导目录（2024年本）》，本项目属于“鼓励类，十二、建材”中“</w:t>
            </w:r>
            <w:r>
              <w:rPr>
                <w:rFonts w:hint="default" w:ascii="Times New Roman" w:hAnsi="Times New Roman" w:eastAsia="宋体" w:cs="Times New Roman"/>
                <w:color w:val="auto"/>
                <w:spacing w:val="0"/>
                <w:sz w:val="24"/>
                <w:szCs w:val="24"/>
              </w:rPr>
              <w:t>适用于装配式建筑、折叠式建筑、海绵城市、地下管廊、生态修复的部品化建材产品及生产设备</w:t>
            </w:r>
            <w:r>
              <w:rPr>
                <w:rFonts w:hint="default" w:ascii="Times New Roman" w:hAnsi="Times New Roman" w:eastAsia="宋体" w:cs="Times New Roman"/>
                <w:color w:val="auto"/>
                <w:spacing w:val="0"/>
                <w:sz w:val="24"/>
                <w:szCs w:val="24"/>
                <w:lang w:eastAsia="zh-CN"/>
              </w:rPr>
              <w:t>”</w:t>
            </w:r>
            <w:r>
              <w:rPr>
                <w:rFonts w:hint="default" w:ascii="Times New Roman" w:hAnsi="Times New Roman" w:eastAsia="宋体" w:cs="Times New Roman"/>
                <w:bCs/>
                <w:color w:val="auto"/>
                <w:spacing w:val="0"/>
                <w:sz w:val="24"/>
              </w:rPr>
              <w:t>。本项目不生产、使用国家明令禁止的危险化学品，不使用国家明令淘汰、禁止使用的工艺、设备。因此，本项目的建设符合国家产业政策要求。</w:t>
            </w:r>
            <w:r>
              <w:rPr>
                <w:rFonts w:hint="default" w:ascii="Times New Roman" w:hAnsi="Times New Roman" w:eastAsia="宋体" w:cs="Times New Roman"/>
                <w:color w:val="auto"/>
                <w:spacing w:val="0"/>
                <w:sz w:val="24"/>
              </w:rPr>
              <w:t>项目已取得山东省建设项目备案证明（见附件</w:t>
            </w:r>
            <w:r>
              <w:rPr>
                <w:rFonts w:hint="eastAsia" w:cs="Times New Roman"/>
                <w:color w:val="auto"/>
                <w:spacing w:val="0"/>
                <w:sz w:val="24"/>
                <w:lang w:val="en-US" w:eastAsia="zh-CN"/>
              </w:rPr>
              <w:t>3</w:t>
            </w:r>
            <w:r>
              <w:rPr>
                <w:rFonts w:hint="default" w:ascii="Times New Roman" w:hAnsi="Times New Roman" w:eastAsia="宋体" w:cs="Times New Roman"/>
                <w:color w:val="auto"/>
                <w:spacing w:val="0"/>
                <w:sz w:val="24"/>
              </w:rPr>
              <w:t>），备案代码：</w:t>
            </w:r>
            <w:r>
              <w:rPr>
                <w:rFonts w:hint="eastAsia" w:cs="Times New Roman"/>
                <w:color w:val="auto"/>
                <w:spacing w:val="0"/>
                <w:sz w:val="24"/>
                <w:lang w:eastAsia="zh-CN"/>
              </w:rPr>
              <w:t>2502-370829-04-05-644058</w:t>
            </w:r>
            <w:r>
              <w:rPr>
                <w:rFonts w:hint="default" w:ascii="Times New Roman" w:hAnsi="Times New Roman" w:eastAsia="宋体" w:cs="Times New Roman"/>
                <w:color w:val="auto"/>
                <w:spacing w:val="0"/>
                <w:sz w:val="24"/>
                <w:lang w:val="en-US" w:eastAsia="zh-CN"/>
              </w:rPr>
              <w:t>。</w:t>
            </w:r>
          </w:p>
          <w:p w14:paraId="262B8283">
            <w:pPr>
              <w:keepNext w:val="0"/>
              <w:keepLines w:val="0"/>
              <w:pageBreakBefore w:val="0"/>
              <w:widowControl w:val="0"/>
              <w:numPr>
                <w:ilvl w:val="0"/>
                <w:numId w:val="4"/>
              </w:numPr>
              <w:kinsoku/>
              <w:wordWrap/>
              <w:overflowPunct/>
              <w:topLinePunct w:val="0"/>
              <w:bidi w:val="0"/>
              <w:adjustRightInd/>
              <w:snapToGrid/>
              <w:spacing w:line="360" w:lineRule="auto"/>
              <w:ind w:left="0" w:leftChars="0" w:right="0" w:rightChars="0" w:firstLine="482" w:firstLineChars="200"/>
              <w:jc w:val="both"/>
              <w:textAlignment w:val="auto"/>
              <w:rPr>
                <w:rFonts w:hint="default" w:ascii="Times New Roman" w:hAnsi="Times New Roman" w:eastAsia="宋体" w:cs="Times New Roman"/>
                <w:b/>
                <w:bCs/>
                <w:color w:val="auto"/>
                <w:spacing w:val="0"/>
                <w:sz w:val="24"/>
              </w:rPr>
            </w:pPr>
            <w:r>
              <w:rPr>
                <w:rFonts w:hint="default" w:ascii="Times New Roman" w:hAnsi="Times New Roman" w:eastAsia="宋体" w:cs="Times New Roman"/>
                <w:b/>
                <w:bCs/>
                <w:color w:val="auto"/>
                <w:spacing w:val="0"/>
                <w:sz w:val="24"/>
              </w:rPr>
              <w:t>项目选址合理性分析</w:t>
            </w:r>
          </w:p>
          <w:p w14:paraId="51FF541F">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auto"/>
                <w:spacing w:val="0"/>
                <w:sz w:val="24"/>
                <w:lang w:val="en-US" w:eastAsia="zh-CN"/>
              </w:rPr>
            </w:pPr>
            <w:r>
              <w:rPr>
                <w:rFonts w:hint="default" w:ascii="Times New Roman" w:hAnsi="Times New Roman" w:eastAsia="宋体" w:cs="Times New Roman"/>
                <w:color w:val="auto"/>
                <w:spacing w:val="0"/>
                <w:sz w:val="24"/>
              </w:rPr>
              <w:t>本项目位于</w:t>
            </w:r>
            <w:r>
              <w:rPr>
                <w:rFonts w:hint="eastAsia" w:cs="Times New Roman"/>
                <w:color w:val="auto"/>
                <w:spacing w:val="0"/>
                <w:sz w:val="24"/>
                <w:lang w:eastAsia="zh-CN"/>
              </w:rPr>
              <w:t>山东省济宁市嘉祥县马村镇河南刘村南200米</w:t>
            </w:r>
            <w:r>
              <w:rPr>
                <w:rFonts w:hint="default" w:ascii="Times New Roman" w:hAnsi="Times New Roman" w:eastAsia="宋体" w:cs="Times New Roman"/>
                <w:color w:val="auto"/>
                <w:spacing w:val="0"/>
                <w:sz w:val="24"/>
              </w:rPr>
              <w:t>，</w:t>
            </w:r>
            <w:r>
              <w:rPr>
                <w:rFonts w:hint="default" w:ascii="Times New Roman" w:hAnsi="Times New Roman" w:eastAsia="宋体" w:cs="Times New Roman"/>
                <w:color w:val="auto"/>
                <w:spacing w:val="0"/>
                <w:sz w:val="24"/>
                <w:lang w:val="en-US" w:eastAsia="zh-CN"/>
              </w:rPr>
              <w:t>根据《</w:t>
            </w:r>
            <w:r>
              <w:rPr>
                <w:rFonts w:hint="default" w:ascii="Times New Roman" w:hAnsi="Times New Roman" w:eastAsia="宋体" w:cs="Times New Roman"/>
                <w:color w:val="auto"/>
                <w:spacing w:val="0"/>
                <w:sz w:val="24"/>
              </w:rPr>
              <w:t>嘉祥县</w:t>
            </w:r>
            <w:r>
              <w:rPr>
                <w:rFonts w:hint="eastAsia" w:cs="Times New Roman"/>
                <w:color w:val="auto"/>
                <w:spacing w:val="0"/>
                <w:sz w:val="24"/>
                <w:lang w:eastAsia="zh-CN"/>
              </w:rPr>
              <w:t>马村镇</w:t>
            </w:r>
            <w:r>
              <w:rPr>
                <w:rFonts w:hint="default" w:ascii="Times New Roman" w:hAnsi="Times New Roman" w:eastAsia="宋体" w:cs="Times New Roman"/>
                <w:color w:val="auto"/>
                <w:spacing w:val="0"/>
                <w:sz w:val="24"/>
              </w:rPr>
              <w:t>国土空间规划</w:t>
            </w:r>
            <w:r>
              <w:rPr>
                <w:rFonts w:hint="default" w:ascii="Times New Roman" w:hAnsi="Times New Roman" w:eastAsia="宋体" w:cs="Times New Roman"/>
                <w:color w:val="auto"/>
                <w:spacing w:val="0"/>
                <w:sz w:val="24"/>
                <w:lang w:val="en-US" w:eastAsia="zh-CN"/>
              </w:rPr>
              <w:t>》</w:t>
            </w:r>
            <w:r>
              <w:rPr>
                <w:rFonts w:hint="default" w:ascii="Times New Roman" w:hAnsi="Times New Roman" w:eastAsia="宋体" w:cs="Times New Roman"/>
                <w:color w:val="auto"/>
                <w:spacing w:val="0"/>
                <w:sz w:val="24"/>
              </w:rPr>
              <w:t>(2021-2035年)</w:t>
            </w:r>
            <w:r>
              <w:rPr>
                <w:rFonts w:hint="default" w:ascii="Times New Roman" w:hAnsi="Times New Roman" w:eastAsia="宋体" w:cs="Times New Roman"/>
                <w:color w:val="auto"/>
                <w:spacing w:val="0"/>
                <w:sz w:val="24"/>
                <w:lang w:val="en-US" w:eastAsia="zh-CN"/>
              </w:rPr>
              <w:t>（见附图</w:t>
            </w:r>
            <w:r>
              <w:rPr>
                <w:rFonts w:hint="eastAsia" w:cs="Times New Roman"/>
                <w:color w:val="auto"/>
                <w:spacing w:val="0"/>
                <w:sz w:val="24"/>
                <w:lang w:val="en-US" w:eastAsia="zh-CN"/>
              </w:rPr>
              <w:t>6</w:t>
            </w:r>
            <w:r>
              <w:rPr>
                <w:rFonts w:hint="default" w:ascii="Times New Roman" w:hAnsi="Times New Roman" w:eastAsia="宋体" w:cs="Times New Roman"/>
                <w:color w:val="auto"/>
                <w:spacing w:val="0"/>
                <w:sz w:val="24"/>
                <w:lang w:val="en-US" w:eastAsia="zh-CN"/>
              </w:rPr>
              <w:t>）</w:t>
            </w:r>
            <w:r>
              <w:rPr>
                <w:rFonts w:hint="eastAsia" w:cs="Times New Roman"/>
                <w:color w:val="auto"/>
                <w:spacing w:val="0"/>
                <w:sz w:val="24"/>
                <w:lang w:val="en-US" w:eastAsia="zh-CN"/>
              </w:rPr>
              <w:t>，</w:t>
            </w:r>
            <w:r>
              <w:rPr>
                <w:rFonts w:hint="default" w:ascii="Times New Roman" w:hAnsi="Times New Roman" w:eastAsia="宋体" w:cs="Times New Roman"/>
                <w:color w:val="auto"/>
                <w:spacing w:val="0"/>
                <w:sz w:val="24"/>
                <w:lang w:val="en-US" w:eastAsia="zh-CN"/>
              </w:rPr>
              <w:t>项目厂区位于工业</w:t>
            </w:r>
            <w:r>
              <w:rPr>
                <w:rFonts w:hint="eastAsia" w:cs="Times New Roman"/>
                <w:color w:val="auto"/>
                <w:spacing w:val="0"/>
                <w:sz w:val="24"/>
                <w:lang w:val="en-US" w:eastAsia="zh-CN"/>
              </w:rPr>
              <w:t>用地范围内。根据《嘉祥县国土空间总体规划（2021-2035年）》中的&lt;县域国土空间控制线规划图&gt;，本项目所在厂区位于城镇开发边界内，不涉及生态保护红线，不占用永久基本农田</w:t>
            </w:r>
            <w:r>
              <w:rPr>
                <w:rFonts w:hint="default" w:ascii="Times New Roman" w:hAnsi="Times New Roman" w:eastAsia="宋体" w:cs="Times New Roman"/>
                <w:color w:val="auto"/>
                <w:spacing w:val="0"/>
                <w:kern w:val="0"/>
                <w:sz w:val="24"/>
                <w:highlight w:val="none"/>
                <w:lang w:val="en-US" w:eastAsia="zh-CN"/>
              </w:rPr>
              <w:t>，</w:t>
            </w:r>
            <w:r>
              <w:rPr>
                <w:rFonts w:hint="default" w:ascii="Times New Roman" w:hAnsi="Times New Roman" w:eastAsia="宋体" w:cs="Times New Roman"/>
                <w:color w:val="auto"/>
                <w:spacing w:val="0"/>
                <w:sz w:val="24"/>
                <w:highlight w:val="none"/>
                <w:lang w:eastAsia="zh-CN"/>
              </w:rPr>
              <w:t>符合《嘉祥县国土空间总体规划（2021-2035年）》</w:t>
            </w:r>
            <w:r>
              <w:rPr>
                <w:rFonts w:hint="default" w:ascii="Times New Roman" w:hAnsi="Times New Roman" w:eastAsia="宋体" w:cs="Times New Roman"/>
                <w:color w:val="auto"/>
                <w:spacing w:val="0"/>
                <w:sz w:val="24"/>
                <w:highlight w:val="none"/>
                <w:lang w:val="en-US" w:eastAsia="zh-CN"/>
              </w:rPr>
              <w:t>要求</w:t>
            </w:r>
            <w:r>
              <w:rPr>
                <w:rFonts w:hint="default" w:ascii="Times New Roman" w:hAnsi="Times New Roman" w:eastAsia="宋体" w:cs="Times New Roman"/>
                <w:color w:val="auto"/>
                <w:spacing w:val="0"/>
                <w:sz w:val="24"/>
                <w:lang w:val="en-US" w:eastAsia="zh-CN"/>
              </w:rPr>
              <w:t>。</w:t>
            </w:r>
          </w:p>
          <w:p w14:paraId="031582DB">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b/>
                <w:bCs/>
                <w:color w:val="auto"/>
                <w:spacing w:val="0"/>
                <w:sz w:val="24"/>
                <w:szCs w:val="22"/>
              </w:rPr>
            </w:pPr>
            <w:r>
              <w:rPr>
                <w:rFonts w:hint="default" w:ascii="Times New Roman" w:hAnsi="Times New Roman" w:eastAsia="宋体" w:cs="Times New Roman"/>
                <w:color w:val="auto"/>
                <w:spacing w:val="0"/>
                <w:sz w:val="24"/>
                <w:lang w:val="en-US" w:eastAsia="zh-CN"/>
              </w:rPr>
              <w:t>对照《自然资源要素支撑产业高质量发展指导目录(2024年本)》（自然资发[2024]273号），本项目不属于限制用地和禁止用地范围</w:t>
            </w:r>
            <w:r>
              <w:rPr>
                <w:rFonts w:hint="default" w:ascii="Times New Roman" w:hAnsi="Times New Roman" w:eastAsia="宋体" w:cs="Times New Roman"/>
                <w:color w:val="auto"/>
                <w:spacing w:val="0"/>
                <w:sz w:val="24"/>
              </w:rPr>
              <w:t>。</w:t>
            </w:r>
          </w:p>
          <w:p w14:paraId="34081FD1">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auto"/>
                <w:spacing w:val="0"/>
                <w:kern w:val="0"/>
                <w:sz w:val="24"/>
                <w:highlight w:val="none"/>
              </w:rPr>
            </w:pPr>
            <w:r>
              <w:rPr>
                <w:rFonts w:hint="eastAsia" w:cs="Times New Roman"/>
                <w:color w:val="auto"/>
                <w:spacing w:val="0"/>
                <w:sz w:val="24"/>
                <w:highlight w:val="none"/>
                <w:lang w:val="en-US" w:eastAsia="zh-CN"/>
              </w:rPr>
              <w:t>本</w:t>
            </w:r>
            <w:r>
              <w:rPr>
                <w:rFonts w:hint="default" w:ascii="Times New Roman" w:hAnsi="Times New Roman" w:eastAsia="宋体" w:cs="Times New Roman"/>
                <w:color w:val="auto"/>
                <w:spacing w:val="0"/>
                <w:sz w:val="24"/>
                <w:highlight w:val="none"/>
              </w:rPr>
              <w:t>项目</w:t>
            </w:r>
            <w:r>
              <w:rPr>
                <w:rFonts w:hint="default" w:ascii="Times New Roman" w:hAnsi="Times New Roman" w:eastAsia="宋体" w:cs="Times New Roman"/>
                <w:color w:val="auto"/>
                <w:spacing w:val="0"/>
                <w:sz w:val="24"/>
                <w:highlight w:val="none"/>
                <w:lang w:val="en-US" w:eastAsia="zh-CN"/>
              </w:rPr>
              <w:t>运营期</w:t>
            </w:r>
            <w:r>
              <w:rPr>
                <w:rFonts w:hint="default" w:ascii="Times New Roman" w:hAnsi="Times New Roman" w:eastAsia="宋体" w:cs="Times New Roman"/>
                <w:color w:val="auto"/>
                <w:spacing w:val="0"/>
                <w:sz w:val="24"/>
                <w:highlight w:val="none"/>
              </w:rPr>
              <w:t>采取有效的防治措施后，污染物均</w:t>
            </w:r>
            <w:r>
              <w:rPr>
                <w:rFonts w:hint="default" w:ascii="Times New Roman" w:hAnsi="Times New Roman" w:eastAsia="宋体" w:cs="Times New Roman"/>
                <w:color w:val="auto"/>
                <w:spacing w:val="0"/>
                <w:sz w:val="24"/>
                <w:highlight w:val="none"/>
                <w:lang w:val="en-US" w:eastAsia="zh-CN"/>
              </w:rPr>
              <w:t>可</w:t>
            </w:r>
            <w:r>
              <w:rPr>
                <w:rFonts w:hint="default" w:ascii="Times New Roman" w:hAnsi="Times New Roman" w:eastAsia="宋体" w:cs="Times New Roman"/>
                <w:color w:val="auto"/>
                <w:spacing w:val="0"/>
                <w:sz w:val="24"/>
                <w:highlight w:val="none"/>
              </w:rPr>
              <w:t>达标排放，对周围环境影响较小</w:t>
            </w:r>
            <w:r>
              <w:rPr>
                <w:rFonts w:hint="default" w:ascii="Times New Roman" w:hAnsi="Times New Roman" w:eastAsia="宋体" w:cs="Times New Roman"/>
                <w:color w:val="auto"/>
                <w:spacing w:val="0"/>
                <w:sz w:val="24"/>
                <w:highlight w:val="none"/>
                <w:lang w:eastAsia="zh-CN"/>
              </w:rPr>
              <w:t>。</w:t>
            </w:r>
            <w:r>
              <w:rPr>
                <w:rFonts w:hint="default" w:ascii="Times New Roman" w:hAnsi="Times New Roman" w:eastAsia="宋体" w:cs="Times New Roman"/>
                <w:color w:val="auto"/>
                <w:spacing w:val="0"/>
                <w:kern w:val="0"/>
                <w:sz w:val="24"/>
                <w:highlight w:val="none"/>
              </w:rPr>
              <w:t>项目周围没有历史文物古迹、风景名胜区及重要生态功能区</w:t>
            </w:r>
            <w:r>
              <w:rPr>
                <w:rFonts w:hint="default" w:ascii="Times New Roman" w:hAnsi="Times New Roman" w:eastAsia="宋体" w:cs="Times New Roman"/>
                <w:color w:val="auto"/>
                <w:spacing w:val="0"/>
                <w:kern w:val="0"/>
                <w:sz w:val="24"/>
                <w:highlight w:val="none"/>
                <w:lang w:eastAsia="zh-CN"/>
              </w:rPr>
              <w:t>。</w:t>
            </w:r>
            <w:r>
              <w:rPr>
                <w:rFonts w:hint="default" w:ascii="Times New Roman" w:hAnsi="Times New Roman" w:eastAsia="宋体" w:cs="Times New Roman"/>
                <w:color w:val="auto"/>
                <w:spacing w:val="0"/>
                <w:kern w:val="0"/>
                <w:sz w:val="24"/>
                <w:highlight w:val="none"/>
              </w:rPr>
              <w:t>项目区域具有水、电及交通便利等有利条件。</w:t>
            </w:r>
          </w:p>
          <w:p w14:paraId="5E8575E0">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b/>
                <w:bCs/>
                <w:color w:val="auto"/>
                <w:spacing w:val="0"/>
                <w:sz w:val="24"/>
                <w:szCs w:val="22"/>
              </w:rPr>
            </w:pPr>
            <w:r>
              <w:rPr>
                <w:rFonts w:hint="default" w:ascii="Times New Roman" w:hAnsi="Times New Roman" w:eastAsia="宋体" w:cs="Times New Roman"/>
                <w:color w:val="auto"/>
                <w:spacing w:val="0"/>
                <w:kern w:val="0"/>
                <w:sz w:val="24"/>
                <w:highlight w:val="none"/>
              </w:rPr>
              <w:t>综上所述，</w:t>
            </w:r>
            <w:r>
              <w:rPr>
                <w:rFonts w:hint="default" w:ascii="Times New Roman" w:hAnsi="Times New Roman" w:eastAsia="宋体" w:cs="Times New Roman"/>
                <w:color w:val="auto"/>
                <w:spacing w:val="0"/>
                <w:sz w:val="24"/>
                <w:highlight w:val="none"/>
              </w:rPr>
              <w:t>本项目选</w:t>
            </w:r>
            <w:r>
              <w:rPr>
                <w:rFonts w:hint="default" w:ascii="Times New Roman" w:hAnsi="Times New Roman" w:eastAsia="宋体" w:cs="Times New Roman"/>
                <w:color w:val="auto"/>
                <w:spacing w:val="0"/>
                <w:kern w:val="0"/>
                <w:sz w:val="24"/>
                <w:highlight w:val="none"/>
              </w:rPr>
              <w:t>址基本合理可行</w:t>
            </w:r>
            <w:r>
              <w:rPr>
                <w:rFonts w:hint="default" w:ascii="Times New Roman" w:hAnsi="Times New Roman" w:eastAsia="宋体" w:cs="Times New Roman"/>
                <w:color w:val="auto"/>
                <w:spacing w:val="0"/>
                <w:kern w:val="0"/>
                <w:sz w:val="24"/>
                <w:highlight w:val="none"/>
                <w:lang w:eastAsia="zh-CN"/>
              </w:rPr>
              <w:t>。</w:t>
            </w:r>
          </w:p>
          <w:p w14:paraId="38AD0027">
            <w:pPr>
              <w:keepNext w:val="0"/>
              <w:keepLines w:val="0"/>
              <w:pageBreakBefore w:val="0"/>
              <w:widowControl w:val="0"/>
              <w:numPr>
                <w:ilvl w:val="0"/>
                <w:numId w:val="4"/>
              </w:numPr>
              <w:kinsoku/>
              <w:wordWrap/>
              <w:overflowPunct/>
              <w:topLinePunct w:val="0"/>
              <w:bidi w:val="0"/>
              <w:adjustRightInd/>
              <w:snapToGrid/>
              <w:spacing w:line="360" w:lineRule="auto"/>
              <w:ind w:left="0" w:leftChars="0" w:right="0" w:rightChars="0" w:firstLine="482" w:firstLineChars="200"/>
              <w:jc w:val="both"/>
              <w:textAlignment w:val="auto"/>
              <w:rPr>
                <w:rFonts w:hint="default" w:ascii="Times New Roman" w:hAnsi="Times New Roman" w:eastAsia="宋体" w:cs="Times New Roman"/>
                <w:b/>
                <w:bCs/>
                <w:color w:val="auto"/>
                <w:spacing w:val="0"/>
                <w:sz w:val="24"/>
                <w:lang w:val="en-US" w:eastAsia="zh-CN"/>
              </w:rPr>
            </w:pPr>
            <w:r>
              <w:rPr>
                <w:rFonts w:hint="default" w:ascii="Times New Roman" w:hAnsi="Times New Roman" w:eastAsia="宋体" w:cs="Times New Roman"/>
                <w:b/>
                <w:bCs/>
                <w:color w:val="auto"/>
                <w:spacing w:val="0"/>
                <w:sz w:val="24"/>
                <w:lang w:val="en-US" w:eastAsia="zh-CN"/>
              </w:rPr>
              <w:t>“生态环境分区管控”符合性分析</w:t>
            </w:r>
          </w:p>
          <w:p w14:paraId="65E7D7A0">
            <w:pPr>
              <w:spacing w:line="360" w:lineRule="auto"/>
              <w:ind w:firstLine="480" w:firstLineChars="200"/>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kern w:val="0"/>
                <w:sz w:val="24"/>
                <w:szCs w:val="24"/>
                <w:lang w:val="en-US" w:eastAsia="zh-CN" w:bidi="ar"/>
              </w:rPr>
              <w:t>根据《济宁市“三线一单”生态环境分区管控方案》（济政字【2021】27号）、</w:t>
            </w:r>
            <w:r>
              <w:rPr>
                <w:rFonts w:hint="default" w:ascii="Times New Roman" w:hAnsi="Times New Roman" w:eastAsia="宋体" w:cs="Times New Roman"/>
                <w:b w:val="0"/>
                <w:bCs w:val="0"/>
                <w:color w:val="auto"/>
                <w:spacing w:val="0"/>
                <w:sz w:val="24"/>
                <w:szCs w:val="24"/>
                <w:highlight w:val="none"/>
                <w:lang w:val="en-US" w:eastAsia="zh-CN"/>
              </w:rPr>
              <w:t>《济宁市生态环境委员会办公室关于发布2023年生态环境分区管控动态更新成果的通知》（济环委办[2024]5号）</w:t>
            </w:r>
            <w:r>
              <w:rPr>
                <w:rFonts w:hint="default" w:ascii="Times New Roman" w:hAnsi="Times New Roman" w:eastAsia="宋体" w:cs="Times New Roman"/>
                <w:color w:val="auto"/>
                <w:spacing w:val="0"/>
                <w:kern w:val="0"/>
                <w:sz w:val="24"/>
                <w:szCs w:val="24"/>
                <w:lang w:val="en-US" w:eastAsia="zh-CN" w:bidi="ar"/>
              </w:rPr>
              <w:t>，全市建立“1+197”生态环境准入清单管控体系。其中，“1”为市级清单，体现全市的基础性、普适性要求；“197”为环境管控单元清单，体现管控单元的差异性、落地性要求。济宁市共划定197个环境管控单元，分为优先保护单元、重点管控单元和一般管控单元，实施分类管控。</w:t>
            </w:r>
          </w:p>
          <w:p w14:paraId="415B25D5">
            <w:pPr>
              <w:keepNext w:val="0"/>
              <w:keepLines w:val="0"/>
              <w:pageBreakBefore w:val="0"/>
              <w:widowControl w:val="0"/>
              <w:kinsoku/>
              <w:wordWrap/>
              <w:overflowPunct/>
              <w:topLinePunct w:val="0"/>
              <w:autoSpaceDE/>
              <w:autoSpaceDN/>
              <w:bidi w:val="0"/>
              <w:adjustRightInd/>
              <w:snapToGrid w:val="0"/>
              <w:spacing w:line="348" w:lineRule="auto"/>
              <w:ind w:firstLine="480" w:firstLineChars="200"/>
              <w:textAlignment w:val="auto"/>
              <w:rPr>
                <w:rFonts w:hint="default" w:ascii="Times New Roman" w:hAnsi="Times New Roman" w:eastAsia="宋体" w:cs="Times New Roman"/>
                <w:color w:val="auto"/>
                <w:spacing w:val="0"/>
                <w:sz w:val="24"/>
                <w:szCs w:val="24"/>
                <w:lang w:val="en-US" w:eastAsia="zh-CN"/>
              </w:rPr>
            </w:pPr>
            <w:r>
              <w:rPr>
                <w:rFonts w:hint="default" w:ascii="Times New Roman" w:hAnsi="Times New Roman" w:eastAsia="宋体" w:cs="Times New Roman"/>
                <w:color w:val="auto"/>
                <w:spacing w:val="0"/>
                <w:sz w:val="24"/>
                <w:szCs w:val="24"/>
              </w:rPr>
              <w:t>本项目位于</w:t>
            </w:r>
            <w:r>
              <w:rPr>
                <w:rFonts w:hint="default" w:ascii="Times New Roman" w:hAnsi="Times New Roman" w:eastAsia="宋体" w:cs="Times New Roman"/>
                <w:color w:val="auto"/>
                <w:spacing w:val="0"/>
                <w:sz w:val="24"/>
                <w:szCs w:val="24"/>
                <w:lang w:val="en-US" w:eastAsia="zh-CN"/>
              </w:rPr>
              <w:t>济宁市嘉祥县</w:t>
            </w:r>
            <w:r>
              <w:rPr>
                <w:rFonts w:hint="eastAsia" w:cs="Times New Roman"/>
                <w:color w:val="auto"/>
                <w:spacing w:val="0"/>
                <w:sz w:val="24"/>
                <w:szCs w:val="24"/>
                <w:lang w:val="en-US" w:eastAsia="zh-CN"/>
              </w:rPr>
              <w:t>马村镇</w:t>
            </w:r>
            <w:r>
              <w:rPr>
                <w:rFonts w:hint="default" w:ascii="Times New Roman" w:hAnsi="Times New Roman" w:eastAsia="宋体" w:cs="Times New Roman"/>
                <w:color w:val="auto"/>
                <w:spacing w:val="0"/>
                <w:sz w:val="24"/>
                <w:szCs w:val="24"/>
              </w:rPr>
              <w:t>，</w:t>
            </w:r>
            <w:r>
              <w:rPr>
                <w:rFonts w:hint="default" w:ascii="Times New Roman" w:hAnsi="Times New Roman" w:eastAsia="宋体" w:cs="Times New Roman"/>
                <w:color w:val="auto"/>
                <w:spacing w:val="0"/>
                <w:kern w:val="0"/>
                <w:sz w:val="24"/>
              </w:rPr>
              <w:t>根据《济宁市生态环境委员会办公室关于发布2023年生态环境分区管控动态更新成果的通知》（济环委办</w:t>
            </w:r>
            <w:r>
              <w:rPr>
                <w:rFonts w:hint="default" w:ascii="Times New Roman" w:hAnsi="Times New Roman" w:eastAsia="宋体" w:cs="Times New Roman"/>
                <w:color w:val="auto"/>
                <w:spacing w:val="0"/>
                <w:kern w:val="0"/>
                <w:sz w:val="24"/>
                <w:lang w:eastAsia="zh-CN"/>
              </w:rPr>
              <w:t>【</w:t>
            </w:r>
            <w:r>
              <w:rPr>
                <w:rFonts w:hint="default" w:ascii="Times New Roman" w:hAnsi="Times New Roman" w:eastAsia="宋体" w:cs="Times New Roman"/>
                <w:color w:val="auto"/>
                <w:spacing w:val="0"/>
                <w:kern w:val="0"/>
                <w:sz w:val="24"/>
              </w:rPr>
              <w:t>2024</w:t>
            </w:r>
            <w:r>
              <w:rPr>
                <w:rFonts w:hint="default" w:ascii="Times New Roman" w:hAnsi="Times New Roman" w:eastAsia="宋体" w:cs="Times New Roman"/>
                <w:color w:val="auto"/>
                <w:spacing w:val="0"/>
                <w:kern w:val="0"/>
                <w:sz w:val="24"/>
                <w:lang w:eastAsia="zh-CN"/>
              </w:rPr>
              <w:t>】</w:t>
            </w:r>
            <w:r>
              <w:rPr>
                <w:rFonts w:hint="default" w:ascii="Times New Roman" w:hAnsi="Times New Roman" w:eastAsia="宋体" w:cs="Times New Roman"/>
                <w:color w:val="auto"/>
                <w:spacing w:val="0"/>
                <w:kern w:val="0"/>
                <w:sz w:val="24"/>
              </w:rPr>
              <w:t>5号）</w:t>
            </w:r>
            <w:r>
              <w:rPr>
                <w:rFonts w:hint="default" w:ascii="Times New Roman" w:hAnsi="Times New Roman" w:eastAsia="宋体" w:cs="Times New Roman"/>
                <w:color w:val="auto"/>
                <w:spacing w:val="0"/>
                <w:sz w:val="24"/>
                <w:szCs w:val="24"/>
                <w:lang w:val="en-US" w:eastAsia="zh-CN"/>
              </w:rPr>
              <w:t>，</w:t>
            </w:r>
            <w:r>
              <w:rPr>
                <w:rFonts w:hint="eastAsia" w:cs="Times New Roman"/>
                <w:color w:val="auto"/>
                <w:spacing w:val="0"/>
                <w:sz w:val="24"/>
                <w:szCs w:val="24"/>
                <w:lang w:val="en-US" w:eastAsia="zh-CN"/>
              </w:rPr>
              <w:t>马村镇</w:t>
            </w:r>
            <w:r>
              <w:rPr>
                <w:rFonts w:hint="default" w:ascii="Times New Roman" w:hAnsi="Times New Roman" w:eastAsia="宋体" w:cs="Times New Roman"/>
                <w:color w:val="auto"/>
                <w:spacing w:val="0"/>
                <w:sz w:val="24"/>
                <w:szCs w:val="24"/>
              </w:rPr>
              <w:t>属于一般管控单元，项目</w:t>
            </w:r>
            <w:r>
              <w:rPr>
                <w:rFonts w:hint="default" w:ascii="Times New Roman" w:hAnsi="Times New Roman" w:eastAsia="宋体" w:cs="Times New Roman"/>
                <w:color w:val="auto"/>
                <w:spacing w:val="0"/>
                <w:sz w:val="24"/>
                <w:szCs w:val="24"/>
                <w:lang w:val="en-US" w:eastAsia="zh-CN"/>
              </w:rPr>
              <w:t>与</w:t>
            </w:r>
            <w:r>
              <w:rPr>
                <w:rFonts w:hint="eastAsia" w:cs="Times New Roman"/>
                <w:color w:val="auto"/>
                <w:spacing w:val="0"/>
                <w:sz w:val="24"/>
                <w:szCs w:val="24"/>
                <w:lang w:val="en-US" w:eastAsia="zh-CN"/>
              </w:rPr>
              <w:t>马村镇</w:t>
            </w:r>
            <w:r>
              <w:rPr>
                <w:rFonts w:hint="default" w:ascii="Times New Roman" w:hAnsi="Times New Roman" w:eastAsia="宋体" w:cs="Times New Roman"/>
                <w:color w:val="auto"/>
                <w:spacing w:val="0"/>
                <w:sz w:val="24"/>
                <w:szCs w:val="24"/>
              </w:rPr>
              <w:t>环境管控单元生态环境准入清单要求</w:t>
            </w:r>
            <w:r>
              <w:rPr>
                <w:rFonts w:hint="default" w:ascii="Times New Roman" w:hAnsi="Times New Roman" w:eastAsia="宋体" w:cs="Times New Roman"/>
                <w:color w:val="auto"/>
                <w:spacing w:val="0"/>
                <w:sz w:val="24"/>
                <w:szCs w:val="24"/>
                <w:lang w:val="en-US" w:eastAsia="zh-CN"/>
              </w:rPr>
              <w:t>符合性分析见下表。</w:t>
            </w:r>
          </w:p>
          <w:p w14:paraId="20301DAC">
            <w:pPr>
              <w:keepNext w:val="0"/>
              <w:keepLines w:val="0"/>
              <w:pageBreakBefore w:val="0"/>
              <w:widowControl w:val="0"/>
              <w:numPr>
                <w:ilvl w:val="0"/>
                <w:numId w:val="5"/>
              </w:numPr>
              <w:tabs>
                <w:tab w:val="center" w:pos="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snapToGrid w:val="0"/>
                <w:color w:val="auto"/>
                <w:spacing w:val="0"/>
                <w:kern w:val="0"/>
                <w:sz w:val="24"/>
                <w:szCs w:val="24"/>
                <w:lang w:val="en-US" w:eastAsia="zh-CN"/>
              </w:rPr>
            </w:pPr>
            <w:r>
              <w:rPr>
                <w:rFonts w:hint="default" w:ascii="Times New Roman" w:hAnsi="Times New Roman" w:eastAsia="宋体" w:cs="Times New Roman"/>
                <w:b/>
                <w:bCs/>
                <w:snapToGrid w:val="0"/>
                <w:color w:val="auto"/>
                <w:spacing w:val="0"/>
                <w:kern w:val="0"/>
                <w:sz w:val="24"/>
                <w:szCs w:val="24"/>
                <w:lang w:val="en-US" w:eastAsia="zh-CN"/>
              </w:rPr>
              <w:t>环境管控单元生态环境准入清单符合性分析</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1498"/>
              <w:gridCol w:w="742"/>
              <w:gridCol w:w="774"/>
              <w:gridCol w:w="1099"/>
              <w:gridCol w:w="1077"/>
              <w:gridCol w:w="680"/>
            </w:tblGrid>
            <w:tr w14:paraId="6167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2" w:type="pct"/>
                  <w:vMerge w:val="restart"/>
                  <w:tcBorders>
                    <w:tl2br w:val="nil"/>
                    <w:tr2bl w:val="nil"/>
                  </w:tcBorders>
                  <w:noWrap w:val="0"/>
                  <w:vAlign w:val="center"/>
                </w:tcPr>
                <w:p w14:paraId="63CF05E4">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环境管控单元编码</w:t>
                  </w:r>
                </w:p>
              </w:tc>
              <w:tc>
                <w:tcPr>
                  <w:tcW w:w="987" w:type="pct"/>
                  <w:vMerge w:val="restart"/>
                  <w:tcBorders>
                    <w:tl2br w:val="nil"/>
                    <w:tr2bl w:val="nil"/>
                  </w:tcBorders>
                  <w:noWrap w:val="0"/>
                  <w:vAlign w:val="center"/>
                </w:tcPr>
                <w:p w14:paraId="7B50B860">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环境管控</w:t>
                  </w:r>
                </w:p>
                <w:p w14:paraId="1D9D3EEF">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单元名称</w:t>
                  </w:r>
                </w:p>
              </w:tc>
              <w:tc>
                <w:tcPr>
                  <w:tcW w:w="1722" w:type="pct"/>
                  <w:gridSpan w:val="3"/>
                  <w:tcBorders>
                    <w:tl2br w:val="nil"/>
                    <w:tr2bl w:val="nil"/>
                  </w:tcBorders>
                  <w:noWrap w:val="0"/>
                  <w:vAlign w:val="center"/>
                </w:tcPr>
                <w:p w14:paraId="7592B00F">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行政区划</w:t>
                  </w:r>
                </w:p>
              </w:tc>
              <w:tc>
                <w:tcPr>
                  <w:tcW w:w="1156" w:type="pct"/>
                  <w:gridSpan w:val="2"/>
                  <w:vMerge w:val="restart"/>
                  <w:tcBorders>
                    <w:tl2br w:val="nil"/>
                    <w:tr2bl w:val="nil"/>
                  </w:tcBorders>
                  <w:noWrap w:val="0"/>
                  <w:vAlign w:val="center"/>
                </w:tcPr>
                <w:p w14:paraId="5DB69BFB">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管控单元分类</w:t>
                  </w:r>
                </w:p>
              </w:tc>
            </w:tr>
            <w:tr w14:paraId="44AC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2" w:type="pct"/>
                  <w:vMerge w:val="continue"/>
                  <w:tcBorders>
                    <w:tl2br w:val="nil"/>
                    <w:tr2bl w:val="nil"/>
                  </w:tcBorders>
                  <w:noWrap w:val="0"/>
                  <w:vAlign w:val="center"/>
                </w:tcPr>
                <w:p w14:paraId="22C6ACD6">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
                      <w:bCs/>
                      <w:color w:val="auto"/>
                      <w:sz w:val="21"/>
                      <w:szCs w:val="21"/>
                    </w:rPr>
                  </w:pPr>
                </w:p>
              </w:tc>
              <w:tc>
                <w:tcPr>
                  <w:tcW w:w="987" w:type="pct"/>
                  <w:vMerge w:val="continue"/>
                  <w:tcBorders>
                    <w:tl2br w:val="nil"/>
                    <w:tr2bl w:val="nil"/>
                  </w:tcBorders>
                  <w:noWrap w:val="0"/>
                  <w:vAlign w:val="center"/>
                </w:tcPr>
                <w:p w14:paraId="30C22F9F">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
                      <w:bCs/>
                      <w:color w:val="auto"/>
                      <w:sz w:val="21"/>
                      <w:szCs w:val="21"/>
                    </w:rPr>
                  </w:pPr>
                </w:p>
              </w:tc>
              <w:tc>
                <w:tcPr>
                  <w:tcW w:w="489" w:type="pct"/>
                  <w:tcBorders>
                    <w:tl2br w:val="nil"/>
                    <w:tr2bl w:val="nil"/>
                  </w:tcBorders>
                  <w:noWrap w:val="0"/>
                  <w:vAlign w:val="center"/>
                </w:tcPr>
                <w:p w14:paraId="1E845ED0">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省</w:t>
                  </w:r>
                </w:p>
              </w:tc>
              <w:tc>
                <w:tcPr>
                  <w:tcW w:w="508" w:type="pct"/>
                  <w:tcBorders>
                    <w:tl2br w:val="nil"/>
                    <w:tr2bl w:val="nil"/>
                  </w:tcBorders>
                  <w:noWrap w:val="0"/>
                  <w:vAlign w:val="center"/>
                </w:tcPr>
                <w:p w14:paraId="63391B01">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市</w:t>
                  </w:r>
                </w:p>
              </w:tc>
              <w:tc>
                <w:tcPr>
                  <w:tcW w:w="724" w:type="pct"/>
                  <w:tcBorders>
                    <w:tl2br w:val="nil"/>
                    <w:tr2bl w:val="nil"/>
                  </w:tcBorders>
                  <w:noWrap w:val="0"/>
                  <w:vAlign w:val="center"/>
                </w:tcPr>
                <w:p w14:paraId="3FE88C8F">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县</w:t>
                  </w:r>
                </w:p>
              </w:tc>
              <w:tc>
                <w:tcPr>
                  <w:tcW w:w="1156" w:type="pct"/>
                  <w:gridSpan w:val="2"/>
                  <w:vMerge w:val="continue"/>
                  <w:tcBorders>
                    <w:tl2br w:val="nil"/>
                    <w:tr2bl w:val="nil"/>
                  </w:tcBorders>
                  <w:noWrap w:val="0"/>
                  <w:vAlign w:val="center"/>
                </w:tcPr>
                <w:p w14:paraId="15AD9079">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Cs/>
                      <w:color w:val="auto"/>
                      <w:sz w:val="21"/>
                      <w:szCs w:val="21"/>
                    </w:rPr>
                  </w:pPr>
                </w:p>
              </w:tc>
            </w:tr>
            <w:tr w14:paraId="7E99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32" w:type="pct"/>
                  <w:tcBorders>
                    <w:tl2br w:val="nil"/>
                    <w:tr2bl w:val="nil"/>
                  </w:tcBorders>
                  <w:noWrap w:val="0"/>
                  <w:vAlign w:val="center"/>
                </w:tcPr>
                <w:p w14:paraId="2C2E378A">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color w:val="auto"/>
                      <w:kern w:val="2"/>
                      <w:sz w:val="21"/>
                      <w:szCs w:val="21"/>
                      <w:lang w:val="en-US" w:eastAsia="zh-CN" w:bidi="ar-SA"/>
                    </w:rPr>
                    <w:t>ZH37082930005</w:t>
                  </w:r>
                </w:p>
              </w:tc>
              <w:tc>
                <w:tcPr>
                  <w:tcW w:w="987" w:type="pct"/>
                  <w:tcBorders>
                    <w:tl2br w:val="nil"/>
                    <w:tr2bl w:val="nil"/>
                  </w:tcBorders>
                  <w:noWrap w:val="0"/>
                  <w:vAlign w:val="center"/>
                </w:tcPr>
                <w:p w14:paraId="0485C2E6">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马村镇</w:t>
                  </w:r>
                </w:p>
              </w:tc>
              <w:tc>
                <w:tcPr>
                  <w:tcW w:w="489" w:type="pct"/>
                  <w:tcBorders>
                    <w:tl2br w:val="nil"/>
                    <w:tr2bl w:val="nil"/>
                  </w:tcBorders>
                  <w:noWrap w:val="0"/>
                  <w:vAlign w:val="center"/>
                </w:tcPr>
                <w:p w14:paraId="46DE3319">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山东省</w:t>
                  </w:r>
                </w:p>
              </w:tc>
              <w:tc>
                <w:tcPr>
                  <w:tcW w:w="508" w:type="pct"/>
                  <w:tcBorders>
                    <w:tl2br w:val="nil"/>
                    <w:tr2bl w:val="nil"/>
                  </w:tcBorders>
                  <w:noWrap w:val="0"/>
                  <w:vAlign w:val="center"/>
                </w:tcPr>
                <w:p w14:paraId="19BD6AA4">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济宁市</w:t>
                  </w:r>
                </w:p>
              </w:tc>
              <w:tc>
                <w:tcPr>
                  <w:tcW w:w="724" w:type="pct"/>
                  <w:tcBorders>
                    <w:tl2br w:val="nil"/>
                    <w:tr2bl w:val="nil"/>
                  </w:tcBorders>
                  <w:noWrap w:val="0"/>
                  <w:vAlign w:val="center"/>
                </w:tcPr>
                <w:p w14:paraId="48588EDC">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color w:val="auto"/>
                      <w:sz w:val="21"/>
                      <w:szCs w:val="21"/>
                      <w:lang w:val="en-US" w:eastAsia="zh-CN"/>
                    </w:rPr>
                    <w:t>嘉祥县</w:t>
                  </w:r>
                </w:p>
              </w:tc>
              <w:tc>
                <w:tcPr>
                  <w:tcW w:w="1156" w:type="pct"/>
                  <w:gridSpan w:val="2"/>
                  <w:tcBorders>
                    <w:tl2br w:val="nil"/>
                    <w:tr2bl w:val="nil"/>
                  </w:tcBorders>
                  <w:noWrap w:val="0"/>
                  <w:vAlign w:val="center"/>
                </w:tcPr>
                <w:p w14:paraId="6868AC94">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一般管控单元</w:t>
                  </w:r>
                </w:p>
              </w:tc>
            </w:tr>
            <w:tr w14:paraId="2771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7"/>
                  <w:tcBorders>
                    <w:tl2br w:val="nil"/>
                    <w:tr2bl w:val="nil"/>
                  </w:tcBorders>
                  <w:noWrap w:val="0"/>
                  <w:vAlign w:val="center"/>
                </w:tcPr>
                <w:p w14:paraId="093440D6">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文件具体要求</w:t>
                  </w:r>
                </w:p>
              </w:tc>
            </w:tr>
            <w:tr w14:paraId="7874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18" w:type="pct"/>
                  <w:gridSpan w:val="4"/>
                  <w:tcBorders>
                    <w:tl2br w:val="nil"/>
                    <w:tr2bl w:val="nil"/>
                  </w:tcBorders>
                  <w:noWrap w:val="0"/>
                  <w:vAlign w:val="center"/>
                </w:tcPr>
                <w:p w14:paraId="03A5ED6A">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空间布局约束</w:t>
                  </w:r>
                </w:p>
              </w:tc>
              <w:tc>
                <w:tcPr>
                  <w:tcW w:w="1434" w:type="pct"/>
                  <w:gridSpan w:val="2"/>
                  <w:tcBorders>
                    <w:tl2br w:val="nil"/>
                    <w:tr2bl w:val="nil"/>
                  </w:tcBorders>
                  <w:noWrap w:val="0"/>
                  <w:vAlign w:val="center"/>
                </w:tcPr>
                <w:p w14:paraId="22968803">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本项目情况</w:t>
                  </w:r>
                </w:p>
              </w:tc>
              <w:tc>
                <w:tcPr>
                  <w:tcW w:w="446" w:type="pct"/>
                  <w:tcBorders>
                    <w:tl2br w:val="nil"/>
                    <w:tr2bl w:val="nil"/>
                  </w:tcBorders>
                  <w:noWrap w:val="0"/>
                  <w:vAlign w:val="center"/>
                </w:tcPr>
                <w:p w14:paraId="663BB777">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符合性</w:t>
                  </w:r>
                </w:p>
              </w:tc>
            </w:tr>
            <w:tr w14:paraId="1243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18" w:type="pct"/>
                  <w:gridSpan w:val="4"/>
                  <w:tcBorders>
                    <w:tl2br w:val="nil"/>
                    <w:tr2bl w:val="nil"/>
                  </w:tcBorders>
                  <w:noWrap w:val="0"/>
                  <w:vAlign w:val="center"/>
                </w:tcPr>
                <w:p w14:paraId="0772B399">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1.新建、改建、扩建涉气工业项目，在满足产业准入、总量控制、排放标准等管理制度要求的前提下，应大力推进项目进园、集约高效发展。</w:t>
                  </w:r>
                </w:p>
                <w:p w14:paraId="66ED9575">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kern w:val="2"/>
                      <w:sz w:val="21"/>
                      <w:szCs w:val="21"/>
                      <w:highlight w:val="none"/>
                      <w:lang w:val="en-US" w:eastAsia="zh-CN" w:bidi="ar-SA"/>
                    </w:rPr>
                    <w:t>2.一般生态空间原则上按限制开发区域的要求进行管理。</w:t>
                  </w:r>
                </w:p>
              </w:tc>
              <w:tc>
                <w:tcPr>
                  <w:tcW w:w="1434" w:type="pct"/>
                  <w:gridSpan w:val="2"/>
                  <w:tcBorders>
                    <w:tl2br w:val="nil"/>
                    <w:tr2bl w:val="nil"/>
                  </w:tcBorders>
                  <w:noWrap w:val="0"/>
                  <w:vAlign w:val="center"/>
                </w:tcPr>
                <w:p w14:paraId="13D69A98">
                  <w:pPr>
                    <w:keepNext w:val="0"/>
                    <w:keepLines w:val="0"/>
                    <w:pageBreakBefore w:val="0"/>
                    <w:widowControl w:val="0"/>
                    <w:kinsoku/>
                    <w:wordWrap/>
                    <w:overflowPunct/>
                    <w:topLinePunct w:val="0"/>
                    <w:autoSpaceDE/>
                    <w:autoSpaceDN/>
                    <w:bidi w:val="0"/>
                    <w:adjustRightInd w:val="0"/>
                    <w:snapToGrid w:val="0"/>
                    <w:ind w:left="0" w:leftChars="0"/>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highlight w:val="none"/>
                      <w:lang w:val="en-US" w:eastAsia="zh-CN" w:bidi="ar-SA"/>
                    </w:rPr>
                    <w:t>本项目满足产业准入、总量控制、排放标准要求，项目不在一般生态空间内；选址属于马村镇工业聚集区，根据《嘉祥县马村镇国土空间规划(2021-2035年)》项目选址位于工业发展区。</w:t>
                  </w:r>
                </w:p>
              </w:tc>
              <w:tc>
                <w:tcPr>
                  <w:tcW w:w="446" w:type="pct"/>
                  <w:tcBorders>
                    <w:tl2br w:val="nil"/>
                    <w:tr2bl w:val="nil"/>
                  </w:tcBorders>
                  <w:noWrap w:val="0"/>
                  <w:vAlign w:val="center"/>
                </w:tcPr>
                <w:p w14:paraId="2460B5CC">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符合</w:t>
                  </w:r>
                </w:p>
              </w:tc>
            </w:tr>
            <w:tr w14:paraId="3B75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18" w:type="pct"/>
                  <w:gridSpan w:val="4"/>
                  <w:tcBorders>
                    <w:tl2br w:val="nil"/>
                    <w:tr2bl w:val="nil"/>
                  </w:tcBorders>
                  <w:noWrap w:val="0"/>
                  <w:vAlign w:val="center"/>
                </w:tcPr>
                <w:p w14:paraId="1D0218F0">
                  <w:pPr>
                    <w:pStyle w:val="20"/>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污染物排放管控</w:t>
                  </w:r>
                </w:p>
              </w:tc>
              <w:tc>
                <w:tcPr>
                  <w:tcW w:w="1434" w:type="pct"/>
                  <w:gridSpan w:val="2"/>
                  <w:tcBorders>
                    <w:tl2br w:val="nil"/>
                    <w:tr2bl w:val="nil"/>
                  </w:tcBorders>
                  <w:noWrap w:val="0"/>
                  <w:vAlign w:val="center"/>
                </w:tcPr>
                <w:p w14:paraId="6272DCB6">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本项目情况</w:t>
                  </w:r>
                </w:p>
              </w:tc>
              <w:tc>
                <w:tcPr>
                  <w:tcW w:w="446" w:type="pct"/>
                  <w:tcBorders>
                    <w:tl2br w:val="nil"/>
                    <w:tr2bl w:val="nil"/>
                  </w:tcBorders>
                  <w:noWrap w:val="0"/>
                  <w:vAlign w:val="center"/>
                </w:tcPr>
                <w:p w14:paraId="1B1C3BF6">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符合性</w:t>
                  </w:r>
                </w:p>
              </w:tc>
            </w:tr>
            <w:tr w14:paraId="4201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18" w:type="pct"/>
                  <w:gridSpan w:val="4"/>
                  <w:tcBorders>
                    <w:tl2br w:val="nil"/>
                    <w:tr2bl w:val="nil"/>
                  </w:tcBorders>
                  <w:noWrap w:val="0"/>
                  <w:vAlign w:val="center"/>
                </w:tcPr>
                <w:p w14:paraId="64300736">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1.落实水环境保护的普适性要求。推进城乡生活污染和农业面源污染治理，加强污染物排放管控，推动水环境质量不断改善。</w:t>
                  </w:r>
                </w:p>
                <w:p w14:paraId="31C9DB62">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2.严格执行山东省《区域性大气污染物综合排放标准》（DB37/2376-2019）排放要求，SO</w:t>
                  </w:r>
                  <w:r>
                    <w:rPr>
                      <w:rFonts w:hint="default" w:ascii="Times New Roman" w:hAnsi="Times New Roman" w:eastAsia="宋体" w:cs="Times New Roman"/>
                      <w:color w:val="auto"/>
                      <w:kern w:val="2"/>
                      <w:sz w:val="21"/>
                      <w:szCs w:val="21"/>
                      <w:highlight w:val="none"/>
                      <w:vertAlign w:val="sub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、NOx、烟粉尘、VOCs排放量不得超过区域允许排放量。全面加强VOCs污染管控。加大秸秆禁烧管控力度。</w:t>
                  </w:r>
                </w:p>
                <w:p w14:paraId="0E9DA2A0">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
                      <w:sz w:val="21"/>
                      <w:szCs w:val="21"/>
                      <w:highlight w:val="none"/>
                      <w:lang w:val="en-US" w:eastAsia="zh-CN" w:bidi="ar-SA"/>
                    </w:rPr>
                    <w:t>3.石化、化工和涉及涂装的各重点行业加强对VOCs的收集和治理，确保废气收集率、治理设施同步运行率和去除率达到国家和省有关要求，加大汽油、石脑油、煤油以及原油等油品储运销全过程VOCs排放控制。加强移动源污染防治，逐步淘汰高排放的老旧车、船，严格控制柴油货车污染排放；严格落实扬尘污染防治各项措施。</w:t>
                  </w:r>
                </w:p>
              </w:tc>
              <w:tc>
                <w:tcPr>
                  <w:tcW w:w="1434" w:type="pct"/>
                  <w:gridSpan w:val="2"/>
                  <w:tcBorders>
                    <w:tl2br w:val="nil"/>
                    <w:tr2bl w:val="nil"/>
                  </w:tcBorders>
                  <w:noWrap w:val="0"/>
                  <w:vAlign w:val="center"/>
                </w:tcPr>
                <w:p w14:paraId="5E4B0C29">
                  <w:pPr>
                    <w:keepNext w:val="0"/>
                    <w:keepLines w:val="0"/>
                    <w:pageBreakBefore w:val="0"/>
                    <w:widowControl w:val="0"/>
                    <w:kinsoku/>
                    <w:wordWrap/>
                    <w:overflowPunct/>
                    <w:topLinePunct w:val="0"/>
                    <w:autoSpaceDE/>
                    <w:autoSpaceDN/>
                    <w:bidi w:val="0"/>
                    <w:adjustRightInd w:val="0"/>
                    <w:snapToGrid w:val="0"/>
                    <w:ind w:left="0" w:leftChars="0"/>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auto"/>
                      <w:sz w:val="21"/>
                      <w:szCs w:val="21"/>
                    </w:rPr>
                    <w:t>项目无</w:t>
                  </w:r>
                  <w:r>
                    <w:rPr>
                      <w:rFonts w:hint="default" w:ascii="Times New Roman" w:hAnsi="Times New Roman" w:eastAsia="宋体" w:cs="Times New Roman"/>
                      <w:color w:val="auto"/>
                      <w:sz w:val="21"/>
                      <w:szCs w:val="21"/>
                      <w:lang w:val="en-US" w:eastAsia="zh-CN"/>
                    </w:rPr>
                    <w:t>生产</w:t>
                  </w:r>
                  <w:r>
                    <w:rPr>
                      <w:rFonts w:hint="default" w:ascii="Times New Roman" w:hAnsi="Times New Roman" w:eastAsia="宋体" w:cs="Times New Roman"/>
                      <w:color w:val="auto"/>
                      <w:sz w:val="21"/>
                      <w:szCs w:val="21"/>
                    </w:rPr>
                    <w:t>废水外排</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生活污水经厂区化粪池处理后委托环卫部门清运；</w:t>
                  </w:r>
                  <w:r>
                    <w:rPr>
                      <w:rFonts w:hint="default" w:ascii="Times New Roman" w:hAnsi="Times New Roman" w:eastAsia="宋体" w:cs="Times New Roman"/>
                      <w:color w:val="auto"/>
                      <w:sz w:val="21"/>
                      <w:szCs w:val="21"/>
                    </w:rPr>
                    <w:t>项目产生的颗粒物经</w:t>
                  </w:r>
                  <w:r>
                    <w:rPr>
                      <w:rFonts w:hint="default" w:ascii="Times New Roman" w:hAnsi="Times New Roman" w:eastAsia="宋体" w:cs="Times New Roman"/>
                      <w:color w:val="auto"/>
                      <w:sz w:val="21"/>
                      <w:szCs w:val="21"/>
                      <w:lang w:val="en-US" w:eastAsia="zh-CN"/>
                    </w:rPr>
                    <w:t>袋式</w:t>
                  </w:r>
                  <w:r>
                    <w:rPr>
                      <w:rFonts w:hint="default" w:ascii="Times New Roman" w:hAnsi="Times New Roman" w:eastAsia="宋体" w:cs="Times New Roman"/>
                      <w:color w:val="auto"/>
                      <w:sz w:val="21"/>
                      <w:szCs w:val="21"/>
                    </w:rPr>
                    <w:t>除尘器处理后</w:t>
                  </w:r>
                  <w:r>
                    <w:rPr>
                      <w:rFonts w:hint="default" w:ascii="Times New Roman" w:hAnsi="Times New Roman" w:eastAsia="宋体" w:cs="Times New Roman"/>
                      <w:color w:val="auto"/>
                      <w:sz w:val="21"/>
                      <w:szCs w:val="21"/>
                      <w:highlight w:val="none"/>
                      <w:lang w:val="en-US" w:eastAsia="zh-CN"/>
                    </w:rPr>
                    <w:t>15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rPr>
                    <w:t>排气筒排放，废气排放</w:t>
                  </w:r>
                  <w:r>
                    <w:rPr>
                      <w:rFonts w:hint="default" w:ascii="Times New Roman" w:hAnsi="Times New Roman" w:eastAsia="宋体" w:cs="Times New Roman"/>
                      <w:color w:val="auto"/>
                      <w:sz w:val="21"/>
                      <w:szCs w:val="21"/>
                      <w:lang w:val="en-US" w:eastAsia="zh-CN"/>
                    </w:rPr>
                    <w:t>满足</w:t>
                  </w:r>
                  <w:r>
                    <w:rPr>
                      <w:rFonts w:hint="default" w:ascii="Times New Roman" w:hAnsi="Times New Roman" w:eastAsia="宋体" w:cs="Times New Roman"/>
                      <w:color w:val="auto"/>
                      <w:kern w:val="2"/>
                      <w:sz w:val="21"/>
                      <w:szCs w:val="21"/>
                      <w:highlight w:val="none"/>
                      <w:lang w:val="en-US" w:eastAsia="zh-CN" w:bidi="ar-SA"/>
                    </w:rPr>
                    <w:t>《区域性大气污染物综合排放标准》（DB37/2376-2019）排放要求</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颗粒物</w:t>
                  </w:r>
                  <w:r>
                    <w:rPr>
                      <w:rFonts w:hint="default" w:ascii="Times New Roman" w:hAnsi="Times New Roman" w:eastAsia="宋体" w:cs="Times New Roman"/>
                      <w:color w:val="auto"/>
                      <w:sz w:val="21"/>
                      <w:szCs w:val="21"/>
                    </w:rPr>
                    <w:t>排放量不超过区域允许排放量</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本项目厂区内移动源</w:t>
                  </w:r>
                  <w:r>
                    <w:rPr>
                      <w:rFonts w:hint="default" w:ascii="Times New Roman" w:hAnsi="Times New Roman" w:eastAsia="宋体" w:cs="Times New Roman"/>
                      <w:color w:val="auto"/>
                      <w:sz w:val="21"/>
                      <w:szCs w:val="21"/>
                      <w:highlight w:val="none"/>
                      <w:lang w:val="en-US" w:eastAsia="zh-CN"/>
                    </w:rPr>
                    <w:t>采用符合国家标准的设施，</w:t>
                  </w:r>
                  <w:r>
                    <w:rPr>
                      <w:rFonts w:hint="default" w:ascii="Times New Roman" w:hAnsi="Times New Roman" w:eastAsia="宋体" w:cs="Times New Roman"/>
                      <w:color w:val="auto"/>
                      <w:kern w:val="2"/>
                      <w:sz w:val="21"/>
                      <w:szCs w:val="21"/>
                      <w:highlight w:val="none"/>
                      <w:lang w:val="en-US" w:eastAsia="zh-CN" w:bidi="ar-SA"/>
                    </w:rPr>
                    <w:t>污染排放量较小。</w:t>
                  </w:r>
                </w:p>
              </w:tc>
              <w:tc>
                <w:tcPr>
                  <w:tcW w:w="446" w:type="pct"/>
                  <w:tcBorders>
                    <w:tl2br w:val="nil"/>
                    <w:tr2bl w:val="nil"/>
                  </w:tcBorders>
                  <w:noWrap w:val="0"/>
                  <w:vAlign w:val="center"/>
                </w:tcPr>
                <w:p w14:paraId="71334CD7">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符合</w:t>
                  </w:r>
                </w:p>
              </w:tc>
            </w:tr>
            <w:tr w14:paraId="126F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18" w:type="pct"/>
                  <w:gridSpan w:val="4"/>
                  <w:tcBorders>
                    <w:tl2br w:val="nil"/>
                    <w:tr2bl w:val="nil"/>
                  </w:tcBorders>
                  <w:noWrap w:val="0"/>
                  <w:vAlign w:val="center"/>
                </w:tcPr>
                <w:p w14:paraId="373B7256">
                  <w:pPr>
                    <w:pStyle w:val="20"/>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sz w:val="21"/>
                      <w:szCs w:val="21"/>
                      <w:lang w:val="en-US" w:eastAsia="zh-CN"/>
                    </w:rPr>
                    <w:t>环境风险防控</w:t>
                  </w:r>
                </w:p>
              </w:tc>
              <w:tc>
                <w:tcPr>
                  <w:tcW w:w="1434" w:type="pct"/>
                  <w:gridSpan w:val="2"/>
                  <w:tcBorders>
                    <w:tl2br w:val="nil"/>
                    <w:tr2bl w:val="nil"/>
                  </w:tcBorders>
                  <w:noWrap w:val="0"/>
                  <w:vAlign w:val="center"/>
                </w:tcPr>
                <w:p w14:paraId="165FD260">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本项目情况</w:t>
                  </w:r>
                </w:p>
              </w:tc>
              <w:tc>
                <w:tcPr>
                  <w:tcW w:w="446" w:type="pct"/>
                  <w:tcBorders>
                    <w:tl2br w:val="nil"/>
                    <w:tr2bl w:val="nil"/>
                  </w:tcBorders>
                  <w:noWrap w:val="0"/>
                  <w:vAlign w:val="center"/>
                </w:tcPr>
                <w:p w14:paraId="3EDFEBA1">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符合性</w:t>
                  </w:r>
                </w:p>
              </w:tc>
            </w:tr>
            <w:tr w14:paraId="5390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18" w:type="pct"/>
                  <w:gridSpan w:val="4"/>
                  <w:tcBorders>
                    <w:tl2br w:val="nil"/>
                    <w:tr2bl w:val="nil"/>
                  </w:tcBorders>
                  <w:noWrap w:val="0"/>
                  <w:vAlign w:val="center"/>
                </w:tcPr>
                <w:p w14:paraId="6070B007">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1.进入输水干线的机动船舶，应当配备相应的防止污染的设备和油污、垃圾、污水等污染物集中收集、存储设施，并制定船舶污染事故应急预案。</w:t>
                  </w:r>
                </w:p>
                <w:p w14:paraId="5FBCC483">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2.当预测到区域将出现重污染天气时，根据预警发布，按级别启动应急响应，落实各项应急减排措施。</w:t>
                  </w:r>
                </w:p>
                <w:p w14:paraId="64976A87">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highlight w:val="none"/>
                      <w:lang w:val="en-US" w:eastAsia="zh-CN" w:bidi="ar-SA"/>
                    </w:rPr>
                    <w:t>3.加强对烧结、工业炉窑、医疗垃圾和危险废物焚烧有毒有害大气污染物排放企业的监管。</w:t>
                  </w:r>
                </w:p>
              </w:tc>
              <w:tc>
                <w:tcPr>
                  <w:tcW w:w="1434" w:type="pct"/>
                  <w:gridSpan w:val="2"/>
                  <w:tcBorders>
                    <w:tl2br w:val="nil"/>
                    <w:tr2bl w:val="nil"/>
                  </w:tcBorders>
                  <w:noWrap w:val="0"/>
                  <w:vAlign w:val="center"/>
                </w:tcPr>
                <w:p w14:paraId="5C093D35">
                  <w:pPr>
                    <w:keepNext w:val="0"/>
                    <w:keepLines w:val="0"/>
                    <w:pageBreakBefore w:val="0"/>
                    <w:widowControl w:val="0"/>
                    <w:kinsoku/>
                    <w:wordWrap/>
                    <w:overflowPunct/>
                    <w:topLinePunct w:val="0"/>
                    <w:autoSpaceDE/>
                    <w:autoSpaceDN/>
                    <w:bidi w:val="0"/>
                    <w:adjustRightInd w:val="0"/>
                    <w:snapToGrid w:val="0"/>
                    <w:ind w:left="0" w:leftChars="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
                      <w:sz w:val="21"/>
                      <w:szCs w:val="21"/>
                      <w:lang w:val="en-US" w:eastAsia="zh-CN" w:bidi="ar-SA"/>
                    </w:rPr>
                    <w:t>当出现重污染天气时，项目积极配合区域应急响应，落实各项应急减排措施。</w:t>
                  </w:r>
                </w:p>
              </w:tc>
              <w:tc>
                <w:tcPr>
                  <w:tcW w:w="446" w:type="pct"/>
                  <w:tcBorders>
                    <w:tl2br w:val="nil"/>
                    <w:tr2bl w:val="nil"/>
                  </w:tcBorders>
                  <w:noWrap w:val="0"/>
                  <w:vAlign w:val="center"/>
                </w:tcPr>
                <w:p w14:paraId="39B3A107">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符合</w:t>
                  </w:r>
                </w:p>
              </w:tc>
            </w:tr>
            <w:tr w14:paraId="0696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18" w:type="pct"/>
                  <w:gridSpan w:val="4"/>
                  <w:tcBorders>
                    <w:tl2br w:val="nil"/>
                    <w:tr2bl w:val="nil"/>
                  </w:tcBorders>
                  <w:noWrap w:val="0"/>
                  <w:vAlign w:val="center"/>
                </w:tcPr>
                <w:p w14:paraId="58680C3C">
                  <w:pPr>
                    <w:pStyle w:val="20"/>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资源开发效率要求</w:t>
                  </w:r>
                </w:p>
              </w:tc>
              <w:tc>
                <w:tcPr>
                  <w:tcW w:w="1434" w:type="pct"/>
                  <w:gridSpan w:val="2"/>
                  <w:tcBorders>
                    <w:tl2br w:val="nil"/>
                    <w:tr2bl w:val="nil"/>
                  </w:tcBorders>
                  <w:noWrap w:val="0"/>
                  <w:vAlign w:val="center"/>
                </w:tcPr>
                <w:p w14:paraId="39CF7841">
                  <w:pPr>
                    <w:pStyle w:val="20"/>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本项目情况</w:t>
                  </w:r>
                </w:p>
              </w:tc>
              <w:tc>
                <w:tcPr>
                  <w:tcW w:w="446" w:type="pct"/>
                  <w:tcBorders>
                    <w:tl2br w:val="nil"/>
                    <w:tr2bl w:val="nil"/>
                  </w:tcBorders>
                  <w:noWrap w:val="0"/>
                  <w:vAlign w:val="center"/>
                </w:tcPr>
                <w:p w14:paraId="5AE55705">
                  <w:pPr>
                    <w:pStyle w:val="20"/>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符合性</w:t>
                  </w:r>
                </w:p>
              </w:tc>
            </w:tr>
            <w:tr w14:paraId="7457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18" w:type="pct"/>
                  <w:gridSpan w:val="4"/>
                  <w:tcBorders>
                    <w:tl2br w:val="nil"/>
                    <w:tr2bl w:val="nil"/>
                  </w:tcBorders>
                  <w:noWrap w:val="0"/>
                  <w:vAlign w:val="center"/>
                </w:tcPr>
                <w:p w14:paraId="7B408DEF">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1.严控高耗水项目。水资源开发应当优先利用地表水，严格控制开采地下水。</w:t>
                  </w:r>
                </w:p>
                <w:p w14:paraId="555AE881">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
                      <w:sz w:val="21"/>
                      <w:szCs w:val="21"/>
                      <w:highlight w:val="none"/>
                      <w:lang w:val="en-US" w:eastAsia="zh-CN" w:bidi="ar-SA"/>
                    </w:rPr>
                    <w:t>2.新建高耗能项目能耗要达到相关要求。产生大气污染物的工业企业应持续开展节能降耗，持续降低单位GDP能耗及煤耗水平。因地制宜推进冬季清洁取暖，实现清洁能源逐步替代散煤。</w:t>
                  </w:r>
                </w:p>
              </w:tc>
              <w:tc>
                <w:tcPr>
                  <w:tcW w:w="1434" w:type="pct"/>
                  <w:gridSpan w:val="2"/>
                  <w:tcBorders>
                    <w:tl2br w:val="nil"/>
                    <w:tr2bl w:val="nil"/>
                  </w:tcBorders>
                  <w:noWrap w:val="0"/>
                  <w:vAlign w:val="center"/>
                </w:tcPr>
                <w:p w14:paraId="7AFC9A18">
                  <w:pPr>
                    <w:keepNext w:val="0"/>
                    <w:keepLines w:val="0"/>
                    <w:pageBreakBefore w:val="0"/>
                    <w:widowControl w:val="0"/>
                    <w:kinsoku/>
                    <w:wordWrap/>
                    <w:overflowPunct/>
                    <w:topLinePunct w:val="0"/>
                    <w:autoSpaceDE/>
                    <w:autoSpaceDN/>
                    <w:bidi w:val="0"/>
                    <w:adjustRightInd w:val="0"/>
                    <w:snapToGrid w:val="0"/>
                    <w:ind w:left="0" w:leftChars="0"/>
                    <w:textAlignment w:val="auto"/>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color w:val="auto"/>
                      <w:sz w:val="21"/>
                      <w:szCs w:val="21"/>
                      <w:lang w:val="en-US" w:eastAsia="zh-CN"/>
                    </w:rPr>
                    <w:t>本项目</w:t>
                  </w:r>
                  <w:r>
                    <w:rPr>
                      <w:rFonts w:hint="default" w:ascii="Times New Roman" w:hAnsi="Times New Roman" w:eastAsia="宋体" w:cs="Times New Roman"/>
                      <w:color w:val="auto"/>
                      <w:sz w:val="21"/>
                      <w:szCs w:val="21"/>
                    </w:rPr>
                    <w:t>不属于高耗水项目</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不涉及高污染燃料设施建设，生产过程中采用电能</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kern w:val="2"/>
                      <w:sz w:val="21"/>
                      <w:szCs w:val="21"/>
                      <w:highlight w:val="none"/>
                      <w:lang w:val="en-US" w:eastAsia="zh-CN" w:bidi="ar-SA"/>
                    </w:rPr>
                    <w:t>办公区冬季采用空调取暖。</w:t>
                  </w:r>
                </w:p>
              </w:tc>
              <w:tc>
                <w:tcPr>
                  <w:tcW w:w="446" w:type="pct"/>
                  <w:tcBorders>
                    <w:tl2br w:val="nil"/>
                    <w:tr2bl w:val="nil"/>
                  </w:tcBorders>
                  <w:noWrap w:val="0"/>
                  <w:vAlign w:val="center"/>
                </w:tcPr>
                <w:p w14:paraId="221CB6A1">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符合</w:t>
                  </w:r>
                </w:p>
              </w:tc>
            </w:tr>
          </w:tbl>
          <w:p w14:paraId="5A6812A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textAlignment w:val="auto"/>
              <w:rPr>
                <w:rFonts w:hint="default" w:ascii="Times New Roman" w:hAnsi="Times New Roman" w:eastAsia="宋体" w:cs="Times New Roman"/>
                <w:b/>
                <w:bCs/>
                <w:color w:val="auto"/>
                <w:spacing w:val="0"/>
                <w:sz w:val="24"/>
              </w:rPr>
            </w:pPr>
            <w:r>
              <w:rPr>
                <w:rFonts w:hint="default" w:ascii="Times New Roman" w:hAnsi="Times New Roman" w:eastAsia="宋体" w:cs="Times New Roman"/>
                <w:b/>
                <w:bCs/>
                <w:color w:val="auto"/>
                <w:spacing w:val="0"/>
                <w:sz w:val="24"/>
              </w:rPr>
              <w:t>与《山东省深入打好蓝天</w:t>
            </w:r>
            <w:r>
              <w:rPr>
                <w:rFonts w:hint="default" w:ascii="Times New Roman" w:hAnsi="Times New Roman" w:eastAsia="宋体" w:cs="Times New Roman"/>
                <w:b/>
                <w:bCs/>
                <w:color w:val="auto"/>
                <w:spacing w:val="0"/>
                <w:sz w:val="24"/>
                <w:lang w:eastAsia="zh-CN"/>
              </w:rPr>
              <w:t>、碧水、</w:t>
            </w:r>
            <w:r>
              <w:rPr>
                <w:rFonts w:hint="default" w:ascii="Times New Roman" w:hAnsi="Times New Roman" w:eastAsia="宋体" w:cs="Times New Roman"/>
                <w:b/>
                <w:bCs/>
                <w:color w:val="auto"/>
                <w:spacing w:val="0"/>
                <w:sz w:val="24"/>
                <w:lang w:val="en-US" w:eastAsia="zh-CN"/>
              </w:rPr>
              <w:t>净土</w:t>
            </w:r>
            <w:r>
              <w:rPr>
                <w:rFonts w:hint="default" w:ascii="Times New Roman" w:hAnsi="Times New Roman" w:eastAsia="宋体" w:cs="Times New Roman"/>
                <w:b/>
                <w:bCs/>
                <w:color w:val="auto"/>
                <w:spacing w:val="0"/>
                <w:sz w:val="24"/>
              </w:rPr>
              <w:t>保卫战行动计划(2021</w:t>
            </w:r>
            <w:r>
              <w:rPr>
                <w:rFonts w:hint="default" w:ascii="Times New Roman" w:hAnsi="Times New Roman" w:eastAsia="宋体" w:cs="Times New Roman"/>
                <w:b/>
                <w:bCs/>
                <w:color w:val="auto"/>
                <w:spacing w:val="0"/>
                <w:sz w:val="24"/>
                <w:lang w:val="en-US" w:eastAsia="zh-CN"/>
              </w:rPr>
              <w:t>-</w:t>
            </w:r>
            <w:r>
              <w:rPr>
                <w:rFonts w:hint="default" w:ascii="Times New Roman" w:hAnsi="Times New Roman" w:eastAsia="宋体" w:cs="Times New Roman"/>
                <w:b/>
                <w:bCs/>
                <w:color w:val="auto"/>
                <w:spacing w:val="0"/>
                <w:sz w:val="24"/>
              </w:rPr>
              <w:t>2025年)》</w:t>
            </w:r>
            <w:r>
              <w:rPr>
                <w:rFonts w:hint="default" w:ascii="Times New Roman" w:hAnsi="Times New Roman" w:eastAsia="宋体" w:cs="Times New Roman"/>
                <w:b/>
                <w:bCs/>
                <w:color w:val="auto"/>
                <w:spacing w:val="0"/>
                <w:sz w:val="24"/>
                <w:lang w:val="en-US" w:eastAsia="zh-CN"/>
              </w:rPr>
              <w:t>（鲁环委办[2021]30号）</w:t>
            </w:r>
            <w:r>
              <w:rPr>
                <w:rFonts w:hint="default" w:ascii="Times New Roman" w:hAnsi="Times New Roman" w:eastAsia="宋体" w:cs="Times New Roman"/>
                <w:b/>
                <w:bCs/>
                <w:color w:val="auto"/>
                <w:spacing w:val="0"/>
                <w:sz w:val="24"/>
              </w:rPr>
              <w:t>符合性分析</w:t>
            </w:r>
          </w:p>
          <w:p w14:paraId="78E2AB01">
            <w:pPr>
              <w:keepNext w:val="0"/>
              <w:keepLines w:val="0"/>
              <w:pageBreakBefore w:val="0"/>
              <w:widowControl w:val="0"/>
              <w:numPr>
                <w:ilvl w:val="0"/>
                <w:numId w:val="5"/>
              </w:numPr>
              <w:tabs>
                <w:tab w:val="center" w:pos="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snapToGrid w:val="0"/>
                <w:color w:val="auto"/>
                <w:spacing w:val="0"/>
                <w:kern w:val="0"/>
                <w:sz w:val="24"/>
                <w:szCs w:val="24"/>
                <w:lang w:val="en-US" w:eastAsia="zh-CN"/>
              </w:rPr>
            </w:pPr>
            <w:r>
              <w:rPr>
                <w:rFonts w:hint="default" w:ascii="Times New Roman" w:hAnsi="Times New Roman" w:eastAsia="宋体" w:cs="Times New Roman"/>
                <w:b/>
                <w:bCs/>
                <w:snapToGrid w:val="0"/>
                <w:color w:val="auto"/>
                <w:spacing w:val="0"/>
                <w:kern w:val="0"/>
                <w:sz w:val="24"/>
                <w:szCs w:val="24"/>
                <w:lang w:val="en-US" w:eastAsia="zh-CN"/>
              </w:rPr>
              <w:t>与鲁环委办[2021]30号符合性分析</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4100"/>
              <w:gridCol w:w="1990"/>
              <w:gridCol w:w="735"/>
            </w:tblGrid>
            <w:tr w14:paraId="6B58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204" w:type="pct"/>
                  <w:gridSpan w:val="2"/>
                  <w:tcBorders>
                    <w:tl2br w:val="nil"/>
                    <w:tr2bl w:val="nil"/>
                  </w:tcBorders>
                  <w:noWrap w:val="0"/>
                  <w:vAlign w:val="center"/>
                </w:tcPr>
                <w:p w14:paraId="61B2C4A0">
                  <w:pPr>
                    <w:spacing w:line="240" w:lineRule="auto"/>
                    <w:jc w:val="center"/>
                    <w:rPr>
                      <w:rFonts w:hint="default" w:ascii="Times New Roman" w:hAnsi="Times New Roman" w:eastAsia="宋体" w:cs="Times New Roman"/>
                      <w:b/>
                      <w:bCs/>
                      <w:color w:val="auto"/>
                      <w:spacing w:val="0"/>
                      <w:sz w:val="21"/>
                      <w:szCs w:val="21"/>
                      <w:highlight w:val="none"/>
                      <w:lang w:val="en-US" w:eastAsia="zh-CN"/>
                    </w:rPr>
                  </w:pPr>
                  <w:r>
                    <w:rPr>
                      <w:rFonts w:hint="default" w:ascii="Times New Roman" w:hAnsi="Times New Roman" w:eastAsia="宋体" w:cs="Times New Roman"/>
                      <w:b/>
                      <w:bCs/>
                      <w:color w:val="auto"/>
                      <w:spacing w:val="0"/>
                      <w:sz w:val="21"/>
                      <w:szCs w:val="21"/>
                      <w:highlight w:val="none"/>
                      <w:lang w:val="en-US" w:eastAsia="zh-CN"/>
                    </w:rPr>
                    <w:t>计划要求</w:t>
                  </w:r>
                </w:p>
              </w:tc>
              <w:tc>
                <w:tcPr>
                  <w:tcW w:w="1311" w:type="pct"/>
                  <w:tcBorders>
                    <w:tl2br w:val="nil"/>
                    <w:tr2bl w:val="nil"/>
                  </w:tcBorders>
                  <w:noWrap w:val="0"/>
                  <w:vAlign w:val="center"/>
                </w:tcPr>
                <w:p w14:paraId="3D07E767">
                  <w:pPr>
                    <w:spacing w:line="240" w:lineRule="auto"/>
                    <w:jc w:val="center"/>
                    <w:rPr>
                      <w:rFonts w:hint="default" w:ascii="Times New Roman" w:hAnsi="Times New Roman" w:eastAsia="宋体" w:cs="Times New Roman"/>
                      <w:b/>
                      <w:bCs/>
                      <w:color w:val="auto"/>
                      <w:spacing w:val="0"/>
                      <w:sz w:val="21"/>
                      <w:szCs w:val="21"/>
                      <w:highlight w:val="none"/>
                      <w:lang w:val="en-US" w:eastAsia="zh-CN"/>
                    </w:rPr>
                  </w:pPr>
                  <w:r>
                    <w:rPr>
                      <w:rFonts w:hint="default" w:ascii="Times New Roman" w:hAnsi="Times New Roman" w:eastAsia="宋体" w:cs="Times New Roman"/>
                      <w:b/>
                      <w:bCs/>
                      <w:color w:val="auto"/>
                      <w:spacing w:val="0"/>
                      <w:sz w:val="21"/>
                      <w:szCs w:val="21"/>
                      <w:highlight w:val="none"/>
                      <w:lang w:val="en-US" w:eastAsia="zh-CN"/>
                    </w:rPr>
                    <w:t>项目情况</w:t>
                  </w:r>
                </w:p>
              </w:tc>
              <w:tc>
                <w:tcPr>
                  <w:tcW w:w="484" w:type="pct"/>
                  <w:tcBorders>
                    <w:tl2br w:val="nil"/>
                    <w:tr2bl w:val="nil"/>
                  </w:tcBorders>
                  <w:noWrap w:val="0"/>
                  <w:vAlign w:val="center"/>
                </w:tcPr>
                <w:p w14:paraId="12DB20E4">
                  <w:pPr>
                    <w:spacing w:line="240" w:lineRule="auto"/>
                    <w:jc w:val="center"/>
                    <w:rPr>
                      <w:rFonts w:hint="default" w:ascii="Times New Roman" w:hAnsi="Times New Roman" w:eastAsia="宋体" w:cs="Times New Roman"/>
                      <w:b/>
                      <w:bCs/>
                      <w:color w:val="auto"/>
                      <w:spacing w:val="0"/>
                      <w:sz w:val="21"/>
                      <w:szCs w:val="21"/>
                      <w:highlight w:val="none"/>
                      <w:lang w:val="en-US" w:eastAsia="zh-CN"/>
                    </w:rPr>
                  </w:pPr>
                  <w:r>
                    <w:rPr>
                      <w:rFonts w:hint="default" w:ascii="Times New Roman" w:hAnsi="Times New Roman" w:eastAsia="宋体" w:cs="Times New Roman"/>
                      <w:b/>
                      <w:bCs/>
                      <w:color w:val="auto"/>
                      <w:spacing w:val="0"/>
                      <w:sz w:val="21"/>
                      <w:szCs w:val="21"/>
                      <w:highlight w:val="none"/>
                      <w:lang w:val="en-US" w:eastAsia="zh-CN"/>
                    </w:rPr>
                    <w:t>符合性</w:t>
                  </w:r>
                </w:p>
              </w:tc>
            </w:tr>
            <w:tr w14:paraId="1C51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503" w:type="pct"/>
                  <w:vMerge w:val="restart"/>
                  <w:tcBorders>
                    <w:tl2br w:val="nil"/>
                    <w:tr2bl w:val="nil"/>
                  </w:tcBorders>
                  <w:noWrap w:val="0"/>
                  <w:vAlign w:val="center"/>
                </w:tcPr>
                <w:p w14:paraId="37369A69">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b/>
                      <w:bCs/>
                      <w:color w:val="auto"/>
                      <w:spacing w:val="0"/>
                      <w:sz w:val="21"/>
                      <w:szCs w:val="21"/>
                      <w:highlight w:val="none"/>
                      <w:lang w:val="en-US" w:eastAsia="zh-CN"/>
                    </w:rPr>
                    <w:t>蓝天保卫战行动计划</w:t>
                  </w:r>
                </w:p>
              </w:tc>
              <w:tc>
                <w:tcPr>
                  <w:tcW w:w="2701" w:type="pct"/>
                  <w:tcBorders>
                    <w:tl2br w:val="nil"/>
                    <w:tr2bl w:val="nil"/>
                  </w:tcBorders>
                  <w:noWrap w:val="0"/>
                  <w:vAlign w:val="center"/>
                </w:tcPr>
                <w:p w14:paraId="4DE01FD4">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淘汰低效落后产能。聚焦钢铁、地炼、焦化、煤电、水泥、轮胎、煤炭、化工8个重点行业，加快淘汰低效落后产能。</w:t>
                  </w:r>
                </w:p>
              </w:tc>
              <w:tc>
                <w:tcPr>
                  <w:tcW w:w="1311" w:type="pct"/>
                  <w:tcBorders>
                    <w:tl2br w:val="nil"/>
                    <w:tr2bl w:val="nil"/>
                  </w:tcBorders>
                  <w:noWrap w:val="0"/>
                  <w:vAlign w:val="center"/>
                </w:tcPr>
                <w:p w14:paraId="21E9A6D3">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项目不属于重点行业。</w:t>
                  </w:r>
                </w:p>
              </w:tc>
              <w:tc>
                <w:tcPr>
                  <w:tcW w:w="484" w:type="pct"/>
                  <w:tcBorders>
                    <w:tl2br w:val="nil"/>
                    <w:tr2bl w:val="nil"/>
                  </w:tcBorders>
                  <w:noWrap w:val="0"/>
                  <w:vAlign w:val="center"/>
                </w:tcPr>
                <w:p w14:paraId="1F77EDFD">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符合</w:t>
                  </w:r>
                </w:p>
              </w:tc>
            </w:tr>
            <w:tr w14:paraId="3582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03" w:type="pct"/>
                  <w:vMerge w:val="continue"/>
                  <w:tcBorders>
                    <w:tl2br w:val="nil"/>
                    <w:tr2bl w:val="nil"/>
                  </w:tcBorders>
                  <w:noWrap w:val="0"/>
                  <w:vAlign w:val="center"/>
                </w:tcPr>
                <w:p w14:paraId="76F6B6C3">
                  <w:pPr>
                    <w:spacing w:line="240" w:lineRule="auto"/>
                    <w:jc w:val="center"/>
                    <w:rPr>
                      <w:rFonts w:hint="default" w:ascii="Times New Roman" w:hAnsi="Times New Roman" w:eastAsia="宋体" w:cs="Times New Roman"/>
                      <w:color w:val="auto"/>
                      <w:spacing w:val="0"/>
                      <w:sz w:val="21"/>
                      <w:szCs w:val="21"/>
                      <w:highlight w:val="none"/>
                      <w:lang w:val="en-US" w:eastAsia="zh-CN"/>
                    </w:rPr>
                  </w:pPr>
                </w:p>
              </w:tc>
              <w:tc>
                <w:tcPr>
                  <w:tcW w:w="2701" w:type="pct"/>
                  <w:tcBorders>
                    <w:tl2br w:val="nil"/>
                    <w:tr2bl w:val="nil"/>
                  </w:tcBorders>
                  <w:noWrap w:val="0"/>
                  <w:vAlign w:val="center"/>
                </w:tcPr>
                <w:p w14:paraId="608F9CE8">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压减煤炭消费量。持续压减煤炭消费总量，“十四五”期间，全省煤炭消费总量下降10%，控制在3.5亿吨左右。非石化能源消费比重提高到13%左右。</w:t>
                  </w:r>
                </w:p>
              </w:tc>
              <w:tc>
                <w:tcPr>
                  <w:tcW w:w="1311" w:type="pct"/>
                  <w:tcBorders>
                    <w:tl2br w:val="nil"/>
                    <w:tr2bl w:val="nil"/>
                  </w:tcBorders>
                  <w:noWrap w:val="0"/>
                  <w:vAlign w:val="center"/>
                </w:tcPr>
                <w:p w14:paraId="037289EE">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rPr>
                    <w:t>项目生产不涉及煤炭消耗。</w:t>
                  </w:r>
                </w:p>
              </w:tc>
              <w:tc>
                <w:tcPr>
                  <w:tcW w:w="484" w:type="pct"/>
                  <w:tcBorders>
                    <w:tl2br w:val="nil"/>
                    <w:tr2bl w:val="nil"/>
                  </w:tcBorders>
                  <w:noWrap w:val="0"/>
                  <w:vAlign w:val="center"/>
                </w:tcPr>
                <w:p w14:paraId="296488E2">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符合</w:t>
                  </w:r>
                </w:p>
              </w:tc>
            </w:tr>
            <w:tr w14:paraId="5D68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continue"/>
                  <w:tcBorders>
                    <w:tl2br w:val="nil"/>
                    <w:tr2bl w:val="nil"/>
                  </w:tcBorders>
                  <w:noWrap w:val="0"/>
                  <w:vAlign w:val="center"/>
                </w:tcPr>
                <w:p w14:paraId="2D16E0F8">
                  <w:pPr>
                    <w:spacing w:line="240" w:lineRule="auto"/>
                    <w:jc w:val="center"/>
                    <w:rPr>
                      <w:rFonts w:hint="default" w:ascii="Times New Roman" w:hAnsi="Times New Roman" w:eastAsia="宋体" w:cs="Times New Roman"/>
                      <w:color w:val="auto"/>
                      <w:spacing w:val="0"/>
                      <w:sz w:val="21"/>
                      <w:szCs w:val="21"/>
                      <w:highlight w:val="none"/>
                      <w:lang w:val="en-US" w:eastAsia="zh-CN"/>
                    </w:rPr>
                  </w:pPr>
                </w:p>
              </w:tc>
              <w:tc>
                <w:tcPr>
                  <w:tcW w:w="2701" w:type="pct"/>
                  <w:tcBorders>
                    <w:tl2br w:val="nil"/>
                    <w:tr2bl w:val="nil"/>
                  </w:tcBorders>
                  <w:noWrap w:val="0"/>
                  <w:vAlign w:val="center"/>
                </w:tcPr>
                <w:p w14:paraId="5599AC2C">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优化货物运输方式。优化交通运输结构，大力发展铁港联运，基本形成大宗货物和集装箱中长距离运输以铁路、水路或管道为主的格局。</w:t>
                  </w:r>
                </w:p>
              </w:tc>
              <w:tc>
                <w:tcPr>
                  <w:tcW w:w="1311" w:type="pct"/>
                  <w:tcBorders>
                    <w:tl2br w:val="nil"/>
                    <w:tr2bl w:val="nil"/>
                  </w:tcBorders>
                  <w:noWrap w:val="0"/>
                  <w:vAlign w:val="center"/>
                </w:tcPr>
                <w:p w14:paraId="5561E2D5">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项目所用原辅材料用量较少，不属于大宗物料，货物运输方式简单、运输距离较短，符合要求。</w:t>
                  </w:r>
                </w:p>
              </w:tc>
              <w:tc>
                <w:tcPr>
                  <w:tcW w:w="484" w:type="pct"/>
                  <w:tcBorders>
                    <w:tl2br w:val="nil"/>
                    <w:tr2bl w:val="nil"/>
                  </w:tcBorders>
                  <w:noWrap w:val="0"/>
                  <w:vAlign w:val="center"/>
                </w:tcPr>
                <w:p w14:paraId="5D85EF37">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符合</w:t>
                  </w:r>
                </w:p>
              </w:tc>
            </w:tr>
            <w:tr w14:paraId="2464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restart"/>
                  <w:tcBorders>
                    <w:tl2br w:val="nil"/>
                    <w:tr2bl w:val="nil"/>
                  </w:tcBorders>
                  <w:noWrap w:val="0"/>
                  <w:vAlign w:val="center"/>
                </w:tcPr>
                <w:p w14:paraId="2D75F648">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b/>
                      <w:bCs/>
                      <w:color w:val="auto"/>
                      <w:spacing w:val="0"/>
                      <w:sz w:val="21"/>
                      <w:szCs w:val="21"/>
                      <w:highlight w:val="none"/>
                      <w:lang w:val="en-US" w:eastAsia="zh-CN"/>
                    </w:rPr>
                    <w:t>碧水保卫战行动计划</w:t>
                  </w:r>
                </w:p>
              </w:tc>
              <w:tc>
                <w:tcPr>
                  <w:tcW w:w="2701" w:type="pct"/>
                  <w:tcBorders>
                    <w:tl2br w:val="nil"/>
                    <w:tr2bl w:val="nil"/>
                  </w:tcBorders>
                  <w:noWrap w:val="0"/>
                  <w:vAlign w:val="center"/>
                </w:tcPr>
                <w:p w14:paraId="250BA1E7">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精准治理工业企业污染。继续推进化工、有色金属、农副食品加工、印染、制革、原料药制造、电镀、冶金等行业退城入园，提高工业园区集聚水平。指导工业园区对污水实施科学收集、分类处理，梯级循环利用工业废水。</w:t>
                  </w:r>
                </w:p>
              </w:tc>
              <w:tc>
                <w:tcPr>
                  <w:tcW w:w="1311" w:type="pct"/>
                  <w:tcBorders>
                    <w:tl2br w:val="nil"/>
                    <w:tr2bl w:val="nil"/>
                  </w:tcBorders>
                  <w:noWrap w:val="0"/>
                  <w:vAlign w:val="center"/>
                </w:tcPr>
                <w:p w14:paraId="1D63F5F5">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项目运营期间无废水外排，不会对周边水环境产生影响。</w:t>
                  </w:r>
                </w:p>
              </w:tc>
              <w:tc>
                <w:tcPr>
                  <w:tcW w:w="484" w:type="pct"/>
                  <w:tcBorders>
                    <w:tl2br w:val="nil"/>
                    <w:tr2bl w:val="nil"/>
                  </w:tcBorders>
                  <w:noWrap w:val="0"/>
                  <w:vAlign w:val="center"/>
                </w:tcPr>
                <w:p w14:paraId="43697CF2">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符合</w:t>
                  </w:r>
                </w:p>
              </w:tc>
            </w:tr>
            <w:tr w14:paraId="2967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continue"/>
                  <w:tcBorders>
                    <w:tl2br w:val="nil"/>
                    <w:tr2bl w:val="nil"/>
                  </w:tcBorders>
                  <w:noWrap w:val="0"/>
                  <w:vAlign w:val="center"/>
                </w:tcPr>
                <w:p w14:paraId="6FA5A6DB">
                  <w:pPr>
                    <w:spacing w:line="240" w:lineRule="auto"/>
                    <w:jc w:val="center"/>
                    <w:rPr>
                      <w:rFonts w:hint="default" w:ascii="Times New Roman" w:hAnsi="Times New Roman" w:eastAsia="宋体" w:cs="Times New Roman"/>
                      <w:color w:val="auto"/>
                      <w:spacing w:val="0"/>
                      <w:sz w:val="21"/>
                      <w:szCs w:val="21"/>
                      <w:highlight w:val="none"/>
                      <w:lang w:val="en-US" w:eastAsia="zh-CN"/>
                    </w:rPr>
                  </w:pPr>
                </w:p>
              </w:tc>
              <w:tc>
                <w:tcPr>
                  <w:tcW w:w="2701" w:type="pct"/>
                  <w:tcBorders>
                    <w:tl2br w:val="nil"/>
                    <w:tr2bl w:val="nil"/>
                  </w:tcBorders>
                  <w:noWrap w:val="0"/>
                  <w:vAlign w:val="center"/>
                </w:tcPr>
                <w:p w14:paraId="25EFEEDF">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开展区域再生水循环利用。加强工业节水，2025年年底前，全省高耗水工业企业节水型企业达标率达到50%，全省创建50家节水标杆企业和10家节水标杆园区。</w:t>
                  </w:r>
                </w:p>
              </w:tc>
              <w:tc>
                <w:tcPr>
                  <w:tcW w:w="1311" w:type="pct"/>
                  <w:tcBorders>
                    <w:tl2br w:val="nil"/>
                    <w:tr2bl w:val="nil"/>
                  </w:tcBorders>
                  <w:noWrap w:val="0"/>
                  <w:vAlign w:val="center"/>
                </w:tcPr>
                <w:p w14:paraId="5CED4965">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用水量较少，运营期无废水外排。</w:t>
                  </w:r>
                </w:p>
              </w:tc>
              <w:tc>
                <w:tcPr>
                  <w:tcW w:w="484" w:type="pct"/>
                  <w:tcBorders>
                    <w:tl2br w:val="nil"/>
                    <w:tr2bl w:val="nil"/>
                  </w:tcBorders>
                  <w:noWrap w:val="0"/>
                  <w:vAlign w:val="center"/>
                </w:tcPr>
                <w:p w14:paraId="6DF3A184">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符合</w:t>
                  </w:r>
                </w:p>
              </w:tc>
            </w:tr>
            <w:tr w14:paraId="3453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restart"/>
                  <w:tcBorders>
                    <w:tl2br w:val="nil"/>
                    <w:tr2bl w:val="nil"/>
                  </w:tcBorders>
                  <w:noWrap w:val="0"/>
                  <w:vAlign w:val="center"/>
                </w:tcPr>
                <w:p w14:paraId="09B26BF2">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b/>
                      <w:bCs/>
                      <w:color w:val="auto"/>
                      <w:spacing w:val="0"/>
                      <w:sz w:val="21"/>
                      <w:szCs w:val="21"/>
                      <w:highlight w:val="none"/>
                      <w:lang w:val="en-US" w:eastAsia="zh-CN"/>
                    </w:rPr>
                    <w:t>净土保卫战行动计划</w:t>
                  </w:r>
                </w:p>
              </w:tc>
              <w:tc>
                <w:tcPr>
                  <w:tcW w:w="2701" w:type="pct"/>
                  <w:tcBorders>
                    <w:tl2br w:val="nil"/>
                    <w:tr2bl w:val="nil"/>
                  </w:tcBorders>
                  <w:noWrap w:val="0"/>
                  <w:vAlign w:val="center"/>
                </w:tcPr>
                <w:p w14:paraId="2646D7B0">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提升重金属污染防控水平。完善全口径涉重金属行业企业清单，依法依规纳入重点排污单位名录。推动实施一批重金属减排工程，持续减少重金属污染物排放。</w:t>
                  </w:r>
                </w:p>
              </w:tc>
              <w:tc>
                <w:tcPr>
                  <w:tcW w:w="1311" w:type="pct"/>
                  <w:tcBorders>
                    <w:tl2br w:val="nil"/>
                    <w:tr2bl w:val="nil"/>
                  </w:tcBorders>
                  <w:noWrap w:val="0"/>
                  <w:vAlign w:val="center"/>
                </w:tcPr>
                <w:p w14:paraId="34C201B2">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不涉重金属排放。</w:t>
                  </w:r>
                </w:p>
              </w:tc>
              <w:tc>
                <w:tcPr>
                  <w:tcW w:w="484" w:type="pct"/>
                  <w:tcBorders>
                    <w:tl2br w:val="nil"/>
                    <w:tr2bl w:val="nil"/>
                  </w:tcBorders>
                  <w:noWrap w:val="0"/>
                  <w:vAlign w:val="center"/>
                </w:tcPr>
                <w:p w14:paraId="2A9AF7E3">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符合</w:t>
                  </w:r>
                </w:p>
              </w:tc>
            </w:tr>
            <w:tr w14:paraId="3781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continue"/>
                  <w:tcBorders>
                    <w:tl2br w:val="nil"/>
                    <w:tr2bl w:val="nil"/>
                  </w:tcBorders>
                  <w:noWrap w:val="0"/>
                  <w:vAlign w:val="center"/>
                </w:tcPr>
                <w:p w14:paraId="63CA7C6A">
                  <w:pPr>
                    <w:spacing w:line="240" w:lineRule="auto"/>
                    <w:jc w:val="center"/>
                    <w:rPr>
                      <w:rFonts w:hint="default" w:ascii="Times New Roman" w:hAnsi="Times New Roman" w:eastAsia="宋体" w:cs="Times New Roman"/>
                      <w:color w:val="auto"/>
                      <w:spacing w:val="0"/>
                      <w:sz w:val="21"/>
                      <w:szCs w:val="21"/>
                      <w:highlight w:val="none"/>
                      <w:lang w:val="en-US" w:eastAsia="zh-CN"/>
                    </w:rPr>
                  </w:pPr>
                </w:p>
              </w:tc>
              <w:tc>
                <w:tcPr>
                  <w:tcW w:w="2701" w:type="pct"/>
                  <w:tcBorders>
                    <w:tl2br w:val="nil"/>
                    <w:tr2bl w:val="nil"/>
                  </w:tcBorders>
                  <w:noWrap w:val="0"/>
                  <w:vAlign w:val="center"/>
                </w:tcPr>
                <w:p w14:paraId="427ACBBE">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加强固体废物环境管理。开展非正规固体废物堆存场所排查整治。构建及污水、垃圾、固废、危废、医废处理处置设施和坚持监管能力于一体的环境基础设施体系，形成由城市向建制镇和乡村延伸覆盖的环境基础设施网络。</w:t>
                  </w:r>
                </w:p>
              </w:tc>
              <w:tc>
                <w:tcPr>
                  <w:tcW w:w="1311" w:type="pct"/>
                  <w:tcBorders>
                    <w:tl2br w:val="nil"/>
                    <w:tr2bl w:val="nil"/>
                  </w:tcBorders>
                  <w:noWrap w:val="0"/>
                  <w:vAlign w:val="center"/>
                </w:tcPr>
                <w:p w14:paraId="6446C1E6">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eastAsia" w:cs="Times New Roman"/>
                      <w:color w:val="auto"/>
                      <w:spacing w:val="0"/>
                      <w:sz w:val="21"/>
                      <w:szCs w:val="21"/>
                      <w:highlight w:val="none"/>
                      <w:lang w:val="en-US" w:eastAsia="zh-CN"/>
                    </w:rPr>
                    <w:t>产生的固体废物分类收集，分别处理。</w:t>
                  </w:r>
                </w:p>
              </w:tc>
              <w:tc>
                <w:tcPr>
                  <w:tcW w:w="484" w:type="pct"/>
                  <w:tcBorders>
                    <w:tl2br w:val="nil"/>
                    <w:tr2bl w:val="nil"/>
                  </w:tcBorders>
                  <w:noWrap w:val="0"/>
                  <w:vAlign w:val="center"/>
                </w:tcPr>
                <w:p w14:paraId="533EC1A7">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符合</w:t>
                  </w:r>
                </w:p>
              </w:tc>
            </w:tr>
          </w:tbl>
          <w:p w14:paraId="71AD75C9">
            <w:pPr>
              <w:numPr>
                <w:ilvl w:val="0"/>
                <w:numId w:val="4"/>
              </w:numPr>
              <w:spacing w:line="360" w:lineRule="auto"/>
              <w:ind w:left="0" w:firstLine="454"/>
              <w:rPr>
                <w:rFonts w:hint="default" w:ascii="Times New Roman" w:hAnsi="Times New Roman" w:eastAsia="宋体" w:cs="Times New Roman"/>
                <w:b/>
                <w:bCs/>
                <w:color w:val="auto"/>
                <w:spacing w:val="0"/>
                <w:sz w:val="24"/>
                <w:lang w:val="en-US" w:eastAsia="zh-CN"/>
              </w:rPr>
            </w:pPr>
            <w:r>
              <w:rPr>
                <w:rFonts w:hint="default" w:ascii="Times New Roman" w:hAnsi="Times New Roman" w:eastAsia="宋体" w:cs="Times New Roman"/>
                <w:b/>
                <w:bCs/>
                <w:color w:val="auto"/>
                <w:spacing w:val="0"/>
                <w:sz w:val="24"/>
                <w:lang w:val="en-US" w:eastAsia="zh-CN"/>
              </w:rPr>
              <w:t>与《济宁市“十四五”生态环境保护规划》符合性分析</w:t>
            </w:r>
          </w:p>
          <w:p w14:paraId="5CAF02BD">
            <w:pPr>
              <w:keepNext w:val="0"/>
              <w:keepLines w:val="0"/>
              <w:pageBreakBefore w:val="0"/>
              <w:widowControl w:val="0"/>
              <w:numPr>
                <w:ilvl w:val="0"/>
                <w:numId w:val="5"/>
              </w:numPr>
              <w:tabs>
                <w:tab w:val="center" w:pos="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snapToGrid w:val="0"/>
                <w:color w:val="auto"/>
                <w:spacing w:val="0"/>
                <w:kern w:val="0"/>
                <w:sz w:val="24"/>
                <w:szCs w:val="24"/>
                <w:lang w:val="en-US" w:eastAsia="zh-CN"/>
              </w:rPr>
            </w:pPr>
            <w:r>
              <w:rPr>
                <w:rFonts w:hint="default" w:ascii="Times New Roman" w:hAnsi="Times New Roman" w:eastAsia="宋体" w:cs="Times New Roman"/>
                <w:b/>
                <w:bCs/>
                <w:snapToGrid w:val="0"/>
                <w:color w:val="auto"/>
                <w:spacing w:val="0"/>
                <w:kern w:val="0"/>
                <w:sz w:val="24"/>
                <w:szCs w:val="24"/>
                <w:lang w:val="en-US" w:eastAsia="zh-CN"/>
              </w:rPr>
              <w:t>与《济宁市“十四五”生态环境保护规划》符合性分析</w:t>
            </w:r>
          </w:p>
          <w:tbl>
            <w:tblPr>
              <w:tblStyle w:val="3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1342"/>
              <w:gridCol w:w="717"/>
            </w:tblGrid>
            <w:tr w14:paraId="2EF6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42" w:type="pct"/>
                  <w:tcBorders>
                    <w:tl2br w:val="nil"/>
                    <w:tr2bl w:val="nil"/>
                  </w:tcBorders>
                  <w:noWrap w:val="0"/>
                  <w:vAlign w:val="center"/>
                </w:tcPr>
                <w:p w14:paraId="5EE2E3CC">
                  <w:pPr>
                    <w:keepNext w:val="0"/>
                    <w:keepLines w:val="0"/>
                    <w:pageBreakBefore w:val="0"/>
                    <w:kinsoku/>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文件要求</w:t>
                  </w:r>
                </w:p>
              </w:tc>
              <w:tc>
                <w:tcPr>
                  <w:tcW w:w="884" w:type="pct"/>
                  <w:tcBorders>
                    <w:tl2br w:val="nil"/>
                    <w:tr2bl w:val="nil"/>
                  </w:tcBorders>
                  <w:noWrap w:val="0"/>
                  <w:vAlign w:val="center"/>
                </w:tcPr>
                <w:p w14:paraId="2FAB2989">
                  <w:pPr>
                    <w:keepNext w:val="0"/>
                    <w:keepLines w:val="0"/>
                    <w:pageBreakBefore w:val="0"/>
                    <w:kinsoku/>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本项目情况</w:t>
                  </w:r>
                </w:p>
              </w:tc>
              <w:tc>
                <w:tcPr>
                  <w:tcW w:w="472" w:type="pct"/>
                  <w:tcBorders>
                    <w:tl2br w:val="nil"/>
                    <w:tr2bl w:val="nil"/>
                  </w:tcBorders>
                  <w:noWrap w:val="0"/>
                  <w:vAlign w:val="center"/>
                </w:tcPr>
                <w:p w14:paraId="5A651E74">
                  <w:pPr>
                    <w:keepNext w:val="0"/>
                    <w:keepLines w:val="0"/>
                    <w:pageBreakBefore w:val="0"/>
                    <w:kinsoku/>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符合性</w:t>
                  </w:r>
                </w:p>
              </w:tc>
            </w:tr>
            <w:tr w14:paraId="4C6A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42" w:type="pct"/>
                  <w:tcBorders>
                    <w:tl2br w:val="nil"/>
                    <w:tr2bl w:val="nil"/>
                  </w:tcBorders>
                  <w:noWrap w:val="0"/>
                  <w:vAlign w:val="center"/>
                </w:tcPr>
                <w:p w14:paraId="78DB897B">
                  <w:pPr>
                    <w:keepNext w:val="0"/>
                    <w:keepLines w:val="0"/>
                    <w:pageBreakBefore w:val="0"/>
                    <w:kinsoku/>
                    <w:overflowPunct/>
                    <w:topLinePunct w:val="0"/>
                    <w:autoSpaceDE/>
                    <w:autoSpaceDN/>
                    <w:bidi w:val="0"/>
                    <w:adjustRightInd w:val="0"/>
                    <w:snapToGrid w:val="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优化国土空间开发与保护格局。落实主体功能区战略，构建以生态保护红线、环境质量底线、资源利用上线和生态环境准入清单为核心的“三线一单”生态环境分区管控体系，建立更新调整和跟踪评估长效机制，推动“三线一单”数据的信息化和共建共享，加强“三线一单”在政策制定、环境准入、园区管理、执法监管等方面的应用。依据资源环境承载能力，将“三线一单”作为区域资源开发、布局优化、结构调整、城镇建设、重大项目选址和审批的重要依据，统筹安排城市建设、产业发展、生态涵养、基础设施和公共服务，优化国土空间开发布局和强度，规范国土空间开发行为，减少人类活动对自然生态空间的占用，推动形成合理有序的城市化地区、农产品主产区、生态功能区格局。</w:t>
                  </w:r>
                </w:p>
              </w:tc>
              <w:tc>
                <w:tcPr>
                  <w:tcW w:w="884" w:type="pct"/>
                  <w:tcBorders>
                    <w:tl2br w:val="nil"/>
                    <w:tr2bl w:val="nil"/>
                  </w:tcBorders>
                  <w:noWrap w:val="0"/>
                  <w:vAlign w:val="center"/>
                </w:tcPr>
                <w:p w14:paraId="02C55B1E">
                  <w:pPr>
                    <w:keepNext w:val="0"/>
                    <w:keepLines w:val="0"/>
                    <w:pageBreakBefore w:val="0"/>
                    <w:widowControl/>
                    <w:kinsoku/>
                    <w:wordWrap w:val="0"/>
                    <w:overflowPunct/>
                    <w:topLinePunct w:val="0"/>
                    <w:autoSpaceDE/>
                    <w:autoSpaceDN/>
                    <w:bidi w:val="0"/>
                    <w:snapToGrid w:val="0"/>
                    <w:jc w:val="both"/>
                    <w:textAlignment w:val="auto"/>
                    <w:rPr>
                      <w:rFonts w:hint="default" w:ascii="Times New Roman" w:hAnsi="Times New Roman" w:eastAsia="宋体" w:cs="Times New Roman"/>
                      <w:color w:val="auto"/>
                      <w:spacing w:val="0"/>
                      <w:sz w:val="21"/>
                      <w:szCs w:val="21"/>
                      <w:lang w:val="en-US"/>
                    </w:rPr>
                  </w:pPr>
                  <w:r>
                    <w:rPr>
                      <w:rFonts w:hint="default" w:ascii="Times New Roman" w:hAnsi="Times New Roman" w:eastAsia="宋体" w:cs="Times New Roman"/>
                      <w:bCs/>
                      <w:color w:val="auto"/>
                      <w:spacing w:val="0"/>
                      <w:sz w:val="21"/>
                      <w:szCs w:val="21"/>
                      <w:lang w:val="en-US" w:eastAsia="zh-CN"/>
                    </w:rPr>
                    <w:t>本项目符合嘉祥国土空间总体规划，满足区域“三线一单”生态环境分区管控要求。</w:t>
                  </w:r>
                </w:p>
              </w:tc>
              <w:tc>
                <w:tcPr>
                  <w:tcW w:w="472" w:type="pct"/>
                  <w:tcBorders>
                    <w:tl2br w:val="nil"/>
                    <w:tr2bl w:val="nil"/>
                  </w:tcBorders>
                  <w:noWrap w:val="0"/>
                  <w:vAlign w:val="center"/>
                </w:tcPr>
                <w:p w14:paraId="283DE0B4">
                  <w:pPr>
                    <w:keepNext w:val="0"/>
                    <w:keepLines w:val="0"/>
                    <w:pageBreakBefore w:val="0"/>
                    <w:kinsoku/>
                    <w:overflowPunct/>
                    <w:topLinePunct w:val="0"/>
                    <w:autoSpaceDE/>
                    <w:autoSpaceDN/>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符合</w:t>
                  </w:r>
                </w:p>
              </w:tc>
            </w:tr>
            <w:tr w14:paraId="11C5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42" w:type="pct"/>
                  <w:tcBorders>
                    <w:tl2br w:val="nil"/>
                    <w:tr2bl w:val="nil"/>
                  </w:tcBorders>
                  <w:noWrap w:val="0"/>
                  <w:vAlign w:val="center"/>
                </w:tcPr>
                <w:p w14:paraId="5E0FFBC5">
                  <w:pPr>
                    <w:keepNext w:val="0"/>
                    <w:keepLines w:val="0"/>
                    <w:pageBreakBefore w:val="0"/>
                    <w:kinsoku/>
                    <w:overflowPunct/>
                    <w:topLinePunct w:val="0"/>
                    <w:autoSpaceDE/>
                    <w:autoSpaceDN/>
                    <w:bidi w:val="0"/>
                    <w:adjustRightInd w:val="0"/>
                    <w:snapToGrid w:val="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坚决遏制“两高”项目盲目发展。坚持环境质量“只能更好，不能变坏”的底线，严格落实污染物排放总量和产能总量控制刚性要求。实施“四上四压”，坚持“上新压旧”“上大压小”“上高压低”“上整压散”。“两高”项目确有必要建设的，须严格落实产能、煤耗、能耗、碳排放和污染物排放“五个减量替代”要求，新（改、扩）建项目要减量替代，已建项目要减量运行。依据国家相关产业政策，对焦化、煤电、水泥、轮胎、平板玻璃、煤化工、铁合金等重点行业严格执行产能置换要求，确保产能总量只减不增。原则上不再审批新建煤矿项目。严禁新增水泥熟料、粉磨产能。</w:t>
                  </w:r>
                </w:p>
              </w:tc>
              <w:tc>
                <w:tcPr>
                  <w:tcW w:w="884" w:type="pct"/>
                  <w:tcBorders>
                    <w:tl2br w:val="nil"/>
                    <w:tr2bl w:val="nil"/>
                  </w:tcBorders>
                  <w:noWrap w:val="0"/>
                  <w:vAlign w:val="center"/>
                </w:tcPr>
                <w:p w14:paraId="10FCA15E">
                  <w:pPr>
                    <w:keepNext w:val="0"/>
                    <w:keepLines w:val="0"/>
                    <w:pageBreakBefore w:val="0"/>
                    <w:kinsoku/>
                    <w:overflowPunct/>
                    <w:topLinePunct w:val="0"/>
                    <w:autoSpaceDE/>
                    <w:autoSpaceDN/>
                    <w:bidi w:val="0"/>
                    <w:adjustRightInd w:val="0"/>
                    <w:snapToGrid w:val="0"/>
                    <w:jc w:val="both"/>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本项目不属于“两高”行业范围</w:t>
                  </w:r>
                  <w:r>
                    <w:rPr>
                      <w:rFonts w:hint="default" w:ascii="Times New Roman" w:hAnsi="Times New Roman" w:eastAsia="宋体" w:cs="Times New Roman"/>
                      <w:color w:val="auto"/>
                      <w:spacing w:val="0"/>
                      <w:sz w:val="21"/>
                      <w:szCs w:val="21"/>
                      <w:lang w:eastAsia="zh-CN"/>
                    </w:rPr>
                    <w:t>。</w:t>
                  </w:r>
                </w:p>
              </w:tc>
              <w:tc>
                <w:tcPr>
                  <w:tcW w:w="472" w:type="pct"/>
                  <w:tcBorders>
                    <w:tl2br w:val="nil"/>
                    <w:tr2bl w:val="nil"/>
                  </w:tcBorders>
                  <w:noWrap w:val="0"/>
                  <w:vAlign w:val="center"/>
                </w:tcPr>
                <w:p w14:paraId="7264D1E6">
                  <w:pPr>
                    <w:keepNext w:val="0"/>
                    <w:keepLines w:val="0"/>
                    <w:pageBreakBefore w:val="0"/>
                    <w:kinsoku/>
                    <w:overflowPunct/>
                    <w:topLinePunct w:val="0"/>
                    <w:autoSpaceDE/>
                    <w:autoSpaceDN/>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符合</w:t>
                  </w:r>
                </w:p>
              </w:tc>
            </w:tr>
            <w:tr w14:paraId="5937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42" w:type="pct"/>
                  <w:tcBorders>
                    <w:tl2br w:val="nil"/>
                    <w:tr2bl w:val="nil"/>
                  </w:tcBorders>
                  <w:noWrap w:val="0"/>
                  <w:vAlign w:val="center"/>
                </w:tcPr>
                <w:p w14:paraId="0F6806B4">
                  <w:pPr>
                    <w:keepNext w:val="0"/>
                    <w:keepLines w:val="0"/>
                    <w:pageBreakBefore w:val="0"/>
                    <w:kinsoku/>
                    <w:overflowPunct/>
                    <w:topLinePunct w:val="0"/>
                    <w:autoSpaceDE/>
                    <w:autoSpaceDN/>
                    <w:bidi w:val="0"/>
                    <w:adjustRightInd w:val="0"/>
                    <w:snapToGrid w:val="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坚决淘汰落后低效产能。严格落实产业结构调整指导目录，对“淘汰类”工艺和装备全部淘汰出清。精准聚焦煤电、水泥、轮胎、煤炭、化工、焦化等6个重点行业，加快淘汰低效落后产能。进一步健全并严格落实环保、安全、技术、能耗、效益标准，制定实施方案，重点围绕全省确定的再生橡胶、废旧塑料再生、石灰、石膏等行业，适当扩大产业结构调整行业范围，分类组织实施转移、压减、整合、关停任务，推动低效落后产能退出。巩固砖瓦行业整合治理成效。</w:t>
                  </w:r>
                </w:p>
              </w:tc>
              <w:tc>
                <w:tcPr>
                  <w:tcW w:w="884" w:type="pct"/>
                  <w:tcBorders>
                    <w:tl2br w:val="nil"/>
                    <w:tr2bl w:val="nil"/>
                  </w:tcBorders>
                  <w:noWrap w:val="0"/>
                  <w:vAlign w:val="center"/>
                </w:tcPr>
                <w:p w14:paraId="2ED701AE">
                  <w:pPr>
                    <w:keepNext w:val="0"/>
                    <w:keepLines w:val="0"/>
                    <w:pageBreakBefore w:val="0"/>
                    <w:kinsoku/>
                    <w:overflowPunct/>
                    <w:topLinePunct w:val="0"/>
                    <w:autoSpaceDE/>
                    <w:autoSpaceDN/>
                    <w:bidi w:val="0"/>
                    <w:adjustRightInd w:val="0"/>
                    <w:snapToGrid w:val="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本项目</w:t>
                  </w:r>
                  <w:r>
                    <w:rPr>
                      <w:rFonts w:hint="default" w:ascii="Times New Roman" w:hAnsi="Times New Roman" w:eastAsia="宋体" w:cs="Times New Roman"/>
                      <w:color w:val="auto"/>
                      <w:spacing w:val="0"/>
                      <w:sz w:val="21"/>
                      <w:szCs w:val="21"/>
                      <w:lang w:val="en-US" w:eastAsia="zh-CN"/>
                    </w:rPr>
                    <w:t>符合国家产业政策要求，为允许建设项目，</w:t>
                  </w:r>
                  <w:r>
                    <w:rPr>
                      <w:rFonts w:hint="default" w:ascii="Times New Roman" w:hAnsi="Times New Roman" w:eastAsia="宋体" w:cs="Times New Roman"/>
                      <w:color w:val="auto"/>
                      <w:spacing w:val="0"/>
                      <w:sz w:val="21"/>
                      <w:szCs w:val="21"/>
                    </w:rPr>
                    <w:t>不属于</w:t>
                  </w:r>
                  <w:r>
                    <w:rPr>
                      <w:rFonts w:hint="default" w:ascii="Times New Roman" w:hAnsi="Times New Roman" w:eastAsia="宋体" w:cs="Times New Roman"/>
                      <w:color w:val="auto"/>
                      <w:spacing w:val="0"/>
                      <w:sz w:val="21"/>
                      <w:szCs w:val="21"/>
                      <w:lang w:val="en-US" w:eastAsia="zh-CN"/>
                    </w:rPr>
                    <w:t>落后低效产能项目</w:t>
                  </w:r>
                  <w:r>
                    <w:rPr>
                      <w:rFonts w:hint="default" w:ascii="Times New Roman" w:hAnsi="Times New Roman" w:eastAsia="宋体" w:cs="Times New Roman"/>
                      <w:color w:val="auto"/>
                      <w:spacing w:val="0"/>
                      <w:sz w:val="21"/>
                      <w:szCs w:val="21"/>
                      <w:lang w:eastAsia="zh-CN"/>
                    </w:rPr>
                    <w:t>。</w:t>
                  </w:r>
                </w:p>
              </w:tc>
              <w:tc>
                <w:tcPr>
                  <w:tcW w:w="472" w:type="pct"/>
                  <w:tcBorders>
                    <w:tl2br w:val="nil"/>
                    <w:tr2bl w:val="nil"/>
                  </w:tcBorders>
                  <w:noWrap w:val="0"/>
                  <w:vAlign w:val="center"/>
                </w:tcPr>
                <w:p w14:paraId="378639E8">
                  <w:pPr>
                    <w:keepNext w:val="0"/>
                    <w:keepLines w:val="0"/>
                    <w:pageBreakBefore w:val="0"/>
                    <w:kinsoku/>
                    <w:overflowPunct/>
                    <w:topLinePunct w:val="0"/>
                    <w:autoSpaceDE/>
                    <w:autoSpaceDN/>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符合</w:t>
                  </w:r>
                </w:p>
              </w:tc>
            </w:tr>
            <w:tr w14:paraId="3C4C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jc w:val="center"/>
              </w:trPr>
              <w:tc>
                <w:tcPr>
                  <w:tcW w:w="3642" w:type="pct"/>
                  <w:tcBorders>
                    <w:tl2br w:val="nil"/>
                    <w:tr2bl w:val="nil"/>
                  </w:tcBorders>
                  <w:noWrap w:val="0"/>
                  <w:vAlign w:val="center"/>
                </w:tcPr>
                <w:p w14:paraId="351E6C77">
                  <w:pPr>
                    <w:keepNext w:val="0"/>
                    <w:keepLines w:val="0"/>
                    <w:pageBreakBefore w:val="0"/>
                    <w:kinsoku/>
                    <w:overflowPunct/>
                    <w:topLinePunct w:val="0"/>
                    <w:autoSpaceDE/>
                    <w:autoSpaceDN/>
                    <w:bidi w:val="0"/>
                    <w:adjustRightInd w:val="0"/>
                    <w:snapToGrid w:val="0"/>
                    <w:jc w:val="both"/>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狠抓工业污染防治。严格控制缺水地区、水污染严重地区和敏感区域高耗水、高污染行业发展。严格执行南四湖流域水污染物综合排放标准，加强全盐量、硫酸盐、氟化物等特征污染物治理。推进化工等工业园区雨污分流改造和初期雨水收集处理。加大现有工业园区整治力度，全面推进工业园区污水处理设施建设和污水管网排查整治。鼓励有条件的园区实施化工企业废水“一企一管、明管输送、实时监测、统一调度”，实现园区集中污水处理设施第一时间锁定超标来水源头，及时有效处理处置。鼓励有条件的园区引进“环保管家”服务，提供定制化、全产业链的第三方环保服务，实现园区污水精细化、专业化管理。推动开展有毒有害以及难降解废水治理试点</w:t>
                  </w:r>
                  <w:r>
                    <w:rPr>
                      <w:rFonts w:hint="default" w:ascii="Times New Roman" w:hAnsi="Times New Roman" w:eastAsia="宋体" w:cs="Times New Roman"/>
                      <w:color w:val="auto"/>
                      <w:spacing w:val="0"/>
                      <w:sz w:val="21"/>
                      <w:szCs w:val="21"/>
                      <w:lang w:eastAsia="zh-CN"/>
                    </w:rPr>
                    <w:t>。</w:t>
                  </w:r>
                </w:p>
              </w:tc>
              <w:tc>
                <w:tcPr>
                  <w:tcW w:w="884" w:type="pct"/>
                  <w:tcBorders>
                    <w:tl2br w:val="nil"/>
                    <w:tr2bl w:val="nil"/>
                  </w:tcBorders>
                  <w:noWrap w:val="0"/>
                  <w:vAlign w:val="center"/>
                </w:tcPr>
                <w:p w14:paraId="4A6454A6">
                  <w:pPr>
                    <w:keepNext w:val="0"/>
                    <w:keepLines w:val="0"/>
                    <w:pageBreakBefore w:val="0"/>
                    <w:kinsoku/>
                    <w:overflowPunct/>
                    <w:topLinePunct w:val="0"/>
                    <w:autoSpaceDE/>
                    <w:autoSpaceDN/>
                    <w:bidi w:val="0"/>
                    <w:adjustRightInd w:val="0"/>
                    <w:snapToGrid w:val="0"/>
                    <w:jc w:val="both"/>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highlight w:val="none"/>
                    </w:rPr>
                    <w:t>本</w:t>
                  </w:r>
                  <w:r>
                    <w:rPr>
                      <w:rFonts w:hint="default" w:ascii="Times New Roman" w:hAnsi="Times New Roman" w:eastAsia="宋体" w:cs="Times New Roman"/>
                      <w:color w:val="auto"/>
                      <w:spacing w:val="0"/>
                      <w:sz w:val="21"/>
                      <w:szCs w:val="21"/>
                      <w:highlight w:val="none"/>
                      <w:lang w:val="en-US" w:eastAsia="zh-CN"/>
                    </w:rPr>
                    <w:t>项目</w:t>
                  </w:r>
                  <w:r>
                    <w:rPr>
                      <w:rFonts w:hint="default" w:ascii="Times New Roman" w:hAnsi="Times New Roman" w:eastAsia="宋体" w:cs="Times New Roman"/>
                      <w:color w:val="auto"/>
                      <w:spacing w:val="0"/>
                      <w:sz w:val="21"/>
                      <w:szCs w:val="21"/>
                      <w:highlight w:val="none"/>
                    </w:rPr>
                    <w:t>不属于高耗水、高污染项目</w:t>
                  </w:r>
                  <w:r>
                    <w:rPr>
                      <w:rFonts w:hint="default" w:ascii="Times New Roman" w:hAnsi="Times New Roman" w:eastAsia="宋体" w:cs="Times New Roman"/>
                      <w:color w:val="auto"/>
                      <w:spacing w:val="0"/>
                      <w:sz w:val="21"/>
                      <w:szCs w:val="21"/>
                      <w:highlight w:val="none"/>
                      <w:lang w:eastAsia="zh-CN"/>
                    </w:rPr>
                    <w:t>。</w:t>
                  </w:r>
                </w:p>
              </w:tc>
              <w:tc>
                <w:tcPr>
                  <w:tcW w:w="472" w:type="pct"/>
                  <w:tcBorders>
                    <w:tl2br w:val="nil"/>
                    <w:tr2bl w:val="nil"/>
                  </w:tcBorders>
                  <w:noWrap w:val="0"/>
                  <w:vAlign w:val="center"/>
                </w:tcPr>
                <w:p w14:paraId="23825548">
                  <w:pPr>
                    <w:keepNext w:val="0"/>
                    <w:keepLines w:val="0"/>
                    <w:pageBreakBefore w:val="0"/>
                    <w:kinsoku/>
                    <w:overflowPunct/>
                    <w:topLinePunct w:val="0"/>
                    <w:autoSpaceDE/>
                    <w:autoSpaceDN/>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符合</w:t>
                  </w:r>
                </w:p>
              </w:tc>
            </w:tr>
            <w:tr w14:paraId="3427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42" w:type="pct"/>
                  <w:tcBorders>
                    <w:tl2br w:val="nil"/>
                    <w:tr2bl w:val="nil"/>
                  </w:tcBorders>
                  <w:noWrap w:val="0"/>
                  <w:vAlign w:val="center"/>
                </w:tcPr>
                <w:p w14:paraId="3992C671">
                  <w:pPr>
                    <w:keepNext w:val="0"/>
                    <w:keepLines w:val="0"/>
                    <w:pageBreakBefore w:val="0"/>
                    <w:kinsoku/>
                    <w:overflowPunct/>
                    <w:topLinePunct w:val="0"/>
                    <w:autoSpaceDE/>
                    <w:autoSpaceDN/>
                    <w:bidi w:val="0"/>
                    <w:adjustRightInd w:val="0"/>
                    <w:snapToGrid w:val="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落实污染物排放总量控制制度。围绕生态环境质量改善目标，实施排污总量控制。严格按照国家、省确定污染物减排框架体系，确定各县(市、区)重点减排工程，高质量完成“十四五”总量减排目标任务。落实国家建立非固定污染源减排管理体系的要求，实施非固定污染源全过程调度管理，强化统计、监管、评估。统筹推进多污染物协同减排，减污降碳协同增效，实施一批重点领域、重点行业协同减排工程。健全污染减排激励约束机制。</w:t>
                  </w:r>
                </w:p>
              </w:tc>
              <w:tc>
                <w:tcPr>
                  <w:tcW w:w="884" w:type="pct"/>
                  <w:tcBorders>
                    <w:tl2br w:val="nil"/>
                    <w:tr2bl w:val="nil"/>
                  </w:tcBorders>
                  <w:noWrap w:val="0"/>
                  <w:vAlign w:val="center"/>
                </w:tcPr>
                <w:p w14:paraId="175C1543">
                  <w:pPr>
                    <w:keepNext w:val="0"/>
                    <w:keepLines w:val="0"/>
                    <w:pageBreakBefore w:val="0"/>
                    <w:kinsoku/>
                    <w:overflowPunct/>
                    <w:topLinePunct w:val="0"/>
                    <w:autoSpaceDE/>
                    <w:autoSpaceDN/>
                    <w:bidi w:val="0"/>
                    <w:adjustRightInd w:val="0"/>
                    <w:snapToGrid w:val="0"/>
                    <w:jc w:val="both"/>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本项目污染物排放</w:t>
                  </w:r>
                  <w:r>
                    <w:rPr>
                      <w:rFonts w:hint="default" w:ascii="Times New Roman" w:hAnsi="Times New Roman" w:eastAsia="宋体" w:cs="Times New Roman"/>
                      <w:bCs/>
                      <w:color w:val="auto"/>
                      <w:spacing w:val="0"/>
                      <w:sz w:val="21"/>
                      <w:szCs w:val="21"/>
                      <w:highlight w:val="none"/>
                      <w:lang w:val="en-US" w:eastAsia="zh-CN"/>
                    </w:rPr>
                    <w:t>严格执行相关排放标准，落实污染物排放总量控制制度。</w:t>
                  </w:r>
                </w:p>
              </w:tc>
              <w:tc>
                <w:tcPr>
                  <w:tcW w:w="472" w:type="pct"/>
                  <w:tcBorders>
                    <w:tl2br w:val="nil"/>
                    <w:tr2bl w:val="nil"/>
                  </w:tcBorders>
                  <w:noWrap w:val="0"/>
                  <w:vAlign w:val="center"/>
                </w:tcPr>
                <w:p w14:paraId="775A0656">
                  <w:pPr>
                    <w:keepNext w:val="0"/>
                    <w:keepLines w:val="0"/>
                    <w:pageBreakBefore w:val="0"/>
                    <w:kinsoku/>
                    <w:overflowPunct/>
                    <w:topLinePunct w:val="0"/>
                    <w:autoSpaceDE/>
                    <w:autoSpaceDN/>
                    <w:bidi w:val="0"/>
                    <w:adjustRightInd w:val="0"/>
                    <w:snapToGrid w:val="0"/>
                    <w:jc w:val="center"/>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符合</w:t>
                  </w:r>
                </w:p>
              </w:tc>
            </w:tr>
          </w:tbl>
          <w:p w14:paraId="37390519">
            <w:pPr>
              <w:numPr>
                <w:ilvl w:val="0"/>
                <w:numId w:val="4"/>
              </w:numPr>
              <w:spacing w:line="360" w:lineRule="auto"/>
              <w:ind w:left="0" w:firstLine="454"/>
              <w:rPr>
                <w:rFonts w:hint="default" w:ascii="Times New Roman" w:hAnsi="Times New Roman" w:eastAsia="宋体" w:cs="Times New Roman"/>
                <w:b/>
                <w:bCs/>
                <w:color w:val="auto"/>
                <w:spacing w:val="0"/>
                <w:sz w:val="24"/>
              </w:rPr>
            </w:pPr>
            <w:r>
              <w:rPr>
                <w:rFonts w:hint="default" w:ascii="Times New Roman" w:hAnsi="Times New Roman" w:eastAsia="宋体" w:cs="Times New Roman"/>
                <w:b/>
                <w:bCs/>
                <w:color w:val="auto"/>
                <w:spacing w:val="0"/>
                <w:sz w:val="24"/>
              </w:rPr>
              <w:t>与《关于印发市直部门大气污染治理技术导则（第五版）的通知》（济气综治办发[2019]44号）的符合性分析</w:t>
            </w:r>
          </w:p>
          <w:p w14:paraId="45B0CEAC">
            <w:pPr>
              <w:keepNext w:val="0"/>
              <w:keepLines w:val="0"/>
              <w:pageBreakBefore w:val="0"/>
              <w:widowControl w:val="0"/>
              <w:numPr>
                <w:ilvl w:val="0"/>
                <w:numId w:val="5"/>
              </w:numPr>
              <w:tabs>
                <w:tab w:val="center" w:pos="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snapToGrid w:val="0"/>
                <w:color w:val="auto"/>
                <w:spacing w:val="0"/>
                <w:kern w:val="0"/>
                <w:sz w:val="24"/>
                <w:szCs w:val="24"/>
                <w:lang w:val="en-US" w:eastAsia="zh-CN"/>
              </w:rPr>
            </w:pPr>
            <w:r>
              <w:rPr>
                <w:rFonts w:hint="default" w:ascii="Times New Roman" w:hAnsi="Times New Roman" w:eastAsia="宋体" w:cs="Times New Roman"/>
                <w:b/>
                <w:bCs/>
                <w:snapToGrid w:val="0"/>
                <w:color w:val="auto"/>
                <w:spacing w:val="0"/>
                <w:kern w:val="0"/>
                <w:sz w:val="24"/>
                <w:szCs w:val="24"/>
                <w:lang w:val="en-US" w:eastAsia="zh-CN"/>
              </w:rPr>
              <w:t>与济气综治办发[2019]44号文的符合情况</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4768"/>
              <w:gridCol w:w="1697"/>
              <w:gridCol w:w="429"/>
            </w:tblGrid>
            <w:tr w14:paraId="2546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ign w:val="center"/>
                </w:tcPr>
                <w:p w14:paraId="712156F6">
                  <w:pPr>
                    <w:pStyle w:val="35"/>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ascii="Times New Roman" w:hAnsi="Times New Roman" w:eastAsia="宋体" w:cs="Times New Roman"/>
                      <w:color w:val="auto"/>
                      <w:spacing w:val="0"/>
                      <w:kern w:val="2"/>
                      <w:sz w:val="21"/>
                      <w:szCs w:val="21"/>
                    </w:rPr>
                  </w:pPr>
                  <w:r>
                    <w:rPr>
                      <w:rFonts w:hint="default" w:ascii="Times New Roman" w:hAnsi="Times New Roman" w:eastAsia="宋体" w:cs="Times New Roman"/>
                      <w:color w:val="auto"/>
                      <w:spacing w:val="0"/>
                      <w:sz w:val="21"/>
                      <w:szCs w:val="21"/>
                    </w:rPr>
                    <w:t>分类</w:t>
                  </w:r>
                </w:p>
              </w:tc>
              <w:tc>
                <w:tcPr>
                  <w:tcW w:w="3140" w:type="pct"/>
                  <w:tcBorders>
                    <w:tl2br w:val="nil"/>
                    <w:tr2bl w:val="nil"/>
                  </w:tcBorders>
                  <w:noWrap/>
                  <w:vAlign w:val="center"/>
                </w:tcPr>
                <w:p w14:paraId="783D7C59">
                  <w:pPr>
                    <w:pStyle w:val="35"/>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ascii="Times New Roman" w:hAnsi="Times New Roman" w:eastAsia="宋体" w:cs="Times New Roman"/>
                      <w:color w:val="auto"/>
                      <w:spacing w:val="0"/>
                      <w:kern w:val="2"/>
                      <w:sz w:val="21"/>
                      <w:szCs w:val="21"/>
                    </w:rPr>
                  </w:pPr>
                  <w:r>
                    <w:rPr>
                      <w:rFonts w:hint="default" w:ascii="Times New Roman" w:hAnsi="Times New Roman" w:eastAsia="宋体" w:cs="Times New Roman"/>
                      <w:color w:val="auto"/>
                      <w:spacing w:val="0"/>
                      <w:sz w:val="21"/>
                      <w:szCs w:val="21"/>
                    </w:rPr>
                    <w:t>文件要求</w:t>
                  </w:r>
                </w:p>
              </w:tc>
              <w:tc>
                <w:tcPr>
                  <w:tcW w:w="1117" w:type="pct"/>
                  <w:tcBorders>
                    <w:tl2br w:val="nil"/>
                    <w:tr2bl w:val="nil"/>
                  </w:tcBorders>
                  <w:noWrap/>
                  <w:vAlign w:val="center"/>
                </w:tcPr>
                <w:p w14:paraId="79058FDC">
                  <w:pPr>
                    <w:pStyle w:val="35"/>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ascii="Times New Roman" w:hAnsi="Times New Roman" w:eastAsia="宋体" w:cs="Times New Roman"/>
                      <w:color w:val="auto"/>
                      <w:spacing w:val="0"/>
                      <w:kern w:val="2"/>
                      <w:sz w:val="21"/>
                      <w:szCs w:val="21"/>
                    </w:rPr>
                  </w:pPr>
                  <w:r>
                    <w:rPr>
                      <w:rFonts w:hint="default" w:ascii="Times New Roman" w:hAnsi="Times New Roman" w:eastAsia="宋体" w:cs="Times New Roman"/>
                      <w:color w:val="auto"/>
                      <w:spacing w:val="0"/>
                      <w:sz w:val="21"/>
                      <w:szCs w:val="21"/>
                    </w:rPr>
                    <w:t>本项目情况</w:t>
                  </w:r>
                </w:p>
              </w:tc>
              <w:tc>
                <w:tcPr>
                  <w:tcW w:w="282" w:type="pct"/>
                  <w:tcBorders>
                    <w:tl2br w:val="nil"/>
                    <w:tr2bl w:val="nil"/>
                  </w:tcBorders>
                  <w:noWrap/>
                  <w:vAlign w:val="center"/>
                </w:tcPr>
                <w:p w14:paraId="0DBDC0D5">
                  <w:pPr>
                    <w:pStyle w:val="35"/>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ascii="Times New Roman" w:hAnsi="Times New Roman" w:eastAsia="宋体" w:cs="Times New Roman"/>
                      <w:color w:val="auto"/>
                      <w:spacing w:val="0"/>
                      <w:kern w:val="2"/>
                      <w:sz w:val="21"/>
                      <w:szCs w:val="21"/>
                    </w:rPr>
                  </w:pPr>
                  <w:r>
                    <w:rPr>
                      <w:rFonts w:hint="default" w:ascii="Times New Roman" w:hAnsi="Times New Roman" w:eastAsia="宋体" w:cs="Times New Roman"/>
                      <w:color w:val="auto"/>
                      <w:spacing w:val="0"/>
                      <w:kern w:val="2"/>
                      <w:sz w:val="21"/>
                      <w:szCs w:val="21"/>
                    </w:rPr>
                    <w:t>符合性</w:t>
                  </w:r>
                </w:p>
              </w:tc>
            </w:tr>
            <w:tr w14:paraId="6ACB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ign w:val="center"/>
                </w:tcPr>
                <w:p w14:paraId="64961298">
                  <w:pPr>
                    <w:pStyle w:val="35"/>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道路防尘技术标准</w:t>
                  </w:r>
                </w:p>
              </w:tc>
              <w:tc>
                <w:tcPr>
                  <w:tcW w:w="3140" w:type="pct"/>
                  <w:tcBorders>
                    <w:tl2br w:val="nil"/>
                    <w:tr2bl w:val="nil"/>
                  </w:tcBorders>
                  <w:noWrap/>
                  <w:vAlign w:val="center"/>
                </w:tcPr>
                <w:p w14:paraId="4AA7C01A">
                  <w:pPr>
                    <w:pStyle w:val="35"/>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进出堆场的道路必须全部硬化。进出堆场的道路必须配备清扫设施、洒水车或其他喷洒设施。清扫及洒水频率根据具体情况确定，原则上每天湿式清扫不得少于2次，洒水不得少于4次。干燥、大风天气时要加大清扫、洒水频率，以保持路面清洁，不产生扬尘为目标。</w:t>
                  </w:r>
                </w:p>
              </w:tc>
              <w:tc>
                <w:tcPr>
                  <w:tcW w:w="1117" w:type="pct"/>
                  <w:tcBorders>
                    <w:tl2br w:val="nil"/>
                    <w:tr2bl w:val="nil"/>
                  </w:tcBorders>
                  <w:noWrap/>
                  <w:vAlign w:val="center"/>
                </w:tcPr>
                <w:p w14:paraId="75FCABA4">
                  <w:pPr>
                    <w:pStyle w:val="35"/>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厂区道路全部硬化，并且安排专人负责洒水，制定洒水清扫制度。</w:t>
                  </w:r>
                </w:p>
              </w:tc>
              <w:tc>
                <w:tcPr>
                  <w:tcW w:w="282" w:type="pct"/>
                  <w:tcBorders>
                    <w:tl2br w:val="nil"/>
                    <w:tr2bl w:val="nil"/>
                  </w:tcBorders>
                  <w:noWrap/>
                  <w:vAlign w:val="center"/>
                </w:tcPr>
                <w:p w14:paraId="4B720C3C">
                  <w:pPr>
                    <w:pStyle w:val="35"/>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ascii="Times New Roman" w:hAnsi="Times New Roman" w:eastAsia="宋体" w:cs="Times New Roman"/>
                      <w:color w:val="auto"/>
                      <w:spacing w:val="0"/>
                      <w:kern w:val="2"/>
                      <w:sz w:val="21"/>
                      <w:szCs w:val="21"/>
                    </w:rPr>
                  </w:pPr>
                  <w:r>
                    <w:rPr>
                      <w:rFonts w:hint="default" w:ascii="Times New Roman" w:hAnsi="Times New Roman" w:eastAsia="宋体" w:cs="Times New Roman"/>
                      <w:color w:val="auto"/>
                      <w:spacing w:val="0"/>
                      <w:sz w:val="21"/>
                      <w:szCs w:val="21"/>
                    </w:rPr>
                    <w:t>符合</w:t>
                  </w:r>
                </w:p>
              </w:tc>
            </w:tr>
            <w:tr w14:paraId="1AFD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ign w:val="center"/>
                </w:tcPr>
                <w:p w14:paraId="0CF69A67">
                  <w:pPr>
                    <w:pStyle w:val="35"/>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堆场防尘技术标准</w:t>
                  </w:r>
                </w:p>
              </w:tc>
              <w:tc>
                <w:tcPr>
                  <w:tcW w:w="3140" w:type="pct"/>
                  <w:tcBorders>
                    <w:tl2br w:val="nil"/>
                    <w:tr2bl w:val="nil"/>
                  </w:tcBorders>
                  <w:noWrap/>
                  <w:vAlign w:val="center"/>
                </w:tcPr>
                <w:p w14:paraId="6D254461">
                  <w:pPr>
                    <w:pStyle w:val="35"/>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6.1堆场地面必须全部硬化。</w:t>
                  </w:r>
                </w:p>
                <w:p w14:paraId="4BCB4380">
                  <w:pPr>
                    <w:pStyle w:val="35"/>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6.2贮存易产生扬尘</w:t>
                  </w:r>
                  <w:r>
                    <w:rPr>
                      <w:rFonts w:hint="default" w:ascii="Times New Roman" w:hAnsi="Times New Roman" w:eastAsia="宋体" w:cs="Times New Roman"/>
                      <w:color w:val="auto"/>
                      <w:spacing w:val="0"/>
                      <w:sz w:val="21"/>
                      <w:szCs w:val="21"/>
                      <w:lang w:eastAsia="zh-CN"/>
                    </w:rPr>
                    <w:t>的</w:t>
                  </w:r>
                  <w:r>
                    <w:rPr>
                      <w:rFonts w:hint="default" w:ascii="Times New Roman" w:hAnsi="Times New Roman" w:eastAsia="宋体" w:cs="Times New Roman"/>
                      <w:color w:val="auto"/>
                      <w:spacing w:val="0"/>
                      <w:sz w:val="21"/>
                      <w:szCs w:val="21"/>
                    </w:rPr>
                    <w:t>各类粉状、粒状、块状物料及燃料堆场要进行封闭式改造，全部密闭储存。</w:t>
                  </w:r>
                </w:p>
                <w:p w14:paraId="156A73B3">
                  <w:pPr>
                    <w:pStyle w:val="35"/>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6.3暂时不能密闭的应当设置严密围挡。设置实体墙围挡的，墙高不低于堆放物高度；设置防风抑尘网的应符合下列规定：</w:t>
                  </w:r>
                </w:p>
                <w:p w14:paraId="28831912">
                  <w:pPr>
                    <w:pStyle w:val="35"/>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6.3.1除留出用于装卸的专用通道外，堆场周围必须全部建设闭合的防风抑尘网。</w:t>
                  </w:r>
                </w:p>
                <w:p w14:paraId="046483C9">
                  <w:pPr>
                    <w:pStyle w:val="35"/>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6.3.2防风抑尘网高度应根据堆垛高度确定，原则上应高于堆垛至少2米。</w:t>
                  </w:r>
                </w:p>
                <w:p w14:paraId="0975B1F3">
                  <w:pPr>
                    <w:pStyle w:val="35"/>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6.3.3防风抑尘网必须设置基础，确保牢固。</w:t>
                  </w:r>
                </w:p>
                <w:p w14:paraId="25C00A88">
                  <w:pPr>
                    <w:pStyle w:val="35"/>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6.3.4防风抑尘网板材必须是专业厂家生产的合格产品，能够达到防风抑尘要求。</w:t>
                  </w:r>
                </w:p>
                <w:p w14:paraId="6413240E">
                  <w:pPr>
                    <w:pStyle w:val="35"/>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6.3.5除正在装卸的作业面外，对堆存的易扬尘物料必须全部覆盖，覆盖布（网）要用重物压实。覆盖布（网）必须是合格产品，要有足够的密度、强度、韧度，不能有明显破损。</w:t>
                  </w:r>
                </w:p>
                <w:p w14:paraId="578ADF35">
                  <w:pPr>
                    <w:pStyle w:val="35"/>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6.4适合喷淋的物料堆场应设置固定式或移动式喷淋设施。</w:t>
                  </w:r>
                </w:p>
              </w:tc>
              <w:tc>
                <w:tcPr>
                  <w:tcW w:w="1117" w:type="pct"/>
                  <w:tcBorders>
                    <w:tl2br w:val="nil"/>
                    <w:tr2bl w:val="nil"/>
                  </w:tcBorders>
                  <w:noWrap/>
                  <w:vAlign w:val="center"/>
                </w:tcPr>
                <w:p w14:paraId="450C6262">
                  <w:pPr>
                    <w:pStyle w:val="35"/>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车间堆场地面全部硬化；物料全部存放于封闭式生产车间内，并采用喷淋措施定期洒水降尘。</w:t>
                  </w:r>
                </w:p>
              </w:tc>
              <w:tc>
                <w:tcPr>
                  <w:tcW w:w="282" w:type="pct"/>
                  <w:tcBorders>
                    <w:tl2br w:val="nil"/>
                    <w:tr2bl w:val="nil"/>
                  </w:tcBorders>
                  <w:noWrap/>
                  <w:vAlign w:val="center"/>
                </w:tcPr>
                <w:p w14:paraId="1C2CADB6">
                  <w:pPr>
                    <w:pStyle w:val="35"/>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ascii="Times New Roman" w:hAnsi="Times New Roman" w:eastAsia="宋体" w:cs="Times New Roman"/>
                      <w:color w:val="auto"/>
                      <w:spacing w:val="0"/>
                      <w:kern w:val="2"/>
                      <w:sz w:val="21"/>
                      <w:szCs w:val="21"/>
                    </w:rPr>
                  </w:pPr>
                  <w:r>
                    <w:rPr>
                      <w:rFonts w:hint="default" w:ascii="Times New Roman" w:hAnsi="Times New Roman" w:eastAsia="宋体" w:cs="Times New Roman"/>
                      <w:color w:val="auto"/>
                      <w:spacing w:val="0"/>
                      <w:sz w:val="21"/>
                      <w:szCs w:val="21"/>
                    </w:rPr>
                    <w:t>符合</w:t>
                  </w:r>
                </w:p>
              </w:tc>
            </w:tr>
            <w:tr w14:paraId="1883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ign w:val="center"/>
                </w:tcPr>
                <w:p w14:paraId="659298C7">
                  <w:pPr>
                    <w:pStyle w:val="35"/>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物料输送防尘技术标准</w:t>
                  </w:r>
                </w:p>
              </w:tc>
              <w:tc>
                <w:tcPr>
                  <w:tcW w:w="3140" w:type="pct"/>
                  <w:tcBorders>
                    <w:tl2br w:val="nil"/>
                    <w:tr2bl w:val="nil"/>
                  </w:tcBorders>
                  <w:noWrap/>
                  <w:vAlign w:val="center"/>
                </w:tcPr>
                <w:p w14:paraId="5E42B5BA">
                  <w:pPr>
                    <w:pStyle w:val="35"/>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7.1物料输送要采用密闭皮带、封闭通廊、管状带式输送机，易起尘物料传输过程要进行喷淋作业，最大限度抑制扬尘污染。</w:t>
                  </w:r>
                </w:p>
                <w:p w14:paraId="2B9FC3FD">
                  <w:pPr>
                    <w:pStyle w:val="35"/>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7.2物料运输要采用密闭车厢、真空罐车、气力输送等密闭输送方式。</w:t>
                  </w:r>
                </w:p>
                <w:p w14:paraId="18C13BD5">
                  <w:pPr>
                    <w:pStyle w:val="35"/>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7.3物料在企业内部车辆转运的，装卸、运输过程应采取喷淋、覆盖或其它抑尘措施。使用传输带输送的，传输带、转载点和卸载点应当密闭，不能密闭的应采取抑尘措施。</w:t>
                  </w:r>
                </w:p>
                <w:p w14:paraId="4D041DBD">
                  <w:pPr>
                    <w:pStyle w:val="35"/>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7.4进出厂的运输车辆必须采取密闭或全覆盖措施，不得抛洒和泄漏。</w:t>
                  </w:r>
                </w:p>
                <w:p w14:paraId="73596E2E">
                  <w:pPr>
                    <w:pStyle w:val="35"/>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7.5物料、产品用车辆运输出厂的企业必须设置洗车合。车辆出厂前应对两侧、底盘、轮胎等进行全方位的冲洗，确保不带尘上路。洗车合应符合以下规定：</w:t>
                  </w:r>
                </w:p>
                <w:p w14:paraId="732B0B26">
                  <w:pPr>
                    <w:pStyle w:val="35"/>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7.5.1洗车合规格应满足运输车辆全面清洗要求，原则上洗车台长度不低于6米，宽度不低于4米，喷水高度</w:t>
                  </w:r>
                  <w:r>
                    <w:rPr>
                      <w:rFonts w:hint="default" w:ascii="Times New Roman" w:hAnsi="Times New Roman" w:eastAsia="宋体" w:cs="Times New Roman"/>
                      <w:color w:val="auto"/>
                      <w:spacing w:val="0"/>
                      <w:sz w:val="21"/>
                      <w:szCs w:val="21"/>
                    </w:rPr>
                    <w:cr/>
                  </w:r>
                  <w:r>
                    <w:rPr>
                      <w:rFonts w:hint="default" w:ascii="Times New Roman" w:hAnsi="Times New Roman" w:eastAsia="宋体" w:cs="Times New Roman"/>
                      <w:color w:val="auto"/>
                      <w:spacing w:val="0"/>
                      <w:sz w:val="21"/>
                      <w:szCs w:val="21"/>
                    </w:rPr>
                    <w:t>低于1.2米，喷水压力不低于0.4MPa，两侧要有挡板。车辆行驶冲洗过程中时速不高于2公里/小时，以静止洗车为宜。</w:t>
                  </w:r>
                </w:p>
              </w:tc>
              <w:tc>
                <w:tcPr>
                  <w:tcW w:w="1117" w:type="pct"/>
                  <w:tcBorders>
                    <w:tl2br w:val="nil"/>
                    <w:tr2bl w:val="nil"/>
                  </w:tcBorders>
                  <w:noWrap/>
                  <w:vAlign w:val="center"/>
                </w:tcPr>
                <w:p w14:paraId="66CA6755">
                  <w:pPr>
                    <w:pStyle w:val="35"/>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物料运输车辆全部采用密闭方式，并对卸料、装载工序采用喷淋措施，降低粉尘产生量。项目厂区内设置</w:t>
                  </w:r>
                  <w:r>
                    <w:rPr>
                      <w:rFonts w:hint="default" w:ascii="Times New Roman" w:hAnsi="Times New Roman" w:eastAsia="宋体" w:cs="Times New Roman"/>
                      <w:color w:val="auto"/>
                      <w:spacing w:val="0"/>
                      <w:sz w:val="21"/>
                      <w:szCs w:val="21"/>
                      <w:lang w:val="en-US" w:eastAsia="zh-CN"/>
                    </w:rPr>
                    <w:t>洗车设施</w:t>
                  </w:r>
                  <w:r>
                    <w:rPr>
                      <w:rFonts w:hint="default" w:ascii="Times New Roman" w:hAnsi="Times New Roman" w:eastAsia="宋体" w:cs="Times New Roman"/>
                      <w:color w:val="auto"/>
                      <w:spacing w:val="0"/>
                      <w:sz w:val="21"/>
                      <w:szCs w:val="21"/>
                    </w:rPr>
                    <w:t>，对于进出的车辆进行全方位的清洗。</w:t>
                  </w:r>
                </w:p>
              </w:tc>
              <w:tc>
                <w:tcPr>
                  <w:tcW w:w="282" w:type="pct"/>
                  <w:tcBorders>
                    <w:tl2br w:val="nil"/>
                    <w:tr2bl w:val="nil"/>
                  </w:tcBorders>
                  <w:noWrap/>
                  <w:vAlign w:val="center"/>
                </w:tcPr>
                <w:p w14:paraId="2FDFA488">
                  <w:pPr>
                    <w:pStyle w:val="35"/>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符合</w:t>
                  </w:r>
                </w:p>
              </w:tc>
            </w:tr>
          </w:tbl>
          <w:p w14:paraId="69BD7550">
            <w:pPr>
              <w:numPr>
                <w:ilvl w:val="0"/>
                <w:numId w:val="4"/>
              </w:numPr>
              <w:spacing w:line="360" w:lineRule="auto"/>
              <w:ind w:left="0" w:firstLine="454"/>
              <w:rPr>
                <w:rFonts w:hint="default" w:ascii="Times New Roman" w:hAnsi="Times New Roman" w:eastAsia="宋体" w:cs="Times New Roman"/>
                <w:b/>
                <w:bCs/>
                <w:color w:val="auto"/>
                <w:spacing w:val="0"/>
                <w:sz w:val="24"/>
                <w:lang w:val="en-US" w:eastAsia="zh-CN"/>
              </w:rPr>
            </w:pPr>
            <w:r>
              <w:rPr>
                <w:rFonts w:hint="default" w:ascii="Times New Roman" w:hAnsi="Times New Roman" w:eastAsia="宋体" w:cs="Times New Roman"/>
                <w:b/>
                <w:bCs/>
                <w:color w:val="auto"/>
                <w:spacing w:val="0"/>
                <w:sz w:val="24"/>
                <w:lang w:val="en-US" w:eastAsia="zh-CN"/>
              </w:rPr>
              <w:t>《关于山东省空气质量持续改善暨第三轮“四减四增”行动实施方案的通知》（鲁政字[2024]102号）的符合性分析</w:t>
            </w:r>
          </w:p>
          <w:p w14:paraId="0ED3BF61">
            <w:pPr>
              <w:keepNext w:val="0"/>
              <w:keepLines w:val="0"/>
              <w:pageBreakBefore w:val="0"/>
              <w:widowControl w:val="0"/>
              <w:numPr>
                <w:ilvl w:val="0"/>
                <w:numId w:val="5"/>
              </w:numPr>
              <w:tabs>
                <w:tab w:val="center" w:pos="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snapToGrid w:val="0"/>
                <w:color w:val="auto"/>
                <w:spacing w:val="0"/>
                <w:kern w:val="0"/>
                <w:sz w:val="24"/>
                <w:szCs w:val="24"/>
                <w:lang w:val="en-US" w:eastAsia="zh-CN"/>
              </w:rPr>
            </w:pPr>
            <w:r>
              <w:rPr>
                <w:rFonts w:hint="default" w:ascii="Times New Roman" w:hAnsi="Times New Roman" w:eastAsia="宋体" w:cs="Times New Roman"/>
                <w:b/>
                <w:bCs/>
                <w:snapToGrid w:val="0"/>
                <w:color w:val="auto"/>
                <w:spacing w:val="0"/>
                <w:kern w:val="0"/>
                <w:sz w:val="24"/>
                <w:szCs w:val="24"/>
                <w:lang w:val="en-US" w:eastAsia="zh-CN"/>
              </w:rPr>
              <w:t>《关于山东省空气质量持续改善暨第三轮“四减四增”行动实施方案的通知》的符合性分析</w:t>
            </w:r>
          </w:p>
          <w:tbl>
            <w:tblPr>
              <w:tblStyle w:val="3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485"/>
              <w:gridCol w:w="2627"/>
              <w:gridCol w:w="686"/>
            </w:tblGrid>
            <w:tr w14:paraId="4B80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pct"/>
                  <w:tcBorders>
                    <w:tl2br w:val="nil"/>
                    <w:tr2bl w:val="nil"/>
                  </w:tcBorders>
                  <w:noWrap w:val="0"/>
                  <w:vAlign w:val="center"/>
                </w:tcPr>
                <w:p w14:paraId="1A8D3DD9">
                  <w:pPr>
                    <w:contextualSpacing/>
                    <w:jc w:val="center"/>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序号</w:t>
                  </w:r>
                </w:p>
              </w:tc>
              <w:tc>
                <w:tcPr>
                  <w:tcW w:w="2295" w:type="pct"/>
                  <w:tcBorders>
                    <w:tl2br w:val="nil"/>
                    <w:tr2bl w:val="nil"/>
                  </w:tcBorders>
                  <w:noWrap w:val="0"/>
                  <w:vAlign w:val="center"/>
                </w:tcPr>
                <w:p w14:paraId="5C555B41">
                  <w:pPr>
                    <w:contextualSpacing/>
                    <w:jc w:val="center"/>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通知内容</w:t>
                  </w:r>
                </w:p>
              </w:tc>
              <w:tc>
                <w:tcPr>
                  <w:tcW w:w="1730" w:type="pct"/>
                  <w:tcBorders>
                    <w:tl2br w:val="nil"/>
                    <w:tr2bl w:val="nil"/>
                  </w:tcBorders>
                  <w:noWrap w:val="0"/>
                  <w:vAlign w:val="center"/>
                </w:tcPr>
                <w:p w14:paraId="65DE5E19">
                  <w:pPr>
                    <w:contextualSpacing/>
                    <w:jc w:val="center"/>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项目情况</w:t>
                  </w:r>
                </w:p>
              </w:tc>
              <w:tc>
                <w:tcPr>
                  <w:tcW w:w="452" w:type="pct"/>
                  <w:tcBorders>
                    <w:tl2br w:val="nil"/>
                    <w:tr2bl w:val="nil"/>
                  </w:tcBorders>
                  <w:noWrap w:val="0"/>
                  <w:vAlign w:val="center"/>
                </w:tcPr>
                <w:p w14:paraId="79299304">
                  <w:pPr>
                    <w:contextualSpacing/>
                    <w:jc w:val="center"/>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符合性</w:t>
                  </w:r>
                </w:p>
              </w:tc>
            </w:tr>
            <w:tr w14:paraId="17090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pct"/>
                  <w:tcBorders>
                    <w:tl2br w:val="nil"/>
                    <w:tr2bl w:val="nil"/>
                  </w:tcBorders>
                  <w:noWrap w:val="0"/>
                  <w:vAlign w:val="center"/>
                </w:tcPr>
                <w:p w14:paraId="42A37309">
                  <w:pPr>
                    <w:contextualSpacing/>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w:t>
                  </w:r>
                </w:p>
              </w:tc>
              <w:tc>
                <w:tcPr>
                  <w:tcW w:w="2295" w:type="pct"/>
                  <w:tcBorders>
                    <w:tl2br w:val="nil"/>
                    <w:tr2bl w:val="nil"/>
                  </w:tcBorders>
                  <w:noWrap w:val="0"/>
                  <w:vAlign w:val="center"/>
                </w:tcPr>
                <w:p w14:paraId="3DC9E24F">
                  <w:pPr>
                    <w:contextualSpacing/>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总体要求：坚持以习近平新时代中国特色社会主义思想为指导，全面贯彻党的二十大精神，深入践行习近平生态文明思想，认真落实习近平总书记视察山东重要讲话精神，以改善空气质量为核心，以减少重污染天气和解决人民群众身边的突出大气环境问题为重点，以降低PM</w:t>
                  </w:r>
                  <w:r>
                    <w:rPr>
                      <w:rFonts w:hint="default" w:ascii="Times New Roman" w:hAnsi="Times New Roman" w:eastAsia="宋体" w:cs="Times New Roman"/>
                      <w:color w:val="auto"/>
                      <w:spacing w:val="0"/>
                      <w:sz w:val="21"/>
                      <w:szCs w:val="21"/>
                      <w:vertAlign w:val="subscript"/>
                    </w:rPr>
                    <w:t>2.5</w:t>
                  </w:r>
                  <w:r>
                    <w:rPr>
                      <w:rFonts w:hint="default" w:ascii="Times New Roman" w:hAnsi="Times New Roman" w:eastAsia="宋体" w:cs="Times New Roman"/>
                      <w:color w:val="auto"/>
                      <w:spacing w:val="0"/>
                      <w:sz w:val="21"/>
                      <w:szCs w:val="21"/>
                    </w:rPr>
                    <w:t>浓度为主线，扎实推进产业、能源、交通、用地结构绿色低碳转型，持续做好氮氧化物（NOx）和挥发性有机物（VOCs）减排，深入推进高质量发展和高水平保护，实现环境效益、经济效益和社会效益多赢。</w:t>
                  </w:r>
                </w:p>
              </w:tc>
              <w:tc>
                <w:tcPr>
                  <w:tcW w:w="1730" w:type="pct"/>
                  <w:tcBorders>
                    <w:tl2br w:val="nil"/>
                    <w:tr2bl w:val="nil"/>
                  </w:tcBorders>
                  <w:noWrap w:val="0"/>
                  <w:vAlign w:val="center"/>
                </w:tcPr>
                <w:p w14:paraId="706E08A3">
                  <w:pPr>
                    <w:contextualSpacing/>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本项目废气污染物主要为颗粒物，采取合理措施处理后达标排放。厂区内车间密闭、料场定期喷淋，控制污染物的产生及排放，促进产业、能源、交通、用地结构绿色低碳转型，深入推进高质量发展和高水平保护，实现环境效益、经济效益和社会效益多赢。</w:t>
                  </w:r>
                </w:p>
              </w:tc>
              <w:tc>
                <w:tcPr>
                  <w:tcW w:w="452" w:type="pct"/>
                  <w:tcBorders>
                    <w:tl2br w:val="nil"/>
                    <w:tr2bl w:val="nil"/>
                  </w:tcBorders>
                  <w:noWrap w:val="0"/>
                  <w:vAlign w:val="center"/>
                </w:tcPr>
                <w:p w14:paraId="2A8CDE89">
                  <w:pPr>
                    <w:contextualSpacing/>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符合</w:t>
                  </w:r>
                </w:p>
              </w:tc>
            </w:tr>
            <w:tr w14:paraId="24EE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pct"/>
                  <w:tcBorders>
                    <w:tl2br w:val="nil"/>
                    <w:tr2bl w:val="nil"/>
                  </w:tcBorders>
                  <w:noWrap w:val="0"/>
                  <w:vAlign w:val="center"/>
                </w:tcPr>
                <w:p w14:paraId="2CDEF7DB">
                  <w:pPr>
                    <w:contextualSpacing/>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w:t>
                  </w:r>
                </w:p>
              </w:tc>
              <w:tc>
                <w:tcPr>
                  <w:tcW w:w="2295" w:type="pct"/>
                  <w:tcBorders>
                    <w:tl2br w:val="nil"/>
                    <w:tr2bl w:val="nil"/>
                  </w:tcBorders>
                  <w:noWrap w:val="0"/>
                  <w:vAlign w:val="center"/>
                </w:tcPr>
                <w:p w14:paraId="1D6357D6">
                  <w:pPr>
                    <w:contextualSpacing/>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产业结构绿色升级行动：优化含VOCs原辅材料和产品结构。严格控制生产和使用高VOCs含量涂料、油墨、胶粘剂、清洗剂等建设项目，提高低（无）VOCs含量产品比重。实施源头替代工程，加大工业涂装、包装印刷和电子行业低（无）VOCs含量原辅材料替代力度。指导企业积极申报VOCs末端治理豁免。</w:t>
                  </w:r>
                </w:p>
              </w:tc>
              <w:tc>
                <w:tcPr>
                  <w:tcW w:w="1730" w:type="pct"/>
                  <w:tcBorders>
                    <w:tl2br w:val="nil"/>
                    <w:tr2bl w:val="nil"/>
                  </w:tcBorders>
                  <w:noWrap w:val="0"/>
                  <w:vAlign w:val="center"/>
                </w:tcPr>
                <w:p w14:paraId="68FE9DB5">
                  <w:pPr>
                    <w:contextualSpacing/>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本项目属于“鼓励类，不涉及VOCs的产生及排放，产品中无限制、淘汰类，可促进产业结构绿色升级行动。</w:t>
                  </w:r>
                </w:p>
              </w:tc>
              <w:tc>
                <w:tcPr>
                  <w:tcW w:w="452" w:type="pct"/>
                  <w:tcBorders>
                    <w:tl2br w:val="nil"/>
                    <w:tr2bl w:val="nil"/>
                  </w:tcBorders>
                  <w:noWrap w:val="0"/>
                  <w:vAlign w:val="center"/>
                </w:tcPr>
                <w:p w14:paraId="2B53A4FC">
                  <w:pPr>
                    <w:contextualSpacing/>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符合</w:t>
                  </w:r>
                </w:p>
              </w:tc>
            </w:tr>
            <w:tr w14:paraId="356C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pct"/>
                  <w:tcBorders>
                    <w:tl2br w:val="nil"/>
                    <w:tr2bl w:val="nil"/>
                  </w:tcBorders>
                  <w:noWrap w:val="0"/>
                  <w:vAlign w:val="center"/>
                </w:tcPr>
                <w:p w14:paraId="4BC188BA">
                  <w:pPr>
                    <w:contextualSpacing/>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3</w:t>
                  </w:r>
                </w:p>
              </w:tc>
              <w:tc>
                <w:tcPr>
                  <w:tcW w:w="2295" w:type="pct"/>
                  <w:tcBorders>
                    <w:tl2br w:val="nil"/>
                    <w:tr2bl w:val="nil"/>
                  </w:tcBorders>
                  <w:noWrap w:val="0"/>
                  <w:vAlign w:val="center"/>
                </w:tcPr>
                <w:p w14:paraId="1E700E0D">
                  <w:pP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能源结构清洁低碳高效发展行动：加快推进能源低碳转型。推进清洁能源倍增行动，到2025年，非化石能源消费比重提高到14%以上，电能占终端能源消费比重达30%以上，新能源和可再生能源发电装机达到1.2亿千瓦以上。持续推进“外电入鲁”。持续增加天然气生产供应，新增天然气优先保障居民生活和清洁取暖需求。严格合理控制煤炭消费总量。</w:t>
                  </w:r>
                </w:p>
              </w:tc>
              <w:tc>
                <w:tcPr>
                  <w:tcW w:w="1730" w:type="pct"/>
                  <w:tcBorders>
                    <w:tl2br w:val="nil"/>
                    <w:tr2bl w:val="nil"/>
                  </w:tcBorders>
                  <w:noWrap w:val="0"/>
                  <w:vAlign w:val="center"/>
                </w:tcPr>
                <w:p w14:paraId="2F030A5C">
                  <w:pPr>
                    <w:contextualSpacing/>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本项目不使用煤炭、天然气等能源，高效清洁生产，生产过程中除尘器收尘及水资源均能得到高效集约运用，促进低碳高效发展。</w:t>
                  </w:r>
                </w:p>
              </w:tc>
              <w:tc>
                <w:tcPr>
                  <w:tcW w:w="452" w:type="pct"/>
                  <w:tcBorders>
                    <w:tl2br w:val="nil"/>
                    <w:tr2bl w:val="nil"/>
                  </w:tcBorders>
                  <w:noWrap w:val="0"/>
                  <w:vAlign w:val="center"/>
                </w:tcPr>
                <w:p w14:paraId="4F11716B">
                  <w:pPr>
                    <w:contextualSpacing/>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符合</w:t>
                  </w:r>
                </w:p>
              </w:tc>
            </w:tr>
            <w:tr w14:paraId="3C30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pct"/>
                  <w:tcBorders>
                    <w:tl2br w:val="nil"/>
                    <w:tr2bl w:val="nil"/>
                  </w:tcBorders>
                  <w:noWrap w:val="0"/>
                  <w:vAlign w:val="center"/>
                </w:tcPr>
                <w:p w14:paraId="5E242D74">
                  <w:pPr>
                    <w:contextualSpacing/>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4</w:t>
                  </w:r>
                </w:p>
              </w:tc>
              <w:tc>
                <w:tcPr>
                  <w:tcW w:w="2295" w:type="pct"/>
                  <w:tcBorders>
                    <w:tl2br w:val="nil"/>
                    <w:tr2bl w:val="nil"/>
                  </w:tcBorders>
                  <w:noWrap w:val="0"/>
                  <w:vAlign w:val="center"/>
                </w:tcPr>
                <w:p w14:paraId="201B947A">
                  <w:pPr>
                    <w:contextualSpacing/>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交通结构绿色转型行动：强化非道路移动源综合治理。加快推进铁路货场、物流园区、港口、机场、工矿企业内部作业车辆和机械新能源更新改造。推动新能源和清洁能源船舶发展。</w:t>
                  </w:r>
                </w:p>
              </w:tc>
              <w:tc>
                <w:tcPr>
                  <w:tcW w:w="1730" w:type="pct"/>
                  <w:tcBorders>
                    <w:tl2br w:val="nil"/>
                    <w:tr2bl w:val="nil"/>
                  </w:tcBorders>
                  <w:noWrap w:val="0"/>
                  <w:vAlign w:val="center"/>
                </w:tcPr>
                <w:p w14:paraId="2C6A74A1">
                  <w:pPr>
                    <w:contextualSpacing/>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本项目涉及的非道路移动源均使用满足国家排放标准的非道路移动车辆进行运输，促进交通结构的绿色转型。</w:t>
                  </w:r>
                </w:p>
              </w:tc>
              <w:tc>
                <w:tcPr>
                  <w:tcW w:w="452" w:type="pct"/>
                  <w:tcBorders>
                    <w:tl2br w:val="nil"/>
                    <w:tr2bl w:val="nil"/>
                  </w:tcBorders>
                  <w:noWrap w:val="0"/>
                  <w:vAlign w:val="center"/>
                </w:tcPr>
                <w:p w14:paraId="542B9927">
                  <w:pPr>
                    <w:contextualSpacing/>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符合</w:t>
                  </w:r>
                </w:p>
              </w:tc>
            </w:tr>
            <w:tr w14:paraId="0994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pct"/>
                  <w:tcBorders>
                    <w:tl2br w:val="nil"/>
                    <w:tr2bl w:val="nil"/>
                  </w:tcBorders>
                  <w:noWrap w:val="0"/>
                  <w:vAlign w:val="center"/>
                </w:tcPr>
                <w:p w14:paraId="64B95AA0">
                  <w:pPr>
                    <w:contextualSpacing/>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5</w:t>
                  </w:r>
                </w:p>
              </w:tc>
              <w:tc>
                <w:tcPr>
                  <w:tcW w:w="2295" w:type="pct"/>
                  <w:tcBorders>
                    <w:tl2br w:val="nil"/>
                    <w:tr2bl w:val="nil"/>
                  </w:tcBorders>
                  <w:noWrap w:val="0"/>
                  <w:vAlign w:val="center"/>
                </w:tcPr>
                <w:p w14:paraId="51BCAAA3">
                  <w:pPr>
                    <w:contextualSpacing/>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面源污染精细化管理提升行动：深化扬尘污染治理。鼓励5000平方米及以上建筑工地安装视频监控并接入当地监管平台，重点区域道路、水务、河道治理等长距离线性工程实行分段施工。（省住房城乡建设厅、省交通运输厅、省水利厅牵头）到2025年，装配式建筑占新建建筑面积比例达到40%；县级及以上城市建成区道路机械化清扫率达到85%。城市大型煤炭、矿石等干散货码头物料堆场基本完成抑尘设施建设和物料输送系统封闭改造。</w:t>
                  </w:r>
                </w:p>
              </w:tc>
              <w:tc>
                <w:tcPr>
                  <w:tcW w:w="1730" w:type="pct"/>
                  <w:tcBorders>
                    <w:tl2br w:val="nil"/>
                    <w:tr2bl w:val="nil"/>
                  </w:tcBorders>
                  <w:noWrap w:val="0"/>
                  <w:vAlign w:val="center"/>
                </w:tcPr>
                <w:p w14:paraId="490E8E52">
                  <w:pPr>
                    <w:contextualSpacing/>
                    <w:rPr>
                      <w:rFonts w:hint="default" w:ascii="Times New Roman" w:hAnsi="Times New Roman" w:eastAsia="宋体" w:cs="Times New Roman"/>
                      <w:color w:val="auto"/>
                      <w:spacing w:val="0"/>
                      <w:sz w:val="21"/>
                      <w:szCs w:val="21"/>
                    </w:rPr>
                  </w:pPr>
                  <w:r>
                    <w:rPr>
                      <w:rFonts w:hint="eastAsia" w:cs="Times New Roman"/>
                      <w:color w:val="auto"/>
                      <w:spacing w:val="0"/>
                      <w:sz w:val="21"/>
                      <w:szCs w:val="21"/>
                      <w:lang w:val="en-US" w:eastAsia="zh-CN"/>
                    </w:rPr>
                    <w:t>本</w:t>
                  </w:r>
                  <w:r>
                    <w:rPr>
                      <w:rFonts w:hint="default" w:ascii="Times New Roman" w:hAnsi="Times New Roman" w:eastAsia="宋体" w:cs="Times New Roman"/>
                      <w:color w:val="auto"/>
                      <w:spacing w:val="0"/>
                      <w:sz w:val="21"/>
                      <w:szCs w:val="21"/>
                    </w:rPr>
                    <w:t>项目料场、生产线均设置在密闭车间内，通过采取料场喷淋、道路洒水、进出车辆清扫、运输车辆密闭和遮盖、物料运输密闭等抑尘措施，降低颗粒物的产生及排放。</w:t>
                  </w:r>
                </w:p>
              </w:tc>
              <w:tc>
                <w:tcPr>
                  <w:tcW w:w="452" w:type="pct"/>
                  <w:tcBorders>
                    <w:tl2br w:val="nil"/>
                    <w:tr2bl w:val="nil"/>
                  </w:tcBorders>
                  <w:noWrap w:val="0"/>
                  <w:vAlign w:val="center"/>
                </w:tcPr>
                <w:p w14:paraId="0BB7272D">
                  <w:pPr>
                    <w:contextualSpacing/>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符合</w:t>
                  </w:r>
                </w:p>
              </w:tc>
            </w:tr>
          </w:tbl>
          <w:p w14:paraId="41FDC3F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jc w:val="both"/>
              <w:textAlignment w:val="auto"/>
              <w:rPr>
                <w:rFonts w:hint="default" w:ascii="Times New Roman" w:hAnsi="Times New Roman" w:eastAsia="宋体" w:cs="Times New Roman"/>
                <w:b/>
                <w:bCs/>
                <w:color w:val="auto"/>
                <w:spacing w:val="0"/>
                <w:sz w:val="24"/>
                <w:lang w:val="en-US" w:eastAsia="zh-CN"/>
              </w:rPr>
            </w:pPr>
            <w:r>
              <w:rPr>
                <w:rFonts w:hint="default" w:ascii="Times New Roman" w:hAnsi="Times New Roman" w:eastAsia="宋体" w:cs="Times New Roman"/>
                <w:b/>
                <w:bCs/>
                <w:color w:val="auto"/>
                <w:spacing w:val="0"/>
                <w:sz w:val="24"/>
                <w:lang w:val="en-US" w:eastAsia="zh-CN"/>
              </w:rPr>
              <w:t>两高行业范围符合性分析</w:t>
            </w:r>
          </w:p>
          <w:p w14:paraId="3F306B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pacing w:val="0"/>
                <w:kern w:val="2"/>
                <w:sz w:val="24"/>
                <w:szCs w:val="24"/>
                <w:lang w:val="en-US" w:eastAsia="zh-CN" w:bidi="ar"/>
              </w:rPr>
            </w:pPr>
            <w:r>
              <w:rPr>
                <w:rFonts w:hint="default" w:ascii="Times New Roman" w:hAnsi="Times New Roman" w:eastAsia="宋体" w:cs="Times New Roman"/>
                <w:bCs/>
                <w:color w:val="auto"/>
                <w:spacing w:val="0"/>
                <w:kern w:val="2"/>
                <w:sz w:val="24"/>
                <w:szCs w:val="24"/>
                <w:lang w:val="en-US" w:eastAsia="zh-CN" w:bidi="ar"/>
              </w:rPr>
              <w:t>根据《山东省人民政府办公厅关于坚决遏制“两高”项目盲目发展促进能源资源高质量配置利用有关事项的通知》（鲁政办字[2022]9号）、山东省发展和改革委员会《关于“两高”项目管理有关事项的通知》（鲁发改工业[2022]255号）、关于“两高”项目管理有关事项的补充通知（鲁发改工业[2023]34号）、《关于促进轮胎铸造行业转型升级调整优化项目管理的通知》（鲁发改工业[2024]487号）符合性分析，本项目属于C3021水泥制品制造，不属于文件中“两高”行业。</w:t>
            </w:r>
          </w:p>
          <w:p w14:paraId="58176F68">
            <w:pPr>
              <w:keepNext w:val="0"/>
              <w:keepLines w:val="0"/>
              <w:pageBreakBefore w:val="0"/>
              <w:widowControl w:val="0"/>
              <w:numPr>
                <w:ilvl w:val="0"/>
                <w:numId w:val="5"/>
              </w:numPr>
              <w:tabs>
                <w:tab w:val="center" w:pos="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snapToGrid w:val="0"/>
                <w:color w:val="auto"/>
                <w:spacing w:val="0"/>
                <w:kern w:val="0"/>
                <w:sz w:val="24"/>
                <w:szCs w:val="24"/>
                <w:lang w:val="en-US" w:eastAsia="zh-CN"/>
              </w:rPr>
            </w:pPr>
            <w:r>
              <w:rPr>
                <w:rFonts w:hint="default" w:ascii="Times New Roman" w:hAnsi="Times New Roman" w:eastAsia="宋体" w:cs="Times New Roman"/>
                <w:b/>
                <w:bCs/>
                <w:snapToGrid w:val="0"/>
                <w:color w:val="auto"/>
                <w:spacing w:val="0"/>
                <w:kern w:val="0"/>
                <w:sz w:val="24"/>
                <w:szCs w:val="24"/>
                <w:lang w:val="en-US" w:eastAsia="zh-CN"/>
              </w:rPr>
              <w:t>与鲁政办字[2022]9号、鲁发改工业[2022]255号、鲁发改工业[2023]34号文、鲁发改工业[2023]34号、鲁发改工业[2024]487号符合性分析一览表</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300"/>
              <w:gridCol w:w="4628"/>
              <w:gridCol w:w="1072"/>
            </w:tblGrid>
            <w:tr w14:paraId="3A29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87" w:type="pct"/>
                  <w:tcBorders>
                    <w:tl2br w:val="nil"/>
                    <w:tr2bl w:val="nil"/>
                  </w:tcBorders>
                  <w:noWrap w:val="0"/>
                  <w:vAlign w:val="center"/>
                </w:tcPr>
                <w:p w14:paraId="002C42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pacing w:val="0"/>
                      <w:sz w:val="21"/>
                      <w:szCs w:val="21"/>
                      <w:highlight w:val="none"/>
                    </w:rPr>
                  </w:pPr>
                  <w:r>
                    <w:rPr>
                      <w:rFonts w:hint="default" w:ascii="Times New Roman" w:hAnsi="Times New Roman" w:eastAsia="宋体" w:cs="Times New Roman"/>
                      <w:b/>
                      <w:color w:val="auto"/>
                      <w:spacing w:val="0"/>
                      <w:sz w:val="21"/>
                      <w:szCs w:val="21"/>
                      <w:highlight w:val="none"/>
                    </w:rPr>
                    <w:t>序号</w:t>
                  </w:r>
                </w:p>
              </w:tc>
              <w:tc>
                <w:tcPr>
                  <w:tcW w:w="856" w:type="pct"/>
                  <w:tcBorders>
                    <w:tl2br w:val="nil"/>
                    <w:tr2bl w:val="nil"/>
                  </w:tcBorders>
                  <w:noWrap w:val="0"/>
                  <w:vAlign w:val="center"/>
                </w:tcPr>
                <w:p w14:paraId="0822E5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pacing w:val="0"/>
                      <w:sz w:val="21"/>
                      <w:szCs w:val="21"/>
                      <w:highlight w:val="none"/>
                    </w:rPr>
                  </w:pPr>
                  <w:r>
                    <w:rPr>
                      <w:rFonts w:hint="default" w:ascii="Times New Roman" w:hAnsi="Times New Roman" w:eastAsia="宋体" w:cs="Times New Roman"/>
                      <w:b/>
                      <w:color w:val="auto"/>
                      <w:spacing w:val="0"/>
                      <w:sz w:val="21"/>
                      <w:szCs w:val="21"/>
                      <w:highlight w:val="none"/>
                    </w:rPr>
                    <w:t>文件名称</w:t>
                  </w:r>
                </w:p>
              </w:tc>
              <w:tc>
                <w:tcPr>
                  <w:tcW w:w="3048" w:type="pct"/>
                  <w:tcBorders>
                    <w:tl2br w:val="nil"/>
                    <w:tr2bl w:val="nil"/>
                  </w:tcBorders>
                  <w:noWrap w:val="0"/>
                  <w:vAlign w:val="center"/>
                </w:tcPr>
                <w:p w14:paraId="2DF922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pacing w:val="0"/>
                      <w:sz w:val="21"/>
                      <w:szCs w:val="21"/>
                      <w:highlight w:val="none"/>
                    </w:rPr>
                  </w:pPr>
                  <w:r>
                    <w:rPr>
                      <w:rFonts w:hint="default" w:ascii="Times New Roman" w:hAnsi="Times New Roman" w:eastAsia="宋体" w:cs="Times New Roman"/>
                      <w:b/>
                      <w:color w:val="auto"/>
                      <w:spacing w:val="0"/>
                      <w:sz w:val="21"/>
                      <w:szCs w:val="21"/>
                      <w:highlight w:val="none"/>
                    </w:rPr>
                    <w:t>两高行业定义</w:t>
                  </w:r>
                </w:p>
              </w:tc>
              <w:tc>
                <w:tcPr>
                  <w:tcW w:w="706" w:type="pct"/>
                  <w:tcBorders>
                    <w:tl2br w:val="nil"/>
                    <w:tr2bl w:val="nil"/>
                  </w:tcBorders>
                  <w:noWrap w:val="0"/>
                  <w:vAlign w:val="center"/>
                </w:tcPr>
                <w:p w14:paraId="1C94202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color w:val="auto"/>
                      <w:spacing w:val="0"/>
                      <w:sz w:val="21"/>
                      <w:szCs w:val="21"/>
                      <w:highlight w:val="none"/>
                    </w:rPr>
                  </w:pPr>
                  <w:r>
                    <w:rPr>
                      <w:rFonts w:hint="default" w:ascii="Times New Roman" w:hAnsi="Times New Roman" w:eastAsia="宋体" w:cs="Times New Roman"/>
                      <w:b/>
                      <w:color w:val="auto"/>
                      <w:spacing w:val="0"/>
                      <w:sz w:val="21"/>
                      <w:szCs w:val="21"/>
                      <w:highlight w:val="none"/>
                    </w:rPr>
                    <w:t>符合情况</w:t>
                  </w:r>
                </w:p>
              </w:tc>
            </w:tr>
            <w:tr w14:paraId="3633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tcBorders>
                    <w:tl2br w:val="nil"/>
                    <w:tr2bl w:val="nil"/>
                  </w:tcBorders>
                  <w:noWrap w:val="0"/>
                  <w:vAlign w:val="center"/>
                </w:tcPr>
                <w:p w14:paraId="3B30F6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1</w:t>
                  </w:r>
                </w:p>
              </w:tc>
              <w:tc>
                <w:tcPr>
                  <w:tcW w:w="856" w:type="pct"/>
                  <w:tcBorders>
                    <w:tl2br w:val="nil"/>
                    <w:tr2bl w:val="nil"/>
                  </w:tcBorders>
                  <w:noWrap w:val="0"/>
                  <w:vAlign w:val="center"/>
                </w:tcPr>
                <w:p w14:paraId="5D2F7996">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0"/>
                      <w:sz w:val="21"/>
                      <w:szCs w:val="21"/>
                      <w:highlight w:val="none"/>
                      <w:lang w:val="en-US" w:eastAsia="zh-CN" w:bidi="ar-SA"/>
                    </w:rPr>
                    <w:t>鲁政办字</w:t>
                  </w:r>
                </w:p>
                <w:p w14:paraId="427CD3DC">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0"/>
                      <w:sz w:val="21"/>
                      <w:szCs w:val="21"/>
                      <w:highlight w:val="none"/>
                      <w:lang w:val="en-US" w:eastAsia="zh-CN" w:bidi="ar-SA"/>
                    </w:rPr>
                    <w:t>[2022]9号</w:t>
                  </w:r>
                </w:p>
              </w:tc>
              <w:tc>
                <w:tcPr>
                  <w:tcW w:w="3048" w:type="pct"/>
                  <w:tcBorders>
                    <w:tl2br w:val="nil"/>
                    <w:tr2bl w:val="nil"/>
                  </w:tcBorders>
                  <w:noWrap w:val="0"/>
                  <w:vAlign w:val="center"/>
                </w:tcPr>
                <w:p w14:paraId="430F04E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两高”行业主要包括炼化、焦化、煤制液体燃料、基础化学原料、化肥、轮胎、水泥、石灰、沥青防水材料、平板玻璃、陶瓷、钢铁、铁合金、有色、铸造、煤电等16个行业.“两高”行业范围根据国家规定和山东省实际动态调整。</w:t>
                  </w:r>
                </w:p>
              </w:tc>
              <w:tc>
                <w:tcPr>
                  <w:tcW w:w="706" w:type="pct"/>
                  <w:vMerge w:val="restart"/>
                  <w:tcBorders>
                    <w:tl2br w:val="nil"/>
                    <w:tr2bl w:val="nil"/>
                  </w:tcBorders>
                  <w:noWrap w:val="0"/>
                  <w:vAlign w:val="center"/>
                </w:tcPr>
                <w:p w14:paraId="20BD44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eastAsia="zh-CN"/>
                    </w:rPr>
                  </w:pPr>
                  <w:r>
                    <w:rPr>
                      <w:rFonts w:hint="default" w:ascii="Times New Roman" w:hAnsi="Times New Roman" w:eastAsia="宋体" w:cs="Times New Roman"/>
                      <w:color w:val="auto"/>
                      <w:spacing w:val="0"/>
                      <w:sz w:val="21"/>
                      <w:szCs w:val="21"/>
                      <w:highlight w:val="none"/>
                    </w:rPr>
                    <w:t>本项目类别为</w:t>
                  </w:r>
                  <w:r>
                    <w:rPr>
                      <w:rFonts w:hint="default" w:ascii="Times New Roman" w:hAnsi="Times New Roman" w:eastAsia="宋体" w:cs="Times New Roman"/>
                      <w:color w:val="auto"/>
                      <w:spacing w:val="0"/>
                      <w:sz w:val="21"/>
                      <w:szCs w:val="21"/>
                      <w:highlight w:val="none"/>
                      <w:lang w:val="en-US" w:eastAsia="zh-CN"/>
                    </w:rPr>
                    <w:t>C3021</w:t>
                  </w:r>
                  <w:r>
                    <w:rPr>
                      <w:rFonts w:hint="default" w:ascii="Times New Roman" w:hAnsi="Times New Roman" w:eastAsia="宋体" w:cs="Times New Roman"/>
                      <w:color w:val="auto"/>
                      <w:spacing w:val="0"/>
                      <w:sz w:val="21"/>
                      <w:szCs w:val="21"/>
                      <w:highlight w:val="none"/>
                    </w:rPr>
                    <w:t>水泥制品制造，不属于鲁政办字[2022]9号、鲁发改工业[2022]255号、鲁发改工业[2023]34号</w:t>
                  </w:r>
                  <w:r>
                    <w:rPr>
                      <w:rFonts w:hint="default" w:ascii="Times New Roman" w:hAnsi="Times New Roman" w:eastAsia="宋体" w:cs="Times New Roman"/>
                      <w:color w:val="auto"/>
                      <w:spacing w:val="0"/>
                      <w:sz w:val="21"/>
                      <w:szCs w:val="21"/>
                      <w:highlight w:val="none"/>
                      <w:lang w:eastAsia="zh-CN"/>
                    </w:rPr>
                    <w:t>、</w:t>
                  </w:r>
                  <w:r>
                    <w:rPr>
                      <w:rFonts w:hint="default" w:ascii="Times New Roman" w:hAnsi="Times New Roman" w:eastAsia="宋体" w:cs="Times New Roman"/>
                      <w:color w:val="auto"/>
                      <w:spacing w:val="0"/>
                      <w:sz w:val="21"/>
                      <w:szCs w:val="21"/>
                      <w:highlight w:val="none"/>
                      <w:lang w:val="en-US" w:eastAsia="zh-CN"/>
                    </w:rPr>
                    <w:t>鲁发改工业[2024]487号</w:t>
                  </w:r>
                  <w:r>
                    <w:rPr>
                      <w:rFonts w:hint="default" w:ascii="Times New Roman" w:hAnsi="Times New Roman" w:eastAsia="宋体" w:cs="Times New Roman"/>
                      <w:color w:val="auto"/>
                      <w:spacing w:val="0"/>
                      <w:sz w:val="21"/>
                      <w:szCs w:val="21"/>
                      <w:highlight w:val="none"/>
                      <w:lang w:eastAsia="zh-CN"/>
                    </w:rPr>
                    <w:t>中的</w:t>
                  </w:r>
                  <w:r>
                    <w:rPr>
                      <w:rFonts w:hint="default" w:ascii="Times New Roman" w:hAnsi="Times New Roman" w:eastAsia="宋体" w:cs="Times New Roman"/>
                      <w:color w:val="auto"/>
                      <w:spacing w:val="0"/>
                      <w:sz w:val="21"/>
                      <w:szCs w:val="21"/>
                      <w:highlight w:val="none"/>
                    </w:rPr>
                    <w:t>两高项目</w:t>
                  </w:r>
                  <w:r>
                    <w:rPr>
                      <w:rFonts w:hint="default" w:ascii="Times New Roman" w:hAnsi="Times New Roman" w:eastAsia="宋体" w:cs="Times New Roman"/>
                      <w:color w:val="auto"/>
                      <w:spacing w:val="0"/>
                      <w:sz w:val="21"/>
                      <w:szCs w:val="21"/>
                      <w:highlight w:val="none"/>
                      <w:lang w:eastAsia="zh-CN"/>
                    </w:rPr>
                    <w:t>。</w:t>
                  </w:r>
                </w:p>
              </w:tc>
            </w:tr>
            <w:tr w14:paraId="12AF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5" w:hRule="atLeast"/>
                <w:jc w:val="center"/>
              </w:trPr>
              <w:tc>
                <w:tcPr>
                  <w:tcW w:w="387" w:type="pct"/>
                  <w:tcBorders>
                    <w:tl2br w:val="nil"/>
                    <w:tr2bl w:val="nil"/>
                  </w:tcBorders>
                  <w:noWrap w:val="0"/>
                  <w:vAlign w:val="center"/>
                </w:tcPr>
                <w:p w14:paraId="62D7C4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2</w:t>
                  </w:r>
                </w:p>
              </w:tc>
              <w:tc>
                <w:tcPr>
                  <w:tcW w:w="856" w:type="pct"/>
                  <w:tcBorders>
                    <w:tl2br w:val="nil"/>
                    <w:tr2bl w:val="nil"/>
                  </w:tcBorders>
                  <w:noWrap w:val="0"/>
                  <w:vAlign w:val="center"/>
                </w:tcPr>
                <w:p w14:paraId="40EAA2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鲁发改工业[2022]255号</w:t>
                  </w:r>
                </w:p>
              </w:tc>
              <w:tc>
                <w:tcPr>
                  <w:tcW w:w="3048" w:type="pct"/>
                  <w:tcBorders>
                    <w:tl2br w:val="nil"/>
                    <w:tr2bl w:val="nil"/>
                  </w:tcBorders>
                  <w:noWrap w:val="0"/>
                  <w:vAlign w:val="center"/>
                </w:tcPr>
                <w:p w14:paraId="754A8C7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原油加工及石油制品制造（2511）、有机化学原料制造（2614）、炼焦（2521）、煤制液体燃料生产（2523）、</w:t>
                  </w:r>
                </w:p>
                <w:p w14:paraId="2B82E0C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无机碱制造（2612）、有机化学原料制造（2614）、</w:t>
                  </w:r>
                </w:p>
                <w:p w14:paraId="6D44675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其他基础化学原料制造（2619）、氮肥制造（2621）、</w:t>
                  </w:r>
                </w:p>
                <w:p w14:paraId="03A2D50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磷肥制造（2622）、轮胎制造（2911）、水泥制造（3011）、</w:t>
                  </w:r>
                </w:p>
                <w:p w14:paraId="6CE9669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石灰和石膏制造（3012）、防水建筑材料制造（3033）、</w:t>
                  </w:r>
                </w:p>
                <w:p w14:paraId="5012FC1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平板玻璃制造（3041）、建筑陶瓷制品制造（3071）、卫生陶瓷制品制造（3072）、炼铁（3110）、炼钢（3120）、铁合金冶炼（3140）、铜冶炼（3211）、铅锌冶炼（3212）、</w:t>
                  </w:r>
                </w:p>
                <w:p w14:paraId="314D0C0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pacing w:val="0"/>
                      <w:sz w:val="21"/>
                      <w:szCs w:val="21"/>
                      <w:highlight w:val="none"/>
                      <w:lang w:eastAsia="zh-CN"/>
                    </w:rPr>
                  </w:pPr>
                  <w:r>
                    <w:rPr>
                      <w:rFonts w:hint="default" w:ascii="Times New Roman" w:hAnsi="Times New Roman" w:eastAsia="宋体" w:cs="Times New Roman"/>
                      <w:color w:val="auto"/>
                      <w:spacing w:val="0"/>
                      <w:sz w:val="21"/>
                      <w:szCs w:val="21"/>
                      <w:highlight w:val="none"/>
                    </w:rPr>
                    <w:t>铝冶炼（3216）、黑色金属铸造（3391）、有色金属铸造（3392）、火力发电（4411）、热电联产（4412）</w:t>
                  </w:r>
                  <w:r>
                    <w:rPr>
                      <w:rFonts w:hint="default" w:ascii="Times New Roman" w:hAnsi="Times New Roman" w:eastAsia="宋体" w:cs="Times New Roman"/>
                      <w:color w:val="auto"/>
                      <w:spacing w:val="0"/>
                      <w:sz w:val="21"/>
                      <w:szCs w:val="21"/>
                      <w:highlight w:val="none"/>
                      <w:lang w:eastAsia="zh-CN"/>
                    </w:rPr>
                    <w:t>。</w:t>
                  </w:r>
                </w:p>
              </w:tc>
              <w:tc>
                <w:tcPr>
                  <w:tcW w:w="706" w:type="pct"/>
                  <w:vMerge w:val="continue"/>
                  <w:tcBorders>
                    <w:tl2br w:val="nil"/>
                    <w:tr2bl w:val="nil"/>
                  </w:tcBorders>
                  <w:noWrap w:val="0"/>
                  <w:vAlign w:val="center"/>
                </w:tcPr>
                <w:p w14:paraId="7062794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pacing w:val="0"/>
                      <w:sz w:val="21"/>
                      <w:szCs w:val="21"/>
                      <w:highlight w:val="none"/>
                    </w:rPr>
                  </w:pPr>
                </w:p>
              </w:tc>
            </w:tr>
            <w:tr w14:paraId="02AC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tcBorders>
                    <w:tl2br w:val="nil"/>
                    <w:tr2bl w:val="nil"/>
                  </w:tcBorders>
                  <w:noWrap w:val="0"/>
                  <w:vAlign w:val="center"/>
                </w:tcPr>
                <w:p w14:paraId="055314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3</w:t>
                  </w:r>
                </w:p>
              </w:tc>
              <w:tc>
                <w:tcPr>
                  <w:tcW w:w="856" w:type="pct"/>
                  <w:tcBorders>
                    <w:tl2br w:val="nil"/>
                    <w:tr2bl w:val="nil"/>
                  </w:tcBorders>
                  <w:noWrap w:val="0"/>
                  <w:vAlign w:val="center"/>
                </w:tcPr>
                <w:p w14:paraId="327A40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鲁发改工业[2023]34号</w:t>
                  </w:r>
                </w:p>
              </w:tc>
              <w:tc>
                <w:tcPr>
                  <w:tcW w:w="3048" w:type="pct"/>
                  <w:tcBorders>
                    <w:tl2br w:val="nil"/>
                    <w:tr2bl w:val="nil"/>
                  </w:tcBorders>
                  <w:noWrap w:val="0"/>
                  <w:vAlign w:val="center"/>
                </w:tcPr>
                <w:p w14:paraId="5BD0360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pacing w:val="0"/>
                      <w:sz w:val="21"/>
                      <w:szCs w:val="21"/>
                      <w:highlight w:val="none"/>
                      <w:lang w:eastAsia="zh-CN"/>
                    </w:rPr>
                  </w:pPr>
                  <w:r>
                    <w:rPr>
                      <w:rFonts w:hint="default" w:ascii="Times New Roman" w:hAnsi="Times New Roman" w:eastAsia="宋体" w:cs="Times New Roman"/>
                      <w:color w:val="auto"/>
                      <w:spacing w:val="0"/>
                      <w:sz w:val="21"/>
                      <w:szCs w:val="21"/>
                      <w:highlight w:val="none"/>
                    </w:rPr>
                    <w:t>优化调整“两高”项目范围。将沥青防水材料和醋酸，调出“两高”项目范围。将铸造用生铁从钢铁行业调出单列</w:t>
                  </w:r>
                  <w:r>
                    <w:rPr>
                      <w:rFonts w:hint="default" w:ascii="Times New Roman" w:hAnsi="Times New Roman" w:eastAsia="宋体" w:cs="Times New Roman"/>
                      <w:color w:val="auto"/>
                      <w:spacing w:val="0"/>
                      <w:sz w:val="21"/>
                      <w:szCs w:val="21"/>
                      <w:highlight w:val="none"/>
                      <w:lang w:eastAsia="zh-CN"/>
                    </w:rPr>
                    <w:t>。</w:t>
                  </w:r>
                </w:p>
              </w:tc>
              <w:tc>
                <w:tcPr>
                  <w:tcW w:w="706" w:type="pct"/>
                  <w:vMerge w:val="continue"/>
                  <w:tcBorders>
                    <w:tl2br w:val="nil"/>
                    <w:tr2bl w:val="nil"/>
                  </w:tcBorders>
                  <w:noWrap w:val="0"/>
                  <w:vAlign w:val="center"/>
                </w:tcPr>
                <w:p w14:paraId="647E3C2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pacing w:val="0"/>
                      <w:sz w:val="21"/>
                      <w:szCs w:val="21"/>
                      <w:highlight w:val="none"/>
                    </w:rPr>
                  </w:pPr>
                </w:p>
              </w:tc>
            </w:tr>
            <w:tr w14:paraId="22A7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87" w:type="pct"/>
                  <w:tcBorders>
                    <w:tl2br w:val="nil"/>
                    <w:tr2bl w:val="nil"/>
                  </w:tcBorders>
                  <w:noWrap w:val="0"/>
                  <w:vAlign w:val="center"/>
                </w:tcPr>
                <w:p w14:paraId="5DEE4E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4</w:t>
                  </w:r>
                </w:p>
              </w:tc>
              <w:tc>
                <w:tcPr>
                  <w:tcW w:w="856" w:type="pct"/>
                  <w:tcBorders>
                    <w:tl2br w:val="nil"/>
                    <w:tr2bl w:val="nil"/>
                  </w:tcBorders>
                  <w:noWrap w:val="0"/>
                  <w:vAlign w:val="center"/>
                </w:tcPr>
                <w:p w14:paraId="6AD1AD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lang w:val="en-US" w:eastAsia="zh-CN"/>
                    </w:rPr>
                    <w:t>鲁发改工业[2024]487号</w:t>
                  </w:r>
                </w:p>
              </w:tc>
              <w:tc>
                <w:tcPr>
                  <w:tcW w:w="3048" w:type="pct"/>
                  <w:tcBorders>
                    <w:tl2br w:val="nil"/>
                    <w:tr2bl w:val="nil"/>
                  </w:tcBorders>
                  <w:noWrap w:val="0"/>
                  <w:vAlign w:val="center"/>
                </w:tcPr>
                <w:p w14:paraId="7B2AA17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轮胎、铸造项目不再按照“两高”项目进行管理，新建（含改扩建，下同）轮胎、铸造项目不再执行有关减量或等量替代政策，仍须符合《关于优化轮胎铸造项目管理有关事项的通知》（鲁发改工业〔2023〕649号）及附件《山东省高端轮胎铸造项目发展指导目录（2023年版）》规定的高端项目要求，能效达到标杆水平，不符合要求的，不得建设实施。</w:t>
                  </w:r>
                </w:p>
              </w:tc>
              <w:tc>
                <w:tcPr>
                  <w:tcW w:w="706" w:type="pct"/>
                  <w:vMerge w:val="continue"/>
                  <w:tcBorders>
                    <w:tl2br w:val="nil"/>
                    <w:tr2bl w:val="nil"/>
                  </w:tcBorders>
                  <w:noWrap w:val="0"/>
                  <w:vAlign w:val="center"/>
                </w:tcPr>
                <w:p w14:paraId="76A5406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pacing w:val="0"/>
                      <w:sz w:val="21"/>
                      <w:szCs w:val="21"/>
                      <w:highlight w:val="none"/>
                    </w:rPr>
                  </w:pPr>
                </w:p>
              </w:tc>
            </w:tr>
          </w:tbl>
          <w:p w14:paraId="5B74FD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bCs/>
                <w:color w:val="auto"/>
                <w:spacing w:val="0"/>
                <w:sz w:val="24"/>
              </w:rPr>
            </w:pPr>
            <w:r>
              <w:rPr>
                <w:rFonts w:hint="default" w:ascii="Times New Roman" w:hAnsi="Times New Roman" w:eastAsia="宋体" w:cs="Times New Roman"/>
                <w:color w:val="auto"/>
                <w:spacing w:val="0"/>
                <w:sz w:val="24"/>
              </w:rPr>
              <w:t>对照通知要求及山东省“两高”项目管理名录，本项目不属于“两高”项目。</w:t>
            </w:r>
          </w:p>
          <w:p w14:paraId="78BE644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textAlignment w:val="auto"/>
              <w:rPr>
                <w:rFonts w:hint="default" w:ascii="Times New Roman" w:hAnsi="Times New Roman" w:eastAsia="宋体" w:cs="Times New Roman"/>
                <w:b/>
                <w:bCs/>
                <w:color w:val="auto"/>
                <w:spacing w:val="0"/>
                <w:sz w:val="24"/>
              </w:rPr>
            </w:pPr>
            <w:r>
              <w:rPr>
                <w:rFonts w:hint="default" w:ascii="Times New Roman" w:hAnsi="Times New Roman" w:eastAsia="宋体" w:cs="Times New Roman"/>
                <w:b/>
                <w:bCs/>
                <w:color w:val="auto"/>
                <w:spacing w:val="0"/>
                <w:sz w:val="24"/>
              </w:rPr>
              <w:t>与《国务院安委会办公室、生态环境部、应急管理部关于进一步加强环保设备设施安全生产工作的通知》（安委办明电〔2022〕17号）的符合性</w:t>
            </w:r>
          </w:p>
          <w:p w14:paraId="1A0D82AF">
            <w:pPr>
              <w:keepNext w:val="0"/>
              <w:keepLines w:val="0"/>
              <w:pageBreakBefore w:val="0"/>
              <w:widowControl w:val="0"/>
              <w:numPr>
                <w:ilvl w:val="0"/>
                <w:numId w:val="5"/>
              </w:numPr>
              <w:tabs>
                <w:tab w:val="center" w:pos="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snapToGrid w:val="0"/>
                <w:color w:val="auto"/>
                <w:spacing w:val="0"/>
                <w:kern w:val="0"/>
                <w:sz w:val="24"/>
                <w:szCs w:val="24"/>
                <w:lang w:val="en-US" w:eastAsia="zh-CN"/>
              </w:rPr>
            </w:pPr>
            <w:r>
              <w:rPr>
                <w:rFonts w:hint="default" w:ascii="Times New Roman" w:hAnsi="Times New Roman" w:eastAsia="宋体" w:cs="Times New Roman"/>
                <w:b/>
                <w:bCs/>
                <w:snapToGrid w:val="0"/>
                <w:color w:val="auto"/>
                <w:spacing w:val="0"/>
                <w:kern w:val="0"/>
                <w:sz w:val="24"/>
                <w:szCs w:val="24"/>
                <w:lang w:val="en-US" w:eastAsia="zh-CN"/>
              </w:rPr>
              <w:t>与安委办明电〔2022〕17号符合性分析</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6"/>
              <w:gridCol w:w="1614"/>
              <w:gridCol w:w="1387"/>
            </w:tblGrid>
            <w:tr w14:paraId="6276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6" w:type="dxa"/>
                  <w:tcBorders>
                    <w:tl2br w:val="nil"/>
                    <w:tr2bl w:val="nil"/>
                  </w:tcBorders>
                  <w:noWrap w:val="0"/>
                  <w:vAlign w:val="center"/>
                </w:tcPr>
                <w:p w14:paraId="1D68BD86">
                  <w:pPr>
                    <w:pStyle w:val="138"/>
                    <w:bidi w:val="0"/>
                    <w:rPr>
                      <w:rFonts w:hint="default" w:ascii="Times New Roman" w:hAnsi="Times New Roman" w:eastAsia="宋体" w:cs="Times New Roman"/>
                      <w:b/>
                      <w:color w:val="auto"/>
                      <w:spacing w:val="0"/>
                      <w:kern w:val="0"/>
                      <w:sz w:val="21"/>
                      <w:szCs w:val="21"/>
                    </w:rPr>
                  </w:pPr>
                  <w:r>
                    <w:rPr>
                      <w:rFonts w:hint="default" w:ascii="Times New Roman" w:hAnsi="Times New Roman" w:cs="Times New Roman"/>
                      <w:b/>
                      <w:bCs/>
                      <w:color w:val="auto"/>
                      <w:sz w:val="21"/>
                      <w:szCs w:val="21"/>
                    </w:rPr>
                    <w:t>文件要求</w:t>
                  </w:r>
                </w:p>
              </w:tc>
              <w:tc>
                <w:tcPr>
                  <w:tcW w:w="1614" w:type="dxa"/>
                  <w:tcBorders>
                    <w:tl2br w:val="nil"/>
                    <w:tr2bl w:val="nil"/>
                  </w:tcBorders>
                  <w:noWrap w:val="0"/>
                  <w:vAlign w:val="center"/>
                </w:tcPr>
                <w:p w14:paraId="797871EE">
                  <w:pPr>
                    <w:pStyle w:val="138"/>
                    <w:bidi w:val="0"/>
                    <w:rPr>
                      <w:rFonts w:hint="default" w:ascii="Times New Roman" w:hAnsi="Times New Roman" w:eastAsia="宋体" w:cs="Times New Roman"/>
                      <w:b/>
                      <w:color w:val="auto"/>
                      <w:spacing w:val="0"/>
                      <w:kern w:val="0"/>
                      <w:sz w:val="21"/>
                      <w:szCs w:val="21"/>
                    </w:rPr>
                  </w:pPr>
                  <w:r>
                    <w:rPr>
                      <w:rFonts w:hint="default" w:ascii="Times New Roman" w:hAnsi="Times New Roman" w:cs="Times New Roman"/>
                      <w:b/>
                      <w:bCs/>
                      <w:color w:val="auto"/>
                      <w:sz w:val="21"/>
                      <w:szCs w:val="21"/>
                    </w:rPr>
                    <w:t>本项目情况</w:t>
                  </w:r>
                </w:p>
              </w:tc>
              <w:tc>
                <w:tcPr>
                  <w:tcW w:w="1387" w:type="dxa"/>
                  <w:tcBorders>
                    <w:tl2br w:val="nil"/>
                    <w:tr2bl w:val="nil"/>
                  </w:tcBorders>
                  <w:noWrap w:val="0"/>
                  <w:vAlign w:val="center"/>
                </w:tcPr>
                <w:p w14:paraId="26B965E4">
                  <w:pPr>
                    <w:pStyle w:val="138"/>
                    <w:bidi w:val="0"/>
                    <w:rPr>
                      <w:rFonts w:hint="default" w:ascii="Times New Roman" w:hAnsi="Times New Roman" w:eastAsia="宋体" w:cs="Times New Roman"/>
                      <w:b/>
                      <w:color w:val="auto"/>
                      <w:spacing w:val="0"/>
                      <w:kern w:val="0"/>
                      <w:sz w:val="21"/>
                      <w:szCs w:val="21"/>
                    </w:rPr>
                  </w:pPr>
                  <w:r>
                    <w:rPr>
                      <w:rFonts w:hint="default" w:ascii="Times New Roman" w:hAnsi="Times New Roman" w:cs="Times New Roman"/>
                      <w:b/>
                      <w:bCs/>
                      <w:color w:val="auto"/>
                      <w:sz w:val="21"/>
                      <w:szCs w:val="21"/>
                    </w:rPr>
                    <w:t>建议要求</w:t>
                  </w:r>
                </w:p>
              </w:tc>
            </w:tr>
            <w:tr w14:paraId="700E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6" w:type="dxa"/>
                  <w:tcBorders>
                    <w:tl2br w:val="nil"/>
                    <w:tr2bl w:val="nil"/>
                  </w:tcBorders>
                  <w:noWrap w:val="0"/>
                  <w:vAlign w:val="center"/>
                </w:tcPr>
                <w:p w14:paraId="2F44F065">
                  <w:pPr>
                    <w:pStyle w:val="138"/>
                    <w:bidi w:val="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进一步落实部门监管指导责任。</w:t>
                  </w:r>
                </w:p>
                <w:p w14:paraId="66A91DF7">
                  <w:pPr>
                    <w:pStyle w:val="138"/>
                    <w:bidi w:val="0"/>
                    <w:jc w:val="both"/>
                    <w:rPr>
                      <w:rFonts w:hint="default" w:ascii="Times New Roman" w:hAnsi="Times New Roman" w:eastAsia="宋体" w:cs="Times New Roman"/>
                      <w:color w:val="auto"/>
                      <w:spacing w:val="0"/>
                      <w:kern w:val="0"/>
                      <w:sz w:val="21"/>
                      <w:szCs w:val="21"/>
                    </w:rPr>
                  </w:pPr>
                  <w:r>
                    <w:rPr>
                      <w:rFonts w:hint="default" w:ascii="Times New Roman" w:hAnsi="Times New Roman" w:cs="Times New Roman"/>
                      <w:color w:val="auto"/>
                      <w:sz w:val="21"/>
                      <w:szCs w:val="21"/>
                    </w:rPr>
                    <w:t>要紧盯具有脱硫脱硝、挥发性有机物回收、污水处理、粉尘治理、蓄热式焚烧炉5类重点环保设备设施的企业，指导督促企业按照相关法律法规和技术标准规范要求，开展环保设备设施安全风险辨识评估和隐患排查治理，落实安全生产各项责任措施。</w:t>
                  </w:r>
                </w:p>
              </w:tc>
              <w:tc>
                <w:tcPr>
                  <w:tcW w:w="1614" w:type="dxa"/>
                  <w:tcBorders>
                    <w:tl2br w:val="nil"/>
                    <w:tr2bl w:val="nil"/>
                  </w:tcBorders>
                  <w:noWrap w:val="0"/>
                  <w:vAlign w:val="center"/>
                </w:tcPr>
                <w:p w14:paraId="1D60B1D4">
                  <w:pPr>
                    <w:pStyle w:val="138"/>
                    <w:bidi w:val="0"/>
                    <w:jc w:val="both"/>
                    <w:rPr>
                      <w:rFonts w:hint="default" w:ascii="Times New Roman" w:hAnsi="Times New Roman" w:eastAsia="宋体" w:cs="Times New Roman"/>
                      <w:color w:val="auto"/>
                      <w:spacing w:val="0"/>
                      <w:kern w:val="0"/>
                      <w:sz w:val="21"/>
                      <w:szCs w:val="21"/>
                    </w:rPr>
                  </w:pPr>
                  <w:r>
                    <w:rPr>
                      <w:rFonts w:hint="default" w:ascii="Times New Roman" w:hAnsi="Times New Roman" w:cs="Times New Roman"/>
                      <w:color w:val="auto"/>
                      <w:sz w:val="21"/>
                      <w:szCs w:val="21"/>
                      <w:lang w:val="en-US" w:eastAsia="zh-CN"/>
                    </w:rPr>
                    <w:t>设置</w:t>
                  </w:r>
                  <w:r>
                    <w:rPr>
                      <w:rFonts w:hint="eastAsia" w:ascii="Times New Roman" w:hAnsi="Times New Roman" w:cs="Times New Roman"/>
                      <w:color w:val="auto"/>
                      <w:sz w:val="21"/>
                      <w:szCs w:val="21"/>
                      <w:lang w:val="en-US" w:eastAsia="zh-CN"/>
                    </w:rPr>
                    <w:t>粉尘处理装置袋式除尘器</w:t>
                  </w:r>
                </w:p>
              </w:tc>
              <w:tc>
                <w:tcPr>
                  <w:tcW w:w="1387" w:type="dxa"/>
                  <w:tcBorders>
                    <w:tl2br w:val="nil"/>
                    <w:tr2bl w:val="nil"/>
                  </w:tcBorders>
                  <w:noWrap w:val="0"/>
                  <w:vAlign w:val="center"/>
                </w:tcPr>
                <w:p w14:paraId="21A7BD4A">
                  <w:pPr>
                    <w:pStyle w:val="138"/>
                    <w:bidi w:val="0"/>
                    <w:rPr>
                      <w:rFonts w:hint="default" w:ascii="Times New Roman" w:hAnsi="Times New Roman" w:eastAsia="宋体" w:cs="Times New Roman"/>
                      <w:color w:val="auto"/>
                      <w:spacing w:val="0"/>
                      <w:kern w:val="0"/>
                      <w:sz w:val="21"/>
                      <w:szCs w:val="21"/>
                    </w:rPr>
                  </w:pPr>
                  <w:r>
                    <w:rPr>
                      <w:rFonts w:hint="default" w:ascii="Times New Roman" w:hAnsi="Times New Roman" w:cs="Times New Roman"/>
                      <w:color w:val="auto"/>
                      <w:sz w:val="21"/>
                      <w:szCs w:val="21"/>
                    </w:rPr>
                    <w:t>营运期开展环保设备设施安全风险辨识评估和隐患排查治理，落实安全生产各项责任措施</w:t>
                  </w:r>
                </w:p>
              </w:tc>
            </w:tr>
            <w:tr w14:paraId="705D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6" w:type="dxa"/>
                  <w:tcBorders>
                    <w:tl2br w:val="nil"/>
                    <w:tr2bl w:val="nil"/>
                  </w:tcBorders>
                  <w:noWrap w:val="0"/>
                  <w:vAlign w:val="center"/>
                </w:tcPr>
                <w:p w14:paraId="045BAE4F">
                  <w:pPr>
                    <w:pStyle w:val="138"/>
                    <w:bidi w:val="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进一步落实企业主体责任。</w:t>
                  </w:r>
                </w:p>
                <w:p w14:paraId="6665E75B">
                  <w:pPr>
                    <w:pStyle w:val="138"/>
                    <w:bidi w:val="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推动企业主要负责人严格履行第一责任人责任，将环保设备设施安全作为企业安全管理的重要组成部分，全面负责落实本单位的环保设备设施安全生产工作。</w:t>
                  </w:r>
                </w:p>
                <w:p w14:paraId="74981D26">
                  <w:pPr>
                    <w:pStyle w:val="138"/>
                    <w:bidi w:val="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严格落实涉环保设备设施新、改、扩建项目环保和安全“三同时"有关要求，委托有资质的设计单位进行正规设计，在选用污染防治技术时要充分考虑安全因素；在环保设备设施改造中必须依法开展安全风险评估，按要求设置安全监测监控系统和联锁保护装置，做好安全防范。</w:t>
                  </w:r>
                </w:p>
                <w:p w14:paraId="6319879D">
                  <w:pPr>
                    <w:pStyle w:val="138"/>
                    <w:bidi w:val="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对涉环保设备设施相关岗位人员进行操作规程、风险管控、应急处置、典型事故警示等专项安全培训教育。</w:t>
                  </w:r>
                </w:p>
                <w:p w14:paraId="5502022B">
                  <w:pPr>
                    <w:pStyle w:val="138"/>
                    <w:bidi w:val="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开展环保设备设施安全风险辨识评估，系统排查隐患，依法建立隐患整改台账，明确整改责任人、措施、资金、时限和应急救援预案，及时消除隐患。</w:t>
                  </w:r>
                </w:p>
                <w:p w14:paraId="28928F06">
                  <w:pPr>
                    <w:pStyle w:val="138"/>
                    <w:bidi w:val="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认真落实相关技术标准规范，严格执行吊装、动火、高处等危险作业审批制度，加强有限空间、检维修作业安全管理，采取有效隔离措施，实施现场安全监护和科学施救。</w:t>
                  </w:r>
                </w:p>
                <w:p w14:paraId="08D1DE1A">
                  <w:pPr>
                    <w:pStyle w:val="138"/>
                    <w:bidi w:val="0"/>
                    <w:jc w:val="both"/>
                    <w:rPr>
                      <w:rFonts w:hint="default" w:ascii="Times New Roman" w:hAnsi="Times New Roman" w:eastAsia="宋体" w:cs="Times New Roman"/>
                      <w:color w:val="auto"/>
                      <w:spacing w:val="0"/>
                      <w:kern w:val="0"/>
                      <w:sz w:val="21"/>
                      <w:szCs w:val="21"/>
                    </w:rPr>
                  </w:pPr>
                  <w:r>
                    <w:rPr>
                      <w:rFonts w:hint="default" w:ascii="Times New Roman" w:hAnsi="Times New Roman" w:cs="Times New Roman"/>
                      <w:color w:val="auto"/>
                      <w:sz w:val="21"/>
                      <w:szCs w:val="21"/>
                    </w:rPr>
                    <w:t>对受委托开展环保设备设施建设、运营和检维修第三方的安全生产工作进行统一协调、管理，定期进行安全检查，发现安全问题的，及时督促整改，不得“一包了之"，不管不问。</w:t>
                  </w:r>
                </w:p>
              </w:tc>
              <w:tc>
                <w:tcPr>
                  <w:tcW w:w="1614" w:type="dxa"/>
                  <w:tcBorders>
                    <w:tl2br w:val="nil"/>
                    <w:tr2bl w:val="nil"/>
                  </w:tcBorders>
                  <w:noWrap w:val="0"/>
                  <w:vAlign w:val="center"/>
                </w:tcPr>
                <w:p w14:paraId="610162F8">
                  <w:pPr>
                    <w:pStyle w:val="138"/>
                    <w:bidi w:val="0"/>
                    <w:jc w:val="both"/>
                    <w:rPr>
                      <w:rFonts w:hint="default" w:ascii="Times New Roman" w:hAnsi="Times New Roman" w:eastAsia="宋体" w:cs="Times New Roman"/>
                      <w:color w:val="auto"/>
                      <w:spacing w:val="0"/>
                      <w:kern w:val="0"/>
                      <w:sz w:val="21"/>
                      <w:szCs w:val="21"/>
                    </w:rPr>
                  </w:pPr>
                  <w:r>
                    <w:rPr>
                      <w:rFonts w:hint="default" w:ascii="Times New Roman" w:hAnsi="Times New Roman" w:cs="Times New Roman"/>
                      <w:color w:val="auto"/>
                      <w:sz w:val="21"/>
                      <w:szCs w:val="21"/>
                    </w:rPr>
                    <w:fldChar w:fldCharType="begin"/>
                  </w:r>
                  <w:r>
                    <w:rPr>
                      <w:rFonts w:hint="default" w:ascii="Times New Roman" w:hAnsi="Times New Roman" w:cs="Times New Roman"/>
                      <w:color w:val="auto"/>
                      <w:sz w:val="21"/>
                      <w:szCs w:val="21"/>
                    </w:rPr>
                    <w:instrText xml:space="preserve">=1\*GB3\*MERGEFORMAT</w:instrText>
                  </w:r>
                  <w:r>
                    <w:rPr>
                      <w:rFonts w:hint="default" w:ascii="Times New Roman" w:hAnsi="Times New Roman" w:cs="Times New Roman"/>
                      <w:color w:val="auto"/>
                      <w:sz w:val="21"/>
                      <w:szCs w:val="21"/>
                    </w:rPr>
                    <w:fldChar w:fldCharType="separate"/>
                  </w:r>
                  <w:r>
                    <w:rPr>
                      <w:rFonts w:hint="default" w:ascii="Times New Roman" w:hAnsi="Times New Roman" w:cs="Times New Roman"/>
                      <w:color w:val="auto"/>
                      <w:sz w:val="21"/>
                      <w:szCs w:val="21"/>
                    </w:rPr>
                    <w:t>①</w:t>
                  </w:r>
                  <w:r>
                    <w:rPr>
                      <w:rFonts w:hint="default" w:ascii="Times New Roman" w:hAnsi="Times New Roman" w:cs="Times New Roman"/>
                      <w:color w:val="auto"/>
                      <w:sz w:val="21"/>
                      <w:szCs w:val="21"/>
                    </w:rPr>
                    <w:fldChar w:fldCharType="end"/>
                  </w:r>
                  <w:r>
                    <w:rPr>
                      <w:rFonts w:hint="default" w:ascii="Times New Roman" w:hAnsi="Times New Roman" w:cs="Times New Roman"/>
                      <w:color w:val="auto"/>
                      <w:sz w:val="21"/>
                      <w:szCs w:val="21"/>
                    </w:rPr>
                    <w:t>建设单位法人为厂区安全管理责任人，负责环保设备设施安全生产工作；</w:t>
                  </w:r>
                  <w:r>
                    <w:rPr>
                      <w:rFonts w:hint="default" w:ascii="Times New Roman" w:hAnsi="Times New Roman" w:cs="Times New Roman"/>
                      <w:color w:val="auto"/>
                      <w:sz w:val="21"/>
                      <w:szCs w:val="21"/>
                    </w:rPr>
                    <w:fldChar w:fldCharType="begin"/>
                  </w:r>
                  <w:r>
                    <w:rPr>
                      <w:rFonts w:hint="default" w:ascii="Times New Roman" w:hAnsi="Times New Roman" w:cs="Times New Roman"/>
                      <w:color w:val="auto"/>
                      <w:sz w:val="21"/>
                      <w:szCs w:val="21"/>
                    </w:rPr>
                    <w:instrText xml:space="preserve">=2\*GB3\*MERGEFORMAT</w:instrText>
                  </w:r>
                  <w:r>
                    <w:rPr>
                      <w:rFonts w:hint="default" w:ascii="Times New Roman" w:hAnsi="Times New Roman" w:cs="Times New Roman"/>
                      <w:color w:val="auto"/>
                      <w:sz w:val="21"/>
                      <w:szCs w:val="21"/>
                    </w:rPr>
                    <w:fldChar w:fldCharType="separate"/>
                  </w:r>
                  <w:r>
                    <w:rPr>
                      <w:rFonts w:hint="default" w:ascii="Times New Roman" w:hAnsi="Times New Roman" w:cs="Times New Roman"/>
                      <w:color w:val="auto"/>
                      <w:sz w:val="21"/>
                      <w:szCs w:val="21"/>
                    </w:rPr>
                    <w:t>②</w:t>
                  </w:r>
                  <w:r>
                    <w:rPr>
                      <w:rFonts w:hint="default" w:ascii="Times New Roman" w:hAnsi="Times New Roman" w:cs="Times New Roman"/>
                      <w:color w:val="auto"/>
                      <w:sz w:val="21"/>
                      <w:szCs w:val="21"/>
                    </w:rPr>
                    <w:fldChar w:fldCharType="end"/>
                  </w:r>
                  <w:r>
                    <w:rPr>
                      <w:rFonts w:hint="default" w:ascii="Times New Roman" w:hAnsi="Times New Roman" w:cs="Times New Roman"/>
                      <w:color w:val="auto"/>
                      <w:sz w:val="21"/>
                      <w:szCs w:val="21"/>
                    </w:rPr>
                    <w:t>本项目采用的废气治理设备落实环保和安全“三同时"有关要求，由有资质单位进行设计、生产、安装；</w:t>
                  </w:r>
                  <w:r>
                    <w:rPr>
                      <w:rFonts w:hint="default" w:ascii="Times New Roman" w:hAnsi="Times New Roman" w:cs="Times New Roman"/>
                      <w:color w:val="auto"/>
                      <w:sz w:val="21"/>
                      <w:szCs w:val="21"/>
                    </w:rPr>
                    <w:fldChar w:fldCharType="begin"/>
                  </w:r>
                  <w:r>
                    <w:rPr>
                      <w:rFonts w:hint="default" w:ascii="Times New Roman" w:hAnsi="Times New Roman" w:cs="Times New Roman"/>
                      <w:color w:val="auto"/>
                      <w:sz w:val="21"/>
                      <w:szCs w:val="21"/>
                    </w:rPr>
                    <w:instrText xml:space="preserve">=3\*GB3\*MERGEFORMAT</w:instrText>
                  </w:r>
                  <w:r>
                    <w:rPr>
                      <w:rFonts w:hint="default" w:ascii="Times New Roman" w:hAnsi="Times New Roman" w:cs="Times New Roman"/>
                      <w:color w:val="auto"/>
                      <w:sz w:val="21"/>
                      <w:szCs w:val="21"/>
                    </w:rPr>
                    <w:fldChar w:fldCharType="separate"/>
                  </w:r>
                  <w:r>
                    <w:rPr>
                      <w:rFonts w:hint="default" w:ascii="Times New Roman" w:hAnsi="Times New Roman" w:cs="Times New Roman"/>
                      <w:color w:val="auto"/>
                      <w:sz w:val="21"/>
                      <w:szCs w:val="21"/>
                    </w:rPr>
                    <w:t>③</w:t>
                  </w:r>
                  <w:r>
                    <w:rPr>
                      <w:rFonts w:hint="default" w:ascii="Times New Roman" w:hAnsi="Times New Roman" w:cs="Times New Roman"/>
                      <w:color w:val="auto"/>
                      <w:sz w:val="21"/>
                      <w:szCs w:val="21"/>
                    </w:rPr>
                    <w:fldChar w:fldCharType="end"/>
                  </w:r>
                  <w:r>
                    <w:rPr>
                      <w:rFonts w:hint="default" w:ascii="Times New Roman" w:hAnsi="Times New Roman" w:cs="Times New Roman"/>
                      <w:color w:val="auto"/>
                      <w:sz w:val="21"/>
                      <w:szCs w:val="21"/>
                    </w:rPr>
                    <w:t>建设单位对环保设备操作人员进行岗位培训；</w:t>
                  </w:r>
                  <w:r>
                    <w:rPr>
                      <w:rFonts w:hint="default" w:ascii="Times New Roman" w:hAnsi="Times New Roman" w:cs="Times New Roman"/>
                      <w:color w:val="auto"/>
                      <w:sz w:val="21"/>
                      <w:szCs w:val="21"/>
                    </w:rPr>
                    <w:fldChar w:fldCharType="begin"/>
                  </w:r>
                  <w:r>
                    <w:rPr>
                      <w:rFonts w:hint="default" w:ascii="Times New Roman" w:hAnsi="Times New Roman" w:cs="Times New Roman"/>
                      <w:color w:val="auto"/>
                      <w:sz w:val="21"/>
                      <w:szCs w:val="21"/>
                    </w:rPr>
                    <w:instrText xml:space="preserve">=4\*GB3\*MERGEFORMAT</w:instrText>
                  </w:r>
                  <w:r>
                    <w:rPr>
                      <w:rFonts w:hint="default" w:ascii="Times New Roman" w:hAnsi="Times New Roman" w:cs="Times New Roman"/>
                      <w:color w:val="auto"/>
                      <w:sz w:val="21"/>
                      <w:szCs w:val="21"/>
                    </w:rPr>
                    <w:fldChar w:fldCharType="separate"/>
                  </w:r>
                  <w:r>
                    <w:rPr>
                      <w:rFonts w:hint="default" w:ascii="Times New Roman" w:hAnsi="Times New Roman" w:cs="Times New Roman"/>
                      <w:color w:val="auto"/>
                      <w:sz w:val="21"/>
                      <w:szCs w:val="21"/>
                    </w:rPr>
                    <w:t>④</w:t>
                  </w:r>
                  <w:r>
                    <w:rPr>
                      <w:rFonts w:hint="default" w:ascii="Times New Roman" w:hAnsi="Times New Roman" w:cs="Times New Roman"/>
                      <w:color w:val="auto"/>
                      <w:sz w:val="21"/>
                      <w:szCs w:val="21"/>
                    </w:rPr>
                    <w:fldChar w:fldCharType="end"/>
                  </w:r>
                  <w:r>
                    <w:rPr>
                      <w:rFonts w:hint="default" w:ascii="Times New Roman" w:hAnsi="Times New Roman" w:cs="Times New Roman"/>
                      <w:color w:val="auto"/>
                      <w:sz w:val="21"/>
                      <w:szCs w:val="21"/>
                    </w:rPr>
                    <w:t>通过分析，项目使用的废气</w:t>
                  </w:r>
                  <w:r>
                    <w:rPr>
                      <w:rFonts w:hint="default" w:ascii="Times New Roman" w:hAnsi="Times New Roman" w:cs="Times New Roman"/>
                      <w:color w:val="auto"/>
                      <w:sz w:val="21"/>
                      <w:szCs w:val="21"/>
                      <w:lang w:val="en-US" w:eastAsia="zh-CN"/>
                    </w:rPr>
                    <w:t>废水</w:t>
                  </w:r>
                  <w:r>
                    <w:rPr>
                      <w:rFonts w:hint="default" w:ascii="Times New Roman" w:hAnsi="Times New Roman" w:cs="Times New Roman"/>
                      <w:color w:val="auto"/>
                      <w:sz w:val="21"/>
                      <w:szCs w:val="21"/>
                    </w:rPr>
                    <w:t>处理设施安全风险较低；建设单位委托专业技术单位对环保设备进行安装、检修。</w:t>
                  </w:r>
                </w:p>
              </w:tc>
              <w:tc>
                <w:tcPr>
                  <w:tcW w:w="1387" w:type="dxa"/>
                  <w:tcBorders>
                    <w:tl2br w:val="nil"/>
                    <w:tr2bl w:val="nil"/>
                  </w:tcBorders>
                  <w:noWrap w:val="0"/>
                  <w:vAlign w:val="center"/>
                </w:tcPr>
                <w:p w14:paraId="7BECE51E">
                  <w:pPr>
                    <w:pStyle w:val="138"/>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fldChar w:fldCharType="begin"/>
                  </w:r>
                  <w:r>
                    <w:rPr>
                      <w:rFonts w:hint="default" w:ascii="Times New Roman" w:hAnsi="Times New Roman" w:cs="Times New Roman"/>
                      <w:color w:val="auto"/>
                      <w:sz w:val="21"/>
                      <w:szCs w:val="21"/>
                    </w:rPr>
                    <w:instrText xml:space="preserve">=1\*GB3\*MERGEFORMAT</w:instrText>
                  </w:r>
                  <w:r>
                    <w:rPr>
                      <w:rFonts w:hint="default" w:ascii="Times New Roman" w:hAnsi="Times New Roman" w:cs="Times New Roman"/>
                      <w:color w:val="auto"/>
                      <w:sz w:val="21"/>
                      <w:szCs w:val="21"/>
                    </w:rPr>
                    <w:fldChar w:fldCharType="separate"/>
                  </w:r>
                  <w:r>
                    <w:rPr>
                      <w:rFonts w:hint="default" w:ascii="Times New Roman" w:hAnsi="Times New Roman" w:cs="Times New Roman"/>
                      <w:color w:val="auto"/>
                      <w:sz w:val="21"/>
                      <w:szCs w:val="21"/>
                    </w:rPr>
                    <w:t>①</w:t>
                  </w:r>
                  <w:r>
                    <w:rPr>
                      <w:rFonts w:hint="default" w:ascii="Times New Roman" w:hAnsi="Times New Roman" w:cs="Times New Roman"/>
                      <w:color w:val="auto"/>
                      <w:sz w:val="21"/>
                      <w:szCs w:val="21"/>
                    </w:rPr>
                    <w:fldChar w:fldCharType="end"/>
                  </w:r>
                  <w:r>
                    <w:rPr>
                      <w:rFonts w:hint="default" w:ascii="Times New Roman" w:hAnsi="Times New Roman" w:cs="Times New Roman"/>
                      <w:color w:val="auto"/>
                      <w:sz w:val="21"/>
                      <w:szCs w:val="21"/>
                    </w:rPr>
                    <w:t>建设单位作为厂区安全管理第一责任人，制定厂区环保设施安全管理制度；</w:t>
                  </w:r>
                </w:p>
                <w:p w14:paraId="6F9081E6">
                  <w:pPr>
                    <w:pStyle w:val="138"/>
                    <w:bidi w:val="0"/>
                    <w:rPr>
                      <w:rFonts w:hint="default" w:ascii="Times New Roman" w:hAnsi="Times New Roman" w:eastAsia="宋体" w:cs="Times New Roman"/>
                      <w:color w:val="auto"/>
                      <w:spacing w:val="0"/>
                      <w:kern w:val="0"/>
                      <w:sz w:val="21"/>
                      <w:szCs w:val="21"/>
                    </w:rPr>
                  </w:pPr>
                  <w:r>
                    <w:rPr>
                      <w:rFonts w:hint="default" w:ascii="Times New Roman" w:hAnsi="Times New Roman" w:cs="Times New Roman"/>
                      <w:color w:val="auto"/>
                      <w:sz w:val="21"/>
                      <w:szCs w:val="21"/>
                    </w:rPr>
                    <w:fldChar w:fldCharType="begin"/>
                  </w:r>
                  <w:r>
                    <w:rPr>
                      <w:rFonts w:hint="default" w:ascii="Times New Roman" w:hAnsi="Times New Roman" w:cs="Times New Roman"/>
                      <w:color w:val="auto"/>
                      <w:sz w:val="21"/>
                      <w:szCs w:val="21"/>
                    </w:rPr>
                    <w:instrText xml:space="preserve">=2\*GB3\*MERGEFORMAT</w:instrText>
                  </w:r>
                  <w:r>
                    <w:rPr>
                      <w:rFonts w:hint="default" w:ascii="Times New Roman" w:hAnsi="Times New Roman" w:cs="Times New Roman"/>
                      <w:color w:val="auto"/>
                      <w:sz w:val="21"/>
                      <w:szCs w:val="21"/>
                    </w:rPr>
                    <w:fldChar w:fldCharType="separate"/>
                  </w:r>
                  <w:r>
                    <w:rPr>
                      <w:rFonts w:hint="default" w:ascii="Times New Roman" w:hAnsi="Times New Roman" w:cs="Times New Roman"/>
                      <w:color w:val="auto"/>
                      <w:sz w:val="21"/>
                      <w:szCs w:val="21"/>
                    </w:rPr>
                    <w:t>②</w:t>
                  </w:r>
                  <w:r>
                    <w:rPr>
                      <w:rFonts w:hint="default" w:ascii="Times New Roman" w:hAnsi="Times New Roman" w:cs="Times New Roman"/>
                      <w:color w:val="auto"/>
                      <w:sz w:val="21"/>
                      <w:szCs w:val="21"/>
                    </w:rPr>
                    <w:fldChar w:fldCharType="end"/>
                  </w:r>
                  <w:r>
                    <w:rPr>
                      <w:rFonts w:hint="default" w:ascii="Times New Roman" w:hAnsi="Times New Roman" w:cs="Times New Roman"/>
                      <w:color w:val="auto"/>
                      <w:sz w:val="21"/>
                      <w:szCs w:val="21"/>
                    </w:rPr>
                    <w:t>环保设备由有资质单位进行设计、生产、安装、维护、检修，制定定期进行安全检查制度。</w:t>
                  </w:r>
                </w:p>
              </w:tc>
            </w:tr>
          </w:tbl>
          <w:p w14:paraId="23D4A2F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textAlignment w:val="auto"/>
              <w:rPr>
                <w:rFonts w:hint="default" w:ascii="Times New Roman" w:hAnsi="Times New Roman" w:eastAsia="宋体" w:cs="Times New Roman"/>
                <w:b/>
                <w:bCs/>
                <w:color w:val="auto"/>
                <w:spacing w:val="0"/>
                <w:sz w:val="24"/>
              </w:rPr>
            </w:pPr>
            <w:r>
              <w:rPr>
                <w:rFonts w:hint="default" w:ascii="Times New Roman" w:hAnsi="Times New Roman" w:eastAsia="宋体" w:cs="Times New Roman"/>
                <w:b/>
                <w:bCs/>
                <w:color w:val="auto"/>
                <w:spacing w:val="0"/>
                <w:sz w:val="24"/>
              </w:rPr>
              <w:t>与“南水北调工程”</w:t>
            </w:r>
            <w:r>
              <w:rPr>
                <w:rFonts w:hint="eastAsia" w:cs="Times New Roman"/>
                <w:b/>
                <w:bCs/>
                <w:color w:val="auto"/>
                <w:spacing w:val="0"/>
                <w:sz w:val="24"/>
                <w:lang w:eastAsia="zh-CN"/>
              </w:rPr>
              <w:t>的</w:t>
            </w:r>
            <w:r>
              <w:rPr>
                <w:rFonts w:hint="eastAsia" w:cs="Times New Roman"/>
                <w:b/>
                <w:bCs/>
                <w:color w:val="auto"/>
                <w:spacing w:val="0"/>
                <w:sz w:val="24"/>
                <w:lang w:val="en-US" w:eastAsia="zh-CN"/>
              </w:rPr>
              <w:t>位置</w:t>
            </w:r>
            <w:r>
              <w:rPr>
                <w:rFonts w:hint="default" w:ascii="Times New Roman" w:hAnsi="Times New Roman" w:eastAsia="宋体" w:cs="Times New Roman"/>
                <w:b/>
                <w:bCs/>
                <w:color w:val="auto"/>
                <w:spacing w:val="0"/>
                <w:sz w:val="24"/>
              </w:rPr>
              <w:t>关系</w:t>
            </w:r>
          </w:p>
          <w:p w14:paraId="618FD0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color w:val="auto"/>
                <w:spacing w:val="0"/>
                <w:kern w:val="2"/>
                <w:sz w:val="24"/>
                <w:szCs w:val="22"/>
                <w:lang w:val="en-US" w:eastAsia="zh-CN" w:bidi="ar"/>
              </w:rPr>
            </w:pPr>
            <w:r>
              <w:rPr>
                <w:rFonts w:hint="default" w:ascii="Times New Roman" w:hAnsi="Times New Roman" w:eastAsia="宋体" w:cs="Times New Roman"/>
                <w:color w:val="auto"/>
                <w:spacing w:val="0"/>
                <w:sz w:val="24"/>
                <w:szCs w:val="44"/>
                <w:highlight w:val="none"/>
                <w:lang w:val="en-US" w:eastAsia="zh-CN"/>
              </w:rPr>
              <w:t>根据山东省生态环境厅2024年5月30日</w:t>
            </w:r>
            <w:r>
              <w:rPr>
                <w:rFonts w:hint="eastAsia" w:cs="Times New Roman"/>
                <w:color w:val="auto"/>
                <w:spacing w:val="0"/>
                <w:sz w:val="24"/>
                <w:szCs w:val="44"/>
                <w:highlight w:val="none"/>
                <w:lang w:val="en-US" w:eastAsia="zh-CN"/>
              </w:rPr>
              <w:t>发布的</w:t>
            </w:r>
            <w:r>
              <w:rPr>
                <w:rFonts w:hint="default" w:ascii="Times New Roman" w:hAnsi="Times New Roman" w:eastAsia="宋体" w:cs="Times New Roman"/>
                <w:color w:val="auto"/>
                <w:spacing w:val="0"/>
                <w:sz w:val="24"/>
                <w:szCs w:val="44"/>
                <w:highlight w:val="none"/>
                <w:lang w:val="en-US" w:eastAsia="zh-CN"/>
              </w:rPr>
              <w:t>《关于山东省南四湖流域核心、重点和一般保护区域涉及具体范围的公示》（http://www.sdein.gov.cn/zwgk/gsgg/202405/t20240530_4733078.html）</w:t>
            </w:r>
            <w:r>
              <w:rPr>
                <w:rFonts w:hint="default" w:ascii="Times New Roman" w:hAnsi="Times New Roman" w:eastAsia="宋体" w:cs="Times New Roman"/>
                <w:color w:val="auto"/>
                <w:spacing w:val="0"/>
                <w:kern w:val="2"/>
                <w:sz w:val="24"/>
                <w:szCs w:val="24"/>
                <w:lang w:val="en-US" w:eastAsia="zh-CN" w:bidi="ar-SA"/>
              </w:rPr>
              <w:t>，</w:t>
            </w:r>
            <w:r>
              <w:rPr>
                <w:rFonts w:hint="default" w:ascii="Times New Roman" w:hAnsi="Times New Roman" w:eastAsia="宋体" w:cs="Times New Roman"/>
                <w:color w:val="auto"/>
                <w:spacing w:val="0"/>
                <w:sz w:val="24"/>
                <w:szCs w:val="44"/>
                <w:highlight w:val="none"/>
                <w:lang w:val="en-US" w:eastAsia="zh-CN"/>
              </w:rPr>
              <w:t>济宁市嘉祥县</w:t>
            </w:r>
            <w:r>
              <w:rPr>
                <w:rFonts w:hint="eastAsia" w:cs="Times New Roman"/>
                <w:color w:val="auto"/>
                <w:spacing w:val="0"/>
                <w:sz w:val="24"/>
                <w:szCs w:val="44"/>
                <w:highlight w:val="none"/>
                <w:lang w:val="en-US" w:eastAsia="zh-CN"/>
              </w:rPr>
              <w:t>马村镇</w:t>
            </w:r>
            <w:r>
              <w:rPr>
                <w:rFonts w:hint="default" w:ascii="Times New Roman" w:hAnsi="Times New Roman" w:eastAsia="宋体" w:cs="Times New Roman"/>
                <w:color w:val="auto"/>
                <w:spacing w:val="0"/>
                <w:sz w:val="24"/>
                <w:szCs w:val="44"/>
                <w:highlight w:val="none"/>
                <w:lang w:val="en-US" w:eastAsia="zh-CN"/>
              </w:rPr>
              <w:t>全域属于重点保护区域</w:t>
            </w:r>
            <w:r>
              <w:rPr>
                <w:rFonts w:hint="default" w:ascii="Times New Roman" w:hAnsi="Times New Roman" w:eastAsia="宋体" w:cs="Times New Roman"/>
                <w:color w:val="auto"/>
                <w:spacing w:val="0"/>
                <w:sz w:val="24"/>
                <w:highlight w:val="none"/>
              </w:rPr>
              <w:t>，排放水需满足《流域水污染物综合排放标准第1部分：南四湖东平湖流域》（</w:t>
            </w:r>
            <w:r>
              <w:rPr>
                <w:rFonts w:hint="default" w:ascii="Times New Roman" w:hAnsi="Times New Roman" w:eastAsia="宋体" w:cs="Times New Roman"/>
                <w:color w:val="auto"/>
                <w:spacing w:val="0"/>
                <w:sz w:val="24"/>
                <w:highlight w:val="none"/>
                <w:lang w:eastAsia="zh-CN"/>
              </w:rPr>
              <w:t>DB37/3416.1-2023</w:t>
            </w:r>
            <w:r>
              <w:rPr>
                <w:rFonts w:hint="default" w:ascii="Times New Roman" w:hAnsi="Times New Roman" w:eastAsia="宋体" w:cs="Times New Roman"/>
                <w:color w:val="auto"/>
                <w:spacing w:val="0"/>
                <w:sz w:val="24"/>
                <w:highlight w:val="none"/>
              </w:rPr>
              <w:t>）</w:t>
            </w:r>
            <w:r>
              <w:rPr>
                <w:rFonts w:hint="default" w:ascii="Times New Roman" w:hAnsi="Times New Roman" w:eastAsia="宋体" w:cs="Times New Roman"/>
                <w:color w:val="auto"/>
                <w:spacing w:val="0"/>
                <w:sz w:val="24"/>
                <w:highlight w:val="none"/>
                <w:lang w:val="en-US" w:eastAsia="zh-CN"/>
              </w:rPr>
              <w:t>重点保护区</w:t>
            </w:r>
            <w:r>
              <w:rPr>
                <w:rFonts w:hint="default" w:ascii="Times New Roman" w:hAnsi="Times New Roman" w:eastAsia="宋体" w:cs="Times New Roman"/>
                <w:color w:val="auto"/>
                <w:spacing w:val="0"/>
                <w:sz w:val="24"/>
                <w:highlight w:val="none"/>
              </w:rPr>
              <w:t>域排放标准的同时需满足地方政府要求。</w:t>
            </w:r>
            <w:r>
              <w:rPr>
                <w:rFonts w:hint="default" w:ascii="Times New Roman" w:hAnsi="Times New Roman" w:eastAsia="宋体" w:cs="Times New Roman"/>
                <w:color w:val="auto"/>
                <w:spacing w:val="0"/>
                <w:kern w:val="0"/>
                <w:sz w:val="24"/>
                <w:highlight w:val="none"/>
              </w:rPr>
              <w:t>项目</w:t>
            </w:r>
            <w:r>
              <w:rPr>
                <w:rFonts w:hint="default" w:ascii="Times New Roman" w:hAnsi="Times New Roman" w:eastAsia="宋体" w:cs="Times New Roman"/>
                <w:color w:val="auto"/>
                <w:spacing w:val="0"/>
                <w:kern w:val="0"/>
                <w:sz w:val="24"/>
                <w:highlight w:val="none"/>
                <w:lang w:val="en-US" w:eastAsia="zh-CN"/>
              </w:rPr>
              <w:t>运营期间</w:t>
            </w:r>
            <w:r>
              <w:rPr>
                <w:rFonts w:hint="default" w:ascii="Times New Roman" w:hAnsi="Times New Roman" w:eastAsia="宋体" w:cs="Times New Roman"/>
                <w:color w:val="auto"/>
                <w:spacing w:val="0"/>
                <w:kern w:val="0"/>
                <w:sz w:val="24"/>
                <w:highlight w:val="none"/>
              </w:rPr>
              <w:t>无废水排放</w:t>
            </w:r>
            <w:r>
              <w:rPr>
                <w:rFonts w:hint="default" w:ascii="Times New Roman" w:hAnsi="Times New Roman" w:eastAsia="宋体" w:cs="Times New Roman"/>
                <w:color w:val="auto"/>
                <w:spacing w:val="0"/>
                <w:kern w:val="0"/>
                <w:sz w:val="24"/>
                <w:highlight w:val="none"/>
                <w:lang w:eastAsia="zh-CN"/>
              </w:rPr>
              <w:t>，</w:t>
            </w:r>
            <w:r>
              <w:rPr>
                <w:rFonts w:hint="default" w:ascii="Times New Roman" w:hAnsi="Times New Roman" w:eastAsia="宋体" w:cs="Times New Roman"/>
                <w:color w:val="auto"/>
                <w:spacing w:val="0"/>
                <w:sz w:val="24"/>
                <w:highlight w:val="none"/>
                <w:lang w:val="en-US" w:eastAsia="zh-CN"/>
              </w:rPr>
              <w:t>对南水北调工程无影响</w:t>
            </w:r>
            <w:r>
              <w:rPr>
                <w:rFonts w:hint="default" w:ascii="Times New Roman" w:hAnsi="Times New Roman" w:eastAsia="宋体" w:cs="Times New Roman"/>
                <w:color w:val="auto"/>
                <w:spacing w:val="0"/>
                <w:kern w:val="2"/>
                <w:sz w:val="24"/>
                <w:szCs w:val="22"/>
                <w:lang w:val="en-US" w:eastAsia="zh-CN" w:bidi="ar"/>
              </w:rPr>
              <w:t>。</w:t>
            </w:r>
          </w:p>
          <w:p w14:paraId="36C141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r>
              <w:rPr>
                <w:rFonts w:hint="default" w:ascii="Times New Roman" w:hAnsi="Times New Roman" w:eastAsia="宋体" w:cs="Times New Roman"/>
                <w:color w:val="auto"/>
                <w:spacing w:val="0"/>
                <w:sz w:val="24"/>
                <w:szCs w:val="24"/>
                <w:highlight w:val="none"/>
              </w:rPr>
              <w:t>综上所述，项目建设符合国家相关法律、法规及环保政策的规定</w:t>
            </w:r>
          </w:p>
          <w:p w14:paraId="73A526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p>
          <w:p w14:paraId="5F527A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p>
          <w:p w14:paraId="2AA0EE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p>
          <w:p w14:paraId="7E9881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p>
          <w:p w14:paraId="3E677A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p>
          <w:p w14:paraId="5A84AA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p>
          <w:p w14:paraId="17EE5E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p>
          <w:p w14:paraId="7BAB0C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p>
        </w:tc>
      </w:tr>
    </w:tbl>
    <w:p w14:paraId="45FCC22C">
      <w:pPr>
        <w:spacing w:line="360" w:lineRule="auto"/>
        <w:rPr>
          <w:rFonts w:hint="default" w:ascii="Times New Roman" w:hAnsi="Times New Roman" w:eastAsia="宋体" w:cs="Times New Roman"/>
          <w:color w:val="auto"/>
          <w:spacing w:val="0"/>
          <w:sz w:val="30"/>
        </w:rPr>
        <w:sectPr>
          <w:footerReference r:id="rId5" w:type="default"/>
          <w:pgSz w:w="11906" w:h="16838"/>
          <w:pgMar w:top="1440" w:right="1800" w:bottom="1440" w:left="1800"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2A21EBCC">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outlineLvl w:val="0"/>
        <w:rPr>
          <w:rFonts w:hint="default" w:ascii="Times New Roman" w:hAnsi="Times New Roman" w:eastAsia="宋体" w:cs="Times New Roman"/>
          <w:b/>
          <w:bCs/>
          <w:snapToGrid w:val="0"/>
          <w:color w:val="auto"/>
          <w:spacing w:val="0"/>
          <w:sz w:val="30"/>
          <w:szCs w:val="30"/>
        </w:rPr>
      </w:pPr>
      <w:bookmarkStart w:id="5" w:name="_Toc22738"/>
      <w:r>
        <w:rPr>
          <w:rFonts w:hint="default" w:ascii="Times New Roman" w:hAnsi="Times New Roman" w:eastAsia="宋体" w:cs="Times New Roman"/>
          <w:b/>
          <w:bCs/>
          <w:snapToGrid w:val="0"/>
          <w:color w:val="auto"/>
          <w:spacing w:val="0"/>
          <w:sz w:val="30"/>
          <w:szCs w:val="30"/>
        </w:rPr>
        <w:t>二、建设项目工程分析</w:t>
      </w:r>
      <w:bookmarkEnd w:id="5"/>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063"/>
      </w:tblGrid>
      <w:tr w14:paraId="31A2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7" w:type="pct"/>
            <w:tcBorders>
              <w:tl2br w:val="nil"/>
              <w:tr2bl w:val="nil"/>
            </w:tcBorders>
            <w:noWrap w:val="0"/>
            <w:vAlign w:val="center"/>
          </w:tcPr>
          <w:p w14:paraId="258026A4">
            <w:pPr>
              <w:pStyle w:val="32"/>
              <w:adjustRightInd w:val="0"/>
              <w:snapToGrid w:val="0"/>
              <w:spacing w:before="0" w:beforeAutospacing="0" w:after="0" w:afterAutospacing="0"/>
              <w:jc w:val="center"/>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4"/>
                <w:szCs w:val="24"/>
                <w:lang w:val="en-US" w:eastAsia="zh-CN"/>
              </w:rPr>
              <w:t>建设内容</w:t>
            </w:r>
          </w:p>
        </w:tc>
        <w:tc>
          <w:tcPr>
            <w:tcW w:w="4732" w:type="pct"/>
            <w:tcBorders>
              <w:tl2br w:val="nil"/>
              <w:tr2bl w:val="nil"/>
            </w:tcBorders>
            <w:noWrap w:val="0"/>
            <w:vAlign w:val="top"/>
          </w:tcPr>
          <w:p w14:paraId="524D9CA3">
            <w:pPr>
              <w:spacing w:line="360" w:lineRule="auto"/>
              <w:ind w:firstLine="482" w:firstLineChars="200"/>
              <w:rPr>
                <w:rFonts w:hint="default" w:ascii="Times New Roman" w:hAnsi="Times New Roman" w:eastAsia="宋体" w:cs="Times New Roman"/>
                <w:b/>
                <w:color w:val="auto"/>
                <w:spacing w:val="0"/>
                <w:sz w:val="24"/>
              </w:rPr>
            </w:pPr>
            <w:r>
              <w:rPr>
                <w:rFonts w:hint="default" w:ascii="Times New Roman" w:hAnsi="Times New Roman" w:eastAsia="宋体" w:cs="Times New Roman"/>
                <w:b/>
                <w:color w:val="auto"/>
                <w:spacing w:val="0"/>
                <w:sz w:val="24"/>
              </w:rPr>
              <w:t>一、项目组成</w:t>
            </w:r>
          </w:p>
          <w:p w14:paraId="2511B0B2">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snapToGrid w:val="0"/>
                <w:color w:val="auto"/>
                <w:spacing w:val="0"/>
                <w:kern w:val="0"/>
                <w:sz w:val="24"/>
              </w:rPr>
            </w:pPr>
            <w:r>
              <w:rPr>
                <w:rFonts w:hint="default" w:ascii="Times New Roman" w:hAnsi="Times New Roman" w:eastAsia="宋体" w:cs="Times New Roman"/>
                <w:b/>
                <w:bCs/>
                <w:snapToGrid w:val="0"/>
                <w:color w:val="auto"/>
                <w:spacing w:val="0"/>
                <w:kern w:val="0"/>
                <w:sz w:val="24"/>
              </w:rPr>
              <w:t>项目组成表</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707"/>
              <w:gridCol w:w="530"/>
              <w:gridCol w:w="4184"/>
              <w:gridCol w:w="1152"/>
            </w:tblGrid>
            <w:tr w14:paraId="2FFE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pct"/>
                  <w:tcBorders>
                    <w:tl2br w:val="nil"/>
                    <w:tr2bl w:val="nil"/>
                  </w:tcBorders>
                  <w:noWrap w:val="0"/>
                  <w:vAlign w:val="center"/>
                </w:tcPr>
                <w:p w14:paraId="6DD8B64E">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项目组成</w:t>
                  </w:r>
                </w:p>
              </w:tc>
              <w:tc>
                <w:tcPr>
                  <w:tcW w:w="789" w:type="pct"/>
                  <w:gridSpan w:val="2"/>
                  <w:tcBorders>
                    <w:tl2br w:val="nil"/>
                    <w:tr2bl w:val="nil"/>
                  </w:tcBorders>
                  <w:noWrap w:val="0"/>
                  <w:vAlign w:val="center"/>
                </w:tcPr>
                <w:p w14:paraId="08EDD073">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工程内容</w:t>
                  </w:r>
                </w:p>
              </w:tc>
              <w:tc>
                <w:tcPr>
                  <w:tcW w:w="2669" w:type="pct"/>
                  <w:tcBorders>
                    <w:right w:val="single" w:color="000000" w:sz="4" w:space="0"/>
                    <w:tl2br w:val="nil"/>
                    <w:tr2bl w:val="nil"/>
                  </w:tcBorders>
                  <w:noWrap w:val="0"/>
                  <w:vAlign w:val="center"/>
                </w:tcPr>
                <w:p w14:paraId="43F90A0F">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建设内容</w:t>
                  </w:r>
                </w:p>
              </w:tc>
              <w:tc>
                <w:tcPr>
                  <w:tcW w:w="734" w:type="pct"/>
                  <w:tcBorders>
                    <w:left w:val="single" w:color="000000" w:sz="4" w:space="0"/>
                    <w:tl2br w:val="nil"/>
                    <w:tr2bl w:val="nil"/>
                  </w:tcBorders>
                  <w:noWrap w:val="0"/>
                  <w:vAlign w:val="center"/>
                </w:tcPr>
                <w:p w14:paraId="0B1C5A0D">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auto"/>
                      <w:spacing w:val="0"/>
                      <w:sz w:val="21"/>
                      <w:szCs w:val="21"/>
                      <w:lang w:val="en-US" w:eastAsia="zh-CN"/>
                    </w:rPr>
                  </w:pPr>
                  <w:r>
                    <w:rPr>
                      <w:rFonts w:hint="eastAsia" w:cs="Times New Roman"/>
                      <w:b/>
                      <w:bCs/>
                      <w:color w:val="auto"/>
                      <w:spacing w:val="0"/>
                      <w:sz w:val="21"/>
                      <w:szCs w:val="21"/>
                      <w:lang w:val="en-US" w:eastAsia="zh-CN"/>
                    </w:rPr>
                    <w:t>备注</w:t>
                  </w:r>
                </w:p>
              </w:tc>
            </w:tr>
            <w:tr w14:paraId="187A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pct"/>
                  <w:vMerge w:val="restart"/>
                  <w:tcBorders>
                    <w:tl2br w:val="nil"/>
                    <w:tr2bl w:val="nil"/>
                  </w:tcBorders>
                  <w:noWrap w:val="0"/>
                  <w:vAlign w:val="center"/>
                </w:tcPr>
                <w:p w14:paraId="6FE1A8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主体工程</w:t>
                  </w:r>
                </w:p>
              </w:tc>
              <w:tc>
                <w:tcPr>
                  <w:tcW w:w="789" w:type="pct"/>
                  <w:gridSpan w:val="2"/>
                  <w:tcBorders>
                    <w:tl2br w:val="nil"/>
                    <w:tr2bl w:val="nil"/>
                  </w:tcBorders>
                  <w:noWrap w:val="0"/>
                  <w:vAlign w:val="center"/>
                </w:tcPr>
                <w:p w14:paraId="4C4458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pacing w:val="0"/>
                      <w:sz w:val="21"/>
                      <w:szCs w:val="21"/>
                      <w:lang w:val="en-US"/>
                    </w:rPr>
                  </w:pPr>
                  <w:r>
                    <w:rPr>
                      <w:rFonts w:hint="eastAsia" w:cs="Times New Roman"/>
                      <w:bCs/>
                      <w:color w:val="auto"/>
                      <w:spacing w:val="0"/>
                      <w:sz w:val="21"/>
                      <w:szCs w:val="21"/>
                      <w:lang w:val="en-US" w:eastAsia="zh-CN"/>
                    </w:rPr>
                    <w:t>生产车间</w:t>
                  </w:r>
                </w:p>
              </w:tc>
              <w:tc>
                <w:tcPr>
                  <w:tcW w:w="2669" w:type="pct"/>
                  <w:tcBorders>
                    <w:right w:val="single" w:color="000000" w:sz="4" w:space="0"/>
                    <w:tl2br w:val="nil"/>
                    <w:tr2bl w:val="nil"/>
                  </w:tcBorders>
                  <w:noWrap w:val="0"/>
                  <w:vAlign w:val="center"/>
                </w:tcPr>
                <w:p w14:paraId="0A79CB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pacing w:val="0"/>
                      <w:sz w:val="21"/>
                      <w:szCs w:val="21"/>
                      <w:lang w:val="en-US" w:eastAsia="zh-CN"/>
                    </w:rPr>
                  </w:pPr>
                  <w:r>
                    <w:rPr>
                      <w:rFonts w:hint="default" w:ascii="Times New Roman" w:hAnsi="Times New Roman" w:eastAsia="宋体" w:cs="Times New Roman"/>
                      <w:color w:val="auto"/>
                      <w:spacing w:val="0"/>
                      <w:lang w:val="en-US" w:eastAsia="zh-CN"/>
                    </w:rPr>
                    <w:t>1层，钢构结构，建筑面积</w:t>
                  </w:r>
                  <w:r>
                    <w:rPr>
                      <w:rFonts w:hint="eastAsia" w:cs="Times New Roman"/>
                      <w:color w:val="auto"/>
                      <w:spacing w:val="0"/>
                      <w:lang w:val="en-US" w:eastAsia="zh-CN"/>
                    </w:rPr>
                    <w:t>12</w:t>
                  </w:r>
                  <w:r>
                    <w:rPr>
                      <w:rFonts w:hint="default" w:ascii="Times New Roman" w:hAnsi="Times New Roman" w:eastAsia="宋体" w:cs="Times New Roman"/>
                      <w:color w:val="auto"/>
                      <w:spacing w:val="0"/>
                      <w:lang w:val="en-US" w:eastAsia="zh-CN"/>
                    </w:rPr>
                    <w:t>00m</w:t>
                  </w:r>
                  <w:r>
                    <w:rPr>
                      <w:rFonts w:hint="default" w:ascii="Times New Roman" w:hAnsi="Times New Roman" w:eastAsia="宋体" w:cs="Times New Roman"/>
                      <w:color w:val="auto"/>
                      <w:spacing w:val="0"/>
                      <w:vertAlign w:val="superscript"/>
                      <w:lang w:val="en-US" w:eastAsia="zh-CN"/>
                    </w:rPr>
                    <w:t>2</w:t>
                  </w:r>
                  <w:r>
                    <w:rPr>
                      <w:rFonts w:hint="default" w:ascii="Times New Roman" w:hAnsi="Times New Roman" w:eastAsia="宋体" w:cs="Times New Roman"/>
                      <w:color w:val="auto"/>
                      <w:spacing w:val="0"/>
                      <w:lang w:val="en-US" w:eastAsia="zh-CN"/>
                    </w:rPr>
                    <w:t>，</w:t>
                  </w:r>
                  <w:r>
                    <w:rPr>
                      <w:rFonts w:hint="eastAsia" w:cs="Times New Roman"/>
                      <w:color w:val="auto"/>
                      <w:spacing w:val="0"/>
                      <w:lang w:val="en-US" w:eastAsia="zh-CN"/>
                    </w:rPr>
                    <w:t>设置</w:t>
                  </w:r>
                  <w:r>
                    <w:rPr>
                      <w:rFonts w:hint="default" w:ascii="Times New Roman" w:hAnsi="Times New Roman" w:eastAsia="宋体" w:cs="Times New Roman"/>
                      <w:color w:val="auto"/>
                      <w:spacing w:val="0"/>
                      <w:kern w:val="0"/>
                      <w:szCs w:val="21"/>
                    </w:rPr>
                    <w:t>原料区、生产区</w:t>
                  </w:r>
                  <w:r>
                    <w:rPr>
                      <w:rFonts w:hint="default" w:ascii="Times New Roman" w:hAnsi="Times New Roman" w:eastAsia="宋体" w:cs="Times New Roman"/>
                      <w:color w:val="auto"/>
                      <w:spacing w:val="0"/>
                      <w:kern w:val="0"/>
                      <w:szCs w:val="21"/>
                      <w:lang w:eastAsia="zh-CN"/>
                    </w:rPr>
                    <w:t>，</w:t>
                  </w:r>
                  <w:r>
                    <w:rPr>
                      <w:rFonts w:hint="default" w:ascii="Times New Roman" w:hAnsi="Times New Roman" w:eastAsia="宋体" w:cs="Times New Roman"/>
                      <w:color w:val="auto"/>
                      <w:spacing w:val="0"/>
                      <w:kern w:val="0"/>
                      <w:szCs w:val="21"/>
                      <w:lang w:val="en-US" w:eastAsia="zh-CN"/>
                    </w:rPr>
                    <w:t>设计年产</w:t>
                  </w:r>
                  <w:r>
                    <w:rPr>
                      <w:rFonts w:hint="eastAsia"/>
                      <w:color w:val="auto"/>
                      <w:spacing w:val="0"/>
                      <w:lang w:val="en-US" w:eastAsia="zh-CN"/>
                    </w:rPr>
                    <w:t>水泥预制件26000吨</w:t>
                  </w:r>
                </w:p>
              </w:tc>
              <w:tc>
                <w:tcPr>
                  <w:tcW w:w="734" w:type="pct"/>
                  <w:tcBorders>
                    <w:left w:val="single" w:color="000000" w:sz="4" w:space="0"/>
                    <w:tl2br w:val="nil"/>
                    <w:tr2bl w:val="nil"/>
                  </w:tcBorders>
                  <w:noWrap w:val="0"/>
                  <w:vAlign w:val="center"/>
                </w:tcPr>
                <w:p w14:paraId="3BCBDE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Cs/>
                      <w:color w:val="0000FF"/>
                      <w:spacing w:val="0"/>
                      <w:sz w:val="21"/>
                      <w:szCs w:val="21"/>
                      <w:lang w:val="en-US" w:eastAsia="zh-CN"/>
                    </w:rPr>
                  </w:pPr>
                  <w:r>
                    <w:rPr>
                      <w:rFonts w:hint="eastAsia" w:cs="Times New Roman"/>
                      <w:bCs/>
                      <w:color w:val="0000FF"/>
                      <w:spacing w:val="0"/>
                      <w:sz w:val="21"/>
                      <w:szCs w:val="21"/>
                      <w:lang w:val="en-US" w:eastAsia="zh-CN"/>
                    </w:rPr>
                    <w:t>现有车间</w:t>
                  </w:r>
                </w:p>
              </w:tc>
            </w:tr>
            <w:tr w14:paraId="1F9F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pct"/>
                  <w:vMerge w:val="continue"/>
                  <w:tcBorders>
                    <w:tl2br w:val="nil"/>
                    <w:tr2bl w:val="nil"/>
                  </w:tcBorders>
                  <w:noWrap w:val="0"/>
                  <w:vAlign w:val="center"/>
                </w:tcPr>
                <w:p w14:paraId="2CC122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p>
              </w:tc>
              <w:tc>
                <w:tcPr>
                  <w:tcW w:w="789" w:type="pct"/>
                  <w:gridSpan w:val="2"/>
                  <w:tcBorders>
                    <w:tl2br w:val="nil"/>
                    <w:tr2bl w:val="nil"/>
                  </w:tcBorders>
                  <w:noWrap w:val="0"/>
                  <w:vAlign w:val="center"/>
                </w:tcPr>
                <w:p w14:paraId="354CB5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Cs/>
                      <w:color w:val="auto"/>
                      <w:spacing w:val="0"/>
                      <w:sz w:val="21"/>
                      <w:szCs w:val="21"/>
                      <w:lang w:val="en-US" w:eastAsia="zh-CN"/>
                    </w:rPr>
                  </w:pPr>
                  <w:r>
                    <w:rPr>
                      <w:rFonts w:hint="eastAsia" w:cs="Times New Roman"/>
                      <w:bCs/>
                      <w:color w:val="auto"/>
                      <w:spacing w:val="0"/>
                      <w:sz w:val="21"/>
                      <w:szCs w:val="21"/>
                      <w:lang w:val="en-US" w:eastAsia="zh-CN"/>
                    </w:rPr>
                    <w:t>焊接车间</w:t>
                  </w:r>
                </w:p>
              </w:tc>
              <w:tc>
                <w:tcPr>
                  <w:tcW w:w="2669" w:type="pct"/>
                  <w:tcBorders>
                    <w:right w:val="single" w:color="000000" w:sz="4" w:space="0"/>
                    <w:tl2br w:val="nil"/>
                    <w:tr2bl w:val="nil"/>
                  </w:tcBorders>
                  <w:noWrap w:val="0"/>
                  <w:vAlign w:val="center"/>
                </w:tcPr>
                <w:p w14:paraId="76E573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lang w:val="en-US" w:eastAsia="zh-CN"/>
                    </w:rPr>
                  </w:pPr>
                  <w:r>
                    <w:rPr>
                      <w:rFonts w:hint="default" w:ascii="Times New Roman" w:hAnsi="Times New Roman" w:eastAsia="宋体" w:cs="Times New Roman"/>
                      <w:color w:val="auto"/>
                      <w:lang w:val="en-US" w:eastAsia="zh-CN"/>
                    </w:rPr>
                    <w:t>1层，钢构结构，建筑面积</w:t>
                  </w:r>
                  <w:r>
                    <w:rPr>
                      <w:rFonts w:hint="eastAsia" w:cs="Times New Roman"/>
                      <w:color w:val="auto"/>
                      <w:lang w:val="en-US" w:eastAsia="zh-CN"/>
                    </w:rPr>
                    <w:t>1</w:t>
                  </w:r>
                  <w:r>
                    <w:rPr>
                      <w:rFonts w:hint="default" w:ascii="Times New Roman" w:hAnsi="Times New Roman" w:eastAsia="宋体" w:cs="Times New Roman"/>
                      <w:color w:val="auto"/>
                      <w:lang w:val="en-US" w:eastAsia="zh-CN"/>
                    </w:rPr>
                    <w:t>00m</w:t>
                  </w:r>
                  <w:r>
                    <w:rPr>
                      <w:rFonts w:hint="default" w:ascii="Times New Roman" w:hAnsi="Times New Roman" w:eastAsia="宋体" w:cs="Times New Roman"/>
                      <w:color w:val="auto"/>
                      <w:vertAlign w:val="superscript"/>
                      <w:lang w:val="en-US" w:eastAsia="zh-CN"/>
                    </w:rPr>
                    <w:t>2</w:t>
                  </w:r>
                  <w:r>
                    <w:rPr>
                      <w:rFonts w:hint="default" w:ascii="Times New Roman" w:hAnsi="Times New Roman" w:eastAsia="宋体" w:cs="Times New Roman"/>
                      <w:color w:val="auto"/>
                      <w:lang w:val="en-US" w:eastAsia="zh-CN"/>
                    </w:rPr>
                    <w:t>，</w:t>
                  </w:r>
                  <w:r>
                    <w:rPr>
                      <w:rFonts w:hint="eastAsia" w:cs="Times New Roman"/>
                      <w:color w:val="auto"/>
                      <w:lang w:val="en-US" w:eastAsia="zh-CN"/>
                    </w:rPr>
                    <w:t>设置1台</w:t>
                  </w:r>
                  <w:r>
                    <w:rPr>
                      <w:rFonts w:hint="eastAsia" w:ascii="Times New Roman" w:hAnsi="Times New Roman" w:eastAsia="宋体" w:cs="Times New Roman"/>
                      <w:color w:val="auto"/>
                      <w:lang w:val="en-US" w:eastAsia="zh-CN"/>
                    </w:rPr>
                    <w:t>滚焊机</w:t>
                  </w:r>
                </w:p>
              </w:tc>
              <w:tc>
                <w:tcPr>
                  <w:tcW w:w="734" w:type="pct"/>
                  <w:tcBorders>
                    <w:left w:val="single" w:color="000000" w:sz="4" w:space="0"/>
                    <w:tl2br w:val="nil"/>
                    <w:tr2bl w:val="nil"/>
                  </w:tcBorders>
                  <w:noWrap w:val="0"/>
                  <w:vAlign w:val="center"/>
                </w:tcPr>
                <w:p w14:paraId="0EDB56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Cs/>
                      <w:color w:val="0000FF"/>
                      <w:spacing w:val="0"/>
                      <w:sz w:val="21"/>
                      <w:szCs w:val="21"/>
                      <w:lang w:val="en-US" w:eastAsia="zh-CN"/>
                    </w:rPr>
                  </w:pPr>
                  <w:r>
                    <w:rPr>
                      <w:rFonts w:hint="eastAsia" w:cs="Times New Roman"/>
                      <w:bCs/>
                      <w:color w:val="0000FF"/>
                      <w:spacing w:val="0"/>
                      <w:sz w:val="21"/>
                      <w:szCs w:val="21"/>
                      <w:lang w:val="en-US" w:eastAsia="zh-CN"/>
                    </w:rPr>
                    <w:t>现有车间</w:t>
                  </w:r>
                </w:p>
              </w:tc>
            </w:tr>
            <w:tr w14:paraId="711CA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pct"/>
                  <w:tcBorders>
                    <w:tl2br w:val="nil"/>
                    <w:tr2bl w:val="nil"/>
                  </w:tcBorders>
                  <w:noWrap w:val="0"/>
                  <w:vAlign w:val="center"/>
                </w:tcPr>
                <w:p w14:paraId="18228F01">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辅助工程</w:t>
                  </w:r>
                </w:p>
              </w:tc>
              <w:tc>
                <w:tcPr>
                  <w:tcW w:w="789" w:type="pct"/>
                  <w:gridSpan w:val="2"/>
                  <w:tcBorders>
                    <w:tl2br w:val="nil"/>
                    <w:tr2bl w:val="nil"/>
                  </w:tcBorders>
                  <w:noWrap w:val="0"/>
                  <w:vAlign w:val="center"/>
                </w:tcPr>
                <w:p w14:paraId="606450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eastAsia" w:cs="Times New Roman"/>
                      <w:bCs/>
                      <w:color w:val="auto"/>
                      <w:spacing w:val="0"/>
                      <w:sz w:val="21"/>
                      <w:szCs w:val="21"/>
                      <w:lang w:val="en-US" w:bidi="zh-CN"/>
                    </w:rPr>
                    <w:t>办公室</w:t>
                  </w:r>
                </w:p>
              </w:tc>
              <w:tc>
                <w:tcPr>
                  <w:tcW w:w="2669" w:type="pct"/>
                  <w:tcBorders>
                    <w:right w:val="single" w:color="000000" w:sz="4" w:space="0"/>
                    <w:tl2br w:val="nil"/>
                    <w:tr2bl w:val="nil"/>
                  </w:tcBorders>
                  <w:noWrap w:val="0"/>
                  <w:vAlign w:val="center"/>
                </w:tcPr>
                <w:p w14:paraId="695C20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Cs/>
                      <w:color w:val="auto"/>
                      <w:spacing w:val="0"/>
                      <w:sz w:val="21"/>
                      <w:szCs w:val="21"/>
                    </w:rPr>
                    <w:t>1座，用于员工生活办公，占地面积约</w:t>
                  </w:r>
                  <w:r>
                    <w:rPr>
                      <w:rFonts w:hint="eastAsia" w:cs="Times New Roman"/>
                      <w:bCs/>
                      <w:color w:val="auto"/>
                      <w:spacing w:val="0"/>
                      <w:sz w:val="21"/>
                      <w:szCs w:val="21"/>
                      <w:lang w:val="en-US" w:eastAsia="zh-CN"/>
                    </w:rPr>
                    <w:t>10</w:t>
                  </w:r>
                  <w:r>
                    <w:rPr>
                      <w:rFonts w:hint="default" w:ascii="Times New Roman" w:hAnsi="Times New Roman" w:eastAsia="宋体" w:cs="Times New Roman"/>
                      <w:bCs/>
                      <w:color w:val="auto"/>
                      <w:spacing w:val="0"/>
                      <w:sz w:val="21"/>
                      <w:szCs w:val="21"/>
                      <w:lang w:val="en-US" w:eastAsia="zh-CN"/>
                    </w:rPr>
                    <w:t>0</w:t>
                  </w:r>
                  <w:r>
                    <w:rPr>
                      <w:rFonts w:hint="default" w:ascii="Times New Roman" w:hAnsi="Times New Roman" w:eastAsia="宋体" w:cs="Times New Roman"/>
                      <w:bCs/>
                      <w:color w:val="auto"/>
                      <w:spacing w:val="0"/>
                      <w:sz w:val="21"/>
                      <w:szCs w:val="21"/>
                    </w:rPr>
                    <w:t>m</w:t>
                  </w:r>
                  <w:r>
                    <w:rPr>
                      <w:rFonts w:hint="default" w:ascii="Times New Roman" w:hAnsi="Times New Roman" w:eastAsia="宋体" w:cs="Times New Roman"/>
                      <w:bCs/>
                      <w:color w:val="auto"/>
                      <w:spacing w:val="0"/>
                      <w:sz w:val="21"/>
                      <w:szCs w:val="21"/>
                      <w:vertAlign w:val="superscript"/>
                    </w:rPr>
                    <w:t>2</w:t>
                  </w:r>
                </w:p>
              </w:tc>
              <w:tc>
                <w:tcPr>
                  <w:tcW w:w="734" w:type="pct"/>
                  <w:tcBorders>
                    <w:left w:val="single" w:color="000000" w:sz="4" w:space="0"/>
                    <w:tl2br w:val="nil"/>
                    <w:tr2bl w:val="nil"/>
                  </w:tcBorders>
                  <w:noWrap w:val="0"/>
                  <w:vAlign w:val="center"/>
                </w:tcPr>
                <w:p w14:paraId="0D4E90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pacing w:val="0"/>
                      <w:sz w:val="21"/>
                      <w:szCs w:val="21"/>
                      <w:lang w:val="en-US" w:eastAsia="zh-CN"/>
                    </w:rPr>
                  </w:pPr>
                  <w:r>
                    <w:rPr>
                      <w:rFonts w:hint="eastAsia" w:cs="Times New Roman"/>
                      <w:bCs/>
                      <w:color w:val="auto"/>
                      <w:spacing w:val="0"/>
                      <w:sz w:val="21"/>
                      <w:szCs w:val="21"/>
                      <w:lang w:val="en-US" w:eastAsia="zh-CN"/>
                    </w:rPr>
                    <w:t>依托现有设施</w:t>
                  </w:r>
                </w:p>
              </w:tc>
            </w:tr>
            <w:tr w14:paraId="34E8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pct"/>
                  <w:vMerge w:val="restart"/>
                  <w:tcBorders>
                    <w:tl2br w:val="nil"/>
                    <w:tr2bl w:val="nil"/>
                  </w:tcBorders>
                  <w:noWrap w:val="0"/>
                  <w:vAlign w:val="center"/>
                </w:tcPr>
                <w:p w14:paraId="1B14C563">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储运工程</w:t>
                  </w:r>
                </w:p>
              </w:tc>
              <w:tc>
                <w:tcPr>
                  <w:tcW w:w="789" w:type="pct"/>
                  <w:gridSpan w:val="2"/>
                  <w:tcBorders>
                    <w:tl2br w:val="nil"/>
                    <w:tr2bl w:val="nil"/>
                  </w:tcBorders>
                  <w:noWrap w:val="0"/>
                  <w:vAlign w:val="center"/>
                </w:tcPr>
                <w:p w14:paraId="16873A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Cs/>
                      <w:color w:val="auto"/>
                      <w:spacing w:val="0"/>
                      <w:sz w:val="21"/>
                      <w:szCs w:val="21"/>
                      <w:lang w:val="en-US" w:bidi="zh-CN"/>
                    </w:rPr>
                  </w:pPr>
                  <w:r>
                    <w:rPr>
                      <w:rFonts w:hint="eastAsia" w:cs="Times New Roman"/>
                      <w:bCs/>
                      <w:color w:val="auto"/>
                      <w:spacing w:val="0"/>
                      <w:sz w:val="21"/>
                      <w:szCs w:val="21"/>
                      <w:lang w:val="en-US" w:bidi="zh-CN"/>
                    </w:rPr>
                    <w:t>原料仓库</w:t>
                  </w:r>
                </w:p>
              </w:tc>
              <w:tc>
                <w:tcPr>
                  <w:tcW w:w="2669" w:type="pct"/>
                  <w:tcBorders>
                    <w:right w:val="single" w:color="000000" w:sz="4" w:space="0"/>
                    <w:tl2br w:val="nil"/>
                    <w:tr2bl w:val="nil"/>
                  </w:tcBorders>
                  <w:noWrap w:val="0"/>
                  <w:vAlign w:val="center"/>
                </w:tcPr>
                <w:p w14:paraId="6F44E6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pacing w:val="0"/>
                      <w:sz w:val="21"/>
                      <w:szCs w:val="21"/>
                    </w:rPr>
                  </w:pPr>
                  <w:r>
                    <w:rPr>
                      <w:rFonts w:hint="eastAsia" w:cs="Times New Roman"/>
                      <w:color w:val="auto"/>
                      <w:spacing w:val="0"/>
                      <w:lang w:val="en-US" w:eastAsia="zh-CN"/>
                    </w:rPr>
                    <w:t>位于车间内</w:t>
                  </w:r>
                  <w:r>
                    <w:rPr>
                      <w:rFonts w:hint="default" w:ascii="Times New Roman" w:hAnsi="Times New Roman" w:eastAsia="宋体" w:cs="Times New Roman"/>
                      <w:color w:val="auto"/>
                      <w:spacing w:val="0"/>
                      <w:lang w:val="en-US" w:eastAsia="zh-CN"/>
                    </w:rPr>
                    <w:t>，用于</w:t>
                  </w:r>
                  <w:r>
                    <w:rPr>
                      <w:rFonts w:hint="eastAsia" w:ascii="Times New Roman" w:hAnsi="Times New Roman" w:eastAsia="宋体" w:cs="Times New Roman"/>
                      <w:color w:val="auto"/>
                      <w:spacing w:val="0"/>
                      <w:kern w:val="0"/>
                      <w:szCs w:val="21"/>
                      <w:lang w:val="en-US" w:eastAsia="zh-CN"/>
                    </w:rPr>
                    <w:t>沙子、石子存放</w:t>
                  </w:r>
                </w:p>
              </w:tc>
              <w:tc>
                <w:tcPr>
                  <w:tcW w:w="734" w:type="pct"/>
                  <w:tcBorders>
                    <w:left w:val="single" w:color="000000" w:sz="4" w:space="0"/>
                    <w:tl2br w:val="nil"/>
                    <w:tr2bl w:val="nil"/>
                  </w:tcBorders>
                  <w:noWrap w:val="0"/>
                  <w:vAlign w:val="center"/>
                </w:tcPr>
                <w:p w14:paraId="7FBA07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pacing w:val="0"/>
                      <w:lang w:val="en-US" w:eastAsia="zh-CN"/>
                    </w:rPr>
                  </w:pPr>
                  <w:r>
                    <w:rPr>
                      <w:rFonts w:hint="eastAsia" w:cs="Times New Roman"/>
                      <w:bCs/>
                      <w:color w:val="auto"/>
                      <w:spacing w:val="0"/>
                      <w:sz w:val="21"/>
                      <w:szCs w:val="21"/>
                      <w:lang w:val="en-US" w:eastAsia="zh-CN"/>
                    </w:rPr>
                    <w:t>/</w:t>
                  </w:r>
                </w:p>
              </w:tc>
            </w:tr>
            <w:tr w14:paraId="69D1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pct"/>
                  <w:vMerge w:val="continue"/>
                  <w:tcBorders>
                    <w:tl2br w:val="nil"/>
                    <w:tr2bl w:val="nil"/>
                  </w:tcBorders>
                  <w:noWrap w:val="0"/>
                  <w:vAlign w:val="center"/>
                </w:tcPr>
                <w:p w14:paraId="35AA27AB">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p>
              </w:tc>
              <w:tc>
                <w:tcPr>
                  <w:tcW w:w="789" w:type="pct"/>
                  <w:gridSpan w:val="2"/>
                  <w:tcBorders>
                    <w:tl2br w:val="nil"/>
                    <w:tr2bl w:val="nil"/>
                  </w:tcBorders>
                  <w:noWrap w:val="0"/>
                  <w:vAlign w:val="center"/>
                </w:tcPr>
                <w:p w14:paraId="151970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pacing w:val="0"/>
                      <w:sz w:val="21"/>
                      <w:szCs w:val="21"/>
                      <w:lang w:val="en-US" w:bidi="zh-CN"/>
                    </w:rPr>
                  </w:pPr>
                  <w:r>
                    <w:rPr>
                      <w:rFonts w:hint="default" w:ascii="Times New Roman" w:hAnsi="Times New Roman" w:eastAsia="宋体" w:cs="Times New Roman"/>
                      <w:bCs/>
                      <w:color w:val="auto"/>
                      <w:spacing w:val="0"/>
                      <w:sz w:val="21"/>
                      <w:szCs w:val="21"/>
                      <w:lang w:val="en-US" w:bidi="zh-CN"/>
                    </w:rPr>
                    <w:t>成品堆场</w:t>
                  </w:r>
                </w:p>
              </w:tc>
              <w:tc>
                <w:tcPr>
                  <w:tcW w:w="2669" w:type="pct"/>
                  <w:tcBorders>
                    <w:right w:val="single" w:color="000000" w:sz="4" w:space="0"/>
                    <w:tl2br w:val="nil"/>
                    <w:tr2bl w:val="nil"/>
                  </w:tcBorders>
                  <w:noWrap w:val="0"/>
                  <w:vAlign w:val="center"/>
                </w:tcPr>
                <w:p w14:paraId="10521E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1"/>
                      <w:sz w:val="21"/>
                      <w:szCs w:val="21"/>
                      <w:lang w:eastAsia="zh-CN"/>
                    </w:rPr>
                  </w:pPr>
                  <w:r>
                    <w:rPr>
                      <w:rFonts w:hint="eastAsia" w:cs="Times New Roman"/>
                      <w:bCs/>
                      <w:color w:val="auto"/>
                      <w:spacing w:val="0"/>
                      <w:sz w:val="21"/>
                      <w:szCs w:val="21"/>
                      <w:lang w:val="en-US" w:eastAsia="zh-CN"/>
                    </w:rPr>
                    <w:t>位于厂区中部，</w:t>
                  </w:r>
                  <w:r>
                    <w:rPr>
                      <w:rFonts w:hint="default" w:ascii="Times New Roman" w:hAnsi="Times New Roman" w:eastAsia="宋体" w:cs="Times New Roman"/>
                      <w:bCs/>
                      <w:color w:val="auto"/>
                      <w:spacing w:val="0"/>
                      <w:sz w:val="21"/>
                      <w:szCs w:val="21"/>
                    </w:rPr>
                    <w:t>面积约</w:t>
                  </w:r>
                  <w:r>
                    <w:rPr>
                      <w:rFonts w:hint="eastAsia" w:cs="Times New Roman"/>
                      <w:bCs/>
                      <w:color w:val="auto"/>
                      <w:spacing w:val="0"/>
                      <w:sz w:val="21"/>
                      <w:szCs w:val="21"/>
                      <w:lang w:val="en-US" w:eastAsia="zh-CN"/>
                    </w:rPr>
                    <w:t>20</w:t>
                  </w:r>
                  <w:r>
                    <w:rPr>
                      <w:rFonts w:hint="default" w:ascii="Times New Roman" w:hAnsi="Times New Roman" w:eastAsia="宋体" w:cs="Times New Roman"/>
                      <w:bCs/>
                      <w:color w:val="auto"/>
                      <w:spacing w:val="0"/>
                      <w:sz w:val="21"/>
                      <w:szCs w:val="21"/>
                      <w:lang w:val="en-US" w:eastAsia="zh-CN"/>
                    </w:rPr>
                    <w:t>00</w:t>
                  </w:r>
                  <w:r>
                    <w:rPr>
                      <w:rFonts w:hint="default" w:ascii="Times New Roman" w:hAnsi="Times New Roman" w:eastAsia="宋体" w:cs="Times New Roman"/>
                      <w:bCs/>
                      <w:color w:val="auto"/>
                      <w:spacing w:val="0"/>
                      <w:sz w:val="21"/>
                      <w:szCs w:val="21"/>
                    </w:rPr>
                    <w:t>m</w:t>
                  </w:r>
                  <w:r>
                    <w:rPr>
                      <w:rFonts w:hint="default" w:ascii="Times New Roman" w:hAnsi="Times New Roman" w:eastAsia="宋体" w:cs="Times New Roman"/>
                      <w:bCs/>
                      <w:color w:val="auto"/>
                      <w:spacing w:val="0"/>
                      <w:sz w:val="21"/>
                      <w:szCs w:val="21"/>
                      <w:vertAlign w:val="superscript"/>
                    </w:rPr>
                    <w:t>2</w:t>
                  </w:r>
                  <w:r>
                    <w:rPr>
                      <w:rFonts w:hint="default" w:ascii="Times New Roman" w:hAnsi="Times New Roman" w:eastAsia="宋体" w:cs="Times New Roman"/>
                      <w:bCs/>
                      <w:color w:val="auto"/>
                      <w:spacing w:val="0"/>
                      <w:sz w:val="21"/>
                      <w:szCs w:val="21"/>
                    </w:rPr>
                    <w:t>。</w:t>
                  </w:r>
                  <w:r>
                    <w:rPr>
                      <w:rFonts w:hint="default" w:ascii="Times New Roman" w:hAnsi="Times New Roman" w:eastAsia="宋体" w:cs="Times New Roman"/>
                      <w:color w:val="auto"/>
                      <w:spacing w:val="0"/>
                      <w:sz w:val="21"/>
                      <w:szCs w:val="21"/>
                    </w:rPr>
                    <w:t>露天堆场，</w:t>
                  </w:r>
                  <w:r>
                    <w:rPr>
                      <w:rFonts w:hint="default" w:ascii="Times New Roman" w:hAnsi="Times New Roman" w:eastAsia="宋体" w:cs="Times New Roman"/>
                      <w:color w:val="auto"/>
                      <w:spacing w:val="0"/>
                      <w:sz w:val="21"/>
                      <w:szCs w:val="21"/>
                      <w:lang w:val="en-US" w:eastAsia="zh-CN"/>
                    </w:rPr>
                    <w:t>用于</w:t>
                  </w:r>
                  <w:r>
                    <w:rPr>
                      <w:rFonts w:hint="eastAsia" w:cs="Times New Roman"/>
                      <w:color w:val="auto"/>
                      <w:spacing w:val="0"/>
                      <w:sz w:val="21"/>
                      <w:szCs w:val="21"/>
                      <w:lang w:val="en-US" w:eastAsia="zh-CN"/>
                    </w:rPr>
                    <w:t>自然养护和</w:t>
                  </w:r>
                  <w:r>
                    <w:rPr>
                      <w:rFonts w:hint="default" w:ascii="Times New Roman" w:hAnsi="Times New Roman" w:eastAsia="宋体" w:cs="Times New Roman"/>
                      <w:color w:val="auto"/>
                      <w:spacing w:val="0"/>
                      <w:sz w:val="21"/>
                      <w:szCs w:val="21"/>
                      <w:lang w:val="en-US" w:eastAsia="zh-CN"/>
                    </w:rPr>
                    <w:t>堆放</w:t>
                  </w:r>
                  <w:r>
                    <w:rPr>
                      <w:rFonts w:hint="default" w:ascii="Times New Roman" w:hAnsi="Times New Roman" w:eastAsia="宋体" w:cs="Times New Roman"/>
                      <w:color w:val="auto"/>
                      <w:spacing w:val="0"/>
                      <w:sz w:val="21"/>
                      <w:szCs w:val="21"/>
                    </w:rPr>
                    <w:t>成品</w:t>
                  </w:r>
                </w:p>
              </w:tc>
              <w:tc>
                <w:tcPr>
                  <w:tcW w:w="734" w:type="pct"/>
                  <w:tcBorders>
                    <w:left w:val="single" w:color="000000" w:sz="4" w:space="0"/>
                    <w:tl2br w:val="nil"/>
                    <w:tr2bl w:val="nil"/>
                  </w:tcBorders>
                  <w:noWrap w:val="0"/>
                  <w:vAlign w:val="center"/>
                </w:tcPr>
                <w:p w14:paraId="04FF0F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pacing w:val="0"/>
                      <w:sz w:val="21"/>
                      <w:szCs w:val="21"/>
                    </w:rPr>
                  </w:pPr>
                  <w:r>
                    <w:rPr>
                      <w:rFonts w:hint="eastAsia" w:cs="Times New Roman"/>
                      <w:bCs/>
                      <w:color w:val="auto"/>
                      <w:spacing w:val="0"/>
                      <w:sz w:val="21"/>
                      <w:szCs w:val="21"/>
                      <w:lang w:val="en-US" w:eastAsia="zh-CN"/>
                    </w:rPr>
                    <w:t>依托现有设施</w:t>
                  </w:r>
                </w:p>
              </w:tc>
            </w:tr>
            <w:tr w14:paraId="19A9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pct"/>
                  <w:vMerge w:val="restart"/>
                  <w:tcBorders>
                    <w:tl2br w:val="nil"/>
                    <w:tr2bl w:val="nil"/>
                  </w:tcBorders>
                  <w:noWrap w:val="0"/>
                  <w:vAlign w:val="center"/>
                </w:tcPr>
                <w:p w14:paraId="48AA489F">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公用工程</w:t>
                  </w:r>
                </w:p>
              </w:tc>
              <w:tc>
                <w:tcPr>
                  <w:tcW w:w="789" w:type="pct"/>
                  <w:gridSpan w:val="2"/>
                  <w:tcBorders>
                    <w:tl2br w:val="nil"/>
                    <w:tr2bl w:val="nil"/>
                  </w:tcBorders>
                  <w:noWrap w:val="0"/>
                  <w:vAlign w:val="center"/>
                </w:tcPr>
                <w:p w14:paraId="457DD4BF">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给水</w:t>
                  </w:r>
                </w:p>
              </w:tc>
              <w:tc>
                <w:tcPr>
                  <w:tcW w:w="3404" w:type="pct"/>
                  <w:gridSpan w:val="2"/>
                  <w:tcBorders>
                    <w:tl2br w:val="nil"/>
                    <w:tr2bl w:val="nil"/>
                  </w:tcBorders>
                  <w:noWrap w:val="0"/>
                  <w:vAlign w:val="center"/>
                </w:tcPr>
                <w:p w14:paraId="61CD0E7F">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bidi="ar"/>
                    </w:rPr>
                    <w:t>由</w:t>
                  </w:r>
                  <w:r>
                    <w:rPr>
                      <w:rFonts w:hint="eastAsia" w:cs="Times New Roman"/>
                      <w:color w:val="auto"/>
                      <w:spacing w:val="0"/>
                      <w:sz w:val="21"/>
                      <w:szCs w:val="21"/>
                      <w:lang w:val="en-US" w:eastAsia="zh-CN" w:bidi="ar"/>
                    </w:rPr>
                    <w:t>当地自来水</w:t>
                  </w:r>
                  <w:r>
                    <w:rPr>
                      <w:rFonts w:hint="default" w:ascii="Times New Roman" w:hAnsi="Times New Roman" w:eastAsia="宋体" w:cs="Times New Roman"/>
                      <w:color w:val="auto"/>
                      <w:spacing w:val="0"/>
                      <w:sz w:val="21"/>
                      <w:szCs w:val="21"/>
                      <w:lang w:bidi="ar"/>
                    </w:rPr>
                    <w:t>供水管网提供</w:t>
                  </w:r>
                </w:p>
              </w:tc>
            </w:tr>
            <w:tr w14:paraId="4964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pct"/>
                  <w:vMerge w:val="continue"/>
                  <w:tcBorders>
                    <w:tl2br w:val="nil"/>
                    <w:tr2bl w:val="nil"/>
                  </w:tcBorders>
                  <w:noWrap w:val="0"/>
                  <w:vAlign w:val="center"/>
                </w:tcPr>
                <w:p w14:paraId="30907243">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p>
              </w:tc>
              <w:tc>
                <w:tcPr>
                  <w:tcW w:w="789" w:type="pct"/>
                  <w:gridSpan w:val="2"/>
                  <w:tcBorders>
                    <w:tl2br w:val="nil"/>
                    <w:tr2bl w:val="nil"/>
                  </w:tcBorders>
                  <w:noWrap w:val="0"/>
                  <w:vAlign w:val="center"/>
                </w:tcPr>
                <w:p w14:paraId="0BAF70FD">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排水</w:t>
                  </w:r>
                </w:p>
              </w:tc>
              <w:tc>
                <w:tcPr>
                  <w:tcW w:w="3404" w:type="pct"/>
                  <w:gridSpan w:val="2"/>
                  <w:tcBorders>
                    <w:tl2br w:val="nil"/>
                    <w:tr2bl w:val="nil"/>
                  </w:tcBorders>
                  <w:noWrap w:val="0"/>
                  <w:vAlign w:val="center"/>
                </w:tcPr>
                <w:p w14:paraId="26591268">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lang w:eastAsia="zh-CN" w:bidi="ar"/>
                    </w:rPr>
                  </w:pPr>
                  <w:r>
                    <w:rPr>
                      <w:rFonts w:hint="default" w:ascii="Times New Roman" w:hAnsi="Times New Roman" w:eastAsia="宋体" w:cs="Times New Roman"/>
                      <w:color w:val="auto"/>
                      <w:spacing w:val="0"/>
                      <w:sz w:val="21"/>
                      <w:szCs w:val="21"/>
                      <w:lang w:bidi="ar"/>
                    </w:rPr>
                    <w:t>雨污分流</w:t>
                  </w:r>
                </w:p>
              </w:tc>
            </w:tr>
            <w:tr w14:paraId="40A3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pct"/>
                  <w:vMerge w:val="continue"/>
                  <w:tcBorders>
                    <w:tl2br w:val="nil"/>
                    <w:tr2bl w:val="nil"/>
                  </w:tcBorders>
                  <w:noWrap w:val="0"/>
                  <w:vAlign w:val="center"/>
                </w:tcPr>
                <w:p w14:paraId="779B843C">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p>
              </w:tc>
              <w:tc>
                <w:tcPr>
                  <w:tcW w:w="789" w:type="pct"/>
                  <w:gridSpan w:val="2"/>
                  <w:tcBorders>
                    <w:tl2br w:val="nil"/>
                    <w:tr2bl w:val="nil"/>
                  </w:tcBorders>
                  <w:noWrap w:val="0"/>
                  <w:vAlign w:val="center"/>
                </w:tcPr>
                <w:p w14:paraId="5E53BA6B">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供电</w:t>
                  </w:r>
                </w:p>
              </w:tc>
              <w:tc>
                <w:tcPr>
                  <w:tcW w:w="3404" w:type="pct"/>
                  <w:gridSpan w:val="2"/>
                  <w:tcBorders>
                    <w:tl2br w:val="nil"/>
                    <w:tr2bl w:val="nil"/>
                  </w:tcBorders>
                  <w:noWrap w:val="0"/>
                  <w:vAlign w:val="center"/>
                </w:tcPr>
                <w:p w14:paraId="2F13194D">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由</w:t>
                  </w:r>
                  <w:r>
                    <w:rPr>
                      <w:rFonts w:hint="eastAsia" w:cs="Times New Roman"/>
                      <w:color w:val="auto"/>
                      <w:spacing w:val="0"/>
                      <w:sz w:val="21"/>
                      <w:szCs w:val="21"/>
                      <w:lang w:val="en-US" w:eastAsia="zh-CN" w:bidi="ar"/>
                    </w:rPr>
                    <w:t>当地</w:t>
                  </w:r>
                  <w:r>
                    <w:rPr>
                      <w:rFonts w:hint="default" w:ascii="Times New Roman" w:hAnsi="Times New Roman" w:eastAsia="宋体" w:cs="Times New Roman"/>
                      <w:color w:val="auto"/>
                      <w:spacing w:val="0"/>
                      <w:sz w:val="21"/>
                      <w:szCs w:val="21"/>
                    </w:rPr>
                    <w:t>供电线路接入</w:t>
                  </w:r>
                </w:p>
              </w:tc>
            </w:tr>
            <w:tr w14:paraId="1C08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pct"/>
                  <w:vMerge w:val="continue"/>
                  <w:tcBorders>
                    <w:tl2br w:val="nil"/>
                    <w:tr2bl w:val="nil"/>
                  </w:tcBorders>
                  <w:noWrap w:val="0"/>
                  <w:vAlign w:val="center"/>
                </w:tcPr>
                <w:p w14:paraId="1FFF7593">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p>
              </w:tc>
              <w:tc>
                <w:tcPr>
                  <w:tcW w:w="789" w:type="pct"/>
                  <w:gridSpan w:val="2"/>
                  <w:tcBorders>
                    <w:tl2br w:val="nil"/>
                    <w:tr2bl w:val="nil"/>
                  </w:tcBorders>
                  <w:noWrap w:val="0"/>
                  <w:vAlign w:val="center"/>
                </w:tcPr>
                <w:p w14:paraId="307383D9">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供热</w:t>
                  </w:r>
                </w:p>
              </w:tc>
              <w:tc>
                <w:tcPr>
                  <w:tcW w:w="3404" w:type="pct"/>
                  <w:gridSpan w:val="2"/>
                  <w:tcBorders>
                    <w:tl2br w:val="nil"/>
                    <w:tr2bl w:val="nil"/>
                  </w:tcBorders>
                  <w:noWrap w:val="0"/>
                  <w:vAlign w:val="center"/>
                </w:tcPr>
                <w:p w14:paraId="5BED0C33">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生产无需供热，办公室冬季供暖采用空调</w:t>
                  </w:r>
                </w:p>
              </w:tc>
            </w:tr>
            <w:tr w14:paraId="00C6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pct"/>
                  <w:vMerge w:val="restart"/>
                  <w:tcBorders>
                    <w:tl2br w:val="nil"/>
                    <w:tr2bl w:val="nil"/>
                  </w:tcBorders>
                  <w:noWrap w:val="0"/>
                  <w:vAlign w:val="center"/>
                </w:tcPr>
                <w:p w14:paraId="15733C65">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环保工程</w:t>
                  </w:r>
                </w:p>
              </w:tc>
              <w:tc>
                <w:tcPr>
                  <w:tcW w:w="451" w:type="pct"/>
                  <w:vMerge w:val="restart"/>
                  <w:tcBorders>
                    <w:right w:val="single" w:color="000000" w:sz="4" w:space="0"/>
                    <w:tl2br w:val="nil"/>
                    <w:tr2bl w:val="nil"/>
                  </w:tcBorders>
                  <w:noWrap w:val="0"/>
                  <w:vAlign w:val="center"/>
                </w:tcPr>
                <w:p w14:paraId="4B5E086B">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废气处理</w:t>
                  </w:r>
                </w:p>
              </w:tc>
              <w:tc>
                <w:tcPr>
                  <w:tcW w:w="338" w:type="pct"/>
                  <w:tcBorders>
                    <w:left w:val="single" w:color="000000" w:sz="4" w:space="0"/>
                    <w:bottom w:val="single" w:color="000000" w:sz="4" w:space="0"/>
                    <w:tl2br w:val="nil"/>
                    <w:tr2bl w:val="nil"/>
                  </w:tcBorders>
                  <w:noWrap w:val="0"/>
                  <w:vAlign w:val="center"/>
                </w:tcPr>
                <w:p w14:paraId="502FE105">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有组织</w:t>
                  </w:r>
                </w:p>
              </w:tc>
              <w:tc>
                <w:tcPr>
                  <w:tcW w:w="3404" w:type="pct"/>
                  <w:gridSpan w:val="2"/>
                  <w:tcBorders>
                    <w:bottom w:val="single" w:color="000000" w:sz="4" w:space="0"/>
                    <w:tl2br w:val="nil"/>
                    <w:tr2bl w:val="nil"/>
                  </w:tcBorders>
                  <w:noWrap w:val="0"/>
                  <w:vAlign w:val="center"/>
                </w:tcPr>
                <w:p w14:paraId="29E3C37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auto"/>
                      <w:spacing w:val="0"/>
                      <w:kern w:val="2"/>
                      <w:sz w:val="21"/>
                      <w:szCs w:val="21"/>
                      <w:lang w:val="en-US" w:eastAsia="zh-CN" w:bidi="ar"/>
                    </w:rPr>
                  </w:pPr>
                  <w:r>
                    <w:rPr>
                      <w:rFonts w:hint="default" w:ascii="Times New Roman" w:hAnsi="Times New Roman" w:eastAsia="宋体" w:cs="Times New Roman"/>
                      <w:color w:val="auto"/>
                      <w:spacing w:val="0"/>
                      <w:kern w:val="2"/>
                      <w:sz w:val="21"/>
                      <w:szCs w:val="21"/>
                      <w:lang w:val="en-US" w:eastAsia="zh-CN" w:bidi="ar"/>
                    </w:rPr>
                    <w:t>水泥仓</w:t>
                  </w:r>
                  <w:r>
                    <w:rPr>
                      <w:rFonts w:hint="eastAsia" w:cs="Times New Roman"/>
                      <w:color w:val="auto"/>
                      <w:spacing w:val="0"/>
                      <w:kern w:val="2"/>
                      <w:sz w:val="21"/>
                      <w:szCs w:val="21"/>
                      <w:lang w:val="en-US" w:eastAsia="zh-CN" w:bidi="ar"/>
                    </w:rPr>
                    <w:t>卸料</w:t>
                  </w:r>
                  <w:r>
                    <w:rPr>
                      <w:rFonts w:hint="eastAsia" w:ascii="Times New Roman" w:hAnsi="Times New Roman" w:eastAsia="宋体" w:cs="Times New Roman"/>
                      <w:color w:val="auto"/>
                      <w:spacing w:val="0"/>
                      <w:kern w:val="2"/>
                      <w:sz w:val="21"/>
                      <w:szCs w:val="21"/>
                      <w:lang w:val="en-US" w:eastAsia="zh-CN" w:bidi="ar"/>
                    </w:rPr>
                    <w:t>、</w:t>
                  </w:r>
                  <w:r>
                    <w:rPr>
                      <w:rFonts w:hint="default" w:ascii="Times New Roman" w:hAnsi="Times New Roman" w:eastAsia="宋体" w:cs="Times New Roman"/>
                      <w:color w:val="auto"/>
                      <w:spacing w:val="0"/>
                      <w:kern w:val="2"/>
                      <w:sz w:val="21"/>
                      <w:szCs w:val="21"/>
                      <w:lang w:val="en-US" w:eastAsia="zh-CN" w:bidi="ar"/>
                    </w:rPr>
                    <w:t>投料、搅拌产生的废气经集气罩/密闭管道收集后，通过</w:t>
                  </w:r>
                  <w:r>
                    <w:rPr>
                      <w:rFonts w:hint="eastAsia" w:cs="Times New Roman"/>
                      <w:color w:val="auto"/>
                      <w:spacing w:val="0"/>
                      <w:kern w:val="2"/>
                      <w:sz w:val="21"/>
                      <w:szCs w:val="21"/>
                      <w:lang w:val="en-US" w:eastAsia="zh-CN" w:bidi="ar"/>
                    </w:rPr>
                    <w:t>1</w:t>
                  </w:r>
                  <w:r>
                    <w:rPr>
                      <w:rFonts w:hint="default" w:ascii="Times New Roman" w:hAnsi="Times New Roman" w:eastAsia="宋体" w:cs="Times New Roman"/>
                      <w:color w:val="auto"/>
                      <w:spacing w:val="0"/>
                      <w:kern w:val="2"/>
                      <w:sz w:val="21"/>
                      <w:szCs w:val="21"/>
                      <w:lang w:val="en-US" w:eastAsia="zh-CN" w:bidi="ar"/>
                    </w:rPr>
                    <w:t>套袋式除尘器处理</w:t>
                  </w:r>
                  <w:r>
                    <w:rPr>
                      <w:rFonts w:hint="eastAsia" w:cs="Times New Roman"/>
                      <w:color w:val="auto"/>
                      <w:spacing w:val="0"/>
                      <w:kern w:val="2"/>
                      <w:sz w:val="21"/>
                      <w:szCs w:val="21"/>
                      <w:lang w:val="en-US" w:eastAsia="zh-CN" w:bidi="ar"/>
                    </w:rPr>
                    <w:t>后</w:t>
                  </w:r>
                  <w:r>
                    <w:rPr>
                      <w:rFonts w:hint="default" w:ascii="Times New Roman" w:hAnsi="Times New Roman" w:eastAsia="宋体" w:cs="Times New Roman"/>
                      <w:color w:val="auto"/>
                      <w:spacing w:val="0"/>
                      <w:kern w:val="2"/>
                      <w:sz w:val="21"/>
                      <w:szCs w:val="21"/>
                      <w:lang w:val="en-US" w:eastAsia="zh-CN" w:bidi="ar"/>
                    </w:rPr>
                    <w:t>经</w:t>
                  </w:r>
                  <w:r>
                    <w:rPr>
                      <w:rFonts w:hint="eastAsia" w:cs="Times New Roman"/>
                      <w:color w:val="auto"/>
                      <w:spacing w:val="0"/>
                      <w:kern w:val="2"/>
                      <w:sz w:val="21"/>
                      <w:szCs w:val="21"/>
                      <w:lang w:val="en-US" w:eastAsia="zh-CN" w:bidi="ar"/>
                    </w:rPr>
                    <w:t>1</w:t>
                  </w:r>
                  <w:r>
                    <w:rPr>
                      <w:rFonts w:hint="default" w:ascii="Times New Roman" w:hAnsi="Times New Roman" w:eastAsia="宋体" w:cs="Times New Roman"/>
                      <w:color w:val="auto"/>
                      <w:spacing w:val="0"/>
                      <w:kern w:val="2"/>
                      <w:sz w:val="21"/>
                      <w:szCs w:val="21"/>
                      <w:lang w:val="en-US" w:eastAsia="zh-CN" w:bidi="ar"/>
                    </w:rPr>
                    <w:t>根15m排气筒DA001</w:t>
                  </w:r>
                  <w:r>
                    <w:rPr>
                      <w:rFonts w:hint="eastAsia" w:cs="Times New Roman"/>
                      <w:color w:val="auto"/>
                      <w:spacing w:val="0"/>
                      <w:kern w:val="2"/>
                      <w:sz w:val="21"/>
                      <w:szCs w:val="21"/>
                      <w:lang w:val="en-US" w:eastAsia="zh-CN" w:bidi="ar"/>
                    </w:rPr>
                    <w:t>排放</w:t>
                  </w:r>
                </w:p>
              </w:tc>
            </w:tr>
            <w:tr w14:paraId="156A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pct"/>
                  <w:vMerge w:val="continue"/>
                  <w:tcBorders>
                    <w:tl2br w:val="nil"/>
                    <w:tr2bl w:val="nil"/>
                  </w:tcBorders>
                  <w:noWrap w:val="0"/>
                  <w:vAlign w:val="center"/>
                </w:tcPr>
                <w:p w14:paraId="62A119A0">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p>
              </w:tc>
              <w:tc>
                <w:tcPr>
                  <w:tcW w:w="451" w:type="pct"/>
                  <w:vMerge w:val="continue"/>
                  <w:tcBorders>
                    <w:right w:val="single" w:color="000000" w:sz="4" w:space="0"/>
                    <w:tl2br w:val="nil"/>
                    <w:tr2bl w:val="nil"/>
                  </w:tcBorders>
                  <w:noWrap w:val="0"/>
                  <w:vAlign w:val="center"/>
                </w:tcPr>
                <w:p w14:paraId="42850AC7">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p>
              </w:tc>
              <w:tc>
                <w:tcPr>
                  <w:tcW w:w="338" w:type="pct"/>
                  <w:tcBorders>
                    <w:top w:val="single" w:color="000000" w:sz="4" w:space="0"/>
                    <w:left w:val="single" w:color="000000" w:sz="4" w:space="0"/>
                    <w:tl2br w:val="nil"/>
                    <w:tr2bl w:val="nil"/>
                  </w:tcBorders>
                  <w:noWrap w:val="0"/>
                  <w:vAlign w:val="center"/>
                </w:tcPr>
                <w:p w14:paraId="5EB30A9E">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无组织</w:t>
                  </w:r>
                </w:p>
              </w:tc>
              <w:tc>
                <w:tcPr>
                  <w:tcW w:w="3404" w:type="pct"/>
                  <w:gridSpan w:val="2"/>
                  <w:tcBorders>
                    <w:top w:val="single" w:color="000000" w:sz="4" w:space="0"/>
                    <w:tl2br w:val="nil"/>
                    <w:tr2bl w:val="nil"/>
                  </w:tcBorders>
                  <w:noWrap w:val="0"/>
                  <w:vAlign w:val="center"/>
                </w:tcPr>
                <w:p w14:paraId="6479F091">
                  <w:pPr>
                    <w:pStyle w:val="103"/>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auto"/>
                      <w:spacing w:val="0"/>
                      <w:kern w:val="2"/>
                      <w:sz w:val="21"/>
                      <w:szCs w:val="21"/>
                      <w:lang w:val="en-US" w:eastAsia="zh-CN" w:bidi="ar"/>
                    </w:rPr>
                  </w:pPr>
                  <w:r>
                    <w:rPr>
                      <w:rFonts w:hint="default" w:ascii="Times New Roman" w:hAnsi="Times New Roman" w:eastAsia="宋体" w:cs="Times New Roman"/>
                      <w:color w:val="auto"/>
                      <w:spacing w:val="0"/>
                      <w:kern w:val="2"/>
                      <w:sz w:val="21"/>
                      <w:szCs w:val="21"/>
                      <w:lang w:val="en-US" w:eastAsia="zh-CN" w:bidi="ar"/>
                    </w:rPr>
                    <w:t>未经集气罩收集的废气、</w:t>
                  </w:r>
                  <w:r>
                    <w:rPr>
                      <w:rFonts w:hint="eastAsia" w:cs="Times New Roman"/>
                      <w:color w:val="auto"/>
                      <w:spacing w:val="0"/>
                      <w:kern w:val="2"/>
                      <w:sz w:val="21"/>
                      <w:szCs w:val="21"/>
                      <w:lang w:val="en-US" w:eastAsia="zh-CN" w:bidi="ar"/>
                    </w:rPr>
                    <w:t>沙石</w:t>
                  </w:r>
                  <w:r>
                    <w:rPr>
                      <w:rFonts w:hint="default" w:ascii="Times New Roman" w:hAnsi="Times New Roman" w:eastAsia="宋体" w:cs="Times New Roman"/>
                      <w:color w:val="auto"/>
                      <w:spacing w:val="0"/>
                      <w:kern w:val="2"/>
                      <w:sz w:val="21"/>
                      <w:szCs w:val="21"/>
                      <w:lang w:val="en-US" w:eastAsia="zh-CN" w:bidi="ar"/>
                    </w:rPr>
                    <w:t>装卸废气、车辆运输扬尘通过车间密闭、喷淋、定期洒水、进出厂车辆冲洗等措施减少无组织废气的排放。运输车辆必须经洗车设施冲洗后方可进入厂区内，厂区有专职人员定期清扫与喷洒路面，通过洒水减少运输扬尘。</w:t>
                  </w:r>
                </w:p>
              </w:tc>
            </w:tr>
            <w:tr w14:paraId="7CAD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pct"/>
                  <w:vMerge w:val="continue"/>
                  <w:tcBorders>
                    <w:tl2br w:val="nil"/>
                    <w:tr2bl w:val="nil"/>
                  </w:tcBorders>
                  <w:noWrap w:val="0"/>
                  <w:vAlign w:val="center"/>
                </w:tcPr>
                <w:p w14:paraId="5EB0D5C1">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p>
              </w:tc>
              <w:tc>
                <w:tcPr>
                  <w:tcW w:w="789" w:type="pct"/>
                  <w:gridSpan w:val="2"/>
                  <w:tcBorders>
                    <w:tl2br w:val="nil"/>
                    <w:tr2bl w:val="nil"/>
                  </w:tcBorders>
                  <w:noWrap w:val="0"/>
                  <w:vAlign w:val="center"/>
                </w:tcPr>
                <w:p w14:paraId="0A90916B">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废水处理</w:t>
                  </w:r>
                </w:p>
              </w:tc>
              <w:tc>
                <w:tcPr>
                  <w:tcW w:w="3404" w:type="pct"/>
                  <w:gridSpan w:val="2"/>
                  <w:tcBorders>
                    <w:tl2br w:val="nil"/>
                    <w:tr2bl w:val="nil"/>
                  </w:tcBorders>
                  <w:noWrap w:val="0"/>
                  <w:vAlign w:val="center"/>
                </w:tcPr>
                <w:p w14:paraId="3BB9D00D">
                  <w:pPr>
                    <w:pStyle w:val="103"/>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kern w:val="2"/>
                      <w:sz w:val="21"/>
                      <w:szCs w:val="21"/>
                      <w:lang w:val="en-US" w:eastAsia="zh-CN" w:bidi="ar-SA"/>
                    </w:rPr>
                    <w:t>生活污水经化粪池处理后委托环卫部门清运</w:t>
                  </w:r>
                  <w:r>
                    <w:rPr>
                      <w:rFonts w:hint="eastAsia" w:cs="Times New Roman"/>
                      <w:color w:val="auto"/>
                      <w:spacing w:val="0"/>
                      <w:kern w:val="2"/>
                      <w:sz w:val="21"/>
                      <w:szCs w:val="21"/>
                      <w:lang w:val="en-US" w:eastAsia="zh-CN" w:bidi="ar-SA"/>
                    </w:rPr>
                    <w:t>，</w:t>
                  </w:r>
                  <w:r>
                    <w:rPr>
                      <w:rFonts w:hint="default" w:ascii="Times New Roman" w:hAnsi="Times New Roman" w:eastAsia="宋体" w:cs="Times New Roman"/>
                      <w:color w:val="auto"/>
                      <w:spacing w:val="0"/>
                      <w:kern w:val="2"/>
                      <w:sz w:val="21"/>
                      <w:szCs w:val="21"/>
                      <w:lang w:val="en-US" w:eastAsia="zh-CN" w:bidi="ar-SA"/>
                    </w:rPr>
                    <w:t>车辆冲洗废水经过沉淀池处理后循环使用，设备及模具清洗废水经过沉淀池处理后回用于搅拌工序</w:t>
                  </w:r>
                  <w:r>
                    <w:rPr>
                      <w:rFonts w:hint="eastAsia" w:cs="Times New Roman"/>
                      <w:color w:val="auto"/>
                      <w:spacing w:val="0"/>
                      <w:kern w:val="2"/>
                      <w:sz w:val="21"/>
                      <w:szCs w:val="21"/>
                      <w:lang w:val="en-US" w:eastAsia="zh-CN" w:bidi="ar-SA"/>
                    </w:rPr>
                    <w:t>，脱膜剂稀释用水、降尘用水全部损耗</w:t>
                  </w:r>
                </w:p>
              </w:tc>
            </w:tr>
            <w:tr w14:paraId="2EE5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pct"/>
                  <w:vMerge w:val="continue"/>
                  <w:tcBorders>
                    <w:tl2br w:val="nil"/>
                    <w:tr2bl w:val="nil"/>
                  </w:tcBorders>
                  <w:noWrap w:val="0"/>
                  <w:vAlign w:val="center"/>
                </w:tcPr>
                <w:p w14:paraId="73A18C37">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p>
              </w:tc>
              <w:tc>
                <w:tcPr>
                  <w:tcW w:w="789" w:type="pct"/>
                  <w:gridSpan w:val="2"/>
                  <w:tcBorders>
                    <w:tl2br w:val="nil"/>
                    <w:tr2bl w:val="nil"/>
                  </w:tcBorders>
                  <w:noWrap w:val="0"/>
                  <w:vAlign w:val="center"/>
                </w:tcPr>
                <w:p w14:paraId="2FEF50C5">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噪声处理</w:t>
                  </w:r>
                </w:p>
              </w:tc>
              <w:tc>
                <w:tcPr>
                  <w:tcW w:w="3404" w:type="pct"/>
                  <w:gridSpan w:val="2"/>
                  <w:tcBorders>
                    <w:tl2br w:val="nil"/>
                    <w:tr2bl w:val="nil"/>
                  </w:tcBorders>
                  <w:noWrap w:val="0"/>
                  <w:vAlign w:val="center"/>
                </w:tcPr>
                <w:p w14:paraId="5DC6037A">
                  <w:pPr>
                    <w:pStyle w:val="103"/>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color w:val="auto"/>
                      <w:spacing w:val="0"/>
                      <w:kern w:val="2"/>
                      <w:sz w:val="21"/>
                      <w:szCs w:val="21"/>
                      <w:lang w:val="en-US" w:eastAsia="zh-CN" w:bidi="ar-SA"/>
                    </w:rPr>
                    <w:t>基础减振，车间隔声，设备维护</w:t>
                  </w:r>
                </w:p>
              </w:tc>
            </w:tr>
            <w:tr w14:paraId="6920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pct"/>
                  <w:vMerge w:val="continue"/>
                  <w:tcBorders>
                    <w:tl2br w:val="nil"/>
                    <w:tr2bl w:val="nil"/>
                  </w:tcBorders>
                  <w:noWrap w:val="0"/>
                  <w:vAlign w:val="center"/>
                </w:tcPr>
                <w:p w14:paraId="5A856838">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p>
              </w:tc>
              <w:tc>
                <w:tcPr>
                  <w:tcW w:w="789" w:type="pct"/>
                  <w:gridSpan w:val="2"/>
                  <w:tcBorders>
                    <w:tl2br w:val="nil"/>
                    <w:tr2bl w:val="nil"/>
                  </w:tcBorders>
                  <w:noWrap w:val="0"/>
                  <w:vAlign w:val="center"/>
                </w:tcPr>
                <w:p w14:paraId="52FA0B1B">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固废处理</w:t>
                  </w:r>
                </w:p>
              </w:tc>
              <w:tc>
                <w:tcPr>
                  <w:tcW w:w="3404" w:type="pct"/>
                  <w:gridSpan w:val="2"/>
                  <w:tcBorders>
                    <w:tl2br w:val="nil"/>
                    <w:tr2bl w:val="nil"/>
                  </w:tcBorders>
                  <w:noWrap w:val="0"/>
                  <w:vAlign w:val="center"/>
                </w:tcPr>
                <w:p w14:paraId="0EC8756A">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kern w:val="2"/>
                      <w:sz w:val="21"/>
                      <w:szCs w:val="21"/>
                      <w:lang w:val="en-US" w:eastAsia="zh-CN" w:bidi="ar-SA"/>
                    </w:rPr>
                    <w:t>生活垃圾委托环卫部门</w:t>
                  </w:r>
                  <w:r>
                    <w:rPr>
                      <w:rFonts w:hint="eastAsia" w:cs="Times New Roman"/>
                      <w:color w:val="auto"/>
                      <w:spacing w:val="0"/>
                      <w:kern w:val="2"/>
                      <w:sz w:val="21"/>
                      <w:szCs w:val="21"/>
                      <w:lang w:val="en-US" w:eastAsia="zh-CN" w:bidi="ar-SA"/>
                    </w:rPr>
                    <w:t>清运</w:t>
                  </w:r>
                  <w:r>
                    <w:rPr>
                      <w:rFonts w:hint="default" w:ascii="Times New Roman" w:hAnsi="Times New Roman" w:eastAsia="宋体" w:cs="Times New Roman"/>
                      <w:color w:val="auto"/>
                      <w:spacing w:val="0"/>
                      <w:kern w:val="2"/>
                      <w:sz w:val="21"/>
                      <w:szCs w:val="21"/>
                      <w:lang w:val="en-US" w:eastAsia="zh-CN" w:bidi="ar-SA"/>
                    </w:rPr>
                    <w:t>；</w:t>
                  </w:r>
                  <w:r>
                    <w:rPr>
                      <w:rFonts w:hint="eastAsia" w:ascii="Times New Roman" w:hAnsi="Times New Roman" w:eastAsia="宋体" w:cs="Times New Roman"/>
                      <w:color w:val="auto"/>
                      <w:spacing w:val="0"/>
                      <w:kern w:val="2"/>
                      <w:sz w:val="21"/>
                      <w:szCs w:val="21"/>
                      <w:lang w:val="en-US" w:eastAsia="zh-CN" w:bidi="ar-SA"/>
                    </w:rPr>
                    <w:t>收集的</w:t>
                  </w:r>
                  <w:r>
                    <w:rPr>
                      <w:rFonts w:hint="eastAsia" w:cs="Times New Roman"/>
                      <w:color w:val="auto"/>
                      <w:spacing w:val="0"/>
                      <w:kern w:val="2"/>
                      <w:sz w:val="21"/>
                      <w:szCs w:val="21"/>
                      <w:lang w:val="en-US" w:eastAsia="zh-CN" w:bidi="ar-SA"/>
                    </w:rPr>
                    <w:t>原料粉尘（包括除尘器收尘和车间地面收尘）</w:t>
                  </w:r>
                  <w:r>
                    <w:rPr>
                      <w:rFonts w:hint="default" w:ascii="Times New Roman" w:hAnsi="Times New Roman" w:eastAsia="宋体" w:cs="Times New Roman"/>
                      <w:color w:val="auto"/>
                      <w:spacing w:val="0"/>
                      <w:kern w:val="2"/>
                      <w:sz w:val="21"/>
                      <w:szCs w:val="21"/>
                      <w:lang w:val="en-US" w:eastAsia="zh-CN" w:bidi="ar-SA"/>
                    </w:rPr>
                    <w:t>回用于生产；废布袋、</w:t>
                  </w:r>
                  <w:r>
                    <w:rPr>
                      <w:rFonts w:hint="eastAsia" w:cs="Times New Roman"/>
                      <w:color w:val="auto"/>
                      <w:spacing w:val="0"/>
                      <w:kern w:val="2"/>
                      <w:sz w:val="21"/>
                      <w:szCs w:val="21"/>
                      <w:lang w:val="en-US" w:eastAsia="zh-CN" w:bidi="ar-SA"/>
                    </w:rPr>
                    <w:t>废钢筋</w:t>
                  </w:r>
                  <w:r>
                    <w:rPr>
                      <w:rFonts w:hint="default" w:ascii="Times New Roman" w:hAnsi="Times New Roman" w:eastAsia="宋体" w:cs="Times New Roman"/>
                      <w:color w:val="auto"/>
                      <w:spacing w:val="0"/>
                      <w:kern w:val="2"/>
                      <w:sz w:val="21"/>
                      <w:szCs w:val="21"/>
                      <w:lang w:val="en-US" w:eastAsia="zh-CN" w:bidi="ar-SA"/>
                    </w:rPr>
                    <w:t>、</w:t>
                  </w:r>
                  <w:r>
                    <w:rPr>
                      <w:rFonts w:hint="eastAsia" w:cs="Times New Roman"/>
                      <w:color w:val="auto"/>
                      <w:spacing w:val="0"/>
                      <w:kern w:val="2"/>
                      <w:sz w:val="21"/>
                      <w:szCs w:val="21"/>
                      <w:lang w:val="en-US" w:eastAsia="zh-CN" w:bidi="ar-SA"/>
                    </w:rPr>
                    <w:t>沉淀池沉渣、废混凝土渣、</w:t>
                  </w:r>
                  <w:r>
                    <w:rPr>
                      <w:rFonts w:hint="default" w:ascii="Times New Roman" w:hAnsi="Times New Roman" w:eastAsia="宋体" w:cs="Times New Roman"/>
                      <w:color w:val="auto"/>
                      <w:spacing w:val="0"/>
                      <w:kern w:val="2"/>
                      <w:sz w:val="21"/>
                      <w:szCs w:val="21"/>
                      <w:lang w:val="en-US" w:eastAsia="zh-CN" w:bidi="ar-SA"/>
                    </w:rPr>
                    <w:t>废脱模剂包装桶、</w:t>
                  </w:r>
                  <w:r>
                    <w:rPr>
                      <w:rFonts w:hint="eastAsia" w:cs="Times New Roman"/>
                      <w:color w:val="auto"/>
                      <w:spacing w:val="0"/>
                      <w:kern w:val="2"/>
                      <w:sz w:val="21"/>
                      <w:szCs w:val="21"/>
                      <w:lang w:val="en-US" w:eastAsia="zh-CN" w:bidi="ar-SA"/>
                    </w:rPr>
                    <w:t>不合格品</w:t>
                  </w:r>
                  <w:r>
                    <w:rPr>
                      <w:rFonts w:hint="default" w:ascii="Times New Roman" w:hAnsi="Times New Roman" w:eastAsia="宋体" w:cs="Times New Roman"/>
                      <w:color w:val="auto"/>
                      <w:spacing w:val="0"/>
                      <w:kern w:val="2"/>
                      <w:sz w:val="21"/>
                      <w:szCs w:val="21"/>
                      <w:lang w:val="en-US" w:eastAsia="zh-CN" w:bidi="ar-SA"/>
                    </w:rPr>
                    <w:t>外售；废润滑油、废润滑油桶</w:t>
                  </w:r>
                  <w:r>
                    <w:rPr>
                      <w:rFonts w:hint="eastAsia" w:cs="Times New Roman"/>
                      <w:color w:val="auto"/>
                      <w:spacing w:val="0"/>
                      <w:kern w:val="2"/>
                      <w:sz w:val="21"/>
                      <w:szCs w:val="21"/>
                      <w:lang w:val="en-US" w:eastAsia="zh-CN" w:bidi="ar-SA"/>
                    </w:rPr>
                    <w:t>、废吸油毡</w:t>
                  </w:r>
                  <w:r>
                    <w:rPr>
                      <w:rFonts w:hint="default" w:ascii="Times New Roman" w:hAnsi="Times New Roman" w:eastAsia="宋体" w:cs="Times New Roman"/>
                      <w:color w:val="auto"/>
                      <w:spacing w:val="0"/>
                      <w:kern w:val="2"/>
                      <w:sz w:val="21"/>
                      <w:szCs w:val="21"/>
                      <w:lang w:val="en-US" w:eastAsia="zh-CN" w:bidi="ar-SA"/>
                    </w:rPr>
                    <w:t>委托资质单位处置</w:t>
                  </w:r>
                </w:p>
              </w:tc>
            </w:tr>
          </w:tbl>
          <w:p w14:paraId="3CB2DA66">
            <w:pPr>
              <w:spacing w:line="360" w:lineRule="auto"/>
              <w:ind w:firstLine="482" w:firstLineChars="200"/>
              <w:rPr>
                <w:rFonts w:hint="default" w:ascii="Times New Roman" w:hAnsi="Times New Roman" w:eastAsia="宋体" w:cs="Times New Roman"/>
                <w:b/>
                <w:color w:val="auto"/>
                <w:spacing w:val="0"/>
                <w:sz w:val="24"/>
              </w:rPr>
            </w:pPr>
            <w:r>
              <w:rPr>
                <w:rFonts w:hint="eastAsia" w:ascii="Times New Roman" w:hAnsi="Times New Roman" w:eastAsia="宋体" w:cs="Times New Roman"/>
                <w:b/>
                <w:color w:val="auto"/>
                <w:spacing w:val="0"/>
                <w:sz w:val="24"/>
                <w:lang w:val="en-US" w:eastAsia="zh-CN"/>
              </w:rPr>
              <w:t>二</w:t>
            </w:r>
            <w:r>
              <w:rPr>
                <w:rFonts w:hint="default" w:ascii="Times New Roman" w:hAnsi="Times New Roman" w:eastAsia="宋体" w:cs="Times New Roman"/>
                <w:b/>
                <w:color w:val="auto"/>
                <w:spacing w:val="0"/>
                <w:sz w:val="24"/>
                <w:lang w:val="en-US" w:eastAsia="zh-CN"/>
              </w:rPr>
              <w:t>、</w:t>
            </w:r>
            <w:r>
              <w:rPr>
                <w:rFonts w:hint="default" w:ascii="Times New Roman" w:hAnsi="Times New Roman" w:eastAsia="宋体" w:cs="Times New Roman"/>
                <w:b/>
                <w:color w:val="auto"/>
                <w:spacing w:val="0"/>
                <w:sz w:val="24"/>
              </w:rPr>
              <w:t>产品规模</w:t>
            </w:r>
          </w:p>
          <w:p w14:paraId="2EB3D902">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snapToGrid w:val="0"/>
                <w:color w:val="auto"/>
                <w:spacing w:val="0"/>
                <w:kern w:val="0"/>
                <w:sz w:val="24"/>
              </w:rPr>
            </w:pPr>
            <w:r>
              <w:rPr>
                <w:rFonts w:hint="default" w:ascii="Times New Roman" w:hAnsi="Times New Roman" w:eastAsia="宋体" w:cs="Times New Roman"/>
                <w:b/>
                <w:bCs/>
                <w:snapToGrid w:val="0"/>
                <w:color w:val="auto"/>
                <w:spacing w:val="0"/>
                <w:kern w:val="0"/>
                <w:sz w:val="24"/>
              </w:rPr>
              <w:t>项目产品方案</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1"/>
              <w:gridCol w:w="1392"/>
              <w:gridCol w:w="3951"/>
            </w:tblGrid>
            <w:tr w14:paraId="2DCB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0" w:type="pct"/>
                  <w:tcBorders>
                    <w:tl2br w:val="nil"/>
                    <w:tr2bl w:val="nil"/>
                  </w:tcBorders>
                  <w:noWrap w:val="0"/>
                  <w:vAlign w:val="center"/>
                </w:tcPr>
                <w:p w14:paraId="153B60A4">
                  <w:pPr>
                    <w:pStyle w:val="144"/>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baseline"/>
                    <w:rPr>
                      <w:rFonts w:hint="default" w:ascii="Times New Roman" w:hAnsi="Times New Roman" w:eastAsia="宋体" w:cs="Times New Roman"/>
                      <w:b/>
                      <w:bCs/>
                      <w:color w:val="auto"/>
                      <w:spacing w:val="0"/>
                      <w:sz w:val="21"/>
                      <w:szCs w:val="21"/>
                      <w:highlight w:val="none"/>
                      <w:lang w:val="en-US" w:eastAsia="zh-CN"/>
                    </w:rPr>
                  </w:pPr>
                  <w:r>
                    <w:rPr>
                      <w:rFonts w:hint="default" w:ascii="Times New Roman" w:hAnsi="Times New Roman" w:eastAsia="宋体" w:cs="Times New Roman"/>
                      <w:b/>
                      <w:bCs/>
                      <w:color w:val="auto"/>
                      <w:spacing w:val="0"/>
                      <w:sz w:val="21"/>
                      <w:szCs w:val="21"/>
                      <w:highlight w:val="none"/>
                    </w:rPr>
                    <w:t>产品</w:t>
                  </w:r>
                </w:p>
              </w:tc>
              <w:tc>
                <w:tcPr>
                  <w:tcW w:w="888" w:type="pct"/>
                  <w:tcBorders>
                    <w:tl2br w:val="nil"/>
                    <w:tr2bl w:val="nil"/>
                  </w:tcBorders>
                  <w:noWrap w:val="0"/>
                  <w:vAlign w:val="center"/>
                </w:tcPr>
                <w:p w14:paraId="5EA9B041">
                  <w:pPr>
                    <w:pStyle w:val="144"/>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baseline"/>
                    <w:rPr>
                      <w:rFonts w:hint="default" w:ascii="Times New Roman" w:hAnsi="Times New Roman" w:eastAsia="宋体" w:cs="Times New Roman"/>
                      <w:b/>
                      <w:bCs/>
                      <w:color w:val="auto"/>
                      <w:spacing w:val="0"/>
                      <w:sz w:val="21"/>
                      <w:szCs w:val="21"/>
                      <w:highlight w:val="none"/>
                      <w:lang w:val="en-US" w:eastAsia="zh-CN"/>
                    </w:rPr>
                  </w:pPr>
                  <w:r>
                    <w:rPr>
                      <w:rFonts w:hint="default" w:ascii="Times New Roman" w:hAnsi="Times New Roman" w:eastAsia="宋体" w:cs="Times New Roman"/>
                      <w:b/>
                      <w:bCs/>
                      <w:color w:val="auto"/>
                      <w:spacing w:val="0"/>
                      <w:sz w:val="21"/>
                      <w:szCs w:val="21"/>
                      <w:highlight w:val="none"/>
                      <w:lang w:val="en-US" w:eastAsia="zh-CN"/>
                    </w:rPr>
                    <w:t>产量</w:t>
                  </w:r>
                </w:p>
              </w:tc>
              <w:tc>
                <w:tcPr>
                  <w:tcW w:w="2521" w:type="pct"/>
                  <w:tcBorders>
                    <w:tl2br w:val="nil"/>
                    <w:tr2bl w:val="nil"/>
                  </w:tcBorders>
                  <w:noWrap w:val="0"/>
                  <w:vAlign w:val="center"/>
                </w:tcPr>
                <w:p w14:paraId="748AFC03">
                  <w:pPr>
                    <w:pStyle w:val="144"/>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baseline"/>
                    <w:rPr>
                      <w:rFonts w:hint="default" w:ascii="Times New Roman" w:hAnsi="Times New Roman" w:eastAsia="宋体" w:cs="Times New Roman"/>
                      <w:b/>
                      <w:bCs/>
                      <w:color w:val="auto"/>
                      <w:spacing w:val="0"/>
                      <w:sz w:val="21"/>
                      <w:szCs w:val="21"/>
                      <w:highlight w:val="none"/>
                      <w:lang w:val="en-US" w:eastAsia="zh-CN"/>
                    </w:rPr>
                  </w:pPr>
                  <w:r>
                    <w:rPr>
                      <w:rFonts w:hint="default" w:ascii="Times New Roman" w:hAnsi="Times New Roman" w:eastAsia="宋体" w:cs="Times New Roman"/>
                      <w:b/>
                      <w:bCs/>
                      <w:color w:val="auto"/>
                      <w:spacing w:val="0"/>
                      <w:sz w:val="21"/>
                      <w:szCs w:val="21"/>
                      <w:highlight w:val="none"/>
                      <w:lang w:val="en-US" w:eastAsia="zh-CN"/>
                    </w:rPr>
                    <w:t>备注</w:t>
                  </w:r>
                </w:p>
              </w:tc>
            </w:tr>
            <w:tr w14:paraId="1042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0" w:type="pct"/>
                  <w:tcBorders>
                    <w:tl2br w:val="nil"/>
                    <w:tr2bl w:val="nil"/>
                  </w:tcBorders>
                  <w:noWrap w:val="0"/>
                  <w:vAlign w:val="center"/>
                </w:tcPr>
                <w:p w14:paraId="40CA9141">
                  <w:pPr>
                    <w:pStyle w:val="144"/>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baseline"/>
                    <w:rPr>
                      <w:rFonts w:hint="default" w:ascii="Times New Roman" w:hAnsi="Times New Roman" w:eastAsia="宋体" w:cs="Times New Roman"/>
                      <w:b w:val="0"/>
                      <w:bCs w:val="0"/>
                      <w:color w:val="auto"/>
                      <w:spacing w:val="0"/>
                      <w:sz w:val="21"/>
                      <w:szCs w:val="21"/>
                      <w:highlight w:val="none"/>
                      <w:lang w:val="en-US" w:eastAsia="zh-CN"/>
                    </w:rPr>
                  </w:pPr>
                  <w:r>
                    <w:rPr>
                      <w:rFonts w:hint="default" w:ascii="Times New Roman" w:hAnsi="Times New Roman" w:eastAsia="宋体" w:cs="Times New Roman"/>
                      <w:color w:val="auto"/>
                      <w:spacing w:val="0"/>
                      <w:sz w:val="21"/>
                      <w:szCs w:val="21"/>
                      <w:lang w:val="en-US" w:eastAsia="zh-CN"/>
                    </w:rPr>
                    <w:t>水泥</w:t>
                  </w:r>
                  <w:r>
                    <w:rPr>
                      <w:rFonts w:hint="eastAsia" w:cs="Times New Roman"/>
                      <w:color w:val="auto"/>
                      <w:spacing w:val="0"/>
                      <w:sz w:val="21"/>
                      <w:szCs w:val="21"/>
                      <w:lang w:val="en-US" w:eastAsia="zh-CN"/>
                    </w:rPr>
                    <w:t>预制件</w:t>
                  </w:r>
                </w:p>
              </w:tc>
              <w:tc>
                <w:tcPr>
                  <w:tcW w:w="888" w:type="pct"/>
                  <w:tcBorders>
                    <w:tl2br w:val="nil"/>
                    <w:tr2bl w:val="nil"/>
                  </w:tcBorders>
                  <w:noWrap w:val="0"/>
                  <w:vAlign w:val="center"/>
                </w:tcPr>
                <w:p w14:paraId="346149AE">
                  <w:pPr>
                    <w:pStyle w:val="144"/>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baseline"/>
                    <w:rPr>
                      <w:rFonts w:hint="default" w:ascii="Times New Roman" w:hAnsi="Times New Roman" w:eastAsia="宋体" w:cs="Times New Roman"/>
                      <w:b w:val="0"/>
                      <w:bCs w:val="0"/>
                      <w:color w:val="auto"/>
                      <w:spacing w:val="0"/>
                      <w:sz w:val="21"/>
                      <w:szCs w:val="21"/>
                      <w:highlight w:val="none"/>
                      <w:lang w:val="en-US" w:eastAsia="zh-CN"/>
                    </w:rPr>
                  </w:pPr>
                  <w:r>
                    <w:rPr>
                      <w:rFonts w:hint="eastAsia" w:cs="Times New Roman"/>
                      <w:b w:val="0"/>
                      <w:bCs w:val="0"/>
                      <w:color w:val="auto"/>
                      <w:spacing w:val="0"/>
                      <w:sz w:val="21"/>
                      <w:szCs w:val="21"/>
                      <w:highlight w:val="none"/>
                      <w:lang w:val="en-US" w:eastAsia="zh-CN"/>
                    </w:rPr>
                    <w:t>26000t/a</w:t>
                  </w:r>
                </w:p>
              </w:tc>
              <w:tc>
                <w:tcPr>
                  <w:tcW w:w="2521" w:type="pct"/>
                  <w:tcBorders>
                    <w:tl2br w:val="nil"/>
                    <w:tr2bl w:val="nil"/>
                  </w:tcBorders>
                  <w:noWrap w:val="0"/>
                  <w:vAlign w:val="center"/>
                </w:tcPr>
                <w:p w14:paraId="72C31A77">
                  <w:pPr>
                    <w:pStyle w:val="144"/>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baseline"/>
                    <w:rPr>
                      <w:rFonts w:hint="default" w:ascii="Times New Roman" w:hAnsi="Times New Roman" w:eastAsia="宋体" w:cs="Times New Roman"/>
                      <w:b w:val="0"/>
                      <w:bCs w:val="0"/>
                      <w:color w:val="auto"/>
                      <w:spacing w:val="0"/>
                      <w:sz w:val="21"/>
                      <w:szCs w:val="21"/>
                      <w:highlight w:val="none"/>
                      <w:lang w:val="en-US" w:eastAsia="zh-CN"/>
                    </w:rPr>
                  </w:pPr>
                  <w:r>
                    <w:rPr>
                      <w:rFonts w:hint="default" w:ascii="Times New Roman" w:hAnsi="Times New Roman" w:eastAsia="宋体" w:cs="Times New Roman"/>
                      <w:b w:val="0"/>
                      <w:bCs w:val="0"/>
                      <w:color w:val="auto"/>
                      <w:spacing w:val="0"/>
                      <w:sz w:val="21"/>
                      <w:szCs w:val="21"/>
                      <w:highlight w:val="none"/>
                      <w:lang w:val="en-US" w:eastAsia="zh-CN"/>
                    </w:rPr>
                    <w:t>根据客户要求</w:t>
                  </w:r>
                  <w:r>
                    <w:rPr>
                      <w:rFonts w:hint="eastAsia" w:cs="Times New Roman"/>
                      <w:b w:val="0"/>
                      <w:bCs w:val="0"/>
                      <w:color w:val="auto"/>
                      <w:spacing w:val="0"/>
                      <w:sz w:val="21"/>
                      <w:szCs w:val="21"/>
                      <w:highlight w:val="none"/>
                      <w:lang w:val="en-US" w:eastAsia="zh-CN"/>
                    </w:rPr>
                    <w:t>，通过不同模具生产不同规格的产品</w:t>
                  </w:r>
                </w:p>
              </w:tc>
            </w:tr>
          </w:tbl>
          <w:p w14:paraId="3ABF964A">
            <w:pPr>
              <w:spacing w:line="360" w:lineRule="auto"/>
              <w:ind w:firstLine="482" w:firstLineChars="200"/>
              <w:rPr>
                <w:rFonts w:hint="default" w:ascii="Times New Roman" w:hAnsi="Times New Roman" w:eastAsia="宋体" w:cs="Times New Roman"/>
                <w:b/>
                <w:color w:val="auto"/>
                <w:spacing w:val="0"/>
                <w:sz w:val="24"/>
                <w:lang w:val="en-US" w:eastAsia="zh-CN"/>
              </w:rPr>
            </w:pPr>
            <w:r>
              <w:rPr>
                <w:rFonts w:hint="default" w:ascii="Times New Roman" w:hAnsi="Times New Roman" w:eastAsia="宋体" w:cs="Times New Roman"/>
                <w:b/>
                <w:color w:val="auto"/>
                <w:spacing w:val="0"/>
                <w:sz w:val="24"/>
                <w:lang w:val="en-US" w:eastAsia="zh-CN"/>
              </w:rPr>
              <w:t>三、</w:t>
            </w:r>
            <w:r>
              <w:rPr>
                <w:rFonts w:hint="eastAsia" w:ascii="Times New Roman" w:hAnsi="Times New Roman" w:eastAsia="宋体" w:cs="Times New Roman"/>
                <w:b/>
                <w:color w:val="auto"/>
                <w:spacing w:val="0"/>
                <w:sz w:val="24"/>
                <w:lang w:val="en-US" w:eastAsia="zh-CN"/>
              </w:rPr>
              <w:t>生产</w:t>
            </w:r>
            <w:r>
              <w:rPr>
                <w:rFonts w:hint="default" w:ascii="Times New Roman" w:hAnsi="Times New Roman" w:eastAsia="宋体" w:cs="Times New Roman"/>
                <w:b/>
                <w:color w:val="auto"/>
                <w:spacing w:val="0"/>
                <w:sz w:val="24"/>
                <w:lang w:val="en-US" w:eastAsia="zh-CN"/>
              </w:rPr>
              <w:t>设备</w:t>
            </w:r>
          </w:p>
          <w:p w14:paraId="631DDA28">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snapToGrid w:val="0"/>
                <w:color w:val="auto"/>
                <w:spacing w:val="0"/>
                <w:kern w:val="0"/>
                <w:sz w:val="24"/>
              </w:rPr>
            </w:pPr>
            <w:r>
              <w:rPr>
                <w:rFonts w:hint="eastAsia" w:cs="Times New Roman"/>
                <w:b/>
                <w:bCs/>
                <w:snapToGrid w:val="0"/>
                <w:color w:val="auto"/>
                <w:spacing w:val="0"/>
                <w:kern w:val="0"/>
                <w:sz w:val="24"/>
                <w:lang w:val="en-US" w:eastAsia="zh-CN"/>
              </w:rPr>
              <w:t>生产</w:t>
            </w:r>
            <w:r>
              <w:rPr>
                <w:rFonts w:hint="default" w:ascii="Times New Roman" w:hAnsi="Times New Roman" w:eastAsia="宋体" w:cs="Times New Roman"/>
                <w:b/>
                <w:bCs/>
                <w:snapToGrid w:val="0"/>
                <w:color w:val="auto"/>
                <w:spacing w:val="0"/>
                <w:kern w:val="0"/>
                <w:sz w:val="24"/>
              </w:rPr>
              <w:t>设备情况一览表</w:t>
            </w:r>
          </w:p>
          <w:tbl>
            <w:tblPr>
              <w:tblStyle w:val="3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3"/>
              <w:gridCol w:w="2346"/>
              <w:gridCol w:w="2015"/>
              <w:gridCol w:w="2470"/>
            </w:tblGrid>
            <w:tr w14:paraId="35AAD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40" w:type="pct"/>
                  <w:tcBorders>
                    <w:tl2br w:val="nil"/>
                    <w:tr2bl w:val="nil"/>
                  </w:tcBorders>
                  <w:noWrap/>
                  <w:vAlign w:val="center"/>
                </w:tcPr>
                <w:p w14:paraId="7766E16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color w:val="auto"/>
                      <w:spacing w:val="0"/>
                      <w:sz w:val="21"/>
                      <w:szCs w:val="21"/>
                      <w:highlight w:val="none"/>
                      <w:lang w:bidi="ar"/>
                    </w:rPr>
                  </w:pPr>
                  <w:r>
                    <w:rPr>
                      <w:rFonts w:hint="default" w:ascii="Times New Roman" w:hAnsi="Times New Roman" w:eastAsia="宋体" w:cs="Times New Roman"/>
                      <w:b/>
                      <w:bCs/>
                      <w:color w:val="auto"/>
                      <w:spacing w:val="0"/>
                      <w:sz w:val="21"/>
                      <w:szCs w:val="21"/>
                      <w:highlight w:val="none"/>
                      <w:lang w:bidi="ar"/>
                    </w:rPr>
                    <w:t>序号</w:t>
                  </w:r>
                </w:p>
              </w:tc>
              <w:tc>
                <w:tcPr>
                  <w:tcW w:w="1497" w:type="pct"/>
                  <w:tcBorders>
                    <w:tl2br w:val="nil"/>
                    <w:tr2bl w:val="nil"/>
                  </w:tcBorders>
                  <w:noWrap/>
                  <w:vAlign w:val="center"/>
                </w:tcPr>
                <w:p w14:paraId="103B8D9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color w:val="auto"/>
                      <w:spacing w:val="0"/>
                      <w:sz w:val="21"/>
                      <w:szCs w:val="21"/>
                      <w:highlight w:val="none"/>
                      <w:lang w:bidi="ar"/>
                    </w:rPr>
                  </w:pPr>
                  <w:r>
                    <w:rPr>
                      <w:rFonts w:hint="default" w:ascii="Times New Roman" w:hAnsi="Times New Roman" w:eastAsia="宋体" w:cs="Times New Roman"/>
                      <w:b/>
                      <w:bCs/>
                      <w:color w:val="auto"/>
                      <w:spacing w:val="0"/>
                      <w:sz w:val="21"/>
                      <w:szCs w:val="21"/>
                      <w:highlight w:val="none"/>
                      <w:lang w:bidi="ar"/>
                    </w:rPr>
                    <w:t>名称</w:t>
                  </w:r>
                </w:p>
              </w:tc>
              <w:tc>
                <w:tcPr>
                  <w:tcW w:w="1286" w:type="pct"/>
                  <w:tcBorders>
                    <w:tl2br w:val="nil"/>
                    <w:tr2bl w:val="nil"/>
                  </w:tcBorders>
                  <w:noWrap/>
                  <w:vAlign w:val="center"/>
                </w:tcPr>
                <w:p w14:paraId="79E9F04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color w:val="auto"/>
                      <w:spacing w:val="0"/>
                      <w:sz w:val="21"/>
                      <w:szCs w:val="21"/>
                      <w:highlight w:val="none"/>
                      <w:lang w:bidi="ar"/>
                    </w:rPr>
                  </w:pPr>
                  <w:r>
                    <w:rPr>
                      <w:rFonts w:hint="default" w:ascii="Times New Roman" w:hAnsi="Times New Roman" w:eastAsia="宋体" w:cs="Times New Roman"/>
                      <w:b/>
                      <w:bCs/>
                      <w:color w:val="auto"/>
                      <w:spacing w:val="0"/>
                      <w:sz w:val="21"/>
                      <w:szCs w:val="21"/>
                      <w:highlight w:val="none"/>
                      <w:lang w:bidi="ar"/>
                    </w:rPr>
                    <w:t>数量</w:t>
                  </w:r>
                </w:p>
              </w:tc>
              <w:tc>
                <w:tcPr>
                  <w:tcW w:w="1576" w:type="pct"/>
                  <w:tcBorders>
                    <w:tl2br w:val="nil"/>
                    <w:tr2bl w:val="nil"/>
                  </w:tcBorders>
                  <w:noWrap/>
                  <w:vAlign w:val="center"/>
                </w:tcPr>
                <w:p w14:paraId="3A31095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color w:val="auto"/>
                      <w:spacing w:val="0"/>
                      <w:sz w:val="21"/>
                      <w:szCs w:val="21"/>
                      <w:highlight w:val="none"/>
                      <w:lang w:bidi="ar"/>
                    </w:rPr>
                  </w:pPr>
                  <w:r>
                    <w:rPr>
                      <w:rFonts w:hint="default" w:ascii="Times New Roman" w:hAnsi="Times New Roman" w:eastAsia="宋体" w:cs="Times New Roman"/>
                      <w:b/>
                      <w:bCs/>
                      <w:color w:val="auto"/>
                      <w:spacing w:val="0"/>
                      <w:sz w:val="21"/>
                      <w:szCs w:val="21"/>
                      <w:highlight w:val="none"/>
                      <w:lang w:bidi="ar"/>
                    </w:rPr>
                    <w:t>规格型号</w:t>
                  </w:r>
                </w:p>
              </w:tc>
            </w:tr>
            <w:tr w14:paraId="1F8BC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40" w:type="pct"/>
                  <w:tcBorders>
                    <w:tl2br w:val="nil"/>
                    <w:tr2bl w:val="nil"/>
                  </w:tcBorders>
                  <w:noWrap/>
                  <w:vAlign w:val="center"/>
                </w:tcPr>
                <w:p w14:paraId="6270899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bidi="ar"/>
                    </w:rPr>
                  </w:pPr>
                  <w:r>
                    <w:rPr>
                      <w:rFonts w:hint="default" w:ascii="Times New Roman" w:hAnsi="Times New Roman" w:eastAsia="宋体" w:cs="Times New Roman"/>
                      <w:color w:val="auto"/>
                      <w:spacing w:val="0"/>
                      <w:sz w:val="21"/>
                      <w:szCs w:val="21"/>
                      <w:highlight w:val="none"/>
                      <w:lang w:bidi="ar"/>
                    </w:rPr>
                    <w:t>1</w:t>
                  </w:r>
                </w:p>
              </w:tc>
              <w:tc>
                <w:tcPr>
                  <w:tcW w:w="1497" w:type="pct"/>
                  <w:tcBorders>
                    <w:tl2br w:val="nil"/>
                    <w:tr2bl w:val="nil"/>
                  </w:tcBorders>
                  <w:noWrap/>
                  <w:vAlign w:val="center"/>
                </w:tcPr>
                <w:p w14:paraId="30DAA27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kern w:val="2"/>
                      <w:sz w:val="21"/>
                      <w:szCs w:val="21"/>
                      <w:highlight w:val="none"/>
                      <w:lang w:val="en-US" w:eastAsia="zh-CN" w:bidi="ar"/>
                    </w:rPr>
                  </w:pPr>
                  <w:r>
                    <w:rPr>
                      <w:rFonts w:hint="eastAsia" w:ascii="Times New Roman" w:hAnsi="Times New Roman" w:eastAsia="宋体" w:cs="Times New Roman"/>
                      <w:color w:val="auto"/>
                      <w:kern w:val="2"/>
                      <w:sz w:val="21"/>
                      <w:szCs w:val="21"/>
                      <w:highlight w:val="none"/>
                      <w:lang w:val="en-US" w:eastAsia="zh-CN" w:bidi="ar"/>
                    </w:rPr>
                    <w:t>上料机</w:t>
                  </w:r>
                </w:p>
              </w:tc>
              <w:tc>
                <w:tcPr>
                  <w:tcW w:w="1286" w:type="pct"/>
                  <w:tcBorders>
                    <w:tl2br w:val="nil"/>
                    <w:tr2bl w:val="nil"/>
                  </w:tcBorders>
                  <w:noWrap/>
                  <w:vAlign w:val="center"/>
                </w:tcPr>
                <w:p w14:paraId="575ED9A3">
                  <w:pPr>
                    <w:keepNext w:val="0"/>
                    <w:keepLines w:val="0"/>
                    <w:pageBreakBefore w:val="0"/>
                    <w:widowControl/>
                    <w:tabs>
                      <w:tab w:val="center" w:pos="1182"/>
                      <w:tab w:val="right" w:pos="2245"/>
                    </w:tabs>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kern w:val="2"/>
                      <w:sz w:val="21"/>
                      <w:szCs w:val="21"/>
                      <w:highlight w:val="none"/>
                      <w:lang w:val="en-US" w:eastAsia="zh-CN" w:bidi="ar"/>
                    </w:rPr>
                  </w:pPr>
                  <w:r>
                    <w:rPr>
                      <w:rFonts w:hint="eastAsia" w:cs="Times New Roman"/>
                      <w:color w:val="auto"/>
                      <w:sz w:val="21"/>
                      <w:szCs w:val="21"/>
                      <w:highlight w:val="none"/>
                      <w:lang w:val="en-US" w:eastAsia="zh-CN" w:bidi="ar"/>
                    </w:rPr>
                    <w:t>1台</w:t>
                  </w:r>
                </w:p>
              </w:tc>
              <w:tc>
                <w:tcPr>
                  <w:tcW w:w="1576" w:type="pct"/>
                  <w:tcBorders>
                    <w:tl2br w:val="nil"/>
                    <w:tr2bl w:val="nil"/>
                  </w:tcBorders>
                  <w:noWrap/>
                  <w:vAlign w:val="center"/>
                </w:tcPr>
                <w:p w14:paraId="4DA7888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bidi="ar"/>
                    </w:rPr>
                    <w:t>--</w:t>
                  </w:r>
                </w:p>
              </w:tc>
            </w:tr>
            <w:tr w14:paraId="0425E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40" w:type="pct"/>
                  <w:tcBorders>
                    <w:tl2br w:val="nil"/>
                    <w:tr2bl w:val="nil"/>
                  </w:tcBorders>
                  <w:noWrap/>
                  <w:vAlign w:val="center"/>
                </w:tcPr>
                <w:p w14:paraId="7DAEE38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bidi="ar"/>
                    </w:rPr>
                  </w:pPr>
                  <w:r>
                    <w:rPr>
                      <w:rFonts w:hint="default" w:ascii="Times New Roman" w:hAnsi="Times New Roman" w:eastAsia="宋体" w:cs="Times New Roman"/>
                      <w:color w:val="auto"/>
                      <w:spacing w:val="0"/>
                      <w:sz w:val="21"/>
                      <w:szCs w:val="21"/>
                      <w:highlight w:val="none"/>
                      <w:lang w:bidi="ar"/>
                    </w:rPr>
                    <w:t>2</w:t>
                  </w:r>
                </w:p>
              </w:tc>
              <w:tc>
                <w:tcPr>
                  <w:tcW w:w="1497" w:type="pct"/>
                  <w:tcBorders>
                    <w:tl2br w:val="nil"/>
                    <w:tr2bl w:val="nil"/>
                  </w:tcBorders>
                  <w:noWrap/>
                  <w:vAlign w:val="center"/>
                </w:tcPr>
                <w:p w14:paraId="1652CD7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
                    </w:rPr>
                    <w:t>搅拌机</w:t>
                  </w:r>
                </w:p>
              </w:tc>
              <w:tc>
                <w:tcPr>
                  <w:tcW w:w="1286" w:type="pct"/>
                  <w:tcBorders>
                    <w:tl2br w:val="nil"/>
                    <w:tr2bl w:val="nil"/>
                  </w:tcBorders>
                  <w:noWrap/>
                  <w:vAlign w:val="center"/>
                </w:tcPr>
                <w:p w14:paraId="21DA5C62">
                  <w:pPr>
                    <w:keepNext w:val="0"/>
                    <w:keepLines w:val="0"/>
                    <w:pageBreakBefore w:val="0"/>
                    <w:widowControl/>
                    <w:tabs>
                      <w:tab w:val="center" w:pos="1182"/>
                      <w:tab w:val="right" w:pos="2245"/>
                    </w:tabs>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kern w:val="2"/>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3</w:t>
                  </w:r>
                  <w:r>
                    <w:rPr>
                      <w:rFonts w:hint="default" w:ascii="Times New Roman" w:hAnsi="Times New Roman" w:eastAsia="宋体" w:cs="Times New Roman"/>
                      <w:color w:val="auto"/>
                      <w:sz w:val="21"/>
                      <w:szCs w:val="21"/>
                      <w:highlight w:val="none"/>
                      <w:lang w:val="en-US" w:eastAsia="zh-CN" w:bidi="ar"/>
                    </w:rPr>
                    <w:t>台</w:t>
                  </w:r>
                </w:p>
              </w:tc>
              <w:tc>
                <w:tcPr>
                  <w:tcW w:w="1576" w:type="pct"/>
                  <w:tcBorders>
                    <w:tl2br w:val="nil"/>
                    <w:tr2bl w:val="nil"/>
                  </w:tcBorders>
                  <w:noWrap/>
                  <w:vAlign w:val="center"/>
                </w:tcPr>
                <w:p w14:paraId="3F7F9F3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val="en-US" w:eastAsia="zh-CN" w:bidi="ar"/>
                    </w:rPr>
                  </w:pPr>
                </w:p>
              </w:tc>
            </w:tr>
            <w:tr w14:paraId="5ECED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40" w:type="pct"/>
                  <w:tcBorders>
                    <w:tl2br w:val="nil"/>
                    <w:tr2bl w:val="nil"/>
                  </w:tcBorders>
                  <w:noWrap/>
                  <w:vAlign w:val="center"/>
                </w:tcPr>
                <w:p w14:paraId="405AB70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bidi="ar"/>
                    </w:rPr>
                  </w:pPr>
                  <w:r>
                    <w:rPr>
                      <w:rFonts w:hint="default" w:ascii="Times New Roman" w:hAnsi="Times New Roman" w:eastAsia="宋体" w:cs="Times New Roman"/>
                      <w:color w:val="auto"/>
                      <w:spacing w:val="0"/>
                      <w:sz w:val="21"/>
                      <w:szCs w:val="21"/>
                      <w:highlight w:val="none"/>
                      <w:lang w:bidi="ar"/>
                    </w:rPr>
                    <w:t>3</w:t>
                  </w:r>
                </w:p>
              </w:tc>
              <w:tc>
                <w:tcPr>
                  <w:tcW w:w="1497" w:type="pct"/>
                  <w:tcBorders>
                    <w:tl2br w:val="nil"/>
                    <w:tr2bl w:val="nil"/>
                  </w:tcBorders>
                  <w:noWrap/>
                  <w:vAlign w:val="center"/>
                </w:tcPr>
                <w:p w14:paraId="7CBF2D1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kern w:val="2"/>
                      <w:sz w:val="21"/>
                      <w:szCs w:val="21"/>
                      <w:highlight w:val="none"/>
                      <w:lang w:val="en-US" w:eastAsia="zh-CN" w:bidi="ar"/>
                    </w:rPr>
                  </w:pPr>
                  <w:r>
                    <w:rPr>
                      <w:rFonts w:hint="eastAsia" w:ascii="Times New Roman" w:hAnsi="Times New Roman" w:eastAsia="宋体" w:cs="Times New Roman"/>
                      <w:color w:val="auto"/>
                      <w:kern w:val="2"/>
                      <w:sz w:val="21"/>
                      <w:szCs w:val="21"/>
                      <w:highlight w:val="none"/>
                      <w:lang w:val="en-US" w:eastAsia="zh-CN" w:bidi="ar"/>
                    </w:rPr>
                    <w:t>水泥筒仓</w:t>
                  </w:r>
                </w:p>
              </w:tc>
              <w:tc>
                <w:tcPr>
                  <w:tcW w:w="1286" w:type="pct"/>
                  <w:tcBorders>
                    <w:tl2br w:val="nil"/>
                    <w:tr2bl w:val="nil"/>
                  </w:tcBorders>
                  <w:noWrap/>
                  <w:vAlign w:val="center"/>
                </w:tcPr>
                <w:p w14:paraId="2408674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kern w:val="2"/>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3</w:t>
                  </w:r>
                  <w:r>
                    <w:rPr>
                      <w:rFonts w:hint="default" w:ascii="Times New Roman" w:hAnsi="Times New Roman" w:eastAsia="宋体" w:cs="Times New Roman"/>
                      <w:color w:val="auto"/>
                      <w:sz w:val="21"/>
                      <w:szCs w:val="21"/>
                      <w:highlight w:val="none"/>
                      <w:lang w:val="en-US" w:eastAsia="zh-CN" w:bidi="ar"/>
                    </w:rPr>
                    <w:t>台</w:t>
                  </w:r>
                </w:p>
              </w:tc>
              <w:tc>
                <w:tcPr>
                  <w:tcW w:w="1576" w:type="pct"/>
                  <w:tcBorders>
                    <w:tl2br w:val="nil"/>
                    <w:tr2bl w:val="nil"/>
                  </w:tcBorders>
                  <w:noWrap/>
                  <w:vAlign w:val="center"/>
                </w:tcPr>
                <w:p w14:paraId="0DA6F9A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30吨、30吨、60吨</w:t>
                  </w:r>
                </w:p>
              </w:tc>
            </w:tr>
            <w:tr w14:paraId="728CD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40" w:type="pct"/>
                  <w:tcBorders>
                    <w:tl2br w:val="nil"/>
                    <w:tr2bl w:val="nil"/>
                  </w:tcBorders>
                  <w:noWrap/>
                  <w:vAlign w:val="center"/>
                </w:tcPr>
                <w:p w14:paraId="783C711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bidi="ar"/>
                    </w:rPr>
                  </w:pPr>
                  <w:r>
                    <w:rPr>
                      <w:rFonts w:hint="default" w:ascii="Times New Roman" w:hAnsi="Times New Roman" w:eastAsia="宋体" w:cs="Times New Roman"/>
                      <w:color w:val="auto"/>
                      <w:spacing w:val="0"/>
                      <w:sz w:val="21"/>
                      <w:szCs w:val="21"/>
                      <w:highlight w:val="none"/>
                      <w:lang w:bidi="ar"/>
                    </w:rPr>
                    <w:t>4</w:t>
                  </w:r>
                </w:p>
              </w:tc>
              <w:tc>
                <w:tcPr>
                  <w:tcW w:w="1497" w:type="pct"/>
                  <w:tcBorders>
                    <w:tl2br w:val="nil"/>
                    <w:tr2bl w:val="nil"/>
                  </w:tcBorders>
                  <w:noWrap/>
                  <w:vAlign w:val="center"/>
                </w:tcPr>
                <w:p w14:paraId="49E8306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val="en-US" w:eastAsia="zh-CN" w:bidi="ar"/>
                    </w:rPr>
                  </w:pPr>
                  <w:r>
                    <w:rPr>
                      <w:rFonts w:hint="eastAsia" w:ascii="Times New Roman" w:hAnsi="Times New Roman" w:eastAsia="宋体" w:cs="Times New Roman"/>
                      <w:color w:val="auto"/>
                      <w:spacing w:val="0"/>
                      <w:sz w:val="21"/>
                      <w:szCs w:val="21"/>
                      <w:highlight w:val="none"/>
                      <w:lang w:val="en-US" w:eastAsia="zh-CN" w:bidi="ar"/>
                    </w:rPr>
                    <w:t>悬辊机</w:t>
                  </w:r>
                </w:p>
              </w:tc>
              <w:tc>
                <w:tcPr>
                  <w:tcW w:w="1286" w:type="pct"/>
                  <w:tcBorders>
                    <w:tl2br w:val="nil"/>
                    <w:tr2bl w:val="nil"/>
                  </w:tcBorders>
                  <w:noWrap/>
                  <w:vAlign w:val="center"/>
                </w:tcPr>
                <w:p w14:paraId="71E9758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val="en-US" w:eastAsia="zh-CN" w:bidi="ar"/>
                    </w:rPr>
                  </w:pPr>
                  <w:r>
                    <w:rPr>
                      <w:rFonts w:hint="eastAsia" w:ascii="Times New Roman" w:hAnsi="Times New Roman" w:eastAsia="宋体" w:cs="Times New Roman"/>
                      <w:color w:val="auto"/>
                      <w:spacing w:val="0"/>
                      <w:sz w:val="21"/>
                      <w:szCs w:val="21"/>
                      <w:highlight w:val="none"/>
                      <w:lang w:val="en-US" w:eastAsia="zh-CN" w:bidi="ar"/>
                    </w:rPr>
                    <w:t>4</w:t>
                  </w:r>
                  <w:r>
                    <w:rPr>
                      <w:rFonts w:hint="default" w:ascii="Times New Roman" w:hAnsi="Times New Roman" w:eastAsia="宋体" w:cs="Times New Roman"/>
                      <w:color w:val="auto"/>
                      <w:spacing w:val="0"/>
                      <w:sz w:val="21"/>
                      <w:szCs w:val="21"/>
                      <w:highlight w:val="none"/>
                      <w:lang w:val="en-US" w:eastAsia="zh-CN" w:bidi="ar"/>
                    </w:rPr>
                    <w:t>台</w:t>
                  </w:r>
                </w:p>
              </w:tc>
              <w:tc>
                <w:tcPr>
                  <w:tcW w:w="1576" w:type="pct"/>
                  <w:tcBorders>
                    <w:tl2br w:val="nil"/>
                    <w:tr2bl w:val="nil"/>
                  </w:tcBorders>
                  <w:noWrap/>
                  <w:vAlign w:val="center"/>
                </w:tcPr>
                <w:p w14:paraId="08F6DDD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val="en-US" w:eastAsia="zh-CN" w:bidi="ar"/>
                    </w:rPr>
                  </w:pPr>
                </w:p>
              </w:tc>
            </w:tr>
            <w:tr w14:paraId="5421C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40" w:type="pct"/>
                  <w:tcBorders>
                    <w:tl2br w:val="nil"/>
                    <w:tr2bl w:val="nil"/>
                  </w:tcBorders>
                  <w:noWrap/>
                  <w:vAlign w:val="center"/>
                </w:tcPr>
                <w:p w14:paraId="05F8901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bidi="ar"/>
                    </w:rPr>
                  </w:pPr>
                  <w:r>
                    <w:rPr>
                      <w:rFonts w:hint="default" w:ascii="Times New Roman" w:hAnsi="Times New Roman" w:eastAsia="宋体" w:cs="Times New Roman"/>
                      <w:color w:val="auto"/>
                      <w:spacing w:val="0"/>
                      <w:sz w:val="21"/>
                      <w:szCs w:val="21"/>
                      <w:highlight w:val="none"/>
                      <w:lang w:bidi="ar"/>
                    </w:rPr>
                    <w:t>5</w:t>
                  </w:r>
                </w:p>
              </w:tc>
              <w:tc>
                <w:tcPr>
                  <w:tcW w:w="1497" w:type="pct"/>
                  <w:tcBorders>
                    <w:tl2br w:val="nil"/>
                    <w:tr2bl w:val="nil"/>
                  </w:tcBorders>
                  <w:noWrap/>
                  <w:vAlign w:val="center"/>
                </w:tcPr>
                <w:p w14:paraId="56EFD77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val="en-US" w:eastAsia="zh-CN" w:bidi="ar"/>
                    </w:rPr>
                  </w:pPr>
                  <w:r>
                    <w:rPr>
                      <w:rFonts w:hint="default" w:ascii="Times New Roman" w:hAnsi="Times New Roman" w:eastAsia="宋体" w:cs="Times New Roman"/>
                      <w:color w:val="auto"/>
                      <w:spacing w:val="0"/>
                      <w:sz w:val="21"/>
                      <w:szCs w:val="21"/>
                      <w:highlight w:val="none"/>
                      <w:lang w:val="en-US" w:eastAsia="zh-CN" w:bidi="ar"/>
                    </w:rPr>
                    <w:t>行吊</w:t>
                  </w:r>
                </w:p>
              </w:tc>
              <w:tc>
                <w:tcPr>
                  <w:tcW w:w="1286" w:type="pct"/>
                  <w:tcBorders>
                    <w:tl2br w:val="nil"/>
                    <w:tr2bl w:val="nil"/>
                  </w:tcBorders>
                  <w:noWrap/>
                  <w:vAlign w:val="center"/>
                </w:tcPr>
                <w:p w14:paraId="141E284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val="en-US" w:eastAsia="zh-CN" w:bidi="ar"/>
                    </w:rPr>
                  </w:pPr>
                  <w:r>
                    <w:rPr>
                      <w:rFonts w:hint="eastAsia" w:ascii="Times New Roman" w:hAnsi="Times New Roman" w:eastAsia="宋体" w:cs="Times New Roman"/>
                      <w:color w:val="auto"/>
                      <w:spacing w:val="0"/>
                      <w:sz w:val="21"/>
                      <w:szCs w:val="21"/>
                      <w:highlight w:val="none"/>
                      <w:lang w:val="en-US" w:eastAsia="zh-CN" w:bidi="ar"/>
                    </w:rPr>
                    <w:t>3</w:t>
                  </w:r>
                  <w:r>
                    <w:rPr>
                      <w:rFonts w:hint="default" w:ascii="Times New Roman" w:hAnsi="Times New Roman" w:eastAsia="宋体" w:cs="Times New Roman"/>
                      <w:color w:val="auto"/>
                      <w:spacing w:val="0"/>
                      <w:sz w:val="21"/>
                      <w:szCs w:val="21"/>
                      <w:highlight w:val="none"/>
                      <w:lang w:val="en-US" w:eastAsia="zh-CN" w:bidi="ar"/>
                    </w:rPr>
                    <w:t>台</w:t>
                  </w:r>
                </w:p>
              </w:tc>
              <w:tc>
                <w:tcPr>
                  <w:tcW w:w="1576" w:type="pct"/>
                  <w:tcBorders>
                    <w:tl2br w:val="nil"/>
                    <w:tr2bl w:val="nil"/>
                  </w:tcBorders>
                  <w:noWrap/>
                  <w:vAlign w:val="center"/>
                </w:tcPr>
                <w:p w14:paraId="7689DAE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3</w:t>
                  </w:r>
                  <w:r>
                    <w:rPr>
                      <w:rFonts w:hint="default" w:ascii="Times New Roman" w:hAnsi="Times New Roman" w:eastAsia="宋体" w:cs="Times New Roman"/>
                      <w:color w:val="auto"/>
                      <w:sz w:val="21"/>
                      <w:szCs w:val="21"/>
                      <w:highlight w:val="none"/>
                      <w:lang w:val="en-US" w:eastAsia="zh-CN" w:bidi="ar"/>
                    </w:rPr>
                    <w:t>T</w:t>
                  </w:r>
                  <w:r>
                    <w:rPr>
                      <w:rFonts w:hint="eastAsia" w:ascii="Times New Roman" w:hAnsi="Times New Roman" w:eastAsia="宋体" w:cs="Times New Roman"/>
                      <w:color w:val="auto"/>
                      <w:sz w:val="21"/>
                      <w:szCs w:val="21"/>
                      <w:highlight w:val="none"/>
                      <w:lang w:val="en-US" w:eastAsia="zh-CN" w:bidi="ar"/>
                    </w:rPr>
                    <w:t>、3</w:t>
                  </w:r>
                  <w:r>
                    <w:rPr>
                      <w:rFonts w:hint="default" w:ascii="Times New Roman" w:hAnsi="Times New Roman" w:eastAsia="宋体" w:cs="Times New Roman"/>
                      <w:color w:val="auto"/>
                      <w:sz w:val="21"/>
                      <w:szCs w:val="21"/>
                      <w:highlight w:val="none"/>
                      <w:lang w:val="en-US" w:eastAsia="zh-CN" w:bidi="ar"/>
                    </w:rPr>
                    <w:t>T</w:t>
                  </w:r>
                  <w:r>
                    <w:rPr>
                      <w:rFonts w:hint="eastAsia" w:ascii="Times New Roman" w:hAnsi="Times New Roman" w:eastAsia="宋体" w:cs="Times New Roman"/>
                      <w:color w:val="auto"/>
                      <w:sz w:val="21"/>
                      <w:szCs w:val="21"/>
                      <w:highlight w:val="none"/>
                      <w:lang w:val="en-US" w:eastAsia="zh-CN" w:bidi="ar"/>
                    </w:rPr>
                    <w:t>、5T</w:t>
                  </w:r>
                </w:p>
              </w:tc>
            </w:tr>
            <w:tr w14:paraId="77C96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40" w:type="pct"/>
                  <w:tcBorders>
                    <w:tl2br w:val="nil"/>
                    <w:tr2bl w:val="nil"/>
                  </w:tcBorders>
                  <w:noWrap/>
                  <w:vAlign w:val="center"/>
                </w:tcPr>
                <w:p w14:paraId="26A02EB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bidi="ar"/>
                    </w:rPr>
                  </w:pPr>
                  <w:r>
                    <w:rPr>
                      <w:rFonts w:hint="default" w:ascii="Times New Roman" w:hAnsi="Times New Roman" w:eastAsia="宋体" w:cs="Times New Roman"/>
                      <w:color w:val="auto"/>
                      <w:spacing w:val="0"/>
                      <w:sz w:val="21"/>
                      <w:szCs w:val="21"/>
                      <w:highlight w:val="none"/>
                      <w:lang w:bidi="ar"/>
                    </w:rPr>
                    <w:t>6</w:t>
                  </w:r>
                </w:p>
              </w:tc>
              <w:tc>
                <w:tcPr>
                  <w:tcW w:w="1497" w:type="pct"/>
                  <w:tcBorders>
                    <w:tl2br w:val="nil"/>
                    <w:tr2bl w:val="nil"/>
                  </w:tcBorders>
                  <w:noWrap/>
                  <w:vAlign w:val="center"/>
                </w:tcPr>
                <w:p w14:paraId="3EDD45E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kern w:val="2"/>
                      <w:sz w:val="21"/>
                      <w:szCs w:val="21"/>
                      <w:highlight w:val="none"/>
                      <w:lang w:val="en-US" w:eastAsia="zh-CN" w:bidi="ar"/>
                    </w:rPr>
                  </w:pPr>
                  <w:r>
                    <w:rPr>
                      <w:rFonts w:hint="eastAsia" w:ascii="Times New Roman" w:hAnsi="Times New Roman" w:eastAsia="宋体" w:cs="Times New Roman"/>
                      <w:color w:val="auto"/>
                      <w:kern w:val="2"/>
                      <w:sz w:val="21"/>
                      <w:szCs w:val="21"/>
                      <w:highlight w:val="none"/>
                      <w:lang w:val="en-US" w:eastAsia="zh-CN" w:bidi="ar"/>
                    </w:rPr>
                    <w:t>滚焊机</w:t>
                  </w:r>
                </w:p>
              </w:tc>
              <w:tc>
                <w:tcPr>
                  <w:tcW w:w="1286" w:type="pct"/>
                  <w:tcBorders>
                    <w:tl2br w:val="nil"/>
                    <w:tr2bl w:val="nil"/>
                  </w:tcBorders>
                  <w:noWrap/>
                  <w:vAlign w:val="center"/>
                </w:tcPr>
                <w:p w14:paraId="062A5DE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kern w:val="2"/>
                      <w:sz w:val="21"/>
                      <w:szCs w:val="21"/>
                      <w:highlight w:val="none"/>
                      <w:lang w:val="en-US" w:eastAsia="zh-CN" w:bidi="ar"/>
                    </w:rPr>
                  </w:pPr>
                  <w:r>
                    <w:rPr>
                      <w:rFonts w:hint="eastAsia" w:ascii="Times New Roman" w:hAnsi="Times New Roman" w:eastAsia="宋体" w:cs="Times New Roman"/>
                      <w:color w:val="auto"/>
                      <w:kern w:val="2"/>
                      <w:sz w:val="21"/>
                      <w:szCs w:val="21"/>
                      <w:highlight w:val="none"/>
                      <w:lang w:val="en-US" w:eastAsia="zh-CN" w:bidi="ar"/>
                    </w:rPr>
                    <w:t>1</w:t>
                  </w:r>
                  <w:r>
                    <w:rPr>
                      <w:rFonts w:hint="default" w:ascii="Times New Roman" w:hAnsi="Times New Roman" w:eastAsia="宋体" w:cs="Times New Roman"/>
                      <w:color w:val="auto"/>
                      <w:kern w:val="2"/>
                      <w:sz w:val="21"/>
                      <w:szCs w:val="21"/>
                      <w:highlight w:val="none"/>
                      <w:lang w:val="en-US" w:eastAsia="zh-CN" w:bidi="ar"/>
                    </w:rPr>
                    <w:t>台</w:t>
                  </w:r>
                </w:p>
              </w:tc>
              <w:tc>
                <w:tcPr>
                  <w:tcW w:w="1576" w:type="pct"/>
                  <w:tcBorders>
                    <w:tl2br w:val="nil"/>
                    <w:tr2bl w:val="nil"/>
                  </w:tcBorders>
                  <w:noWrap/>
                  <w:vAlign w:val="center"/>
                </w:tcPr>
                <w:p w14:paraId="3413AD7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val="en-US" w:eastAsia="zh-CN" w:bidi="ar"/>
                    </w:rPr>
                  </w:pPr>
                </w:p>
              </w:tc>
            </w:tr>
            <w:tr w14:paraId="1C9C2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40" w:type="pct"/>
                  <w:tcBorders>
                    <w:tl2br w:val="nil"/>
                    <w:tr2bl w:val="nil"/>
                  </w:tcBorders>
                  <w:noWrap/>
                  <w:vAlign w:val="center"/>
                </w:tcPr>
                <w:p w14:paraId="09BDE17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bidi="ar"/>
                    </w:rPr>
                  </w:pPr>
                  <w:r>
                    <w:rPr>
                      <w:rFonts w:hint="default" w:ascii="Times New Roman" w:hAnsi="Times New Roman" w:eastAsia="宋体" w:cs="Times New Roman"/>
                      <w:color w:val="auto"/>
                      <w:spacing w:val="0"/>
                      <w:sz w:val="21"/>
                      <w:szCs w:val="21"/>
                      <w:highlight w:val="none"/>
                      <w:lang w:bidi="ar"/>
                    </w:rPr>
                    <w:t>7</w:t>
                  </w:r>
                </w:p>
              </w:tc>
              <w:tc>
                <w:tcPr>
                  <w:tcW w:w="1497" w:type="pct"/>
                  <w:tcBorders>
                    <w:tl2br w:val="nil"/>
                    <w:tr2bl w:val="nil"/>
                  </w:tcBorders>
                  <w:noWrap/>
                  <w:vAlign w:val="center"/>
                </w:tcPr>
                <w:p w14:paraId="4BFF13A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
                    </w:rPr>
                    <w:t>模具</w:t>
                  </w:r>
                </w:p>
              </w:tc>
              <w:tc>
                <w:tcPr>
                  <w:tcW w:w="1286" w:type="pct"/>
                  <w:tcBorders>
                    <w:tl2br w:val="nil"/>
                    <w:tr2bl w:val="nil"/>
                  </w:tcBorders>
                  <w:noWrap/>
                  <w:vAlign w:val="center"/>
                </w:tcPr>
                <w:p w14:paraId="4B33D4D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kern w:val="2"/>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80组</w:t>
                  </w:r>
                </w:p>
              </w:tc>
              <w:tc>
                <w:tcPr>
                  <w:tcW w:w="1576" w:type="pct"/>
                  <w:tcBorders>
                    <w:tl2br w:val="nil"/>
                    <w:tr2bl w:val="nil"/>
                  </w:tcBorders>
                  <w:noWrap/>
                  <w:vAlign w:val="center"/>
                </w:tcPr>
                <w:p w14:paraId="51A3391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val="en-US" w:eastAsia="zh-CN" w:bidi="ar"/>
                    </w:rPr>
                  </w:pPr>
                </w:p>
              </w:tc>
            </w:tr>
            <w:tr w14:paraId="13F87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40" w:type="pct"/>
                  <w:tcBorders>
                    <w:tl2br w:val="nil"/>
                    <w:tr2bl w:val="nil"/>
                  </w:tcBorders>
                  <w:noWrap/>
                  <w:vAlign w:val="center"/>
                </w:tcPr>
                <w:p w14:paraId="36088BF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bidi="ar"/>
                    </w:rPr>
                  </w:pPr>
                  <w:r>
                    <w:rPr>
                      <w:rFonts w:hint="default" w:ascii="Times New Roman" w:hAnsi="Times New Roman" w:eastAsia="宋体" w:cs="Times New Roman"/>
                      <w:color w:val="auto"/>
                      <w:spacing w:val="0"/>
                      <w:sz w:val="21"/>
                      <w:szCs w:val="21"/>
                      <w:highlight w:val="none"/>
                      <w:lang w:bidi="ar"/>
                    </w:rPr>
                    <w:t>8</w:t>
                  </w:r>
                </w:p>
              </w:tc>
              <w:tc>
                <w:tcPr>
                  <w:tcW w:w="1497" w:type="pct"/>
                  <w:tcBorders>
                    <w:tl2br w:val="nil"/>
                    <w:tr2bl w:val="nil"/>
                  </w:tcBorders>
                  <w:noWrap/>
                  <w:vAlign w:val="center"/>
                </w:tcPr>
                <w:p w14:paraId="0267863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kern w:val="2"/>
                      <w:sz w:val="21"/>
                      <w:szCs w:val="21"/>
                      <w:highlight w:val="none"/>
                      <w:lang w:val="en-US" w:eastAsia="zh-CN" w:bidi="ar"/>
                    </w:rPr>
                  </w:pPr>
                  <w:r>
                    <w:rPr>
                      <w:rFonts w:hint="eastAsia" w:ascii="Times New Roman" w:hAnsi="Times New Roman" w:eastAsia="宋体" w:cs="Times New Roman"/>
                      <w:color w:val="auto"/>
                      <w:kern w:val="2"/>
                      <w:sz w:val="21"/>
                      <w:szCs w:val="21"/>
                      <w:highlight w:val="none"/>
                      <w:lang w:val="en-US" w:eastAsia="zh-CN" w:bidi="ar"/>
                    </w:rPr>
                    <w:t>装载机</w:t>
                  </w:r>
                </w:p>
              </w:tc>
              <w:tc>
                <w:tcPr>
                  <w:tcW w:w="1286" w:type="pct"/>
                  <w:tcBorders>
                    <w:tl2br w:val="nil"/>
                    <w:tr2bl w:val="nil"/>
                  </w:tcBorders>
                  <w:noWrap/>
                  <w:vAlign w:val="center"/>
                </w:tcPr>
                <w:p w14:paraId="4DC96C0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2</w:t>
                  </w:r>
                  <w:r>
                    <w:rPr>
                      <w:rFonts w:hint="default" w:ascii="Times New Roman" w:hAnsi="Times New Roman" w:eastAsia="宋体" w:cs="Times New Roman"/>
                      <w:color w:val="auto"/>
                      <w:sz w:val="21"/>
                      <w:szCs w:val="21"/>
                      <w:highlight w:val="none"/>
                      <w:lang w:val="en-US" w:eastAsia="zh-CN" w:bidi="ar"/>
                    </w:rPr>
                    <w:t>台</w:t>
                  </w:r>
                </w:p>
              </w:tc>
              <w:tc>
                <w:tcPr>
                  <w:tcW w:w="1576" w:type="pct"/>
                  <w:tcBorders>
                    <w:tl2br w:val="nil"/>
                    <w:tr2bl w:val="nil"/>
                  </w:tcBorders>
                  <w:noWrap/>
                  <w:vAlign w:val="center"/>
                </w:tcPr>
                <w:p w14:paraId="0E190D0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bidi="ar"/>
                    </w:rPr>
                  </w:pPr>
                  <w:r>
                    <w:rPr>
                      <w:rFonts w:hint="default" w:ascii="Times New Roman" w:hAnsi="Times New Roman" w:eastAsia="宋体" w:cs="Times New Roman"/>
                      <w:color w:val="auto"/>
                      <w:sz w:val="21"/>
                      <w:szCs w:val="21"/>
                      <w:highlight w:val="none"/>
                      <w:lang w:val="en-US" w:eastAsia="zh-CN" w:bidi="ar"/>
                    </w:rPr>
                    <w:t>3T</w:t>
                  </w:r>
                </w:p>
              </w:tc>
            </w:tr>
            <w:tr w14:paraId="786A6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40" w:type="pct"/>
                  <w:tcBorders>
                    <w:tl2br w:val="nil"/>
                    <w:tr2bl w:val="nil"/>
                  </w:tcBorders>
                  <w:noWrap/>
                  <w:vAlign w:val="center"/>
                </w:tcPr>
                <w:p w14:paraId="2D67A17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val="en-US" w:eastAsia="zh-CN" w:bidi="ar"/>
                    </w:rPr>
                  </w:pPr>
                  <w:r>
                    <w:rPr>
                      <w:rFonts w:hint="default" w:ascii="Times New Roman" w:hAnsi="Times New Roman" w:eastAsia="宋体" w:cs="Times New Roman"/>
                      <w:color w:val="auto"/>
                      <w:spacing w:val="0"/>
                      <w:sz w:val="21"/>
                      <w:szCs w:val="21"/>
                      <w:highlight w:val="none"/>
                      <w:lang w:val="en-US" w:eastAsia="zh-CN" w:bidi="ar"/>
                    </w:rPr>
                    <w:t>9</w:t>
                  </w:r>
                </w:p>
              </w:tc>
              <w:tc>
                <w:tcPr>
                  <w:tcW w:w="1497" w:type="pct"/>
                  <w:tcBorders>
                    <w:tl2br w:val="nil"/>
                    <w:tr2bl w:val="nil"/>
                  </w:tcBorders>
                  <w:noWrap/>
                  <w:vAlign w:val="center"/>
                </w:tcPr>
                <w:p w14:paraId="4FC21F2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
                    </w:rPr>
                    <w:t>叉车</w:t>
                  </w:r>
                </w:p>
              </w:tc>
              <w:tc>
                <w:tcPr>
                  <w:tcW w:w="1286" w:type="pct"/>
                  <w:tcBorders>
                    <w:tl2br w:val="nil"/>
                    <w:tr2bl w:val="nil"/>
                  </w:tcBorders>
                  <w:noWrap/>
                  <w:vAlign w:val="center"/>
                </w:tcPr>
                <w:p w14:paraId="38BEF14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bidi="ar"/>
                    </w:rPr>
                    <w:t>2台</w:t>
                  </w:r>
                </w:p>
              </w:tc>
              <w:tc>
                <w:tcPr>
                  <w:tcW w:w="1576" w:type="pct"/>
                  <w:tcBorders>
                    <w:tl2br w:val="nil"/>
                    <w:tr2bl w:val="nil"/>
                  </w:tcBorders>
                  <w:noWrap/>
                  <w:vAlign w:val="center"/>
                </w:tcPr>
                <w:p w14:paraId="5138176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bidi="ar"/>
                    </w:rPr>
                    <w:t>3T</w:t>
                  </w:r>
                </w:p>
              </w:tc>
            </w:tr>
            <w:tr w14:paraId="1D690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40" w:type="pct"/>
                  <w:tcBorders>
                    <w:tl2br w:val="nil"/>
                    <w:tr2bl w:val="nil"/>
                  </w:tcBorders>
                  <w:noWrap/>
                  <w:vAlign w:val="center"/>
                </w:tcPr>
                <w:p w14:paraId="052A1EC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val="en-US" w:eastAsia="zh-CN" w:bidi="ar"/>
                    </w:rPr>
                  </w:pPr>
                  <w:r>
                    <w:rPr>
                      <w:rFonts w:hint="default" w:ascii="Times New Roman" w:hAnsi="Times New Roman" w:eastAsia="宋体" w:cs="Times New Roman"/>
                      <w:color w:val="auto"/>
                      <w:spacing w:val="0"/>
                      <w:sz w:val="21"/>
                      <w:szCs w:val="21"/>
                      <w:highlight w:val="none"/>
                      <w:lang w:val="en-US" w:eastAsia="zh-CN" w:bidi="ar"/>
                    </w:rPr>
                    <w:t>10</w:t>
                  </w:r>
                </w:p>
              </w:tc>
              <w:tc>
                <w:tcPr>
                  <w:tcW w:w="1497" w:type="pct"/>
                  <w:tcBorders>
                    <w:tl2br w:val="nil"/>
                    <w:tr2bl w:val="nil"/>
                  </w:tcBorders>
                  <w:noWrap/>
                  <w:vAlign w:val="center"/>
                </w:tcPr>
                <w:p w14:paraId="4F8C5A0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kern w:val="2"/>
                      <w:sz w:val="21"/>
                      <w:szCs w:val="21"/>
                      <w:highlight w:val="none"/>
                      <w:lang w:val="en-US" w:eastAsia="zh-CN" w:bidi="ar"/>
                    </w:rPr>
                  </w:pPr>
                  <w:r>
                    <w:rPr>
                      <w:rFonts w:hint="eastAsia" w:ascii="Times New Roman" w:hAnsi="Times New Roman" w:eastAsia="宋体" w:cs="Times New Roman"/>
                      <w:color w:val="auto"/>
                      <w:kern w:val="2"/>
                      <w:sz w:val="21"/>
                      <w:szCs w:val="21"/>
                      <w:highlight w:val="none"/>
                      <w:lang w:val="en-US" w:eastAsia="zh-CN" w:bidi="ar"/>
                    </w:rPr>
                    <w:t>三脚架</w:t>
                  </w:r>
                </w:p>
              </w:tc>
              <w:tc>
                <w:tcPr>
                  <w:tcW w:w="1286" w:type="pct"/>
                  <w:tcBorders>
                    <w:tl2br w:val="nil"/>
                    <w:tr2bl w:val="nil"/>
                  </w:tcBorders>
                  <w:noWrap/>
                  <w:vAlign w:val="center"/>
                </w:tcPr>
                <w:p w14:paraId="7B15325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1个</w:t>
                  </w:r>
                </w:p>
              </w:tc>
              <w:tc>
                <w:tcPr>
                  <w:tcW w:w="1576" w:type="pct"/>
                  <w:tcBorders>
                    <w:tl2br w:val="nil"/>
                    <w:tr2bl w:val="nil"/>
                  </w:tcBorders>
                  <w:noWrap/>
                  <w:vAlign w:val="center"/>
                </w:tcPr>
                <w:p w14:paraId="696E1BF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bidi="ar"/>
                    </w:rPr>
                  </w:pPr>
                  <w:r>
                    <w:rPr>
                      <w:rFonts w:hint="eastAsia" w:ascii="Times New Roman" w:hAnsi="Times New Roman" w:eastAsia="宋体" w:cs="Times New Roman"/>
                      <w:color w:val="auto"/>
                      <w:kern w:val="2"/>
                      <w:sz w:val="21"/>
                      <w:szCs w:val="21"/>
                      <w:highlight w:val="none"/>
                      <w:lang w:val="en-US" w:eastAsia="zh-CN" w:bidi="ar"/>
                    </w:rPr>
                    <w:t>6米</w:t>
                  </w:r>
                </w:p>
              </w:tc>
            </w:tr>
            <w:tr w14:paraId="0AD01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40" w:type="pct"/>
                  <w:tcBorders>
                    <w:tl2br w:val="nil"/>
                    <w:tr2bl w:val="nil"/>
                  </w:tcBorders>
                  <w:noWrap/>
                  <w:vAlign w:val="center"/>
                </w:tcPr>
                <w:p w14:paraId="48410FD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val="en-US" w:eastAsia="zh-CN" w:bidi="ar"/>
                    </w:rPr>
                  </w:pPr>
                  <w:r>
                    <w:rPr>
                      <w:rFonts w:hint="default" w:ascii="Times New Roman" w:hAnsi="Times New Roman" w:eastAsia="宋体" w:cs="Times New Roman"/>
                      <w:color w:val="auto"/>
                      <w:spacing w:val="0"/>
                      <w:sz w:val="21"/>
                      <w:szCs w:val="21"/>
                      <w:highlight w:val="none"/>
                      <w:lang w:val="en-US" w:eastAsia="zh-CN" w:bidi="ar"/>
                    </w:rPr>
                    <w:t>11</w:t>
                  </w:r>
                </w:p>
              </w:tc>
              <w:tc>
                <w:tcPr>
                  <w:tcW w:w="1497" w:type="pct"/>
                  <w:tcBorders>
                    <w:tl2br w:val="nil"/>
                    <w:tr2bl w:val="nil"/>
                  </w:tcBorders>
                  <w:noWrap/>
                  <w:vAlign w:val="center"/>
                </w:tcPr>
                <w:p w14:paraId="77E3CF3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kern w:val="2"/>
                      <w:sz w:val="21"/>
                      <w:szCs w:val="21"/>
                      <w:highlight w:val="none"/>
                      <w:lang w:val="en-US" w:eastAsia="zh-CN" w:bidi="ar"/>
                    </w:rPr>
                  </w:pPr>
                  <w:r>
                    <w:rPr>
                      <w:rFonts w:hint="eastAsia" w:ascii="Times New Roman" w:hAnsi="Times New Roman" w:eastAsia="宋体" w:cs="Times New Roman"/>
                      <w:color w:val="auto"/>
                      <w:kern w:val="2"/>
                      <w:sz w:val="21"/>
                      <w:szCs w:val="21"/>
                      <w:highlight w:val="none"/>
                      <w:lang w:val="en-US" w:eastAsia="zh-CN" w:bidi="ar"/>
                    </w:rPr>
                    <w:t>洗车台</w:t>
                  </w:r>
                </w:p>
              </w:tc>
              <w:tc>
                <w:tcPr>
                  <w:tcW w:w="1286" w:type="pct"/>
                  <w:tcBorders>
                    <w:tl2br w:val="nil"/>
                    <w:tr2bl w:val="nil"/>
                  </w:tcBorders>
                  <w:noWrap/>
                  <w:vAlign w:val="center"/>
                </w:tcPr>
                <w:p w14:paraId="1E1BEE0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1个</w:t>
                  </w:r>
                </w:p>
              </w:tc>
              <w:tc>
                <w:tcPr>
                  <w:tcW w:w="1576" w:type="pct"/>
                  <w:tcBorders>
                    <w:tl2br w:val="nil"/>
                    <w:tr2bl w:val="nil"/>
                  </w:tcBorders>
                  <w:noWrap/>
                  <w:vAlign w:val="center"/>
                </w:tcPr>
                <w:p w14:paraId="34ADA18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val="en-US" w:bidi="ar"/>
                    </w:rPr>
                  </w:pPr>
                </w:p>
              </w:tc>
            </w:tr>
            <w:tr w14:paraId="03666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40" w:type="pct"/>
                  <w:tcBorders>
                    <w:tl2br w:val="nil"/>
                    <w:tr2bl w:val="nil"/>
                  </w:tcBorders>
                  <w:noWrap/>
                  <w:vAlign w:val="center"/>
                </w:tcPr>
                <w:p w14:paraId="2600361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val="en-US" w:eastAsia="zh-CN" w:bidi="ar"/>
                    </w:rPr>
                  </w:pPr>
                  <w:r>
                    <w:rPr>
                      <w:rFonts w:hint="eastAsia" w:cs="Times New Roman"/>
                      <w:color w:val="auto"/>
                      <w:spacing w:val="0"/>
                      <w:sz w:val="21"/>
                      <w:szCs w:val="21"/>
                      <w:highlight w:val="none"/>
                      <w:lang w:val="en-US" w:eastAsia="zh-CN" w:bidi="ar"/>
                    </w:rPr>
                    <w:t>12</w:t>
                  </w:r>
                </w:p>
              </w:tc>
              <w:tc>
                <w:tcPr>
                  <w:tcW w:w="1497" w:type="pct"/>
                  <w:tcBorders>
                    <w:tl2br w:val="nil"/>
                    <w:tr2bl w:val="nil"/>
                  </w:tcBorders>
                  <w:noWrap/>
                  <w:vAlign w:val="center"/>
                </w:tcPr>
                <w:p w14:paraId="3FAB64C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kern w:val="2"/>
                      <w:sz w:val="21"/>
                      <w:szCs w:val="21"/>
                      <w:highlight w:val="none"/>
                      <w:lang w:val="en-US" w:eastAsia="zh-CN" w:bidi="ar"/>
                    </w:rPr>
                  </w:pPr>
                  <w:r>
                    <w:rPr>
                      <w:rFonts w:hint="eastAsia" w:ascii="Times New Roman" w:hAnsi="Times New Roman" w:eastAsia="宋体" w:cs="Times New Roman"/>
                      <w:color w:val="auto"/>
                      <w:kern w:val="2"/>
                      <w:sz w:val="21"/>
                      <w:szCs w:val="21"/>
                      <w:highlight w:val="none"/>
                      <w:lang w:val="en-US" w:eastAsia="zh-CN" w:bidi="ar"/>
                    </w:rPr>
                    <w:t>洒水车</w:t>
                  </w:r>
                </w:p>
              </w:tc>
              <w:tc>
                <w:tcPr>
                  <w:tcW w:w="1286" w:type="pct"/>
                  <w:tcBorders>
                    <w:tl2br w:val="nil"/>
                    <w:tr2bl w:val="nil"/>
                  </w:tcBorders>
                  <w:noWrap/>
                  <w:vAlign w:val="center"/>
                </w:tcPr>
                <w:p w14:paraId="1475FC5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1</w:t>
                  </w:r>
                  <w:r>
                    <w:rPr>
                      <w:rFonts w:hint="default" w:ascii="Times New Roman" w:hAnsi="Times New Roman" w:eastAsia="宋体" w:cs="Times New Roman"/>
                      <w:color w:val="auto"/>
                      <w:sz w:val="21"/>
                      <w:szCs w:val="21"/>
                      <w:highlight w:val="none"/>
                      <w:lang w:val="en-US" w:eastAsia="zh-CN" w:bidi="ar"/>
                    </w:rPr>
                    <w:t>台</w:t>
                  </w:r>
                </w:p>
              </w:tc>
              <w:tc>
                <w:tcPr>
                  <w:tcW w:w="1576" w:type="pct"/>
                  <w:tcBorders>
                    <w:tl2br w:val="nil"/>
                    <w:tr2bl w:val="nil"/>
                  </w:tcBorders>
                  <w:noWrap/>
                  <w:vAlign w:val="center"/>
                </w:tcPr>
                <w:p w14:paraId="00FF1B6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1方</w:t>
                  </w:r>
                </w:p>
              </w:tc>
            </w:tr>
            <w:tr w14:paraId="6EE8F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40" w:type="pct"/>
                  <w:tcBorders>
                    <w:tl2br w:val="nil"/>
                    <w:tr2bl w:val="nil"/>
                  </w:tcBorders>
                  <w:noWrap/>
                  <w:vAlign w:val="center"/>
                </w:tcPr>
                <w:p w14:paraId="393EAA98">
                  <w:pPr>
                    <w:keepNext w:val="0"/>
                    <w:keepLines w:val="0"/>
                    <w:pageBreakBefore w:val="0"/>
                    <w:widowControl/>
                    <w:kinsoku/>
                    <w:wordWrap/>
                    <w:overflowPunct/>
                    <w:topLinePunct w:val="0"/>
                    <w:autoSpaceDE/>
                    <w:autoSpaceDN/>
                    <w:bidi w:val="0"/>
                    <w:adjustRightInd w:val="0"/>
                    <w:snapToGrid w:val="0"/>
                    <w:jc w:val="center"/>
                    <w:textAlignment w:val="center"/>
                    <w:rPr>
                      <w:rFonts w:hint="default" w:cs="Times New Roman"/>
                      <w:color w:val="auto"/>
                      <w:spacing w:val="0"/>
                      <w:sz w:val="21"/>
                      <w:szCs w:val="21"/>
                      <w:highlight w:val="none"/>
                      <w:lang w:val="en-US" w:eastAsia="zh-CN" w:bidi="ar"/>
                    </w:rPr>
                  </w:pPr>
                  <w:r>
                    <w:rPr>
                      <w:rFonts w:hint="eastAsia" w:cs="Times New Roman"/>
                      <w:color w:val="auto"/>
                      <w:spacing w:val="0"/>
                      <w:sz w:val="21"/>
                      <w:szCs w:val="21"/>
                      <w:highlight w:val="none"/>
                      <w:lang w:val="en-US" w:eastAsia="zh-CN" w:bidi="ar"/>
                    </w:rPr>
                    <w:t>13</w:t>
                  </w:r>
                </w:p>
              </w:tc>
              <w:tc>
                <w:tcPr>
                  <w:tcW w:w="1497" w:type="pct"/>
                  <w:tcBorders>
                    <w:tl2br w:val="nil"/>
                    <w:tr2bl w:val="nil"/>
                  </w:tcBorders>
                  <w:noWrap/>
                  <w:vAlign w:val="center"/>
                </w:tcPr>
                <w:p w14:paraId="4B7D56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宋体" w:cs="Times New Roman"/>
                      <w:color w:val="auto"/>
                      <w:kern w:val="2"/>
                      <w:sz w:val="21"/>
                      <w:szCs w:val="21"/>
                      <w:highlight w:val="none"/>
                      <w:lang w:val="en-US" w:eastAsia="zh-CN" w:bidi="ar"/>
                    </w:rPr>
                  </w:pPr>
                  <w:r>
                    <w:rPr>
                      <w:rFonts w:hint="eastAsia" w:ascii="Times New Roman" w:hAnsi="Times New Roman" w:eastAsia="宋体" w:cs="Times New Roman"/>
                      <w:color w:val="auto"/>
                      <w:kern w:val="2"/>
                      <w:sz w:val="21"/>
                      <w:szCs w:val="21"/>
                      <w:highlight w:val="none"/>
                      <w:lang w:val="en-US" w:eastAsia="zh-CN" w:bidi="ar"/>
                    </w:rPr>
                    <w:t>除尘器</w:t>
                  </w:r>
                </w:p>
              </w:tc>
              <w:tc>
                <w:tcPr>
                  <w:tcW w:w="1286" w:type="pct"/>
                  <w:tcBorders>
                    <w:tl2br w:val="nil"/>
                    <w:tr2bl w:val="nil"/>
                  </w:tcBorders>
                  <w:noWrap/>
                  <w:vAlign w:val="center"/>
                </w:tcPr>
                <w:p w14:paraId="47467C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宋体" w:cs="Times New Roman"/>
                      <w:color w:val="auto"/>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1</w:t>
                  </w:r>
                  <w:r>
                    <w:rPr>
                      <w:rFonts w:hint="default" w:ascii="Times New Roman" w:hAnsi="Times New Roman" w:eastAsia="宋体" w:cs="Times New Roman"/>
                      <w:color w:val="auto"/>
                      <w:sz w:val="21"/>
                      <w:szCs w:val="21"/>
                      <w:highlight w:val="none"/>
                      <w:lang w:val="en-US" w:eastAsia="zh-CN" w:bidi="ar"/>
                    </w:rPr>
                    <w:t>台</w:t>
                  </w:r>
                </w:p>
              </w:tc>
              <w:tc>
                <w:tcPr>
                  <w:tcW w:w="1576" w:type="pct"/>
                  <w:tcBorders>
                    <w:tl2br w:val="nil"/>
                    <w:tr2bl w:val="nil"/>
                  </w:tcBorders>
                  <w:noWrap/>
                  <w:vAlign w:val="center"/>
                </w:tcPr>
                <w:p w14:paraId="73A614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宋体" w:cs="Times New Roman"/>
                      <w:color w:val="auto"/>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48布袋</w:t>
                  </w:r>
                </w:p>
              </w:tc>
            </w:tr>
            <w:tr w14:paraId="44C74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40" w:type="pct"/>
                  <w:tcBorders>
                    <w:tl2br w:val="nil"/>
                    <w:tr2bl w:val="nil"/>
                  </w:tcBorders>
                  <w:noWrap/>
                  <w:vAlign w:val="center"/>
                </w:tcPr>
                <w:p w14:paraId="46707F31">
                  <w:pPr>
                    <w:keepNext w:val="0"/>
                    <w:keepLines w:val="0"/>
                    <w:pageBreakBefore w:val="0"/>
                    <w:widowControl/>
                    <w:kinsoku/>
                    <w:wordWrap/>
                    <w:overflowPunct/>
                    <w:topLinePunct w:val="0"/>
                    <w:autoSpaceDE/>
                    <w:autoSpaceDN/>
                    <w:bidi w:val="0"/>
                    <w:adjustRightInd w:val="0"/>
                    <w:snapToGrid w:val="0"/>
                    <w:jc w:val="center"/>
                    <w:textAlignment w:val="center"/>
                    <w:rPr>
                      <w:rFonts w:hint="default" w:cs="Times New Roman"/>
                      <w:color w:val="auto"/>
                      <w:spacing w:val="0"/>
                      <w:sz w:val="21"/>
                      <w:szCs w:val="21"/>
                      <w:highlight w:val="none"/>
                      <w:lang w:val="en-US" w:eastAsia="zh-CN" w:bidi="ar"/>
                    </w:rPr>
                  </w:pPr>
                  <w:r>
                    <w:rPr>
                      <w:rFonts w:hint="eastAsia" w:cs="Times New Roman"/>
                      <w:color w:val="auto"/>
                      <w:spacing w:val="0"/>
                      <w:sz w:val="21"/>
                      <w:szCs w:val="21"/>
                      <w:highlight w:val="none"/>
                      <w:lang w:val="en-US" w:eastAsia="zh-CN" w:bidi="ar"/>
                    </w:rPr>
                    <w:t>14</w:t>
                  </w:r>
                </w:p>
              </w:tc>
              <w:tc>
                <w:tcPr>
                  <w:tcW w:w="1497" w:type="pct"/>
                  <w:tcBorders>
                    <w:tl2br w:val="nil"/>
                    <w:tr2bl w:val="nil"/>
                  </w:tcBorders>
                  <w:noWrap/>
                  <w:vAlign w:val="center"/>
                </w:tcPr>
                <w:p w14:paraId="5375C5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宋体" w:cs="Times New Roman"/>
                      <w:color w:val="auto"/>
                      <w:kern w:val="2"/>
                      <w:sz w:val="21"/>
                      <w:szCs w:val="21"/>
                      <w:highlight w:val="none"/>
                      <w:lang w:val="en-US" w:eastAsia="zh-CN" w:bidi="ar"/>
                    </w:rPr>
                  </w:pPr>
                  <w:r>
                    <w:rPr>
                      <w:rFonts w:hint="eastAsia" w:ascii="Times New Roman" w:hAnsi="Times New Roman" w:eastAsia="宋体" w:cs="Times New Roman"/>
                      <w:color w:val="auto"/>
                      <w:kern w:val="2"/>
                      <w:sz w:val="21"/>
                      <w:szCs w:val="21"/>
                      <w:highlight w:val="none"/>
                      <w:lang w:val="en-US" w:eastAsia="zh-CN" w:bidi="ar"/>
                    </w:rPr>
                    <w:t>水泵</w:t>
                  </w:r>
                </w:p>
              </w:tc>
              <w:tc>
                <w:tcPr>
                  <w:tcW w:w="1286" w:type="pct"/>
                  <w:tcBorders>
                    <w:tl2br w:val="nil"/>
                    <w:tr2bl w:val="nil"/>
                  </w:tcBorders>
                  <w:noWrap/>
                  <w:vAlign w:val="center"/>
                </w:tcPr>
                <w:p w14:paraId="7B320D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宋体" w:cs="Times New Roman"/>
                      <w:color w:val="auto"/>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3</w:t>
                  </w:r>
                  <w:r>
                    <w:rPr>
                      <w:rFonts w:hint="default" w:ascii="Times New Roman" w:hAnsi="Times New Roman" w:eastAsia="宋体" w:cs="Times New Roman"/>
                      <w:color w:val="auto"/>
                      <w:sz w:val="21"/>
                      <w:szCs w:val="21"/>
                      <w:highlight w:val="none"/>
                      <w:lang w:val="en-US" w:eastAsia="zh-CN" w:bidi="ar"/>
                    </w:rPr>
                    <w:t>台</w:t>
                  </w:r>
                </w:p>
              </w:tc>
              <w:tc>
                <w:tcPr>
                  <w:tcW w:w="1576" w:type="pct"/>
                  <w:tcBorders>
                    <w:tl2br w:val="nil"/>
                    <w:tr2bl w:val="nil"/>
                  </w:tcBorders>
                  <w:noWrap/>
                  <w:vAlign w:val="center"/>
                </w:tcPr>
                <w:p w14:paraId="039CC2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宋体" w:cs="Times New Roman"/>
                      <w:color w:val="auto"/>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10m</w:t>
                  </w:r>
                </w:p>
              </w:tc>
            </w:tr>
          </w:tbl>
          <w:p w14:paraId="68DF89CE">
            <w:pPr>
              <w:autoSpaceDE w:val="0"/>
              <w:autoSpaceDN w:val="0"/>
              <w:adjustRightInd w:val="0"/>
              <w:snapToGrid w:val="0"/>
              <w:spacing w:line="360" w:lineRule="auto"/>
              <w:rPr>
                <w:rFonts w:hint="default" w:ascii="Times New Roman" w:hAnsi="Times New Roman" w:eastAsia="宋体" w:cs="Times New Roman"/>
                <w:b/>
                <w:bCs/>
                <w:color w:val="auto"/>
                <w:spacing w:val="0"/>
                <w:szCs w:val="21"/>
              </w:rPr>
            </w:pPr>
            <w:r>
              <w:rPr>
                <w:rFonts w:hint="default" w:ascii="Times New Roman" w:hAnsi="Times New Roman" w:eastAsia="宋体" w:cs="Times New Roman"/>
                <w:color w:val="auto"/>
                <w:spacing w:val="0"/>
                <w:szCs w:val="21"/>
              </w:rPr>
              <w:t>注：本项目设备均不属于《产业结构调整指导目录（2024年本）》中限制及淘汰使用的设备。</w:t>
            </w:r>
          </w:p>
          <w:p w14:paraId="5B28ABBB">
            <w:pPr>
              <w:spacing w:line="360" w:lineRule="auto"/>
              <w:ind w:firstLine="482" w:firstLineChars="200"/>
              <w:rPr>
                <w:rFonts w:hint="default" w:ascii="Times New Roman" w:hAnsi="Times New Roman" w:eastAsia="宋体" w:cs="Times New Roman"/>
                <w:b/>
                <w:color w:val="auto"/>
                <w:spacing w:val="0"/>
                <w:sz w:val="24"/>
                <w:lang w:val="en-US" w:eastAsia="zh-CN"/>
              </w:rPr>
            </w:pPr>
            <w:r>
              <w:rPr>
                <w:rFonts w:hint="default" w:ascii="Times New Roman" w:hAnsi="Times New Roman" w:eastAsia="宋体" w:cs="Times New Roman"/>
                <w:b/>
                <w:color w:val="auto"/>
                <w:spacing w:val="0"/>
                <w:sz w:val="24"/>
                <w:lang w:val="en-US" w:eastAsia="zh-CN"/>
              </w:rPr>
              <w:t>四、原辅材料消耗</w:t>
            </w:r>
          </w:p>
          <w:p w14:paraId="04A8C83A">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snapToGrid w:val="0"/>
                <w:color w:val="auto"/>
                <w:spacing w:val="0"/>
                <w:kern w:val="0"/>
                <w:sz w:val="24"/>
              </w:rPr>
            </w:pPr>
            <w:r>
              <w:rPr>
                <w:rFonts w:hint="default" w:ascii="Times New Roman" w:hAnsi="Times New Roman" w:eastAsia="宋体" w:cs="Times New Roman"/>
                <w:b/>
                <w:bCs/>
                <w:snapToGrid w:val="0"/>
                <w:color w:val="auto"/>
                <w:spacing w:val="0"/>
                <w:kern w:val="0"/>
                <w:sz w:val="24"/>
              </w:rPr>
              <w:t>本项目原辅材料用量一览表</w:t>
            </w:r>
          </w:p>
          <w:tbl>
            <w:tblPr>
              <w:tblStyle w:val="3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98"/>
              <w:gridCol w:w="2034"/>
              <w:gridCol w:w="1705"/>
              <w:gridCol w:w="3297"/>
            </w:tblGrid>
            <w:tr w14:paraId="533DB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509" w:type="pct"/>
                  <w:tcBorders>
                    <w:tl2br w:val="nil"/>
                    <w:tr2bl w:val="nil"/>
                  </w:tcBorders>
                  <w:noWrap w:val="0"/>
                  <w:vAlign w:val="center"/>
                </w:tcPr>
                <w:p w14:paraId="7133C267">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bCs/>
                      <w:color w:val="auto"/>
                      <w:spacing w:val="0"/>
                      <w:szCs w:val="21"/>
                    </w:rPr>
                  </w:pPr>
                  <w:r>
                    <w:rPr>
                      <w:rFonts w:hint="default" w:ascii="Times New Roman" w:hAnsi="Times New Roman" w:eastAsia="宋体" w:cs="Times New Roman"/>
                      <w:b/>
                      <w:bCs/>
                      <w:color w:val="auto"/>
                      <w:spacing w:val="0"/>
                      <w:szCs w:val="21"/>
                    </w:rPr>
                    <w:t>序号</w:t>
                  </w:r>
                </w:p>
              </w:tc>
              <w:tc>
                <w:tcPr>
                  <w:tcW w:w="1298" w:type="pct"/>
                  <w:tcBorders>
                    <w:tl2br w:val="nil"/>
                    <w:tr2bl w:val="nil"/>
                  </w:tcBorders>
                  <w:noWrap w:val="0"/>
                  <w:vAlign w:val="center"/>
                </w:tcPr>
                <w:p w14:paraId="22D96D3E">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bCs/>
                      <w:color w:val="auto"/>
                      <w:spacing w:val="0"/>
                      <w:szCs w:val="21"/>
                    </w:rPr>
                  </w:pPr>
                  <w:r>
                    <w:rPr>
                      <w:rFonts w:hint="default" w:ascii="Times New Roman" w:hAnsi="Times New Roman" w:eastAsia="宋体" w:cs="Times New Roman"/>
                      <w:b/>
                      <w:bCs/>
                      <w:color w:val="auto"/>
                      <w:spacing w:val="0"/>
                      <w:szCs w:val="21"/>
                    </w:rPr>
                    <w:t>名称</w:t>
                  </w:r>
                </w:p>
              </w:tc>
              <w:tc>
                <w:tcPr>
                  <w:tcW w:w="1088" w:type="pct"/>
                  <w:tcBorders>
                    <w:tl2br w:val="nil"/>
                    <w:tr2bl w:val="nil"/>
                  </w:tcBorders>
                  <w:noWrap w:val="0"/>
                  <w:vAlign w:val="center"/>
                </w:tcPr>
                <w:p w14:paraId="65D22D2B">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b/>
                      <w:bCs/>
                      <w:color w:val="auto"/>
                      <w:spacing w:val="0"/>
                      <w:szCs w:val="21"/>
                      <w:lang w:eastAsia="zh-CN"/>
                    </w:rPr>
                  </w:pPr>
                  <w:r>
                    <w:rPr>
                      <w:rFonts w:hint="default" w:ascii="Times New Roman" w:hAnsi="Times New Roman" w:eastAsia="宋体" w:cs="Times New Roman"/>
                      <w:b/>
                      <w:bCs/>
                      <w:color w:val="auto"/>
                      <w:spacing w:val="0"/>
                      <w:szCs w:val="21"/>
                    </w:rPr>
                    <w:t>用量</w:t>
                  </w:r>
                  <w:r>
                    <w:rPr>
                      <w:rFonts w:hint="eastAsia" w:cs="Times New Roman"/>
                      <w:b/>
                      <w:bCs/>
                      <w:color w:val="auto"/>
                      <w:spacing w:val="0"/>
                      <w:szCs w:val="21"/>
                      <w:lang w:eastAsia="zh-CN"/>
                    </w:rPr>
                    <w:t>（</w:t>
                  </w:r>
                  <w:r>
                    <w:rPr>
                      <w:rFonts w:hint="eastAsia" w:cs="Times New Roman"/>
                      <w:b/>
                      <w:bCs/>
                      <w:color w:val="auto"/>
                      <w:spacing w:val="0"/>
                      <w:szCs w:val="21"/>
                      <w:lang w:val="en-US" w:eastAsia="zh-CN"/>
                    </w:rPr>
                    <w:t>t/a</w:t>
                  </w:r>
                  <w:r>
                    <w:rPr>
                      <w:rFonts w:hint="eastAsia" w:cs="Times New Roman"/>
                      <w:b/>
                      <w:bCs/>
                      <w:color w:val="auto"/>
                      <w:spacing w:val="0"/>
                      <w:szCs w:val="21"/>
                      <w:lang w:eastAsia="zh-CN"/>
                    </w:rPr>
                    <w:t>）</w:t>
                  </w:r>
                </w:p>
              </w:tc>
              <w:tc>
                <w:tcPr>
                  <w:tcW w:w="2103" w:type="pct"/>
                  <w:tcBorders>
                    <w:tl2br w:val="nil"/>
                    <w:tr2bl w:val="nil"/>
                  </w:tcBorders>
                  <w:noWrap w:val="0"/>
                  <w:vAlign w:val="center"/>
                </w:tcPr>
                <w:p w14:paraId="26DAE0BF">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bCs/>
                      <w:color w:val="auto"/>
                      <w:spacing w:val="0"/>
                      <w:szCs w:val="21"/>
                    </w:rPr>
                  </w:pPr>
                  <w:r>
                    <w:rPr>
                      <w:rFonts w:hint="default" w:ascii="Times New Roman" w:hAnsi="Times New Roman" w:eastAsia="宋体" w:cs="Times New Roman"/>
                      <w:b/>
                      <w:bCs/>
                      <w:color w:val="auto"/>
                      <w:spacing w:val="0"/>
                      <w:szCs w:val="21"/>
                    </w:rPr>
                    <w:t>备注</w:t>
                  </w:r>
                </w:p>
              </w:tc>
            </w:tr>
            <w:tr w14:paraId="06D01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09" w:type="pct"/>
                  <w:tcBorders>
                    <w:tl2br w:val="nil"/>
                    <w:tr2bl w:val="nil"/>
                  </w:tcBorders>
                  <w:noWrap w:val="0"/>
                  <w:vAlign w:val="center"/>
                </w:tcPr>
                <w:p w14:paraId="5E73219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default" w:ascii="Times New Roman" w:hAnsi="Times New Roman" w:eastAsia="宋体" w:cs="Times New Roman"/>
                      <w:color w:val="auto"/>
                      <w:spacing w:val="0"/>
                      <w:sz w:val="21"/>
                      <w:szCs w:val="21"/>
                      <w:lang w:val="en-US" w:eastAsia="zh-CN" w:bidi="ar"/>
                    </w:rPr>
                    <w:t>1</w:t>
                  </w:r>
                </w:p>
              </w:tc>
              <w:tc>
                <w:tcPr>
                  <w:tcW w:w="1298" w:type="pct"/>
                  <w:tcBorders>
                    <w:tl2br w:val="nil"/>
                    <w:tr2bl w:val="nil"/>
                  </w:tcBorders>
                  <w:noWrap w:val="0"/>
                  <w:vAlign w:val="center"/>
                </w:tcPr>
                <w:p w14:paraId="5DC975A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ascii="Times New Roman" w:hAnsi="Times New Roman" w:eastAsia="宋体" w:cs="Times New Roman"/>
                      <w:color w:val="auto"/>
                      <w:spacing w:val="0"/>
                      <w:sz w:val="21"/>
                      <w:szCs w:val="21"/>
                      <w:lang w:val="en-US" w:eastAsia="zh-CN" w:bidi="ar"/>
                    </w:rPr>
                    <w:t>水泥</w:t>
                  </w:r>
                </w:p>
              </w:tc>
              <w:tc>
                <w:tcPr>
                  <w:tcW w:w="1088" w:type="pct"/>
                  <w:tcBorders>
                    <w:tl2br w:val="nil"/>
                    <w:tr2bl w:val="nil"/>
                  </w:tcBorders>
                  <w:noWrap w:val="0"/>
                  <w:vAlign w:val="center"/>
                </w:tcPr>
                <w:p w14:paraId="7EDFA2A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cs="Times New Roman"/>
                      <w:color w:val="auto"/>
                      <w:spacing w:val="0"/>
                      <w:sz w:val="21"/>
                      <w:szCs w:val="21"/>
                      <w:lang w:val="en-US" w:eastAsia="zh-CN" w:bidi="ar"/>
                    </w:rPr>
                    <w:t>6</w:t>
                  </w:r>
                  <w:r>
                    <w:rPr>
                      <w:rFonts w:hint="eastAsia" w:ascii="Times New Roman" w:hAnsi="Times New Roman" w:eastAsia="宋体" w:cs="Times New Roman"/>
                      <w:color w:val="auto"/>
                      <w:spacing w:val="0"/>
                      <w:sz w:val="21"/>
                      <w:szCs w:val="21"/>
                      <w:lang w:val="en-US" w:eastAsia="zh-CN" w:bidi="ar"/>
                    </w:rPr>
                    <w:t>000</w:t>
                  </w:r>
                </w:p>
              </w:tc>
              <w:tc>
                <w:tcPr>
                  <w:tcW w:w="2103" w:type="pct"/>
                  <w:tcBorders>
                    <w:tl2br w:val="nil"/>
                    <w:tr2bl w:val="nil"/>
                  </w:tcBorders>
                  <w:noWrap w:val="0"/>
                  <w:vAlign w:val="center"/>
                </w:tcPr>
                <w:p w14:paraId="4A867B8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default" w:ascii="Times New Roman" w:hAnsi="Times New Roman" w:eastAsia="宋体" w:cs="Times New Roman"/>
                      <w:color w:val="auto"/>
                      <w:spacing w:val="0"/>
                      <w:sz w:val="21"/>
                      <w:szCs w:val="21"/>
                      <w:lang w:val="en-US" w:eastAsia="zh-CN" w:bidi="ar"/>
                    </w:rPr>
                    <w:t>散装，汽运外购</w:t>
                  </w:r>
                </w:p>
              </w:tc>
            </w:tr>
            <w:tr w14:paraId="73081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09" w:type="pct"/>
                  <w:tcBorders>
                    <w:tl2br w:val="nil"/>
                    <w:tr2bl w:val="nil"/>
                  </w:tcBorders>
                  <w:noWrap w:val="0"/>
                  <w:vAlign w:val="center"/>
                </w:tcPr>
                <w:p w14:paraId="0DE2B0C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default" w:ascii="Times New Roman" w:hAnsi="Times New Roman" w:eastAsia="宋体" w:cs="Times New Roman"/>
                      <w:color w:val="auto"/>
                      <w:spacing w:val="0"/>
                      <w:sz w:val="21"/>
                      <w:szCs w:val="21"/>
                      <w:lang w:val="en-US" w:eastAsia="zh-CN" w:bidi="ar"/>
                    </w:rPr>
                    <w:t>2</w:t>
                  </w:r>
                </w:p>
              </w:tc>
              <w:tc>
                <w:tcPr>
                  <w:tcW w:w="1298" w:type="pct"/>
                  <w:tcBorders>
                    <w:tl2br w:val="nil"/>
                    <w:tr2bl w:val="nil"/>
                  </w:tcBorders>
                  <w:noWrap w:val="0"/>
                  <w:vAlign w:val="center"/>
                </w:tcPr>
                <w:p w14:paraId="197B00F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ascii="Times New Roman" w:hAnsi="Times New Roman" w:eastAsia="宋体" w:cs="Times New Roman"/>
                      <w:color w:val="auto"/>
                      <w:spacing w:val="0"/>
                      <w:sz w:val="21"/>
                      <w:szCs w:val="21"/>
                      <w:lang w:val="en-US" w:eastAsia="zh-CN" w:bidi="ar"/>
                    </w:rPr>
                    <w:t>沙子</w:t>
                  </w:r>
                </w:p>
              </w:tc>
              <w:tc>
                <w:tcPr>
                  <w:tcW w:w="1088" w:type="pct"/>
                  <w:tcBorders>
                    <w:tl2br w:val="nil"/>
                    <w:tr2bl w:val="nil"/>
                  </w:tcBorders>
                  <w:noWrap w:val="0"/>
                  <w:vAlign w:val="center"/>
                </w:tcPr>
                <w:p w14:paraId="763184C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cs="Times New Roman"/>
                      <w:color w:val="auto"/>
                      <w:spacing w:val="0"/>
                      <w:sz w:val="21"/>
                      <w:szCs w:val="21"/>
                      <w:lang w:val="en-US" w:eastAsia="zh-CN" w:bidi="ar"/>
                    </w:rPr>
                    <w:t>6</w:t>
                  </w:r>
                  <w:r>
                    <w:rPr>
                      <w:rFonts w:hint="eastAsia" w:ascii="Times New Roman" w:hAnsi="Times New Roman" w:eastAsia="宋体" w:cs="Times New Roman"/>
                      <w:color w:val="auto"/>
                      <w:spacing w:val="0"/>
                      <w:sz w:val="21"/>
                      <w:szCs w:val="21"/>
                      <w:lang w:val="en-US" w:eastAsia="zh-CN" w:bidi="ar"/>
                    </w:rPr>
                    <w:t>000</w:t>
                  </w:r>
                </w:p>
              </w:tc>
              <w:tc>
                <w:tcPr>
                  <w:tcW w:w="2103" w:type="pct"/>
                  <w:tcBorders>
                    <w:tl2br w:val="nil"/>
                    <w:tr2bl w:val="nil"/>
                  </w:tcBorders>
                  <w:noWrap w:val="0"/>
                  <w:vAlign w:val="center"/>
                </w:tcPr>
                <w:p w14:paraId="2421F25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default" w:ascii="Times New Roman" w:hAnsi="Times New Roman" w:eastAsia="宋体" w:cs="Times New Roman"/>
                      <w:color w:val="auto"/>
                      <w:spacing w:val="0"/>
                      <w:sz w:val="21"/>
                      <w:szCs w:val="21"/>
                      <w:lang w:val="en-US" w:eastAsia="zh-CN" w:bidi="ar"/>
                    </w:rPr>
                    <w:t>散装，汽运外购</w:t>
                  </w:r>
                </w:p>
              </w:tc>
            </w:tr>
            <w:tr w14:paraId="3E17F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09" w:type="pct"/>
                  <w:tcBorders>
                    <w:tl2br w:val="nil"/>
                    <w:tr2bl w:val="nil"/>
                  </w:tcBorders>
                  <w:noWrap w:val="0"/>
                  <w:vAlign w:val="center"/>
                </w:tcPr>
                <w:p w14:paraId="56D7CB3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default" w:ascii="Times New Roman" w:hAnsi="Times New Roman" w:eastAsia="宋体" w:cs="Times New Roman"/>
                      <w:color w:val="auto"/>
                      <w:spacing w:val="0"/>
                      <w:sz w:val="21"/>
                      <w:szCs w:val="21"/>
                      <w:lang w:val="en-US" w:eastAsia="zh-CN" w:bidi="ar"/>
                    </w:rPr>
                    <w:t>3</w:t>
                  </w:r>
                </w:p>
              </w:tc>
              <w:tc>
                <w:tcPr>
                  <w:tcW w:w="1298" w:type="pct"/>
                  <w:tcBorders>
                    <w:tl2br w:val="nil"/>
                    <w:tr2bl w:val="nil"/>
                  </w:tcBorders>
                  <w:noWrap w:val="0"/>
                  <w:vAlign w:val="center"/>
                </w:tcPr>
                <w:p w14:paraId="071350C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ascii="Times New Roman" w:hAnsi="Times New Roman" w:eastAsia="宋体" w:cs="Times New Roman"/>
                      <w:color w:val="auto"/>
                      <w:spacing w:val="0"/>
                      <w:sz w:val="21"/>
                      <w:szCs w:val="21"/>
                      <w:lang w:val="en-US" w:eastAsia="zh-CN" w:bidi="ar"/>
                    </w:rPr>
                    <w:t>石子</w:t>
                  </w:r>
                </w:p>
              </w:tc>
              <w:tc>
                <w:tcPr>
                  <w:tcW w:w="1088" w:type="pct"/>
                  <w:tcBorders>
                    <w:tl2br w:val="nil"/>
                    <w:tr2bl w:val="nil"/>
                  </w:tcBorders>
                  <w:noWrap w:val="0"/>
                  <w:vAlign w:val="center"/>
                </w:tcPr>
                <w:p w14:paraId="38FE041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cs="Times New Roman"/>
                      <w:color w:val="auto"/>
                      <w:spacing w:val="0"/>
                      <w:sz w:val="21"/>
                      <w:szCs w:val="21"/>
                      <w:lang w:val="en-US" w:eastAsia="zh-CN" w:bidi="ar"/>
                    </w:rPr>
                    <w:t>12</w:t>
                  </w:r>
                  <w:r>
                    <w:rPr>
                      <w:rFonts w:hint="eastAsia" w:ascii="Times New Roman" w:hAnsi="Times New Roman" w:eastAsia="宋体" w:cs="Times New Roman"/>
                      <w:color w:val="auto"/>
                      <w:spacing w:val="0"/>
                      <w:sz w:val="21"/>
                      <w:szCs w:val="21"/>
                      <w:lang w:val="en-US" w:eastAsia="zh-CN" w:bidi="ar"/>
                    </w:rPr>
                    <w:t>000</w:t>
                  </w:r>
                </w:p>
              </w:tc>
              <w:tc>
                <w:tcPr>
                  <w:tcW w:w="2103" w:type="pct"/>
                  <w:tcBorders>
                    <w:tl2br w:val="nil"/>
                    <w:tr2bl w:val="nil"/>
                  </w:tcBorders>
                  <w:noWrap w:val="0"/>
                  <w:vAlign w:val="center"/>
                </w:tcPr>
                <w:p w14:paraId="142690F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default" w:ascii="Times New Roman" w:hAnsi="Times New Roman" w:eastAsia="宋体" w:cs="Times New Roman"/>
                      <w:color w:val="auto"/>
                      <w:spacing w:val="0"/>
                      <w:sz w:val="21"/>
                      <w:szCs w:val="21"/>
                      <w:lang w:val="en-US" w:eastAsia="zh-CN" w:bidi="ar"/>
                    </w:rPr>
                    <w:t>散装，汽运外购</w:t>
                  </w:r>
                </w:p>
              </w:tc>
            </w:tr>
            <w:tr w14:paraId="0ED3C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09" w:type="pct"/>
                  <w:tcBorders>
                    <w:tl2br w:val="nil"/>
                    <w:tr2bl w:val="nil"/>
                  </w:tcBorders>
                  <w:noWrap w:val="0"/>
                  <w:vAlign w:val="center"/>
                </w:tcPr>
                <w:p w14:paraId="216C161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default" w:ascii="Times New Roman" w:hAnsi="Times New Roman" w:eastAsia="宋体" w:cs="Times New Roman"/>
                      <w:color w:val="auto"/>
                      <w:spacing w:val="0"/>
                      <w:sz w:val="21"/>
                      <w:szCs w:val="21"/>
                      <w:lang w:val="en-US" w:eastAsia="zh-CN" w:bidi="ar"/>
                    </w:rPr>
                    <w:t>4</w:t>
                  </w:r>
                </w:p>
              </w:tc>
              <w:tc>
                <w:tcPr>
                  <w:tcW w:w="1298" w:type="pct"/>
                  <w:tcBorders>
                    <w:tl2br w:val="nil"/>
                    <w:tr2bl w:val="nil"/>
                  </w:tcBorders>
                  <w:noWrap w:val="0"/>
                  <w:vAlign w:val="center"/>
                </w:tcPr>
                <w:p w14:paraId="57F9F63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ascii="Times New Roman" w:hAnsi="Times New Roman" w:eastAsia="宋体" w:cs="Times New Roman"/>
                      <w:color w:val="auto"/>
                      <w:spacing w:val="0"/>
                      <w:sz w:val="21"/>
                      <w:szCs w:val="21"/>
                      <w:lang w:val="en-US" w:eastAsia="zh-CN" w:bidi="ar"/>
                    </w:rPr>
                    <w:t>钢筋</w:t>
                  </w:r>
                </w:p>
              </w:tc>
              <w:tc>
                <w:tcPr>
                  <w:tcW w:w="1088" w:type="pct"/>
                  <w:tcBorders>
                    <w:tl2br w:val="nil"/>
                    <w:tr2bl w:val="nil"/>
                  </w:tcBorders>
                  <w:noWrap w:val="0"/>
                  <w:vAlign w:val="center"/>
                </w:tcPr>
                <w:p w14:paraId="3E56E7F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cs="Times New Roman"/>
                      <w:color w:val="auto"/>
                      <w:spacing w:val="0"/>
                      <w:sz w:val="21"/>
                      <w:szCs w:val="21"/>
                      <w:lang w:val="en-US" w:eastAsia="zh-CN" w:bidi="ar"/>
                    </w:rPr>
                    <w:t>2</w:t>
                  </w:r>
                  <w:r>
                    <w:rPr>
                      <w:rFonts w:hint="eastAsia" w:ascii="Times New Roman" w:hAnsi="Times New Roman" w:eastAsia="宋体" w:cs="Times New Roman"/>
                      <w:color w:val="auto"/>
                      <w:spacing w:val="0"/>
                      <w:sz w:val="21"/>
                      <w:szCs w:val="21"/>
                      <w:lang w:val="en-US" w:eastAsia="zh-CN" w:bidi="ar"/>
                    </w:rPr>
                    <w:t>0</w:t>
                  </w:r>
                  <w:r>
                    <w:rPr>
                      <w:rFonts w:hint="eastAsia" w:cs="Times New Roman"/>
                      <w:color w:val="auto"/>
                      <w:spacing w:val="0"/>
                      <w:sz w:val="21"/>
                      <w:szCs w:val="21"/>
                      <w:lang w:val="en-US" w:eastAsia="zh-CN" w:bidi="ar"/>
                    </w:rPr>
                    <w:t>1</w:t>
                  </w:r>
                  <w:r>
                    <w:rPr>
                      <w:rFonts w:hint="eastAsia" w:ascii="Times New Roman" w:hAnsi="Times New Roman" w:eastAsia="宋体" w:cs="Times New Roman"/>
                      <w:color w:val="auto"/>
                      <w:spacing w:val="0"/>
                      <w:sz w:val="21"/>
                      <w:szCs w:val="21"/>
                      <w:lang w:val="en-US" w:eastAsia="zh-CN" w:bidi="ar"/>
                    </w:rPr>
                    <w:t>0</w:t>
                  </w:r>
                </w:p>
              </w:tc>
              <w:tc>
                <w:tcPr>
                  <w:tcW w:w="2103" w:type="pct"/>
                  <w:tcBorders>
                    <w:tl2br w:val="nil"/>
                    <w:tr2bl w:val="nil"/>
                  </w:tcBorders>
                  <w:noWrap w:val="0"/>
                  <w:vAlign w:val="center"/>
                </w:tcPr>
                <w:p w14:paraId="66DDCDB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default" w:ascii="Times New Roman" w:hAnsi="Times New Roman" w:eastAsia="宋体" w:cs="Times New Roman"/>
                      <w:color w:val="auto"/>
                      <w:spacing w:val="0"/>
                      <w:sz w:val="21"/>
                      <w:szCs w:val="21"/>
                      <w:lang w:val="en-US" w:eastAsia="zh-CN" w:bidi="ar"/>
                    </w:rPr>
                    <w:t>散装，汽运外购</w:t>
                  </w:r>
                </w:p>
              </w:tc>
            </w:tr>
            <w:tr w14:paraId="627B2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09" w:type="pct"/>
                  <w:tcBorders>
                    <w:tl2br w:val="nil"/>
                    <w:tr2bl w:val="nil"/>
                  </w:tcBorders>
                  <w:noWrap w:val="0"/>
                  <w:vAlign w:val="center"/>
                </w:tcPr>
                <w:p w14:paraId="78D2EBB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cs="Times New Roman"/>
                      <w:color w:val="auto"/>
                      <w:spacing w:val="0"/>
                      <w:sz w:val="21"/>
                      <w:szCs w:val="21"/>
                      <w:lang w:val="en-US" w:eastAsia="zh-CN" w:bidi="ar"/>
                    </w:rPr>
                    <w:t>5</w:t>
                  </w:r>
                </w:p>
              </w:tc>
              <w:tc>
                <w:tcPr>
                  <w:tcW w:w="1298" w:type="pct"/>
                  <w:tcBorders>
                    <w:tl2br w:val="nil"/>
                    <w:tr2bl w:val="nil"/>
                  </w:tcBorders>
                  <w:noWrap w:val="0"/>
                  <w:vAlign w:val="center"/>
                </w:tcPr>
                <w:p w14:paraId="311D4FF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ascii="Times New Roman" w:hAnsi="Times New Roman" w:eastAsia="宋体" w:cs="Times New Roman"/>
                      <w:color w:val="auto"/>
                      <w:spacing w:val="0"/>
                      <w:sz w:val="21"/>
                      <w:szCs w:val="21"/>
                      <w:lang w:val="en-US" w:eastAsia="zh-CN" w:bidi="ar"/>
                    </w:rPr>
                    <w:t>脱模剂</w:t>
                  </w:r>
                </w:p>
              </w:tc>
              <w:tc>
                <w:tcPr>
                  <w:tcW w:w="1088" w:type="pct"/>
                  <w:tcBorders>
                    <w:tl2br w:val="nil"/>
                    <w:tr2bl w:val="nil"/>
                  </w:tcBorders>
                  <w:noWrap w:val="0"/>
                  <w:vAlign w:val="center"/>
                </w:tcPr>
                <w:p w14:paraId="53997C4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cs="Times New Roman"/>
                      <w:color w:val="auto"/>
                      <w:spacing w:val="0"/>
                      <w:sz w:val="21"/>
                      <w:szCs w:val="21"/>
                      <w:lang w:val="en-US" w:eastAsia="zh-CN" w:bidi="ar"/>
                    </w:rPr>
                    <w:t>2.5</w:t>
                  </w:r>
                </w:p>
              </w:tc>
              <w:tc>
                <w:tcPr>
                  <w:tcW w:w="2103" w:type="pct"/>
                  <w:tcBorders>
                    <w:tl2br w:val="nil"/>
                    <w:tr2bl w:val="nil"/>
                  </w:tcBorders>
                  <w:noWrap w:val="0"/>
                  <w:vAlign w:val="center"/>
                </w:tcPr>
                <w:p w14:paraId="017D0E6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default" w:ascii="Times New Roman" w:hAnsi="Times New Roman" w:eastAsia="宋体" w:cs="Times New Roman"/>
                      <w:color w:val="auto"/>
                      <w:spacing w:val="0"/>
                      <w:sz w:val="21"/>
                      <w:szCs w:val="21"/>
                      <w:lang w:val="en-US" w:eastAsia="zh-CN" w:bidi="ar"/>
                    </w:rPr>
                    <w:t>外购，桶装，主要成份是洗洁精</w:t>
                  </w:r>
                </w:p>
              </w:tc>
            </w:tr>
            <w:tr w14:paraId="6892D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09" w:type="pct"/>
                  <w:tcBorders>
                    <w:tl2br w:val="nil"/>
                    <w:tr2bl w:val="nil"/>
                  </w:tcBorders>
                  <w:noWrap w:val="0"/>
                  <w:vAlign w:val="center"/>
                </w:tcPr>
                <w:p w14:paraId="50E39A0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cs="Times New Roman"/>
                      <w:color w:val="auto"/>
                      <w:spacing w:val="0"/>
                      <w:sz w:val="21"/>
                      <w:szCs w:val="21"/>
                      <w:lang w:val="en-US" w:eastAsia="zh-CN" w:bidi="ar"/>
                    </w:rPr>
                    <w:t>6</w:t>
                  </w:r>
                </w:p>
              </w:tc>
              <w:tc>
                <w:tcPr>
                  <w:tcW w:w="1298" w:type="pct"/>
                  <w:tcBorders>
                    <w:tl2br w:val="nil"/>
                    <w:tr2bl w:val="nil"/>
                  </w:tcBorders>
                  <w:noWrap w:val="0"/>
                  <w:vAlign w:val="center"/>
                </w:tcPr>
                <w:p w14:paraId="6F6D603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ascii="Times New Roman" w:hAnsi="Times New Roman" w:eastAsia="宋体" w:cs="Times New Roman"/>
                      <w:color w:val="auto"/>
                      <w:spacing w:val="0"/>
                      <w:sz w:val="21"/>
                      <w:szCs w:val="21"/>
                      <w:lang w:val="en-US" w:eastAsia="zh-CN" w:bidi="ar"/>
                    </w:rPr>
                    <w:t>润滑油</w:t>
                  </w:r>
                </w:p>
              </w:tc>
              <w:tc>
                <w:tcPr>
                  <w:tcW w:w="1088" w:type="pct"/>
                  <w:tcBorders>
                    <w:tl2br w:val="nil"/>
                    <w:tr2bl w:val="nil"/>
                  </w:tcBorders>
                  <w:noWrap w:val="0"/>
                  <w:vAlign w:val="center"/>
                </w:tcPr>
                <w:p w14:paraId="6A817F1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ascii="Times New Roman" w:hAnsi="Times New Roman" w:eastAsia="宋体" w:cs="Times New Roman"/>
                      <w:color w:val="auto"/>
                      <w:spacing w:val="0"/>
                      <w:sz w:val="21"/>
                      <w:szCs w:val="21"/>
                      <w:lang w:val="en-US" w:eastAsia="zh-CN" w:bidi="ar"/>
                    </w:rPr>
                    <w:t>0.</w:t>
                  </w:r>
                  <w:r>
                    <w:rPr>
                      <w:rFonts w:hint="eastAsia" w:cs="Times New Roman"/>
                      <w:color w:val="auto"/>
                      <w:spacing w:val="0"/>
                      <w:sz w:val="21"/>
                      <w:szCs w:val="21"/>
                      <w:lang w:val="en-US" w:eastAsia="zh-CN" w:bidi="ar"/>
                    </w:rPr>
                    <w:t>1</w:t>
                  </w:r>
                </w:p>
              </w:tc>
              <w:tc>
                <w:tcPr>
                  <w:tcW w:w="2103" w:type="pct"/>
                  <w:tcBorders>
                    <w:tl2br w:val="nil"/>
                    <w:tr2bl w:val="nil"/>
                  </w:tcBorders>
                  <w:noWrap w:val="0"/>
                  <w:vAlign w:val="center"/>
                </w:tcPr>
                <w:p w14:paraId="49EC1AE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color w:val="auto"/>
                      <w:spacing w:val="0"/>
                      <w:sz w:val="21"/>
                      <w:szCs w:val="21"/>
                      <w:lang w:val="en-US" w:eastAsia="zh-CN" w:bidi="ar"/>
                    </w:rPr>
                  </w:pPr>
                  <w:r>
                    <w:rPr>
                      <w:rFonts w:hint="default" w:ascii="Times New Roman" w:hAnsi="Times New Roman" w:eastAsia="宋体" w:cs="Times New Roman"/>
                      <w:color w:val="auto"/>
                      <w:spacing w:val="0"/>
                      <w:sz w:val="21"/>
                      <w:szCs w:val="21"/>
                      <w:lang w:val="en-US" w:eastAsia="zh-CN" w:bidi="ar"/>
                    </w:rPr>
                    <w:t>外购，桶装</w:t>
                  </w:r>
                </w:p>
              </w:tc>
            </w:tr>
          </w:tbl>
          <w:p w14:paraId="68133AD6">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snapToGrid w:val="0"/>
                <w:color w:val="auto"/>
                <w:spacing w:val="0"/>
                <w:kern w:val="0"/>
                <w:sz w:val="24"/>
              </w:rPr>
            </w:pPr>
            <w:r>
              <w:rPr>
                <w:rFonts w:hint="default" w:ascii="Times New Roman" w:hAnsi="Times New Roman" w:eastAsia="宋体" w:cs="Times New Roman"/>
                <w:b/>
                <w:bCs/>
                <w:snapToGrid w:val="0"/>
                <w:color w:val="auto"/>
                <w:spacing w:val="0"/>
                <w:kern w:val="0"/>
                <w:sz w:val="24"/>
                <w:lang w:val="en-US" w:eastAsia="zh-CN"/>
              </w:rPr>
              <w:t>部分原辅料</w:t>
            </w:r>
            <w:r>
              <w:rPr>
                <w:rFonts w:hint="default" w:ascii="Times New Roman" w:hAnsi="Times New Roman" w:eastAsia="宋体" w:cs="Times New Roman"/>
                <w:b/>
                <w:bCs/>
                <w:snapToGrid w:val="0"/>
                <w:color w:val="auto"/>
                <w:spacing w:val="0"/>
                <w:kern w:val="0"/>
                <w:sz w:val="24"/>
              </w:rPr>
              <w:t>理化性质一览表</w:t>
            </w:r>
          </w:p>
          <w:tbl>
            <w:tblPr>
              <w:tblStyle w:val="3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99"/>
              <w:gridCol w:w="1019"/>
              <w:gridCol w:w="6017"/>
            </w:tblGrid>
            <w:tr w14:paraId="2600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0" w:type="pct"/>
                  <w:tcBorders>
                    <w:tl2br w:val="nil"/>
                    <w:tr2bl w:val="nil"/>
                  </w:tcBorders>
                  <w:noWrap w:val="0"/>
                  <w:vAlign w:val="center"/>
                </w:tcPr>
                <w:p w14:paraId="754156D6">
                  <w:pPr>
                    <w:widowControl/>
                    <w:jc w:val="center"/>
                    <w:rPr>
                      <w:rFonts w:hint="default" w:ascii="Times New Roman" w:hAnsi="Times New Roman" w:eastAsia="宋体" w:cs="Times New Roman"/>
                      <w:b/>
                      <w:bCs/>
                      <w:color w:val="auto"/>
                      <w:spacing w:val="0"/>
                      <w:kern w:val="0"/>
                      <w:szCs w:val="21"/>
                    </w:rPr>
                  </w:pPr>
                  <w:r>
                    <w:rPr>
                      <w:rFonts w:hint="default" w:ascii="Times New Roman" w:hAnsi="Times New Roman" w:eastAsia="宋体" w:cs="Times New Roman"/>
                      <w:b/>
                      <w:bCs/>
                      <w:color w:val="auto"/>
                      <w:spacing w:val="0"/>
                      <w:kern w:val="0"/>
                      <w:szCs w:val="21"/>
                    </w:rPr>
                    <w:t>序号</w:t>
                  </w:r>
                </w:p>
              </w:tc>
              <w:tc>
                <w:tcPr>
                  <w:tcW w:w="650" w:type="pct"/>
                  <w:tcBorders>
                    <w:tl2br w:val="nil"/>
                    <w:tr2bl w:val="nil"/>
                  </w:tcBorders>
                  <w:noWrap w:val="0"/>
                  <w:vAlign w:val="center"/>
                </w:tcPr>
                <w:p w14:paraId="619C8760">
                  <w:pPr>
                    <w:widowControl/>
                    <w:jc w:val="center"/>
                    <w:rPr>
                      <w:rFonts w:hint="default" w:ascii="Times New Roman" w:hAnsi="Times New Roman" w:eastAsia="宋体" w:cs="Times New Roman"/>
                      <w:b/>
                      <w:bCs/>
                      <w:color w:val="auto"/>
                      <w:spacing w:val="0"/>
                      <w:kern w:val="0"/>
                      <w:szCs w:val="21"/>
                    </w:rPr>
                  </w:pPr>
                  <w:r>
                    <w:rPr>
                      <w:rFonts w:hint="default" w:ascii="Times New Roman" w:hAnsi="Times New Roman" w:eastAsia="宋体" w:cs="Times New Roman"/>
                      <w:b/>
                      <w:bCs/>
                      <w:color w:val="auto"/>
                      <w:spacing w:val="0"/>
                      <w:kern w:val="0"/>
                      <w:szCs w:val="21"/>
                    </w:rPr>
                    <w:t>名称</w:t>
                  </w:r>
                </w:p>
              </w:tc>
              <w:tc>
                <w:tcPr>
                  <w:tcW w:w="3838" w:type="pct"/>
                  <w:tcBorders>
                    <w:tl2br w:val="nil"/>
                    <w:tr2bl w:val="nil"/>
                  </w:tcBorders>
                  <w:noWrap w:val="0"/>
                  <w:vAlign w:val="center"/>
                </w:tcPr>
                <w:p w14:paraId="20E93EDF">
                  <w:pPr>
                    <w:widowControl/>
                    <w:jc w:val="center"/>
                    <w:rPr>
                      <w:rFonts w:hint="default" w:ascii="Times New Roman" w:hAnsi="Times New Roman" w:eastAsia="宋体" w:cs="Times New Roman"/>
                      <w:b/>
                      <w:bCs/>
                      <w:color w:val="auto"/>
                      <w:spacing w:val="0"/>
                      <w:kern w:val="0"/>
                      <w:szCs w:val="21"/>
                    </w:rPr>
                  </w:pPr>
                  <w:r>
                    <w:rPr>
                      <w:rFonts w:hint="default" w:ascii="Times New Roman" w:hAnsi="Times New Roman" w:eastAsia="宋体" w:cs="Times New Roman"/>
                      <w:b/>
                      <w:bCs/>
                      <w:color w:val="auto"/>
                      <w:spacing w:val="0"/>
                      <w:kern w:val="0"/>
                      <w:szCs w:val="21"/>
                    </w:rPr>
                    <w:t>理化性质</w:t>
                  </w:r>
                </w:p>
              </w:tc>
            </w:tr>
            <w:tr w14:paraId="4AC6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0" w:type="pct"/>
                  <w:tcBorders>
                    <w:tl2br w:val="nil"/>
                    <w:tr2bl w:val="nil"/>
                  </w:tcBorders>
                  <w:noWrap w:val="0"/>
                  <w:vAlign w:val="center"/>
                </w:tcPr>
                <w:p w14:paraId="0D1FEC92">
                  <w:pPr>
                    <w:jc w:val="center"/>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szCs w:val="21"/>
                    </w:rPr>
                    <w:t>1</w:t>
                  </w:r>
                </w:p>
              </w:tc>
              <w:tc>
                <w:tcPr>
                  <w:tcW w:w="650" w:type="pct"/>
                  <w:tcBorders>
                    <w:tl2br w:val="nil"/>
                    <w:tr2bl w:val="nil"/>
                  </w:tcBorders>
                  <w:noWrap w:val="0"/>
                  <w:vAlign w:val="center"/>
                </w:tcPr>
                <w:p w14:paraId="536B00B2">
                  <w:pPr>
                    <w:widowControl/>
                    <w:jc w:val="center"/>
                    <w:textAlignment w:val="center"/>
                    <w:rPr>
                      <w:rFonts w:hint="default" w:ascii="Times New Roman" w:hAnsi="Times New Roman" w:eastAsia="宋体" w:cs="Times New Roman"/>
                      <w:color w:val="auto"/>
                      <w:spacing w:val="0"/>
                      <w:kern w:val="0"/>
                      <w:sz w:val="21"/>
                      <w:szCs w:val="21"/>
                      <w:lang w:val="en-US" w:eastAsia="zh-CN" w:bidi="ar-SA"/>
                    </w:rPr>
                  </w:pPr>
                  <w:r>
                    <w:rPr>
                      <w:rFonts w:hint="default" w:ascii="Times New Roman" w:hAnsi="Times New Roman" w:eastAsia="宋体" w:cs="Times New Roman"/>
                      <w:color w:val="auto"/>
                      <w:spacing w:val="0"/>
                      <w:lang w:val="en-US" w:eastAsia="zh-CN"/>
                    </w:rPr>
                    <w:t>脱模剂</w:t>
                  </w:r>
                </w:p>
              </w:tc>
              <w:tc>
                <w:tcPr>
                  <w:tcW w:w="3838" w:type="pct"/>
                  <w:tcBorders>
                    <w:tl2br w:val="nil"/>
                    <w:tr2bl w:val="nil"/>
                  </w:tcBorders>
                  <w:noWrap w:val="0"/>
                  <w:vAlign w:val="center"/>
                </w:tcPr>
                <w:p w14:paraId="5FEC7BFB">
                  <w:pPr>
                    <w:widowControl/>
                    <w:jc w:val="center"/>
                    <w:textAlignment w:val="center"/>
                    <w:rPr>
                      <w:rFonts w:hint="default" w:ascii="Times New Roman" w:hAnsi="Times New Roman" w:eastAsia="宋体" w:cs="Times New Roman"/>
                      <w:color w:val="auto"/>
                      <w:spacing w:val="0"/>
                      <w:kern w:val="0"/>
                      <w:sz w:val="21"/>
                      <w:szCs w:val="21"/>
                      <w:lang w:val="en-US" w:eastAsia="zh-CN" w:bidi="ar-SA"/>
                    </w:rPr>
                  </w:pPr>
                  <w:r>
                    <w:rPr>
                      <w:rFonts w:hint="default" w:ascii="Times New Roman" w:hAnsi="Times New Roman" w:eastAsia="宋体" w:cs="Times New Roman"/>
                      <w:color w:val="auto"/>
                      <w:spacing w:val="0"/>
                      <w:kern w:val="0"/>
                      <w:szCs w:val="21"/>
                      <w:lang w:val="en-US" w:eastAsia="zh-CN"/>
                    </w:rPr>
                    <w:t>本产品是一种透明洗洁精，主要成分为脂肪醇聚氧乙烯醚硫酸钠（AES）和十二烷基硫酸钠，该产品泡沫丰富、洗涤力强、用量少、漂洗容易，并适用于任何硬度水质。</w:t>
                  </w:r>
                </w:p>
              </w:tc>
            </w:tr>
            <w:tr w14:paraId="0B87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0" w:type="pct"/>
                  <w:tcBorders>
                    <w:tl2br w:val="nil"/>
                    <w:tr2bl w:val="nil"/>
                  </w:tcBorders>
                  <w:noWrap w:val="0"/>
                  <w:vAlign w:val="center"/>
                </w:tcPr>
                <w:p w14:paraId="5F6C6E6B">
                  <w:pPr>
                    <w:jc w:val="center"/>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szCs w:val="21"/>
                    </w:rPr>
                    <w:t>2</w:t>
                  </w:r>
                </w:p>
              </w:tc>
              <w:tc>
                <w:tcPr>
                  <w:tcW w:w="650" w:type="pct"/>
                  <w:tcBorders>
                    <w:tl2br w:val="nil"/>
                    <w:tr2bl w:val="nil"/>
                  </w:tcBorders>
                  <w:noWrap w:val="0"/>
                  <w:vAlign w:val="center"/>
                </w:tcPr>
                <w:p w14:paraId="604E01BD">
                  <w:pPr>
                    <w:widowControl/>
                    <w:jc w:val="center"/>
                    <w:textAlignment w:val="center"/>
                    <w:rPr>
                      <w:rFonts w:hint="default" w:ascii="Times New Roman" w:hAnsi="Times New Roman" w:eastAsia="宋体" w:cs="Times New Roman"/>
                      <w:color w:val="auto"/>
                      <w:spacing w:val="0"/>
                      <w:kern w:val="0"/>
                      <w:sz w:val="21"/>
                      <w:szCs w:val="21"/>
                      <w:lang w:val="en-US" w:eastAsia="zh-CN" w:bidi="ar-SA"/>
                    </w:rPr>
                  </w:pPr>
                  <w:r>
                    <w:rPr>
                      <w:rFonts w:hint="default" w:ascii="Times New Roman" w:hAnsi="Times New Roman" w:eastAsia="宋体" w:cs="Times New Roman"/>
                      <w:color w:val="auto"/>
                      <w:spacing w:val="0"/>
                      <w:kern w:val="0"/>
                      <w:szCs w:val="21"/>
                    </w:rPr>
                    <w:t>润滑油</w:t>
                  </w:r>
                </w:p>
              </w:tc>
              <w:tc>
                <w:tcPr>
                  <w:tcW w:w="3838" w:type="pct"/>
                  <w:tcBorders>
                    <w:tl2br w:val="nil"/>
                    <w:tr2bl w:val="nil"/>
                  </w:tcBorders>
                  <w:noWrap w:val="0"/>
                  <w:vAlign w:val="center"/>
                </w:tcPr>
                <w:p w14:paraId="58E7E0B4">
                  <w:pPr>
                    <w:widowControl/>
                    <w:jc w:val="center"/>
                    <w:textAlignment w:val="center"/>
                    <w:rPr>
                      <w:rFonts w:hint="default" w:ascii="Times New Roman" w:hAnsi="Times New Roman" w:eastAsia="宋体" w:cs="Times New Roman"/>
                      <w:color w:val="auto"/>
                      <w:spacing w:val="0"/>
                      <w:kern w:val="0"/>
                      <w:sz w:val="21"/>
                      <w:szCs w:val="21"/>
                      <w:lang w:val="en-US" w:eastAsia="zh-CN" w:bidi="ar-SA"/>
                    </w:rPr>
                  </w:pPr>
                  <w:r>
                    <w:rPr>
                      <w:rFonts w:hint="default" w:ascii="Times New Roman" w:hAnsi="Times New Roman" w:eastAsia="宋体" w:cs="Times New Roman"/>
                      <w:color w:val="auto"/>
                      <w:spacing w:val="0"/>
                      <w:kern w:val="0"/>
                      <w:szCs w:val="21"/>
                    </w:rPr>
                    <w:t>润滑油是用在各种类型汽车、机械设备上以减少摩擦，保护机械及加工件的液体或半固体润滑剂，主要起润滑、冷却、防锈、清洁、密封和缓冲等作用，具有可燃性。</w:t>
                  </w:r>
                </w:p>
              </w:tc>
            </w:tr>
          </w:tbl>
          <w:p w14:paraId="35DDBC53">
            <w:pPr>
              <w:spacing w:line="360" w:lineRule="auto"/>
              <w:ind w:firstLine="482" w:firstLineChars="200"/>
              <w:rPr>
                <w:rFonts w:hint="default" w:ascii="Times New Roman" w:hAnsi="Times New Roman" w:eastAsia="宋体" w:cs="Times New Roman"/>
                <w:b/>
                <w:color w:val="auto"/>
                <w:spacing w:val="0"/>
                <w:sz w:val="24"/>
              </w:rPr>
            </w:pPr>
            <w:r>
              <w:rPr>
                <w:rFonts w:hint="default" w:ascii="Times New Roman" w:hAnsi="Times New Roman" w:eastAsia="宋体" w:cs="Times New Roman"/>
                <w:b/>
                <w:color w:val="auto"/>
                <w:spacing w:val="0"/>
                <w:sz w:val="24"/>
                <w:lang w:val="en-US" w:eastAsia="zh-CN"/>
              </w:rPr>
              <w:t>五</w:t>
            </w:r>
            <w:r>
              <w:rPr>
                <w:rFonts w:hint="default" w:ascii="Times New Roman" w:hAnsi="Times New Roman" w:eastAsia="宋体" w:cs="Times New Roman"/>
                <w:b/>
                <w:color w:val="auto"/>
                <w:spacing w:val="0"/>
                <w:sz w:val="24"/>
              </w:rPr>
              <w:t>、</w:t>
            </w:r>
            <w:r>
              <w:rPr>
                <w:rFonts w:hint="eastAsia" w:cs="Times New Roman"/>
                <w:b/>
                <w:color w:val="auto"/>
                <w:spacing w:val="0"/>
                <w:sz w:val="24"/>
                <w:lang w:val="en-US" w:eastAsia="zh-CN"/>
              </w:rPr>
              <w:t>给排水</w:t>
            </w:r>
          </w:p>
          <w:p w14:paraId="36AD8B59">
            <w:pPr>
              <w:spacing w:line="360" w:lineRule="auto"/>
              <w:ind w:firstLine="480" w:firstLineChars="200"/>
              <w:rPr>
                <w:rFonts w:hint="default" w:ascii="Times New Roman" w:hAnsi="Times New Roman" w:eastAsia="宋体" w:cs="Times New Roman"/>
                <w:b w:val="0"/>
                <w:bCs w:val="0"/>
                <w:color w:val="auto"/>
                <w:spacing w:val="0"/>
                <w:sz w:val="24"/>
              </w:rPr>
            </w:pPr>
            <w:r>
              <w:rPr>
                <w:rFonts w:hint="default" w:ascii="Times New Roman" w:hAnsi="Times New Roman" w:eastAsia="宋体" w:cs="Times New Roman"/>
                <w:b w:val="0"/>
                <w:bCs w:val="0"/>
                <w:color w:val="auto"/>
                <w:spacing w:val="0"/>
                <w:sz w:val="24"/>
              </w:rPr>
              <w:t>1、给水</w:t>
            </w:r>
          </w:p>
          <w:p w14:paraId="76BF6C75">
            <w:pPr>
              <w:adjustRightInd w:val="0"/>
              <w:snapToGrid w:val="0"/>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本项目用水包括生活用水及生产用水。</w:t>
            </w:r>
          </w:p>
          <w:p w14:paraId="064A3B76">
            <w:pPr>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（1）生活用水</w:t>
            </w:r>
          </w:p>
          <w:p w14:paraId="7418F7F1">
            <w:pPr>
              <w:spacing w:line="360" w:lineRule="auto"/>
              <w:ind w:firstLine="480" w:firstLineChars="200"/>
              <w:rPr>
                <w:rFonts w:hint="default" w:ascii="Times New Roman" w:hAnsi="Times New Roman" w:eastAsia="宋体" w:cs="Times New Roman"/>
                <w:color w:val="auto"/>
                <w:spacing w:val="0"/>
                <w:kern w:val="0"/>
                <w:sz w:val="24"/>
              </w:rPr>
            </w:pPr>
            <w:r>
              <w:rPr>
                <w:rFonts w:hint="default" w:ascii="Times New Roman" w:hAnsi="Times New Roman" w:eastAsia="宋体" w:cs="Times New Roman"/>
                <w:color w:val="auto"/>
                <w:spacing w:val="0"/>
                <w:kern w:val="0"/>
                <w:sz w:val="24"/>
              </w:rPr>
              <w:t>本项目劳动人员</w:t>
            </w:r>
            <w:r>
              <w:rPr>
                <w:rFonts w:hint="eastAsia" w:cs="Times New Roman"/>
                <w:color w:val="auto"/>
                <w:spacing w:val="0"/>
                <w:kern w:val="0"/>
                <w:sz w:val="24"/>
                <w:lang w:val="en-US" w:eastAsia="zh-CN"/>
              </w:rPr>
              <w:t>12</w:t>
            </w:r>
            <w:r>
              <w:rPr>
                <w:rFonts w:hint="default" w:ascii="Times New Roman" w:hAnsi="Times New Roman" w:eastAsia="宋体" w:cs="Times New Roman"/>
                <w:color w:val="auto"/>
                <w:spacing w:val="0"/>
                <w:kern w:val="0"/>
                <w:sz w:val="24"/>
              </w:rPr>
              <w:t>人，根据</w:t>
            </w:r>
            <w:r>
              <w:rPr>
                <w:rFonts w:hint="default" w:ascii="Times New Roman" w:hAnsi="Times New Roman" w:eastAsia="宋体" w:cs="Times New Roman"/>
                <w:color w:val="auto"/>
                <w:spacing w:val="0"/>
                <w:sz w:val="24"/>
              </w:rPr>
              <w:t>《建筑给水排水设计规范》（GB50015-2019）</w:t>
            </w:r>
            <w:r>
              <w:rPr>
                <w:rFonts w:hint="default" w:ascii="Times New Roman" w:hAnsi="Times New Roman" w:eastAsia="宋体" w:cs="Times New Roman"/>
                <w:color w:val="auto"/>
                <w:spacing w:val="0"/>
                <w:kern w:val="0"/>
                <w:sz w:val="24"/>
              </w:rPr>
              <w:t>职工生活用水量按50L/人•天计算，年工作300天，则生活用水量为</w:t>
            </w:r>
            <w:r>
              <w:rPr>
                <w:rFonts w:hint="eastAsia" w:cs="Times New Roman"/>
                <w:color w:val="auto"/>
                <w:spacing w:val="0"/>
                <w:kern w:val="0"/>
                <w:sz w:val="24"/>
                <w:lang w:val="en-US" w:eastAsia="zh-CN"/>
              </w:rPr>
              <w:t>18</w:t>
            </w:r>
            <w:r>
              <w:rPr>
                <w:rFonts w:hint="default" w:ascii="Times New Roman" w:hAnsi="Times New Roman" w:eastAsia="宋体" w:cs="Times New Roman"/>
                <w:color w:val="auto"/>
                <w:spacing w:val="0"/>
                <w:kern w:val="0"/>
                <w:sz w:val="24"/>
                <w:lang w:val="en-US" w:eastAsia="zh-CN"/>
              </w:rPr>
              <w:t>0</w:t>
            </w:r>
            <w:r>
              <w:rPr>
                <w:rFonts w:hint="default" w:ascii="Times New Roman" w:hAnsi="Times New Roman" w:eastAsia="宋体" w:cs="Times New Roman"/>
                <w:color w:val="auto"/>
                <w:spacing w:val="0"/>
                <w:kern w:val="0"/>
                <w:sz w:val="24"/>
              </w:rPr>
              <w:t>m</w:t>
            </w:r>
            <w:r>
              <w:rPr>
                <w:rFonts w:hint="default" w:ascii="Times New Roman" w:hAnsi="Times New Roman" w:eastAsia="宋体" w:cs="Times New Roman"/>
                <w:color w:val="auto"/>
                <w:spacing w:val="0"/>
                <w:kern w:val="0"/>
                <w:sz w:val="24"/>
                <w:vertAlign w:val="superscript"/>
              </w:rPr>
              <w:t>3</w:t>
            </w:r>
            <w:r>
              <w:rPr>
                <w:rFonts w:hint="default" w:ascii="Times New Roman" w:hAnsi="Times New Roman" w:eastAsia="宋体" w:cs="Times New Roman"/>
                <w:color w:val="auto"/>
                <w:spacing w:val="0"/>
                <w:kern w:val="0"/>
                <w:sz w:val="24"/>
              </w:rPr>
              <w:t>/a。</w:t>
            </w:r>
          </w:p>
          <w:p w14:paraId="55BD5C7A">
            <w:pPr>
              <w:widowControl w:val="0"/>
              <w:autoSpaceDE w:val="0"/>
              <w:autoSpaceDN w:val="0"/>
              <w:adjustRightInd w:val="0"/>
              <w:spacing w:line="360" w:lineRule="auto"/>
              <w:ind w:firstLine="480" w:firstLineChars="200"/>
              <w:jc w:val="both"/>
              <w:rPr>
                <w:rFonts w:hint="default" w:ascii="Times New Roman" w:hAnsi="Times New Roman" w:eastAsia="宋体" w:cs="Times New Roman"/>
                <w:color w:val="auto"/>
                <w:spacing w:val="0"/>
                <w:kern w:val="2"/>
                <w:sz w:val="24"/>
                <w:szCs w:val="24"/>
                <w:lang w:val="en-US" w:eastAsia="zh-CN" w:bidi="ar-SA"/>
              </w:rPr>
            </w:pPr>
            <w:r>
              <w:rPr>
                <w:rFonts w:hint="default" w:ascii="Times New Roman" w:hAnsi="Times New Roman" w:eastAsia="宋体" w:cs="Times New Roman"/>
                <w:color w:val="auto"/>
                <w:spacing w:val="0"/>
                <w:kern w:val="2"/>
                <w:sz w:val="24"/>
                <w:szCs w:val="24"/>
                <w:lang w:val="en-US" w:eastAsia="zh-CN" w:bidi="ar-SA"/>
              </w:rPr>
              <w:t>（2）生产用水</w:t>
            </w:r>
          </w:p>
          <w:p w14:paraId="70B7E45D">
            <w:pPr>
              <w:adjustRightInd w:val="0"/>
              <w:snapToGrid w:val="0"/>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生产用水主要为</w:t>
            </w:r>
            <w:r>
              <w:rPr>
                <w:rFonts w:hint="default" w:ascii="Times New Roman" w:hAnsi="Times New Roman" w:eastAsia="宋体" w:cs="Times New Roman"/>
                <w:color w:val="auto"/>
                <w:spacing w:val="0"/>
                <w:kern w:val="0"/>
                <w:sz w:val="24"/>
              </w:rPr>
              <w:t>降尘用水、搅拌工序用水，</w:t>
            </w:r>
            <w:r>
              <w:rPr>
                <w:rFonts w:hint="default" w:ascii="Times New Roman" w:hAnsi="Times New Roman" w:eastAsia="宋体" w:cs="Times New Roman"/>
                <w:color w:val="auto"/>
                <w:spacing w:val="0"/>
                <w:sz w:val="24"/>
              </w:rPr>
              <w:t>设备及模具清洗用水，</w:t>
            </w:r>
            <w:r>
              <w:rPr>
                <w:rFonts w:hint="default" w:ascii="Times New Roman" w:hAnsi="Times New Roman" w:eastAsia="宋体" w:cs="Times New Roman"/>
                <w:bCs/>
                <w:color w:val="auto"/>
                <w:spacing w:val="0"/>
                <w:sz w:val="24"/>
              </w:rPr>
              <w:t>车辆冲洗用水</w:t>
            </w:r>
            <w:r>
              <w:rPr>
                <w:rFonts w:hint="eastAsia" w:cs="Times New Roman"/>
                <w:bCs/>
                <w:color w:val="auto"/>
                <w:spacing w:val="0"/>
                <w:sz w:val="24"/>
                <w:lang w:eastAsia="zh-CN"/>
              </w:rPr>
              <w:t>，</w:t>
            </w:r>
            <w:r>
              <w:rPr>
                <w:rFonts w:hint="eastAsia" w:cs="Times New Roman"/>
                <w:bCs/>
                <w:color w:val="auto"/>
                <w:spacing w:val="0"/>
                <w:sz w:val="24"/>
                <w:lang w:val="en-US" w:eastAsia="zh-CN"/>
              </w:rPr>
              <w:t>脱模剂稀释用水</w:t>
            </w:r>
            <w:r>
              <w:rPr>
                <w:rFonts w:hint="default" w:ascii="Times New Roman" w:hAnsi="Times New Roman" w:eastAsia="宋体" w:cs="Times New Roman"/>
                <w:bCs/>
                <w:color w:val="auto"/>
                <w:spacing w:val="0"/>
                <w:sz w:val="24"/>
              </w:rPr>
              <w:t>等。</w:t>
            </w:r>
          </w:p>
          <w:p w14:paraId="2BCB57CC">
            <w:pPr>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①降尘用水</w:t>
            </w:r>
          </w:p>
          <w:p w14:paraId="79890AF5">
            <w:pPr>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项目厂区道路、生产车间地面、仓库卸料、堆场及生产过程等需进行降尘喷淋洒水，防止扬尘污染，根据建设方提供资料，预计喷淋降尘用水量约</w:t>
            </w:r>
            <w:r>
              <w:rPr>
                <w:rFonts w:hint="eastAsia" w:cs="Times New Roman"/>
                <w:color w:val="auto"/>
                <w:spacing w:val="0"/>
                <w:sz w:val="24"/>
                <w:lang w:val="en-US" w:eastAsia="zh-CN"/>
              </w:rPr>
              <w:t>3</w:t>
            </w:r>
            <w:r>
              <w:rPr>
                <w:rFonts w:hint="default" w:ascii="Times New Roman" w:hAnsi="Times New Roman" w:eastAsia="宋体" w:cs="Times New Roman"/>
                <w:color w:val="auto"/>
                <w:spacing w:val="0"/>
                <w:sz w:val="24"/>
              </w:rPr>
              <w:t>m</w:t>
            </w:r>
            <w:r>
              <w:rPr>
                <w:rFonts w:hint="default" w:ascii="Times New Roman" w:hAnsi="Times New Roman" w:eastAsia="宋体" w:cs="Times New Roman"/>
                <w:color w:val="auto"/>
                <w:spacing w:val="0"/>
                <w:sz w:val="24"/>
                <w:vertAlign w:val="superscript"/>
              </w:rPr>
              <w:t>3</w:t>
            </w:r>
            <w:r>
              <w:rPr>
                <w:rFonts w:hint="default" w:ascii="Times New Roman" w:hAnsi="Times New Roman" w:eastAsia="宋体" w:cs="Times New Roman"/>
                <w:color w:val="auto"/>
                <w:spacing w:val="0"/>
                <w:sz w:val="24"/>
              </w:rPr>
              <w:t>/d（</w:t>
            </w:r>
            <w:r>
              <w:rPr>
                <w:rFonts w:hint="eastAsia" w:cs="Times New Roman"/>
                <w:color w:val="auto"/>
                <w:spacing w:val="0"/>
                <w:sz w:val="24"/>
                <w:lang w:val="en-US" w:eastAsia="zh-CN"/>
              </w:rPr>
              <w:t>9</w:t>
            </w:r>
            <w:r>
              <w:rPr>
                <w:rFonts w:hint="default" w:ascii="Times New Roman" w:hAnsi="Times New Roman" w:eastAsia="宋体" w:cs="Times New Roman"/>
                <w:color w:val="auto"/>
                <w:spacing w:val="0"/>
                <w:sz w:val="24"/>
              </w:rPr>
              <w:t>00m</w:t>
            </w:r>
            <w:r>
              <w:rPr>
                <w:rFonts w:hint="default" w:ascii="Times New Roman" w:hAnsi="Times New Roman" w:eastAsia="宋体" w:cs="Times New Roman"/>
                <w:color w:val="auto"/>
                <w:spacing w:val="0"/>
                <w:sz w:val="24"/>
                <w:vertAlign w:val="superscript"/>
              </w:rPr>
              <w:t>3</w:t>
            </w:r>
            <w:r>
              <w:rPr>
                <w:rFonts w:hint="default" w:ascii="Times New Roman" w:hAnsi="Times New Roman" w:eastAsia="宋体" w:cs="Times New Roman"/>
                <w:color w:val="auto"/>
                <w:spacing w:val="0"/>
                <w:sz w:val="24"/>
              </w:rPr>
              <w:t>/a）。</w:t>
            </w:r>
          </w:p>
          <w:p w14:paraId="7BDC2762">
            <w:pPr>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②</w:t>
            </w:r>
            <w:r>
              <w:rPr>
                <w:rFonts w:hint="default" w:ascii="Times New Roman" w:hAnsi="Times New Roman" w:eastAsia="宋体" w:cs="Times New Roman"/>
                <w:color w:val="auto"/>
                <w:spacing w:val="0"/>
                <w:kern w:val="0"/>
                <w:sz w:val="24"/>
              </w:rPr>
              <w:t>搅拌工序用水</w:t>
            </w:r>
          </w:p>
          <w:p w14:paraId="2F1D2472">
            <w:pPr>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本项目原料混合搅拌需要用水，</w:t>
            </w:r>
            <w:r>
              <w:rPr>
                <w:rFonts w:hint="default" w:ascii="Times New Roman" w:hAnsi="Times New Roman" w:eastAsia="宋体" w:cs="Times New Roman"/>
                <w:color w:val="auto"/>
                <w:spacing w:val="0"/>
                <w:kern w:val="2"/>
                <w:sz w:val="24"/>
                <w:szCs w:val="24"/>
                <w:lang w:val="en-US" w:eastAsia="zh-CN" w:bidi="ar-SA"/>
              </w:rPr>
              <w:t>根据建设单位提供资料，</w:t>
            </w:r>
            <w:r>
              <w:rPr>
                <w:rFonts w:hint="default" w:ascii="Times New Roman" w:hAnsi="Times New Roman" w:eastAsia="宋体" w:cs="Times New Roman"/>
                <w:color w:val="auto"/>
                <w:spacing w:val="0"/>
                <w:sz w:val="24"/>
              </w:rPr>
              <w:t>其用水量约</w:t>
            </w:r>
            <w:r>
              <w:rPr>
                <w:rFonts w:hint="eastAsia" w:cs="Times New Roman"/>
                <w:color w:val="auto"/>
                <w:spacing w:val="0"/>
                <w:sz w:val="24"/>
                <w:lang w:val="en-US" w:eastAsia="zh-CN"/>
              </w:rPr>
              <w:t>为12</w:t>
            </w:r>
            <w:r>
              <w:rPr>
                <w:rFonts w:hint="default" w:ascii="Times New Roman" w:hAnsi="Times New Roman" w:eastAsia="宋体" w:cs="Times New Roman"/>
                <w:color w:val="auto"/>
                <w:spacing w:val="0"/>
                <w:sz w:val="24"/>
              </w:rPr>
              <w:t>m</w:t>
            </w:r>
            <w:r>
              <w:rPr>
                <w:rFonts w:hint="default" w:ascii="Times New Roman" w:hAnsi="Times New Roman" w:eastAsia="宋体" w:cs="Times New Roman"/>
                <w:color w:val="auto"/>
                <w:spacing w:val="0"/>
                <w:sz w:val="24"/>
                <w:vertAlign w:val="superscript"/>
              </w:rPr>
              <w:t>3</w:t>
            </w:r>
            <w:r>
              <w:rPr>
                <w:rFonts w:hint="default" w:ascii="Times New Roman" w:hAnsi="Times New Roman" w:eastAsia="宋体" w:cs="Times New Roman"/>
                <w:color w:val="auto"/>
                <w:spacing w:val="0"/>
                <w:sz w:val="24"/>
              </w:rPr>
              <w:t>/d（</w:t>
            </w:r>
            <w:r>
              <w:rPr>
                <w:rFonts w:hint="eastAsia" w:ascii="Times New Roman" w:hAnsi="Times New Roman" w:eastAsia="宋体" w:cs="Times New Roman"/>
                <w:color w:val="auto"/>
                <w:spacing w:val="0"/>
                <w:sz w:val="24"/>
                <w:lang w:val="en-US" w:eastAsia="zh-CN"/>
              </w:rPr>
              <w:t>3</w:t>
            </w:r>
            <w:r>
              <w:rPr>
                <w:rFonts w:hint="eastAsia" w:cs="Times New Roman"/>
                <w:color w:val="auto"/>
                <w:spacing w:val="0"/>
                <w:sz w:val="24"/>
                <w:lang w:val="en-US" w:eastAsia="zh-CN"/>
              </w:rPr>
              <w:t>6</w:t>
            </w:r>
            <w:r>
              <w:rPr>
                <w:rFonts w:hint="eastAsia" w:ascii="Times New Roman" w:hAnsi="Times New Roman" w:eastAsia="宋体" w:cs="Times New Roman"/>
                <w:color w:val="auto"/>
                <w:spacing w:val="0"/>
                <w:sz w:val="24"/>
                <w:lang w:val="en-US" w:eastAsia="zh-CN"/>
              </w:rPr>
              <w:t>0</w:t>
            </w:r>
            <w:r>
              <w:rPr>
                <w:rFonts w:hint="default" w:ascii="Times New Roman" w:hAnsi="Times New Roman" w:eastAsia="宋体" w:cs="Times New Roman"/>
                <w:color w:val="auto"/>
                <w:spacing w:val="0"/>
                <w:sz w:val="24"/>
              </w:rPr>
              <w:t>0m</w:t>
            </w:r>
            <w:r>
              <w:rPr>
                <w:rFonts w:hint="default" w:ascii="Times New Roman" w:hAnsi="Times New Roman" w:eastAsia="宋体" w:cs="Times New Roman"/>
                <w:color w:val="auto"/>
                <w:spacing w:val="0"/>
                <w:sz w:val="24"/>
                <w:vertAlign w:val="superscript"/>
              </w:rPr>
              <w:t>3</w:t>
            </w:r>
            <w:r>
              <w:rPr>
                <w:rFonts w:hint="default" w:ascii="Times New Roman" w:hAnsi="Times New Roman" w:eastAsia="宋体" w:cs="Times New Roman"/>
                <w:color w:val="auto"/>
                <w:spacing w:val="0"/>
                <w:sz w:val="24"/>
              </w:rPr>
              <w:t>/a）</w:t>
            </w:r>
            <w:r>
              <w:rPr>
                <w:rFonts w:hint="eastAsia" w:ascii="Times New Roman" w:hAnsi="Times New Roman" w:eastAsia="宋体" w:cs="Times New Roman"/>
                <w:color w:val="auto"/>
                <w:spacing w:val="0"/>
                <w:sz w:val="24"/>
                <w:lang w:eastAsia="zh-CN"/>
              </w:rPr>
              <w:t>。</w:t>
            </w:r>
            <w:r>
              <w:rPr>
                <w:rFonts w:hint="default" w:ascii="Times New Roman" w:hAnsi="Times New Roman" w:eastAsia="宋体" w:cs="Times New Roman"/>
                <w:color w:val="auto"/>
                <w:spacing w:val="0"/>
                <w:sz w:val="24"/>
                <w:lang w:val="en-US" w:eastAsia="zh-CN"/>
              </w:rPr>
              <w:t>其中</w:t>
            </w:r>
            <w:r>
              <w:rPr>
                <w:rFonts w:hint="eastAsia" w:cs="Times New Roman"/>
                <w:color w:val="auto"/>
                <w:spacing w:val="0"/>
                <w:sz w:val="24"/>
                <w:lang w:val="en-US" w:eastAsia="zh-CN"/>
              </w:rPr>
              <w:t>使用的</w:t>
            </w:r>
            <w:r>
              <w:rPr>
                <w:rFonts w:hint="default" w:ascii="Times New Roman" w:hAnsi="Times New Roman" w:eastAsia="宋体" w:cs="Times New Roman"/>
                <w:color w:val="auto"/>
                <w:spacing w:val="0"/>
                <w:sz w:val="24"/>
                <w:lang w:val="en-US" w:eastAsia="zh-CN"/>
              </w:rPr>
              <w:t>清洗回用水</w:t>
            </w:r>
            <w:r>
              <w:rPr>
                <w:rFonts w:hint="eastAsia" w:cs="Times New Roman"/>
                <w:color w:val="auto"/>
                <w:spacing w:val="0"/>
                <w:sz w:val="24"/>
                <w:lang w:val="en-US" w:eastAsia="zh-CN"/>
              </w:rPr>
              <w:t>为96</w:t>
            </w:r>
            <w:r>
              <w:rPr>
                <w:rFonts w:hint="default" w:ascii="Times New Roman" w:hAnsi="Times New Roman" w:eastAsia="宋体" w:cs="Times New Roman"/>
                <w:color w:val="auto"/>
                <w:spacing w:val="0"/>
                <w:sz w:val="24"/>
                <w:lang w:val="en-US" w:eastAsia="zh-CN"/>
              </w:rPr>
              <w:t>0</w:t>
            </w:r>
            <w:r>
              <w:rPr>
                <w:rFonts w:hint="default" w:ascii="Times New Roman" w:hAnsi="Times New Roman" w:eastAsia="宋体" w:cs="Times New Roman"/>
                <w:color w:val="auto"/>
                <w:spacing w:val="0"/>
                <w:sz w:val="24"/>
              </w:rPr>
              <w:t>m</w:t>
            </w:r>
            <w:r>
              <w:rPr>
                <w:rFonts w:hint="default" w:ascii="Times New Roman" w:hAnsi="Times New Roman" w:eastAsia="宋体" w:cs="Times New Roman"/>
                <w:color w:val="auto"/>
                <w:spacing w:val="0"/>
                <w:sz w:val="24"/>
                <w:vertAlign w:val="superscript"/>
              </w:rPr>
              <w:t>3</w:t>
            </w:r>
            <w:r>
              <w:rPr>
                <w:rFonts w:hint="default" w:ascii="Times New Roman" w:hAnsi="Times New Roman" w:eastAsia="宋体" w:cs="Times New Roman"/>
                <w:color w:val="auto"/>
                <w:spacing w:val="0"/>
                <w:sz w:val="24"/>
              </w:rPr>
              <w:t>/a</w:t>
            </w:r>
            <w:r>
              <w:rPr>
                <w:rFonts w:hint="default" w:ascii="Times New Roman" w:hAnsi="Times New Roman" w:eastAsia="宋体" w:cs="Times New Roman"/>
                <w:color w:val="auto"/>
                <w:spacing w:val="0"/>
                <w:sz w:val="24"/>
                <w:lang w:eastAsia="zh-CN"/>
              </w:rPr>
              <w:t>，</w:t>
            </w:r>
            <w:r>
              <w:rPr>
                <w:rFonts w:hint="default" w:ascii="Times New Roman" w:hAnsi="Times New Roman" w:eastAsia="宋体" w:cs="Times New Roman"/>
                <w:color w:val="auto"/>
                <w:spacing w:val="0"/>
                <w:sz w:val="24"/>
                <w:lang w:val="en-US" w:eastAsia="zh-CN"/>
              </w:rPr>
              <w:t>新鲜用水2</w:t>
            </w:r>
            <w:r>
              <w:rPr>
                <w:rFonts w:hint="eastAsia" w:cs="Times New Roman"/>
                <w:color w:val="auto"/>
                <w:spacing w:val="0"/>
                <w:sz w:val="24"/>
                <w:lang w:val="en-US" w:eastAsia="zh-CN"/>
              </w:rPr>
              <w:t>640</w:t>
            </w:r>
            <w:r>
              <w:rPr>
                <w:rFonts w:hint="default" w:ascii="Times New Roman" w:hAnsi="Times New Roman" w:eastAsia="宋体" w:cs="Times New Roman"/>
                <w:color w:val="auto"/>
                <w:spacing w:val="0"/>
                <w:sz w:val="24"/>
              </w:rPr>
              <w:t>m</w:t>
            </w:r>
            <w:r>
              <w:rPr>
                <w:rFonts w:hint="default" w:ascii="Times New Roman" w:hAnsi="Times New Roman" w:eastAsia="宋体" w:cs="Times New Roman"/>
                <w:color w:val="auto"/>
                <w:spacing w:val="0"/>
                <w:sz w:val="24"/>
                <w:vertAlign w:val="superscript"/>
              </w:rPr>
              <w:t>3</w:t>
            </w:r>
            <w:r>
              <w:rPr>
                <w:rFonts w:hint="default" w:ascii="Times New Roman" w:hAnsi="Times New Roman" w:eastAsia="宋体" w:cs="Times New Roman"/>
                <w:color w:val="auto"/>
                <w:spacing w:val="0"/>
                <w:sz w:val="24"/>
              </w:rPr>
              <w:t>/a。</w:t>
            </w:r>
          </w:p>
          <w:p w14:paraId="2352661D">
            <w:pPr>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③</w:t>
            </w:r>
            <w:bookmarkStart w:id="6" w:name="OLE_LINK1"/>
            <w:r>
              <w:rPr>
                <w:rFonts w:hint="default" w:ascii="Times New Roman" w:hAnsi="Times New Roman" w:eastAsia="宋体" w:cs="Times New Roman"/>
                <w:color w:val="auto"/>
                <w:spacing w:val="0"/>
                <w:sz w:val="24"/>
              </w:rPr>
              <w:t>设备、模具清洗用水</w:t>
            </w:r>
            <w:bookmarkEnd w:id="6"/>
          </w:p>
          <w:p w14:paraId="4F0B44C4">
            <w:pPr>
              <w:widowControl w:val="0"/>
              <w:autoSpaceDE w:val="0"/>
              <w:autoSpaceDN w:val="0"/>
              <w:adjustRightInd w:val="0"/>
              <w:spacing w:line="360" w:lineRule="auto"/>
              <w:ind w:firstLine="480" w:firstLineChars="200"/>
              <w:jc w:val="both"/>
              <w:rPr>
                <w:rFonts w:hint="default" w:ascii="Times New Roman" w:hAnsi="Times New Roman" w:eastAsia="宋体" w:cs="Times New Roman"/>
                <w:color w:val="auto"/>
                <w:spacing w:val="0"/>
                <w:kern w:val="2"/>
                <w:sz w:val="24"/>
                <w:szCs w:val="24"/>
                <w:lang w:val="en-US" w:eastAsia="zh-CN" w:bidi="ar-SA"/>
              </w:rPr>
            </w:pPr>
            <w:r>
              <w:rPr>
                <w:rFonts w:hint="default" w:ascii="Times New Roman" w:hAnsi="Times New Roman" w:eastAsia="宋体" w:cs="Times New Roman"/>
                <w:color w:val="auto"/>
                <w:spacing w:val="0"/>
                <w:kern w:val="2"/>
                <w:sz w:val="24"/>
                <w:szCs w:val="24"/>
                <w:lang w:val="en-US" w:eastAsia="zh-CN" w:bidi="ar-SA"/>
              </w:rPr>
              <w:t>本项目设备及模具需定期清洗以保证设备运转良好，根据建设单位提供资料，拌合设施及模具每天冲洗1次，</w:t>
            </w:r>
            <w:r>
              <w:rPr>
                <w:rFonts w:hint="eastAsia" w:cs="Times New Roman"/>
                <w:color w:val="auto"/>
                <w:spacing w:val="0"/>
                <w:kern w:val="2"/>
                <w:sz w:val="24"/>
                <w:szCs w:val="24"/>
                <w:lang w:val="en-US" w:eastAsia="zh-CN" w:bidi="ar-SA"/>
              </w:rPr>
              <w:t>每次</w:t>
            </w:r>
            <w:r>
              <w:rPr>
                <w:rFonts w:hint="default" w:ascii="Times New Roman" w:hAnsi="Times New Roman" w:eastAsia="宋体" w:cs="Times New Roman"/>
                <w:color w:val="auto"/>
                <w:spacing w:val="0"/>
                <w:kern w:val="2"/>
                <w:sz w:val="24"/>
                <w:szCs w:val="24"/>
                <w:lang w:val="en-US" w:eastAsia="zh-CN" w:bidi="ar-SA"/>
              </w:rPr>
              <w:t>冲洗水用量为</w:t>
            </w:r>
            <w:r>
              <w:rPr>
                <w:rFonts w:hint="eastAsia" w:cs="Times New Roman"/>
                <w:color w:val="auto"/>
                <w:spacing w:val="0"/>
                <w:kern w:val="2"/>
                <w:sz w:val="24"/>
                <w:szCs w:val="24"/>
                <w:lang w:val="en-US" w:eastAsia="zh-CN" w:bidi="ar-SA"/>
              </w:rPr>
              <w:t>4</w:t>
            </w:r>
            <w:r>
              <w:rPr>
                <w:rFonts w:hint="default" w:ascii="Times New Roman" w:hAnsi="Times New Roman" w:eastAsia="宋体" w:cs="Times New Roman"/>
                <w:color w:val="auto"/>
                <w:spacing w:val="0"/>
                <w:kern w:val="2"/>
                <w:sz w:val="24"/>
                <w:szCs w:val="24"/>
                <w:lang w:val="en-US" w:eastAsia="zh-CN" w:bidi="ar-SA"/>
              </w:rPr>
              <w:t>m³，则冲洗用水量为</w:t>
            </w:r>
            <w:r>
              <w:rPr>
                <w:rFonts w:hint="eastAsia" w:cs="Times New Roman"/>
                <w:color w:val="auto"/>
                <w:spacing w:val="0"/>
                <w:kern w:val="2"/>
                <w:sz w:val="24"/>
                <w:szCs w:val="24"/>
                <w:lang w:val="en-US" w:eastAsia="zh-CN" w:bidi="ar-SA"/>
              </w:rPr>
              <w:t>4</w:t>
            </w:r>
            <w:r>
              <w:rPr>
                <w:rFonts w:hint="default" w:ascii="Times New Roman" w:hAnsi="Times New Roman" w:eastAsia="宋体" w:cs="Times New Roman"/>
                <w:color w:val="auto"/>
                <w:spacing w:val="0"/>
                <w:sz w:val="24"/>
              </w:rPr>
              <w:t>m</w:t>
            </w:r>
            <w:r>
              <w:rPr>
                <w:rFonts w:hint="default" w:ascii="Times New Roman" w:hAnsi="Times New Roman" w:eastAsia="宋体" w:cs="Times New Roman"/>
                <w:color w:val="auto"/>
                <w:spacing w:val="0"/>
                <w:sz w:val="24"/>
                <w:vertAlign w:val="superscript"/>
              </w:rPr>
              <w:t>3</w:t>
            </w:r>
            <w:r>
              <w:rPr>
                <w:rFonts w:hint="default" w:ascii="Times New Roman" w:hAnsi="Times New Roman" w:eastAsia="宋体" w:cs="Times New Roman"/>
                <w:color w:val="auto"/>
                <w:spacing w:val="0"/>
                <w:sz w:val="24"/>
              </w:rPr>
              <w:t>/d（</w:t>
            </w:r>
            <w:r>
              <w:rPr>
                <w:rFonts w:hint="eastAsia" w:ascii="Times New Roman" w:hAnsi="Times New Roman" w:eastAsia="宋体" w:cs="Times New Roman"/>
                <w:color w:val="auto"/>
                <w:spacing w:val="0"/>
                <w:sz w:val="24"/>
                <w:lang w:val="en-US" w:eastAsia="zh-CN"/>
              </w:rPr>
              <w:t>120</w:t>
            </w:r>
            <w:r>
              <w:rPr>
                <w:rFonts w:hint="default" w:ascii="Times New Roman" w:hAnsi="Times New Roman" w:eastAsia="宋体" w:cs="Times New Roman"/>
                <w:color w:val="auto"/>
                <w:spacing w:val="0"/>
                <w:sz w:val="24"/>
              </w:rPr>
              <w:t>0m</w:t>
            </w:r>
            <w:r>
              <w:rPr>
                <w:rFonts w:hint="default" w:ascii="Times New Roman" w:hAnsi="Times New Roman" w:eastAsia="宋体" w:cs="Times New Roman"/>
                <w:color w:val="auto"/>
                <w:spacing w:val="0"/>
                <w:sz w:val="24"/>
                <w:vertAlign w:val="superscript"/>
              </w:rPr>
              <w:t>3</w:t>
            </w:r>
            <w:r>
              <w:rPr>
                <w:rFonts w:hint="default" w:ascii="Times New Roman" w:hAnsi="Times New Roman" w:eastAsia="宋体" w:cs="Times New Roman"/>
                <w:color w:val="auto"/>
                <w:spacing w:val="0"/>
                <w:sz w:val="24"/>
              </w:rPr>
              <w:t>/a）</w:t>
            </w:r>
            <w:r>
              <w:rPr>
                <w:rFonts w:hint="default" w:ascii="Times New Roman" w:hAnsi="Times New Roman" w:eastAsia="宋体" w:cs="Times New Roman"/>
                <w:color w:val="auto"/>
                <w:spacing w:val="0"/>
                <w:kern w:val="2"/>
                <w:sz w:val="24"/>
                <w:szCs w:val="24"/>
                <w:lang w:val="en-US" w:eastAsia="zh-CN" w:bidi="ar-SA"/>
              </w:rPr>
              <w:t>。</w:t>
            </w:r>
          </w:p>
          <w:p w14:paraId="0673ED07">
            <w:pPr>
              <w:adjustRightInd w:val="0"/>
              <w:snapToGrid w:val="0"/>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④洗车用水</w:t>
            </w:r>
          </w:p>
          <w:p w14:paraId="671A821E">
            <w:pPr>
              <w:pStyle w:val="32"/>
              <w:keepNext w:val="0"/>
              <w:keepLines w:val="0"/>
              <w:widowControl w:val="0"/>
              <w:suppressLineNumbers w:val="0"/>
              <w:autoSpaceDE w:val="0"/>
              <w:autoSpaceDN/>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caps w:val="0"/>
                <w:color w:val="auto"/>
                <w:spacing w:val="0"/>
                <w:kern w:val="0"/>
                <w:sz w:val="24"/>
                <w:szCs w:val="24"/>
                <w:highlight w:val="none"/>
              </w:rPr>
            </w:pPr>
            <w:r>
              <w:rPr>
                <w:rFonts w:hint="default" w:ascii="Times New Roman" w:hAnsi="Times New Roman" w:eastAsia="宋体" w:cs="Times New Roman"/>
                <w:color w:val="auto"/>
                <w:spacing w:val="0"/>
                <w:sz w:val="24"/>
              </w:rPr>
              <w:t>为减少运输车辆在运输过程中产生的扬尘，厂内设置洗车</w:t>
            </w:r>
            <w:r>
              <w:rPr>
                <w:rFonts w:hint="default" w:ascii="Times New Roman" w:hAnsi="Times New Roman" w:eastAsia="宋体" w:cs="Times New Roman"/>
                <w:color w:val="auto"/>
                <w:spacing w:val="0"/>
                <w:sz w:val="24"/>
                <w:lang w:val="en-US" w:eastAsia="zh-CN"/>
              </w:rPr>
              <w:t>设施</w:t>
            </w:r>
            <w:r>
              <w:rPr>
                <w:rFonts w:hint="default" w:ascii="Times New Roman" w:hAnsi="Times New Roman" w:eastAsia="宋体" w:cs="Times New Roman"/>
                <w:color w:val="auto"/>
                <w:spacing w:val="0"/>
                <w:sz w:val="24"/>
              </w:rPr>
              <w:t>，所有车辆在出入厂区时均需对车身进行冲洗</w:t>
            </w:r>
            <w:r>
              <w:rPr>
                <w:rFonts w:hint="default" w:ascii="Times New Roman" w:hAnsi="Times New Roman" w:eastAsia="宋体" w:cs="Times New Roman"/>
                <w:color w:val="auto"/>
                <w:spacing w:val="0"/>
                <w:sz w:val="24"/>
                <w:lang w:eastAsia="zh-CN"/>
              </w:rPr>
              <w:t>，</w:t>
            </w:r>
            <w:r>
              <w:rPr>
                <w:rFonts w:hint="default" w:ascii="Times New Roman" w:hAnsi="Times New Roman" w:eastAsia="宋体" w:cs="Times New Roman"/>
                <w:caps w:val="0"/>
                <w:color w:val="auto"/>
                <w:spacing w:val="0"/>
                <w:kern w:val="0"/>
                <w:sz w:val="24"/>
                <w:szCs w:val="24"/>
                <w:highlight w:val="none"/>
                <w:lang w:val="en-US" w:eastAsia="zh-CN" w:bidi="ar"/>
              </w:rPr>
              <w:t>车辆冲洗水经配套沉淀池沉淀后循环使用，定期补充损耗，</w:t>
            </w:r>
            <w:r>
              <w:rPr>
                <w:rFonts w:hint="default" w:ascii="Times New Roman" w:hAnsi="Times New Roman" w:eastAsia="宋体" w:cs="Times New Roman"/>
                <w:color w:val="auto"/>
                <w:spacing w:val="0"/>
                <w:kern w:val="2"/>
                <w:sz w:val="24"/>
                <w:szCs w:val="24"/>
                <w:lang w:val="en-US" w:eastAsia="zh-CN" w:bidi="ar-SA"/>
              </w:rPr>
              <w:t>根据建设单位提供资料，</w:t>
            </w:r>
            <w:r>
              <w:rPr>
                <w:rFonts w:hint="eastAsia" w:ascii="Times New Roman" w:hAnsi="Times New Roman" w:eastAsia="宋体" w:cs="Times New Roman"/>
                <w:color w:val="auto"/>
                <w:spacing w:val="0"/>
                <w:kern w:val="2"/>
                <w:sz w:val="24"/>
                <w:szCs w:val="24"/>
                <w:lang w:val="en-US" w:eastAsia="zh-CN" w:bidi="ar-SA"/>
              </w:rPr>
              <w:t>补水量约为</w:t>
            </w:r>
            <w:r>
              <w:rPr>
                <w:rFonts w:hint="default" w:ascii="Times New Roman" w:hAnsi="Times New Roman" w:eastAsia="宋体" w:cs="Times New Roman"/>
                <w:caps w:val="0"/>
                <w:color w:val="auto"/>
                <w:spacing w:val="0"/>
                <w:kern w:val="0"/>
                <w:sz w:val="24"/>
                <w:szCs w:val="24"/>
                <w:highlight w:val="none"/>
                <w:lang w:val="en-US" w:eastAsia="zh-CN" w:bidi="ar"/>
              </w:rPr>
              <w:t>1m</w:t>
            </w:r>
            <w:r>
              <w:rPr>
                <w:rFonts w:hint="default" w:ascii="Times New Roman" w:hAnsi="Times New Roman" w:eastAsia="宋体" w:cs="Times New Roman"/>
                <w:caps w:val="0"/>
                <w:color w:val="auto"/>
                <w:spacing w:val="0"/>
                <w:kern w:val="0"/>
                <w:sz w:val="24"/>
                <w:szCs w:val="24"/>
                <w:highlight w:val="none"/>
                <w:vertAlign w:val="superscript"/>
                <w:lang w:val="en-US" w:eastAsia="zh-CN" w:bidi="ar"/>
              </w:rPr>
              <w:t>3</w:t>
            </w:r>
            <w:r>
              <w:rPr>
                <w:rFonts w:hint="default" w:ascii="Times New Roman" w:hAnsi="Times New Roman" w:eastAsia="宋体" w:cs="Times New Roman"/>
                <w:caps w:val="0"/>
                <w:color w:val="auto"/>
                <w:spacing w:val="0"/>
                <w:kern w:val="0"/>
                <w:sz w:val="24"/>
                <w:szCs w:val="24"/>
                <w:highlight w:val="none"/>
                <w:lang w:val="en-US" w:eastAsia="zh-CN" w:bidi="ar"/>
              </w:rPr>
              <w:t>/d，即300m</w:t>
            </w:r>
            <w:r>
              <w:rPr>
                <w:rFonts w:hint="default" w:ascii="Times New Roman" w:hAnsi="Times New Roman" w:eastAsia="宋体" w:cs="Times New Roman"/>
                <w:caps w:val="0"/>
                <w:color w:val="auto"/>
                <w:spacing w:val="0"/>
                <w:kern w:val="0"/>
                <w:sz w:val="24"/>
                <w:szCs w:val="24"/>
                <w:highlight w:val="none"/>
                <w:vertAlign w:val="superscript"/>
                <w:lang w:val="en-US" w:eastAsia="zh-CN" w:bidi="ar"/>
              </w:rPr>
              <w:t>3</w:t>
            </w:r>
            <w:r>
              <w:rPr>
                <w:rFonts w:hint="default" w:ascii="Times New Roman" w:hAnsi="Times New Roman" w:eastAsia="宋体" w:cs="Times New Roman"/>
                <w:caps w:val="0"/>
                <w:color w:val="auto"/>
                <w:spacing w:val="0"/>
                <w:kern w:val="0"/>
                <w:sz w:val="24"/>
                <w:szCs w:val="24"/>
                <w:highlight w:val="none"/>
                <w:lang w:val="en-US" w:eastAsia="zh-CN" w:bidi="ar"/>
              </w:rPr>
              <w:t>/a。</w:t>
            </w:r>
          </w:p>
          <w:p w14:paraId="1ECB5A17">
            <w:pPr>
              <w:spacing w:line="360" w:lineRule="auto"/>
              <w:ind w:firstLine="480" w:firstLineChars="200"/>
              <w:rPr>
                <w:rFonts w:hint="default" w:ascii="Times New Roman" w:hAnsi="Times New Roman" w:eastAsia="宋体" w:cs="Times New Roman"/>
                <w:color w:val="auto"/>
                <w:spacing w:val="0"/>
                <w:sz w:val="24"/>
              </w:rPr>
            </w:pPr>
            <w:r>
              <w:rPr>
                <w:rFonts w:hint="eastAsia" w:cs="Times New Roman"/>
                <w:color w:val="auto"/>
                <w:spacing w:val="0"/>
                <w:sz w:val="24"/>
                <w:lang w:val="en-US" w:eastAsia="zh-CN"/>
              </w:rPr>
              <w:t>⑤</w:t>
            </w:r>
            <w:r>
              <w:rPr>
                <w:rFonts w:hint="default" w:ascii="Times New Roman" w:hAnsi="Times New Roman" w:eastAsia="宋体" w:cs="Times New Roman"/>
                <w:color w:val="auto"/>
                <w:spacing w:val="0"/>
                <w:sz w:val="24"/>
              </w:rPr>
              <w:t>脱膜剂稀释用水</w:t>
            </w:r>
          </w:p>
          <w:p w14:paraId="614BDE9E">
            <w:pPr>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根据建设单位提供资料，</w:t>
            </w:r>
            <w:r>
              <w:rPr>
                <w:rFonts w:hint="eastAsia" w:cs="Times New Roman"/>
                <w:color w:val="auto"/>
                <w:spacing w:val="0"/>
                <w:sz w:val="24"/>
                <w:lang w:val="en-US" w:eastAsia="zh-CN"/>
              </w:rPr>
              <w:t>脱模剂</w:t>
            </w:r>
            <w:r>
              <w:rPr>
                <w:rFonts w:hint="default" w:ascii="Times New Roman" w:hAnsi="Times New Roman" w:eastAsia="宋体" w:cs="Times New Roman"/>
                <w:color w:val="auto"/>
                <w:spacing w:val="0"/>
                <w:sz w:val="24"/>
              </w:rPr>
              <w:t>需用水稀释后使用，稀释比例为1:20，本项目脱膜剂用量约</w:t>
            </w:r>
            <w:r>
              <w:rPr>
                <w:rFonts w:hint="eastAsia" w:cs="Times New Roman"/>
                <w:color w:val="auto"/>
                <w:spacing w:val="0"/>
                <w:sz w:val="24"/>
                <w:lang w:val="en-US" w:eastAsia="zh-CN"/>
              </w:rPr>
              <w:t>2.5</w:t>
            </w:r>
            <w:r>
              <w:rPr>
                <w:rFonts w:hint="default" w:ascii="Times New Roman" w:hAnsi="Times New Roman" w:eastAsia="宋体" w:cs="Times New Roman"/>
                <w:color w:val="auto"/>
                <w:spacing w:val="0"/>
                <w:sz w:val="24"/>
              </w:rPr>
              <w:t>t/a，则项目脱膜剂稀释用水量为</w:t>
            </w:r>
            <w:r>
              <w:rPr>
                <w:rFonts w:hint="eastAsia" w:cs="Times New Roman"/>
                <w:color w:val="auto"/>
                <w:spacing w:val="0"/>
                <w:sz w:val="24"/>
                <w:lang w:val="en-US" w:eastAsia="zh-CN"/>
              </w:rPr>
              <w:t>5</w:t>
            </w:r>
            <w:r>
              <w:rPr>
                <w:rFonts w:hint="default" w:ascii="Times New Roman" w:hAnsi="Times New Roman" w:eastAsia="宋体" w:cs="Times New Roman"/>
                <w:color w:val="auto"/>
                <w:spacing w:val="0"/>
                <w:sz w:val="24"/>
              </w:rPr>
              <w:t>0m</w:t>
            </w:r>
            <w:r>
              <w:rPr>
                <w:rFonts w:hint="default" w:ascii="Times New Roman" w:hAnsi="Times New Roman" w:eastAsia="宋体" w:cs="Times New Roman"/>
                <w:color w:val="auto"/>
                <w:spacing w:val="0"/>
                <w:sz w:val="24"/>
                <w:vertAlign w:val="superscript"/>
              </w:rPr>
              <w:t>3</w:t>
            </w:r>
            <w:r>
              <w:rPr>
                <w:rFonts w:hint="default" w:ascii="Times New Roman" w:hAnsi="Times New Roman" w:eastAsia="宋体" w:cs="Times New Roman"/>
                <w:color w:val="auto"/>
                <w:spacing w:val="0"/>
                <w:sz w:val="24"/>
              </w:rPr>
              <w:t>/a，该部分水全部损耗，不产生废水。</w:t>
            </w:r>
          </w:p>
          <w:p w14:paraId="59173B49">
            <w:pPr>
              <w:spacing w:line="360" w:lineRule="auto"/>
              <w:ind w:firstLine="480" w:firstLineChars="200"/>
              <w:rPr>
                <w:rFonts w:hint="default" w:ascii="Times New Roman" w:hAnsi="Times New Roman" w:eastAsia="宋体" w:cs="Times New Roman"/>
                <w:color w:val="auto"/>
                <w:spacing w:val="0"/>
              </w:rPr>
            </w:pPr>
            <w:r>
              <w:rPr>
                <w:rFonts w:hint="default" w:ascii="Times New Roman" w:hAnsi="Times New Roman" w:eastAsia="宋体" w:cs="Times New Roman"/>
                <w:color w:val="auto"/>
                <w:spacing w:val="0"/>
                <w:sz w:val="24"/>
              </w:rPr>
              <w:t>综上所述，本项目新鲜水用量为</w:t>
            </w:r>
            <w:r>
              <w:rPr>
                <w:rFonts w:hint="eastAsia" w:cs="Times New Roman"/>
                <w:color w:val="auto"/>
                <w:spacing w:val="0"/>
                <w:sz w:val="24"/>
                <w:lang w:val="en-US" w:eastAsia="zh-CN"/>
              </w:rPr>
              <w:t>5270</w:t>
            </w:r>
            <w:r>
              <w:rPr>
                <w:rFonts w:hint="default" w:ascii="Times New Roman" w:hAnsi="Times New Roman" w:eastAsia="宋体" w:cs="Times New Roman"/>
                <w:color w:val="auto"/>
                <w:spacing w:val="0"/>
                <w:sz w:val="24"/>
              </w:rPr>
              <w:t>m</w:t>
            </w:r>
            <w:r>
              <w:rPr>
                <w:rFonts w:hint="default" w:ascii="Times New Roman" w:hAnsi="Times New Roman" w:eastAsia="宋体" w:cs="Times New Roman"/>
                <w:color w:val="auto"/>
                <w:spacing w:val="0"/>
                <w:sz w:val="24"/>
                <w:vertAlign w:val="superscript"/>
              </w:rPr>
              <w:t>3</w:t>
            </w:r>
            <w:r>
              <w:rPr>
                <w:rFonts w:hint="default" w:ascii="Times New Roman" w:hAnsi="Times New Roman" w:eastAsia="宋体" w:cs="Times New Roman"/>
                <w:color w:val="auto"/>
                <w:spacing w:val="0"/>
                <w:sz w:val="24"/>
              </w:rPr>
              <w:t>/a，用水由当地自来水管网提供，可以满足日常用水需求。</w:t>
            </w:r>
          </w:p>
          <w:p w14:paraId="5B99123B">
            <w:pPr>
              <w:spacing w:line="360" w:lineRule="auto"/>
              <w:ind w:firstLine="480" w:firstLineChars="200"/>
              <w:rPr>
                <w:rFonts w:hint="default" w:ascii="Times New Roman" w:hAnsi="Times New Roman" w:eastAsia="宋体" w:cs="Times New Roman"/>
                <w:b w:val="0"/>
                <w:bCs w:val="0"/>
                <w:color w:val="auto"/>
                <w:spacing w:val="0"/>
                <w:kern w:val="0"/>
                <w:sz w:val="24"/>
              </w:rPr>
            </w:pPr>
            <w:r>
              <w:rPr>
                <w:rFonts w:hint="default" w:ascii="Times New Roman" w:hAnsi="Times New Roman" w:eastAsia="宋体" w:cs="Times New Roman"/>
                <w:b w:val="0"/>
                <w:bCs w:val="0"/>
                <w:color w:val="auto"/>
                <w:spacing w:val="0"/>
                <w:kern w:val="0"/>
                <w:sz w:val="24"/>
              </w:rPr>
              <w:t>2、排水</w:t>
            </w:r>
          </w:p>
          <w:p w14:paraId="4B5B05A6">
            <w:pPr>
              <w:widowControl w:val="0"/>
              <w:spacing w:line="360" w:lineRule="auto"/>
              <w:ind w:firstLine="480" w:firstLineChars="200"/>
              <w:jc w:val="both"/>
              <w:rPr>
                <w:rFonts w:hint="default" w:ascii="Times New Roman" w:hAnsi="Times New Roman" w:eastAsia="宋体" w:cs="Times New Roman"/>
                <w:color w:val="auto"/>
                <w:spacing w:val="0"/>
                <w:kern w:val="2"/>
                <w:sz w:val="24"/>
                <w:szCs w:val="24"/>
                <w:lang w:val="en-US" w:eastAsia="zh-CN" w:bidi="ar-SA"/>
              </w:rPr>
            </w:pPr>
            <w:r>
              <w:rPr>
                <w:rFonts w:hint="default" w:ascii="Times New Roman" w:hAnsi="Times New Roman" w:eastAsia="宋体" w:cs="Times New Roman"/>
                <w:color w:val="auto"/>
                <w:spacing w:val="0"/>
                <w:kern w:val="2"/>
                <w:sz w:val="24"/>
                <w:szCs w:val="24"/>
                <w:lang w:val="en-US" w:eastAsia="zh-CN" w:bidi="ar-SA"/>
              </w:rPr>
              <w:t>本项目排水实行“雨污分流、清污分流”。雨水管道主要用于收集和排放雨水，污水管道主要用于收集项目产生的污水。</w:t>
            </w:r>
          </w:p>
          <w:p w14:paraId="6856A0F8">
            <w:pPr>
              <w:numPr>
                <w:ilvl w:val="0"/>
                <w:numId w:val="0"/>
              </w:numPr>
              <w:spacing w:line="360" w:lineRule="auto"/>
              <w:ind w:firstLine="480" w:firstLineChars="200"/>
              <w:rPr>
                <w:rFonts w:hint="default" w:ascii="Times New Roman" w:hAnsi="Times New Roman" w:eastAsia="宋体" w:cs="Times New Roman"/>
                <w:color w:val="auto"/>
                <w:spacing w:val="0"/>
                <w:kern w:val="0"/>
                <w:sz w:val="24"/>
              </w:rPr>
            </w:pPr>
            <w:r>
              <w:rPr>
                <w:rFonts w:hint="default" w:ascii="Times New Roman" w:hAnsi="Times New Roman" w:eastAsia="宋体" w:cs="Times New Roman"/>
                <w:color w:val="auto"/>
                <w:spacing w:val="0"/>
                <w:kern w:val="0"/>
                <w:sz w:val="24"/>
                <w:lang w:eastAsia="zh-CN"/>
              </w:rPr>
              <w:t>（</w:t>
            </w:r>
            <w:r>
              <w:rPr>
                <w:rFonts w:hint="default" w:ascii="Times New Roman" w:hAnsi="Times New Roman" w:eastAsia="宋体" w:cs="Times New Roman"/>
                <w:color w:val="auto"/>
                <w:spacing w:val="0"/>
                <w:kern w:val="0"/>
                <w:sz w:val="24"/>
                <w:lang w:val="en-US" w:eastAsia="zh-CN"/>
              </w:rPr>
              <w:t>1</w:t>
            </w:r>
            <w:r>
              <w:rPr>
                <w:rFonts w:hint="default" w:ascii="Times New Roman" w:hAnsi="Times New Roman" w:eastAsia="宋体" w:cs="Times New Roman"/>
                <w:color w:val="auto"/>
                <w:spacing w:val="0"/>
                <w:kern w:val="0"/>
                <w:sz w:val="24"/>
                <w:lang w:eastAsia="zh-CN"/>
              </w:rPr>
              <w:t>）</w:t>
            </w:r>
            <w:r>
              <w:rPr>
                <w:rFonts w:hint="default" w:ascii="Times New Roman" w:hAnsi="Times New Roman" w:eastAsia="宋体" w:cs="Times New Roman"/>
                <w:color w:val="auto"/>
                <w:spacing w:val="0"/>
                <w:kern w:val="0"/>
                <w:sz w:val="24"/>
              </w:rPr>
              <w:t>生活污水</w:t>
            </w:r>
          </w:p>
          <w:p w14:paraId="7CBF06B0">
            <w:pPr>
              <w:numPr>
                <w:ilvl w:val="0"/>
                <w:numId w:val="0"/>
              </w:numPr>
              <w:spacing w:line="360" w:lineRule="auto"/>
              <w:ind w:firstLine="480" w:firstLineChars="200"/>
              <w:rPr>
                <w:rFonts w:hint="default" w:ascii="Times New Roman" w:hAnsi="Times New Roman" w:eastAsia="宋体" w:cs="Times New Roman"/>
                <w:color w:val="auto"/>
                <w:spacing w:val="0"/>
                <w:kern w:val="0"/>
                <w:sz w:val="24"/>
              </w:rPr>
            </w:pPr>
            <w:r>
              <w:rPr>
                <w:rFonts w:hint="default" w:ascii="Times New Roman" w:hAnsi="Times New Roman" w:eastAsia="宋体" w:cs="Times New Roman"/>
                <w:color w:val="auto"/>
                <w:spacing w:val="0"/>
                <w:kern w:val="0"/>
                <w:sz w:val="24"/>
              </w:rPr>
              <w:t>本项目生活污水产生系数以80%计，生活用水量为</w:t>
            </w:r>
            <w:r>
              <w:rPr>
                <w:rFonts w:hint="eastAsia" w:cs="Times New Roman"/>
                <w:color w:val="auto"/>
                <w:spacing w:val="0"/>
                <w:kern w:val="0"/>
                <w:sz w:val="24"/>
                <w:lang w:val="en-US" w:eastAsia="zh-CN"/>
              </w:rPr>
              <w:t>144</w:t>
            </w:r>
            <w:r>
              <w:rPr>
                <w:rFonts w:hint="default" w:ascii="Times New Roman" w:hAnsi="Times New Roman" w:eastAsia="宋体" w:cs="Times New Roman"/>
                <w:color w:val="auto"/>
                <w:spacing w:val="0"/>
                <w:kern w:val="0"/>
                <w:sz w:val="24"/>
              </w:rPr>
              <w:t>m³/a，则生活污水产生量为</w:t>
            </w:r>
            <w:r>
              <w:rPr>
                <w:rFonts w:hint="eastAsia" w:cs="Times New Roman"/>
                <w:color w:val="auto"/>
                <w:spacing w:val="0"/>
                <w:kern w:val="0"/>
                <w:sz w:val="24"/>
                <w:lang w:val="en-US" w:eastAsia="zh-CN"/>
              </w:rPr>
              <w:t>144</w:t>
            </w:r>
            <w:r>
              <w:rPr>
                <w:rFonts w:hint="default" w:ascii="Times New Roman" w:hAnsi="Times New Roman" w:eastAsia="宋体" w:cs="Times New Roman"/>
                <w:color w:val="auto"/>
                <w:spacing w:val="0"/>
                <w:kern w:val="0"/>
                <w:sz w:val="24"/>
              </w:rPr>
              <w:t>m</w:t>
            </w:r>
            <w:r>
              <w:rPr>
                <w:rFonts w:hint="default" w:ascii="Times New Roman" w:hAnsi="Times New Roman" w:eastAsia="宋体" w:cs="Times New Roman"/>
                <w:color w:val="auto"/>
                <w:spacing w:val="0"/>
                <w:kern w:val="0"/>
                <w:sz w:val="24"/>
                <w:vertAlign w:val="superscript"/>
              </w:rPr>
              <w:t>3</w:t>
            </w:r>
            <w:r>
              <w:rPr>
                <w:rFonts w:hint="default" w:ascii="Times New Roman" w:hAnsi="Times New Roman" w:eastAsia="宋体" w:cs="Times New Roman"/>
                <w:color w:val="auto"/>
                <w:spacing w:val="0"/>
                <w:kern w:val="0"/>
                <w:sz w:val="24"/>
              </w:rPr>
              <w:t>/a</w:t>
            </w:r>
            <w:r>
              <w:rPr>
                <w:rFonts w:hint="eastAsia" w:cs="Times New Roman"/>
                <w:color w:val="auto"/>
                <w:spacing w:val="0"/>
                <w:kern w:val="0"/>
                <w:sz w:val="24"/>
                <w:lang w:eastAsia="zh-CN"/>
              </w:rPr>
              <w:t>，</w:t>
            </w:r>
            <w:r>
              <w:rPr>
                <w:rFonts w:hint="default" w:ascii="Times New Roman" w:hAnsi="Times New Roman" w:eastAsia="宋体" w:cs="Times New Roman"/>
                <w:color w:val="auto"/>
                <w:spacing w:val="0"/>
                <w:kern w:val="0"/>
                <w:sz w:val="24"/>
              </w:rPr>
              <w:t>经化粪池收集后</w:t>
            </w:r>
            <w:r>
              <w:rPr>
                <w:rFonts w:hint="default" w:ascii="Times New Roman" w:hAnsi="Times New Roman" w:eastAsia="宋体" w:cs="Times New Roman"/>
                <w:color w:val="auto"/>
                <w:spacing w:val="0"/>
                <w:kern w:val="0"/>
                <w:sz w:val="24"/>
                <w:lang w:val="en-US" w:eastAsia="zh-CN"/>
              </w:rPr>
              <w:t>委托环卫部门清运</w:t>
            </w:r>
            <w:r>
              <w:rPr>
                <w:rFonts w:hint="default" w:ascii="Times New Roman" w:hAnsi="Times New Roman" w:eastAsia="宋体" w:cs="Times New Roman"/>
                <w:color w:val="auto"/>
                <w:spacing w:val="0"/>
                <w:kern w:val="0"/>
                <w:sz w:val="24"/>
              </w:rPr>
              <w:t>。</w:t>
            </w:r>
          </w:p>
          <w:p w14:paraId="6036B7CC">
            <w:pPr>
              <w:widowControl w:val="0"/>
              <w:numPr>
                <w:ilvl w:val="0"/>
                <w:numId w:val="0"/>
              </w:numPr>
              <w:autoSpaceDE w:val="0"/>
              <w:autoSpaceDN w:val="0"/>
              <w:adjustRightInd w:val="0"/>
              <w:spacing w:line="360" w:lineRule="auto"/>
              <w:ind w:firstLine="480" w:firstLineChars="200"/>
              <w:jc w:val="both"/>
              <w:rPr>
                <w:rFonts w:hint="default" w:ascii="Times New Roman" w:hAnsi="Times New Roman" w:eastAsia="宋体" w:cs="Times New Roman"/>
                <w:color w:val="auto"/>
                <w:spacing w:val="0"/>
                <w:kern w:val="2"/>
                <w:sz w:val="24"/>
                <w:szCs w:val="24"/>
                <w:lang w:val="en-US" w:eastAsia="zh-CN" w:bidi="ar-SA"/>
              </w:rPr>
            </w:pPr>
            <w:r>
              <w:rPr>
                <w:rFonts w:hint="default" w:ascii="Times New Roman" w:hAnsi="Times New Roman" w:eastAsia="宋体" w:cs="Times New Roman"/>
                <w:color w:val="auto"/>
                <w:spacing w:val="0"/>
                <w:kern w:val="0"/>
                <w:sz w:val="24"/>
                <w:szCs w:val="24"/>
                <w:lang w:val="en-US" w:eastAsia="zh-CN" w:bidi="ar-SA"/>
              </w:rPr>
              <w:t>（2）生产废水</w:t>
            </w:r>
          </w:p>
          <w:p w14:paraId="5DC7D8EF">
            <w:pPr>
              <w:spacing w:line="360" w:lineRule="auto"/>
              <w:ind w:firstLine="480" w:firstLineChars="200"/>
              <w:rPr>
                <w:rFonts w:hint="default" w:ascii="Times New Roman" w:hAnsi="Times New Roman" w:eastAsia="宋体" w:cs="Times New Roman"/>
                <w:color w:val="auto"/>
                <w:spacing w:val="0"/>
                <w:sz w:val="24"/>
                <w:highlight w:val="none"/>
                <w:lang w:val="en-US"/>
              </w:rPr>
            </w:pPr>
            <w:r>
              <w:rPr>
                <w:rFonts w:hint="eastAsia" w:cs="Times New Roman"/>
                <w:b w:val="0"/>
                <w:bCs w:val="0"/>
                <w:color w:val="auto"/>
                <w:spacing w:val="0"/>
                <w:sz w:val="24"/>
                <w:szCs w:val="24"/>
                <w:highlight w:val="none"/>
                <w:lang w:val="en-US" w:eastAsia="zh-CN"/>
              </w:rPr>
              <w:t>本项目降尘用水全部蒸发损耗，无废水产生。</w:t>
            </w:r>
            <w:r>
              <w:rPr>
                <w:rFonts w:hint="default" w:ascii="Times New Roman" w:hAnsi="Times New Roman" w:eastAsia="宋体" w:cs="Times New Roman"/>
                <w:color w:val="auto"/>
                <w:spacing w:val="0"/>
                <w:kern w:val="0"/>
                <w:sz w:val="24"/>
              </w:rPr>
              <w:t>搅拌工序</w:t>
            </w:r>
            <w:r>
              <w:rPr>
                <w:rFonts w:hint="eastAsia" w:ascii="Times New Roman" w:hAnsi="Times New Roman" w:eastAsia="宋体" w:cs="Times New Roman"/>
                <w:color w:val="auto"/>
                <w:spacing w:val="0"/>
                <w:kern w:val="0"/>
                <w:sz w:val="24"/>
                <w:lang w:val="en-US" w:eastAsia="zh-CN"/>
              </w:rPr>
              <w:t>用水全部蒸发损耗和进入产品，无废水产生。</w:t>
            </w:r>
            <w:r>
              <w:rPr>
                <w:rFonts w:hint="default" w:ascii="Times New Roman" w:hAnsi="Times New Roman" w:eastAsia="宋体" w:cs="Times New Roman"/>
                <w:color w:val="auto"/>
                <w:spacing w:val="0"/>
                <w:sz w:val="24"/>
                <w:szCs w:val="24"/>
                <w:highlight w:val="none"/>
                <w:lang w:val="en-US" w:eastAsia="zh-CN"/>
              </w:rPr>
              <w:t>设备、模具清洗废水经沉淀后用于搅拌工段，不外排。</w:t>
            </w:r>
            <w:r>
              <w:rPr>
                <w:rFonts w:hint="default" w:ascii="Times New Roman" w:hAnsi="Times New Roman" w:eastAsia="宋体" w:cs="Times New Roman"/>
                <w:color w:val="auto"/>
                <w:spacing w:val="0"/>
                <w:sz w:val="24"/>
                <w:highlight w:val="none"/>
                <w:lang w:val="en-US" w:eastAsia="zh-CN"/>
              </w:rPr>
              <w:t>车</w:t>
            </w:r>
            <w:r>
              <w:rPr>
                <w:rFonts w:hint="default" w:ascii="Times New Roman" w:hAnsi="Times New Roman" w:eastAsia="宋体" w:cs="Times New Roman"/>
                <w:caps w:val="0"/>
                <w:color w:val="auto"/>
                <w:spacing w:val="0"/>
                <w:sz w:val="24"/>
                <w:szCs w:val="24"/>
                <w:highlight w:val="none"/>
                <w:lang w:val="en-US" w:eastAsia="zh-CN"/>
              </w:rPr>
              <w:t>辆冲洗废水经配套沉淀池沉淀后回用</w:t>
            </w:r>
            <w:r>
              <w:rPr>
                <w:rFonts w:hint="default" w:ascii="Times New Roman" w:hAnsi="Times New Roman" w:eastAsia="宋体" w:cs="Times New Roman"/>
                <w:color w:val="auto"/>
                <w:spacing w:val="0"/>
                <w:sz w:val="24"/>
                <w:szCs w:val="24"/>
                <w:highlight w:val="none"/>
                <w:lang w:val="en-US" w:eastAsia="zh-CN"/>
              </w:rPr>
              <w:t>，不外排</w:t>
            </w:r>
            <w:r>
              <w:rPr>
                <w:rFonts w:hint="default" w:ascii="Times New Roman" w:hAnsi="Times New Roman" w:eastAsia="宋体" w:cs="Times New Roman"/>
                <w:caps w:val="0"/>
                <w:color w:val="auto"/>
                <w:spacing w:val="0"/>
                <w:sz w:val="24"/>
                <w:szCs w:val="24"/>
                <w:highlight w:val="none"/>
                <w:lang w:val="en-US" w:eastAsia="zh-CN"/>
              </w:rPr>
              <w:t>。脱膜剂稀释用水全部损耗</w:t>
            </w:r>
            <w:r>
              <w:rPr>
                <w:rFonts w:hint="eastAsia" w:cs="Times New Roman"/>
                <w:caps w:val="0"/>
                <w:color w:val="auto"/>
                <w:spacing w:val="0"/>
                <w:sz w:val="24"/>
                <w:szCs w:val="24"/>
                <w:highlight w:val="none"/>
                <w:lang w:val="en-US" w:eastAsia="zh-CN"/>
              </w:rPr>
              <w:t>。</w:t>
            </w:r>
          </w:p>
          <w:p w14:paraId="7C864101">
            <w:pPr>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本项目用水平衡见</w:t>
            </w:r>
            <w:r>
              <w:rPr>
                <w:rFonts w:hint="eastAsia" w:cs="Times New Roman"/>
                <w:color w:val="auto"/>
                <w:spacing w:val="0"/>
                <w:sz w:val="24"/>
                <w:lang w:val="en-US" w:eastAsia="zh-CN"/>
              </w:rPr>
              <w:t>下图</w:t>
            </w:r>
            <w:r>
              <w:rPr>
                <w:rFonts w:hint="default" w:ascii="Times New Roman" w:hAnsi="Times New Roman" w:eastAsia="宋体" w:cs="Times New Roman"/>
                <w:color w:val="auto"/>
                <w:spacing w:val="0"/>
                <w:sz w:val="24"/>
              </w:rPr>
              <w:t>。</w:t>
            </w:r>
          </w:p>
          <w:p w14:paraId="4E896C9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color w:val="auto"/>
                <w:spacing w:val="0"/>
                <w:sz w:val="24"/>
                <w:szCs w:val="32"/>
                <w:highlight w:val="none"/>
                <w:lang w:val="en-US" w:eastAsia="zh-CN"/>
              </w:rPr>
            </w:pPr>
            <w:r>
              <w:rPr>
                <w:rFonts w:hint="default" w:ascii="Times New Roman" w:hAnsi="Times New Roman" w:eastAsia="宋体" w:cs="Times New Roman"/>
                <w:b/>
                <w:color w:val="auto"/>
                <w:spacing w:val="0"/>
                <w:sz w:val="24"/>
                <w:szCs w:val="32"/>
                <w:highlight w:val="none"/>
                <w:lang w:val="en-US" w:eastAsia="zh-CN"/>
              </w:rPr>
              <w:object>
                <v:shape id="_x0000_i1025" o:spt="75" type="#_x0000_t75" style="height:367.8pt;width:347.4pt;" o:ole="t" filled="f" o:preferrelative="t" stroked="f" coordsize="21600,21600">
                  <v:path/>
                  <v:fill on="f" focussize="0,0"/>
                  <v:stroke on="f"/>
                  <v:imagedata r:id="rId9" o:title=""/>
                  <o:lock v:ext="edit" aspectratio="t"/>
                  <w10:wrap type="none"/>
                  <w10:anchorlock/>
                </v:shape>
                <o:OLEObject Type="Embed" ProgID="Visio.Drawing.11" ShapeID="_x0000_i1025" DrawAspect="Content" ObjectID="_1468075725" r:id="rId8">
                  <o:LockedField>false</o:LockedField>
                </o:OLEObject>
              </w:object>
            </w:r>
          </w:p>
          <w:p w14:paraId="70B370D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color w:val="auto"/>
                <w:spacing w:val="0"/>
                <w:sz w:val="24"/>
                <w:lang w:eastAsia="zh-CN"/>
              </w:rPr>
            </w:pPr>
            <w:r>
              <w:rPr>
                <w:rFonts w:hint="default" w:ascii="Times New Roman" w:hAnsi="Times New Roman" w:eastAsia="宋体" w:cs="Times New Roman"/>
                <w:b/>
                <w:color w:val="auto"/>
                <w:spacing w:val="0"/>
                <w:sz w:val="24"/>
                <w:szCs w:val="32"/>
                <w:highlight w:val="none"/>
                <w:shd w:val="clear" w:color="auto" w:fill="auto"/>
                <w:lang w:val="en-US" w:eastAsia="zh-CN"/>
              </w:rPr>
              <w:t>图2-1   水平衡图（</w:t>
            </w:r>
            <w:r>
              <w:rPr>
                <w:rFonts w:hint="default" w:ascii="Times New Roman" w:hAnsi="Times New Roman" w:eastAsia="宋体" w:cs="Times New Roman"/>
                <w:b/>
                <w:color w:val="auto"/>
                <w:spacing w:val="0"/>
                <w:kern w:val="0"/>
                <w:sz w:val="24"/>
                <w:szCs w:val="32"/>
                <w:highlight w:val="none"/>
                <w:shd w:val="clear" w:color="auto" w:fill="auto"/>
                <w:lang w:val="en-US" w:eastAsia="zh-CN"/>
              </w:rPr>
              <w:t>m</w:t>
            </w:r>
            <w:r>
              <w:rPr>
                <w:rFonts w:hint="default" w:ascii="Times New Roman" w:hAnsi="Times New Roman" w:eastAsia="宋体" w:cs="Times New Roman"/>
                <w:b/>
                <w:color w:val="auto"/>
                <w:spacing w:val="0"/>
                <w:kern w:val="0"/>
                <w:sz w:val="24"/>
                <w:szCs w:val="32"/>
                <w:highlight w:val="none"/>
                <w:shd w:val="clear" w:color="auto" w:fill="auto"/>
                <w:vertAlign w:val="superscript"/>
                <w:lang w:val="en-US" w:eastAsia="zh-CN"/>
              </w:rPr>
              <w:t>3</w:t>
            </w:r>
            <w:r>
              <w:rPr>
                <w:rFonts w:hint="default" w:ascii="Times New Roman" w:hAnsi="Times New Roman" w:eastAsia="宋体" w:cs="Times New Roman"/>
                <w:b/>
                <w:color w:val="auto"/>
                <w:spacing w:val="0"/>
                <w:kern w:val="0"/>
                <w:sz w:val="24"/>
                <w:szCs w:val="32"/>
                <w:highlight w:val="none"/>
                <w:lang w:val="en-US" w:eastAsia="zh-CN"/>
              </w:rPr>
              <w:t>/a</w:t>
            </w:r>
            <w:r>
              <w:rPr>
                <w:rFonts w:hint="default" w:ascii="Times New Roman" w:hAnsi="Times New Roman" w:eastAsia="宋体" w:cs="Times New Roman"/>
                <w:b/>
                <w:color w:val="auto"/>
                <w:spacing w:val="0"/>
                <w:sz w:val="24"/>
                <w:szCs w:val="32"/>
                <w:highlight w:val="none"/>
                <w:lang w:val="en-US" w:eastAsia="zh-CN"/>
              </w:rPr>
              <w:t>）</w:t>
            </w:r>
            <w:r>
              <w:rPr>
                <w:rFonts w:hint="default" w:ascii="Times New Roman" w:hAnsi="Times New Roman" w:eastAsia="宋体" w:cs="Times New Roman"/>
                <w:color w:val="auto"/>
                <w:spacing w:val="0"/>
                <w:kern w:val="22"/>
                <w:sz w:val="13"/>
                <w:szCs w:val="13"/>
              </w:rPr>
              <mc:AlternateContent>
                <mc:Choice Requires="wps">
                  <w:drawing>
                    <wp:anchor distT="0" distB="0" distL="114300" distR="114300" simplePos="0" relativeHeight="251661312" behindDoc="0" locked="0" layoutInCell="1" allowOverlap="1">
                      <wp:simplePos x="0" y="0"/>
                      <wp:positionH relativeFrom="column">
                        <wp:posOffset>160655</wp:posOffset>
                      </wp:positionH>
                      <wp:positionV relativeFrom="paragraph">
                        <wp:posOffset>8571230</wp:posOffset>
                      </wp:positionV>
                      <wp:extent cx="5632450" cy="391160"/>
                      <wp:effectExtent l="0" t="0" r="0" b="0"/>
                      <wp:wrapNone/>
                      <wp:docPr id="118" name="文本框 118"/>
                      <wp:cNvGraphicFramePr/>
                      <a:graphic xmlns:a="http://schemas.openxmlformats.org/drawingml/2006/main">
                        <a:graphicData uri="http://schemas.microsoft.com/office/word/2010/wordprocessingShape">
                          <wps:wsp>
                            <wps:cNvSpPr txBox="1"/>
                            <wps:spPr>
                              <a:xfrm>
                                <a:off x="1139825" y="9736455"/>
                                <a:ext cx="5276850" cy="391160"/>
                              </a:xfrm>
                              <a:prstGeom prst="rect">
                                <a:avLst/>
                              </a:prstGeom>
                              <a:noFill/>
                              <a:ln w="6350">
                                <a:noFill/>
                              </a:ln>
                              <a:effectLst/>
                            </wps:spPr>
                            <wps:txbx>
                              <w:txbxContent>
                                <w:p w14:paraId="57DE6373">
                                  <w:pPr>
                                    <w:spacing w:before="0" w:beforeLines="150" w:beforeAutospacing="0" w:line="360" w:lineRule="auto"/>
                                    <w:ind w:right="1741" w:rightChars="829"/>
                                    <w:jc w:val="center"/>
                                    <w:rPr>
                                      <w:sz w:val="24"/>
                                    </w:rPr>
                                  </w:pPr>
                                  <w:r>
                                    <w:rPr>
                                      <w:b/>
                                      <w:sz w:val="24"/>
                                    </w:rPr>
                                    <w:t>图2-1项目水平衡图（单位：m</w:t>
                                  </w:r>
                                  <w:r>
                                    <w:rPr>
                                      <w:b/>
                                      <w:sz w:val="24"/>
                                      <w:vertAlign w:val="superscript"/>
                                    </w:rPr>
                                    <w:t>3</w:t>
                                  </w:r>
                                  <w:r>
                                    <w:rPr>
                                      <w:b/>
                                      <w:sz w:val="24"/>
                                    </w:rPr>
                                    <w:t>/a）</w:t>
                                  </w:r>
                                </w:p>
                                <w:p w14:paraId="0E5E6E0D">
                                  <w:pPr>
                                    <w:rPr>
                                      <w:rFonts w:ascii="Calibri" w:hAnsi="Calibri"/>
                                      <w:b/>
                                      <w:bCs/>
                                      <w:kern w:val="22"/>
                                      <w:sz w:val="13"/>
                                      <w:szCs w:val="13"/>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5pt;margin-top:674.9pt;height:30.8pt;width:443.5pt;z-index:251661312;mso-width-relative:page;mso-height-relative:page;" filled="f" stroked="f" coordsize="21600,21600" o:gfxdata="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VvDmi2wAAAAwBAAAP&#10;AAAAAAAAAAEAIAAAACIAAABkcnMvZG93bnJldi54bWxQSwECFAAUAAAACACHTuJASVI3ck4CAACE&#10;BAAADgAAAAAAAAABACAAAAAqAQAAZHJzL2Uyb0RvYy54bWxQSwUGAAAAAAYABgBZAQAA6gUAAAAA&#10;">
                      <v:fill on="f" focussize="0,0"/>
                      <v:stroke on="f" weight="0.5pt"/>
                      <v:imagedata o:title=""/>
                      <o:lock v:ext="edit" aspectratio="f"/>
                      <v:textbox>
                        <w:txbxContent>
                          <w:p w14:paraId="57DE6373">
                            <w:pPr>
                              <w:spacing w:before="0" w:beforeLines="150" w:beforeAutospacing="0" w:line="360" w:lineRule="auto"/>
                              <w:ind w:right="1741" w:rightChars="829"/>
                              <w:jc w:val="center"/>
                              <w:rPr>
                                <w:sz w:val="24"/>
                              </w:rPr>
                            </w:pPr>
                            <w:r>
                              <w:rPr>
                                <w:b/>
                                <w:sz w:val="24"/>
                              </w:rPr>
                              <w:t>图2-1项目水平衡图（单位：m</w:t>
                            </w:r>
                            <w:r>
                              <w:rPr>
                                <w:b/>
                                <w:sz w:val="24"/>
                                <w:vertAlign w:val="superscript"/>
                              </w:rPr>
                              <w:t>3</w:t>
                            </w:r>
                            <w:r>
                              <w:rPr>
                                <w:b/>
                                <w:sz w:val="24"/>
                              </w:rPr>
                              <w:t>/a）</w:t>
                            </w:r>
                          </w:p>
                          <w:p w14:paraId="0E5E6E0D">
                            <w:pPr>
                              <w:rPr>
                                <w:rFonts w:ascii="Calibri" w:hAnsi="Calibri"/>
                                <w:b/>
                                <w:bCs/>
                                <w:kern w:val="22"/>
                                <w:sz w:val="13"/>
                                <w:szCs w:val="13"/>
                              </w:rPr>
                            </w:pPr>
                          </w:p>
                        </w:txbxContent>
                      </v:textbox>
                    </v:shape>
                  </w:pict>
                </mc:Fallback>
              </mc:AlternateContent>
            </w:r>
          </w:p>
          <w:p w14:paraId="567A2D97">
            <w:pPr>
              <w:spacing w:line="360" w:lineRule="auto"/>
              <w:ind w:firstLine="482" w:firstLineChars="200"/>
              <w:rPr>
                <w:rFonts w:hint="default" w:ascii="Times New Roman" w:hAnsi="Times New Roman" w:eastAsia="宋体" w:cs="Times New Roman"/>
                <w:b/>
                <w:color w:val="auto"/>
                <w:spacing w:val="0"/>
                <w:sz w:val="24"/>
                <w:lang w:val="en-US" w:eastAsia="zh-CN"/>
              </w:rPr>
            </w:pPr>
            <w:r>
              <w:rPr>
                <w:rFonts w:hint="eastAsia" w:ascii="Times New Roman" w:hAnsi="Times New Roman" w:eastAsia="宋体" w:cs="Times New Roman"/>
                <w:b/>
                <w:color w:val="auto"/>
                <w:spacing w:val="0"/>
                <w:sz w:val="24"/>
                <w:lang w:val="en-US" w:eastAsia="zh-CN"/>
              </w:rPr>
              <w:t>六</w:t>
            </w:r>
            <w:r>
              <w:rPr>
                <w:rFonts w:hint="default" w:ascii="Times New Roman" w:hAnsi="Times New Roman" w:eastAsia="宋体" w:cs="Times New Roman"/>
                <w:b/>
                <w:color w:val="auto"/>
                <w:spacing w:val="0"/>
                <w:sz w:val="24"/>
                <w:lang w:val="en-US" w:eastAsia="zh-CN"/>
              </w:rPr>
              <w:t>、劳动定员及工作制度</w:t>
            </w:r>
          </w:p>
          <w:p w14:paraId="206506F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sz w:val="24"/>
                <w:szCs w:val="24"/>
                <w:highlight w:val="none"/>
                <w:lang w:eastAsia="zh-CN"/>
              </w:rPr>
            </w:pPr>
            <w:r>
              <w:rPr>
                <w:rFonts w:hint="default" w:ascii="Times New Roman" w:hAnsi="Times New Roman" w:eastAsia="宋体" w:cs="Times New Roman"/>
                <w:color w:val="auto"/>
                <w:spacing w:val="0"/>
                <w:sz w:val="24"/>
                <w:szCs w:val="24"/>
                <w:highlight w:val="none"/>
              </w:rPr>
              <w:t>本项目劳动定员</w:t>
            </w:r>
            <w:r>
              <w:rPr>
                <w:rFonts w:hint="eastAsia" w:cs="Times New Roman"/>
                <w:color w:val="auto"/>
                <w:spacing w:val="0"/>
                <w:sz w:val="24"/>
                <w:szCs w:val="24"/>
                <w:highlight w:val="none"/>
                <w:lang w:val="en-US" w:eastAsia="zh-CN"/>
              </w:rPr>
              <w:t>12</w:t>
            </w:r>
            <w:r>
              <w:rPr>
                <w:rFonts w:hint="default" w:ascii="Times New Roman" w:hAnsi="Times New Roman" w:eastAsia="宋体" w:cs="Times New Roman"/>
                <w:color w:val="auto"/>
                <w:spacing w:val="0"/>
                <w:sz w:val="24"/>
                <w:szCs w:val="24"/>
                <w:highlight w:val="none"/>
              </w:rPr>
              <w:t>人，年生产300天，</w:t>
            </w:r>
            <w:r>
              <w:rPr>
                <w:rFonts w:hint="default" w:ascii="Times New Roman" w:hAnsi="Times New Roman" w:eastAsia="宋体" w:cs="Times New Roman"/>
                <w:color w:val="auto"/>
                <w:spacing w:val="0"/>
                <w:sz w:val="24"/>
                <w:szCs w:val="24"/>
                <w:highlight w:val="none"/>
                <w:lang w:eastAsia="zh-CN"/>
              </w:rPr>
              <w:t>白</w:t>
            </w:r>
            <w:r>
              <w:rPr>
                <w:rFonts w:hint="default" w:ascii="Times New Roman" w:hAnsi="Times New Roman" w:eastAsia="宋体" w:cs="Times New Roman"/>
                <w:color w:val="auto"/>
                <w:spacing w:val="0"/>
                <w:sz w:val="24"/>
                <w:szCs w:val="24"/>
                <w:highlight w:val="none"/>
              </w:rPr>
              <w:t>班8小时</w:t>
            </w:r>
            <w:r>
              <w:rPr>
                <w:rFonts w:hint="default" w:ascii="Times New Roman" w:hAnsi="Times New Roman" w:eastAsia="宋体" w:cs="Times New Roman"/>
                <w:color w:val="auto"/>
                <w:spacing w:val="0"/>
                <w:sz w:val="24"/>
                <w:szCs w:val="24"/>
                <w:highlight w:val="none"/>
                <w:lang w:eastAsia="zh-CN"/>
              </w:rPr>
              <w:t>，</w:t>
            </w:r>
            <w:r>
              <w:rPr>
                <w:rFonts w:hint="default" w:ascii="Times New Roman" w:hAnsi="Times New Roman" w:eastAsia="宋体" w:cs="Times New Roman"/>
                <w:color w:val="auto"/>
                <w:spacing w:val="0"/>
                <w:sz w:val="24"/>
                <w:szCs w:val="24"/>
                <w:highlight w:val="none"/>
                <w:lang w:val="en-US" w:eastAsia="zh-CN"/>
              </w:rPr>
              <w:t>2400h/a</w:t>
            </w:r>
            <w:r>
              <w:rPr>
                <w:rFonts w:hint="default" w:ascii="Times New Roman" w:hAnsi="Times New Roman" w:eastAsia="宋体" w:cs="Times New Roman"/>
                <w:color w:val="auto"/>
                <w:spacing w:val="0"/>
                <w:sz w:val="24"/>
                <w:szCs w:val="24"/>
                <w:highlight w:val="none"/>
                <w:lang w:eastAsia="zh-CN"/>
              </w:rPr>
              <w:t>。</w:t>
            </w:r>
          </w:p>
          <w:p w14:paraId="4A82CD36">
            <w:pPr>
              <w:pStyle w:val="3"/>
              <w:pageBreakBefore w:val="0"/>
              <w:widowControl w:val="0"/>
              <w:tabs>
                <w:tab w:val="left" w:pos="1586"/>
              </w:tabs>
              <w:kinsoku/>
              <w:wordWrap/>
              <w:overflowPunct/>
              <w:topLinePunct w:val="0"/>
              <w:autoSpaceDE/>
              <w:autoSpaceDN/>
              <w:bidi w:val="0"/>
              <w:adjustRightInd/>
              <w:snapToGrid/>
              <w:spacing w:before="0" w:beforeLines="0" w:after="0" w:afterLines="0" w:line="360" w:lineRule="auto"/>
              <w:ind w:left="0" w:firstLine="482" w:firstLineChars="200"/>
              <w:textAlignment w:val="auto"/>
              <w:rPr>
                <w:rFonts w:hint="default" w:ascii="Times New Roman" w:hAnsi="Times New Roman" w:eastAsia="宋体" w:cs="Times New Roman"/>
                <w:b/>
                <w:bCs/>
                <w:color w:val="auto"/>
                <w:spacing w:val="0"/>
                <w:sz w:val="24"/>
                <w:szCs w:val="24"/>
                <w:highlight w:val="none"/>
                <w:lang w:val="en-US" w:eastAsia="zh-CN"/>
              </w:rPr>
            </w:pPr>
            <w:r>
              <w:rPr>
                <w:rFonts w:hint="eastAsia" w:ascii="Times New Roman" w:hAnsi="Times New Roman" w:eastAsia="宋体" w:cs="Times New Roman"/>
                <w:b/>
                <w:bCs/>
                <w:color w:val="auto"/>
                <w:spacing w:val="0"/>
                <w:sz w:val="24"/>
                <w:szCs w:val="24"/>
                <w:highlight w:val="none"/>
                <w:lang w:val="en-US" w:eastAsia="zh-CN"/>
              </w:rPr>
              <w:t>七</w:t>
            </w:r>
            <w:r>
              <w:rPr>
                <w:rFonts w:hint="default" w:ascii="Times New Roman" w:hAnsi="Times New Roman" w:eastAsia="宋体" w:cs="Times New Roman"/>
                <w:b/>
                <w:bCs/>
                <w:color w:val="auto"/>
                <w:spacing w:val="0"/>
                <w:sz w:val="24"/>
                <w:szCs w:val="24"/>
                <w:highlight w:val="none"/>
                <w:lang w:val="en-US" w:eastAsia="zh-CN"/>
              </w:rPr>
              <w:t>、厂区平面布置</w:t>
            </w:r>
          </w:p>
          <w:p w14:paraId="4FFAF81B">
            <w:pPr>
              <w:spacing w:line="360" w:lineRule="auto"/>
              <w:ind w:firstLine="480" w:firstLineChars="200"/>
              <w:rPr>
                <w:rFonts w:hint="default" w:ascii="Times New Roman" w:hAnsi="Times New Roman" w:eastAsia="宋体" w:cs="Times New Roman"/>
                <w:b w:val="0"/>
                <w:bCs w:val="0"/>
                <w:color w:val="auto"/>
                <w:spacing w:val="0"/>
                <w:sz w:val="24"/>
                <w:szCs w:val="20"/>
                <w:highlight w:val="none"/>
              </w:rPr>
            </w:pPr>
            <w:r>
              <w:rPr>
                <w:rFonts w:hint="default" w:ascii="Times New Roman" w:hAnsi="Times New Roman" w:eastAsia="宋体" w:cs="Times New Roman"/>
                <w:b w:val="0"/>
                <w:bCs w:val="0"/>
                <w:color w:val="auto"/>
                <w:spacing w:val="0"/>
                <w:sz w:val="24"/>
                <w:szCs w:val="20"/>
                <w:highlight w:val="none"/>
              </w:rPr>
              <w:t>本项目厂区呈矩形，大门位于厂区</w:t>
            </w:r>
            <w:r>
              <w:rPr>
                <w:rFonts w:hint="eastAsia" w:cs="Times New Roman"/>
                <w:b w:val="0"/>
                <w:bCs w:val="0"/>
                <w:color w:val="auto"/>
                <w:spacing w:val="0"/>
                <w:sz w:val="24"/>
                <w:szCs w:val="20"/>
                <w:highlight w:val="none"/>
                <w:lang w:val="en-US" w:eastAsia="zh-CN"/>
              </w:rPr>
              <w:t>南侧</w:t>
            </w:r>
            <w:r>
              <w:rPr>
                <w:rFonts w:hint="default" w:ascii="Times New Roman" w:hAnsi="Times New Roman" w:eastAsia="宋体" w:cs="Times New Roman"/>
                <w:b w:val="0"/>
                <w:bCs w:val="0"/>
                <w:color w:val="auto"/>
                <w:spacing w:val="0"/>
                <w:sz w:val="24"/>
                <w:szCs w:val="20"/>
                <w:highlight w:val="none"/>
              </w:rPr>
              <w:t>，</w:t>
            </w:r>
            <w:r>
              <w:rPr>
                <w:rFonts w:hint="eastAsia" w:cs="Times New Roman"/>
                <w:b w:val="0"/>
                <w:bCs w:val="0"/>
                <w:color w:val="auto"/>
                <w:spacing w:val="0"/>
                <w:sz w:val="24"/>
                <w:szCs w:val="20"/>
                <w:highlight w:val="none"/>
                <w:lang w:val="en-US" w:eastAsia="zh-CN"/>
              </w:rPr>
              <w:t>办公室位于厂区西南角，焊接车间位于办公室北侧，成品堆场位于厂区北部，生产车间位于厂区中部</w:t>
            </w:r>
            <w:r>
              <w:rPr>
                <w:rFonts w:hint="default" w:ascii="Times New Roman" w:hAnsi="Times New Roman" w:eastAsia="宋体" w:cs="Times New Roman"/>
                <w:b w:val="0"/>
                <w:bCs w:val="0"/>
                <w:color w:val="auto"/>
                <w:spacing w:val="0"/>
                <w:sz w:val="24"/>
                <w:szCs w:val="20"/>
                <w:highlight w:val="none"/>
              </w:rPr>
              <w:t>。</w:t>
            </w:r>
          </w:p>
          <w:p w14:paraId="5FF6A993">
            <w:pPr>
              <w:spacing w:line="360" w:lineRule="auto"/>
              <w:ind w:firstLine="480" w:firstLineChars="200"/>
              <w:rPr>
                <w:rFonts w:hint="default" w:ascii="Times New Roman" w:hAnsi="Times New Roman" w:eastAsia="宋体" w:cs="Times New Roman"/>
                <w:bCs/>
                <w:color w:val="auto"/>
                <w:spacing w:val="0"/>
                <w:szCs w:val="21"/>
              </w:rPr>
            </w:pPr>
            <w:r>
              <w:rPr>
                <w:rFonts w:hint="default" w:ascii="Times New Roman" w:hAnsi="Times New Roman" w:eastAsia="宋体" w:cs="Times New Roman"/>
                <w:b w:val="0"/>
                <w:bCs w:val="0"/>
                <w:color w:val="auto"/>
                <w:spacing w:val="0"/>
                <w:sz w:val="24"/>
                <w:szCs w:val="20"/>
                <w:highlight w:val="none"/>
              </w:rPr>
              <w:t>项目功能分区明确，交通顺畅，布置紧凑，人货流动畅通，并充分考虑到工程行业特点、安全间距、货物运输和防火需要，各装置区之间留有足够的安全间距，避免相互影响，其平面布置基本合理。平面布置图见附图</w:t>
            </w:r>
            <w:r>
              <w:rPr>
                <w:rFonts w:hint="default" w:ascii="Times New Roman" w:hAnsi="Times New Roman" w:eastAsia="宋体" w:cs="Times New Roman"/>
                <w:b w:val="0"/>
                <w:bCs w:val="0"/>
                <w:color w:val="auto"/>
                <w:spacing w:val="0"/>
                <w:sz w:val="24"/>
                <w:szCs w:val="20"/>
                <w:highlight w:val="none"/>
                <w:lang w:val="en-US" w:eastAsia="zh-CN"/>
              </w:rPr>
              <w:t>2</w:t>
            </w:r>
            <w:r>
              <w:rPr>
                <w:rFonts w:hint="default" w:ascii="Times New Roman" w:hAnsi="Times New Roman" w:eastAsia="宋体" w:cs="Times New Roman"/>
                <w:b w:val="0"/>
                <w:bCs w:val="0"/>
                <w:color w:val="auto"/>
                <w:spacing w:val="0"/>
                <w:sz w:val="24"/>
                <w:szCs w:val="20"/>
                <w:highlight w:val="none"/>
                <w:lang w:eastAsia="zh-CN"/>
              </w:rPr>
              <w:t>。</w:t>
            </w:r>
          </w:p>
        </w:tc>
      </w:tr>
      <w:tr w14:paraId="1341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267" w:type="pct"/>
            <w:tcBorders>
              <w:tl2br w:val="nil"/>
              <w:tr2bl w:val="nil"/>
            </w:tcBorders>
            <w:noWrap w:val="0"/>
            <w:vAlign w:val="center"/>
          </w:tcPr>
          <w:p w14:paraId="379474EA">
            <w:pPr>
              <w:pStyle w:val="32"/>
              <w:adjustRightInd w:val="0"/>
              <w:snapToGrid w:val="0"/>
              <w:spacing w:before="0" w:beforeAutospacing="0" w:after="0" w:afterAutospacing="0"/>
              <w:jc w:val="center"/>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4"/>
                <w:szCs w:val="24"/>
                <w:lang w:val="en-US" w:eastAsia="zh-CN"/>
              </w:rPr>
              <w:t>工艺流程和产排污环节</w:t>
            </w:r>
            <w:bookmarkStart w:id="15" w:name="_GoBack"/>
            <w:bookmarkEnd w:id="15"/>
          </w:p>
        </w:tc>
        <w:tc>
          <w:tcPr>
            <w:tcW w:w="4732" w:type="pct"/>
            <w:tcBorders>
              <w:bottom w:val="single" w:color="000000" w:sz="4" w:space="0"/>
              <w:tl2br w:val="nil"/>
              <w:tr2bl w:val="nil"/>
            </w:tcBorders>
            <w:noWrap w:val="0"/>
            <w:vAlign w:val="top"/>
          </w:tcPr>
          <w:p w14:paraId="3C2904A1">
            <w:pPr>
              <w:snapToGrid w:val="0"/>
              <w:spacing w:line="360" w:lineRule="auto"/>
              <w:ind w:firstLine="465"/>
              <w:rPr>
                <w:rFonts w:hint="default" w:ascii="Times New Roman" w:hAnsi="Times New Roman" w:eastAsia="宋体" w:cs="Times New Roman"/>
                <w:b/>
                <w:color w:val="auto"/>
                <w:spacing w:val="0"/>
                <w:sz w:val="24"/>
                <w:lang w:val="en-US" w:eastAsia="zh-CN"/>
              </w:rPr>
            </w:pPr>
            <w:r>
              <w:rPr>
                <w:rFonts w:hint="eastAsia" w:cs="Times New Roman"/>
                <w:b/>
                <w:color w:val="auto"/>
                <w:spacing w:val="0"/>
                <w:sz w:val="24"/>
                <w:lang w:val="en-US" w:eastAsia="zh-CN"/>
              </w:rPr>
              <w:t>1、工艺流程图</w:t>
            </w:r>
          </w:p>
          <w:p w14:paraId="09E88AE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color w:val="auto"/>
                <w:spacing w:val="0"/>
                <w:sz w:val="24"/>
                <w:szCs w:val="32"/>
                <w:highlight w:val="none"/>
                <w:shd w:val="clear" w:color="auto" w:fill="auto"/>
                <w:lang w:val="en-US" w:eastAsia="zh-CN"/>
              </w:rPr>
            </w:pPr>
            <w:r>
              <w:rPr>
                <w:rFonts w:hint="default" w:ascii="Times New Roman" w:hAnsi="Times New Roman" w:eastAsia="宋体" w:cs="Times New Roman"/>
                <w:b/>
                <w:color w:val="auto"/>
                <w:spacing w:val="0"/>
                <w:sz w:val="24"/>
                <w:szCs w:val="32"/>
                <w:highlight w:val="none"/>
                <w:shd w:val="clear" w:color="auto" w:fill="auto"/>
                <w:lang w:val="en-US" w:eastAsia="zh-CN"/>
              </w:rPr>
              <w:object>
                <v:shape id="_x0000_i1026" o:spt="75" type="#_x0000_t75" style="height:461.4pt;width:319.2pt;" o:ole="t" filled="f" o:preferrelative="t" stroked="f" coordsize="21600,21600">
                  <v:path/>
                  <v:fill on="f" focussize="0,0"/>
                  <v:stroke on="f"/>
                  <v:imagedata r:id="rId11" o:title=""/>
                  <o:lock v:ext="edit" aspectratio="t"/>
                  <w10:wrap type="none"/>
                  <w10:anchorlock/>
                </v:shape>
                <o:OLEObject Type="Embed" ProgID="Visio.Drawing.11" ShapeID="_x0000_i1026" DrawAspect="Content" ObjectID="_1468075726" r:id="rId10">
                  <o:LockedField>false</o:LockedField>
                </o:OLEObject>
              </w:object>
            </w:r>
          </w:p>
          <w:p w14:paraId="4C04CED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color w:val="auto"/>
                <w:spacing w:val="0"/>
                <w:sz w:val="24"/>
                <w:szCs w:val="32"/>
                <w:highlight w:val="none"/>
                <w:shd w:val="clear" w:color="auto" w:fill="auto"/>
                <w:lang w:val="en-US" w:eastAsia="zh-CN"/>
              </w:rPr>
            </w:pPr>
            <w:r>
              <w:rPr>
                <w:rFonts w:hint="default" w:ascii="Times New Roman" w:hAnsi="Times New Roman" w:eastAsia="宋体" w:cs="Times New Roman"/>
                <w:b/>
                <w:color w:val="auto"/>
                <w:spacing w:val="0"/>
                <w:sz w:val="24"/>
                <w:szCs w:val="32"/>
                <w:highlight w:val="none"/>
                <w:shd w:val="clear" w:color="auto" w:fill="auto"/>
                <w:lang w:val="en-US" w:eastAsia="zh-CN"/>
              </w:rPr>
              <w:t>图2-</w:t>
            </w:r>
            <w:r>
              <w:rPr>
                <w:rFonts w:hint="eastAsia" w:cs="Times New Roman"/>
                <w:b/>
                <w:color w:val="auto"/>
                <w:spacing w:val="0"/>
                <w:sz w:val="24"/>
                <w:szCs w:val="32"/>
                <w:highlight w:val="none"/>
                <w:shd w:val="clear" w:color="auto" w:fill="auto"/>
                <w:lang w:val="en-US" w:eastAsia="zh-CN"/>
              </w:rPr>
              <w:t>2</w:t>
            </w:r>
            <w:r>
              <w:rPr>
                <w:rFonts w:hint="default" w:ascii="Times New Roman" w:hAnsi="Times New Roman" w:eastAsia="宋体" w:cs="Times New Roman"/>
                <w:b/>
                <w:color w:val="auto"/>
                <w:spacing w:val="0"/>
                <w:sz w:val="24"/>
                <w:szCs w:val="32"/>
                <w:highlight w:val="none"/>
                <w:shd w:val="clear" w:color="auto" w:fill="auto"/>
                <w:lang w:val="en-US" w:eastAsia="zh-CN"/>
              </w:rPr>
              <w:t xml:space="preserve">  工艺流程及产污环节图</w:t>
            </w:r>
          </w:p>
          <w:p w14:paraId="3B1DD56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color w:val="auto"/>
                <w:spacing w:val="0"/>
                <w:sz w:val="24"/>
                <w:u w:val="none"/>
                <w:lang w:eastAsia="zh-CN"/>
              </w:rPr>
            </w:pPr>
            <w:r>
              <w:rPr>
                <w:rFonts w:hint="eastAsia" w:cs="Times New Roman"/>
                <w:b/>
                <w:color w:val="auto"/>
                <w:spacing w:val="0"/>
                <w:sz w:val="24"/>
                <w:lang w:val="en-US" w:eastAsia="zh-CN"/>
              </w:rPr>
              <w:t>2</w:t>
            </w:r>
            <w:r>
              <w:rPr>
                <w:rFonts w:hint="default" w:ascii="Times New Roman" w:hAnsi="Times New Roman" w:eastAsia="宋体" w:cs="Times New Roman"/>
                <w:b/>
                <w:color w:val="auto"/>
                <w:spacing w:val="0"/>
                <w:sz w:val="24"/>
              </w:rPr>
              <w:t>、生产</w:t>
            </w:r>
            <w:r>
              <w:rPr>
                <w:rFonts w:hint="default" w:ascii="Times New Roman" w:hAnsi="Times New Roman" w:eastAsia="宋体" w:cs="Times New Roman"/>
                <w:b/>
                <w:bCs/>
                <w:color w:val="auto"/>
                <w:spacing w:val="0"/>
                <w:sz w:val="24"/>
                <w:szCs w:val="24"/>
                <w:highlight w:val="none"/>
                <w:u w:val="none"/>
                <w:lang w:val="en-US" w:eastAsia="zh-CN"/>
              </w:rPr>
              <w:t>工艺</w:t>
            </w:r>
            <w:r>
              <w:rPr>
                <w:rFonts w:hint="eastAsia" w:cs="Times New Roman"/>
                <w:b/>
                <w:color w:val="auto"/>
                <w:spacing w:val="0"/>
                <w:sz w:val="24"/>
                <w:lang w:val="en-US" w:eastAsia="zh-CN"/>
              </w:rPr>
              <w:t>简述</w:t>
            </w:r>
          </w:p>
          <w:p w14:paraId="26CCC3E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pacing w:val="0"/>
                <w:sz w:val="24"/>
                <w:szCs w:val="24"/>
                <w:highlight w:val="none"/>
                <w:u w:val="none"/>
                <w:lang w:val="en-US" w:eastAsia="zh-CN"/>
              </w:rPr>
            </w:pPr>
            <w:r>
              <w:rPr>
                <w:rFonts w:hint="default" w:ascii="Times New Roman" w:hAnsi="Times New Roman" w:eastAsia="宋体" w:cs="Times New Roman"/>
                <w:b/>
                <w:bCs/>
                <w:color w:val="auto"/>
                <w:spacing w:val="0"/>
                <w:sz w:val="24"/>
                <w:szCs w:val="24"/>
                <w:highlight w:val="none"/>
                <w:u w:val="none"/>
                <w:lang w:val="en-US" w:eastAsia="zh-CN"/>
              </w:rPr>
              <w:t>（1）卸料</w:t>
            </w:r>
          </w:p>
          <w:p w14:paraId="321D14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sz w:val="24"/>
                <w:szCs w:val="24"/>
                <w:highlight w:val="none"/>
                <w:u w:val="none"/>
                <w:lang w:val="en-US" w:eastAsia="zh-CN"/>
              </w:rPr>
            </w:pPr>
            <w:r>
              <w:rPr>
                <w:rFonts w:hint="default" w:ascii="Times New Roman" w:hAnsi="Times New Roman" w:eastAsia="宋体" w:cs="Times New Roman"/>
                <w:color w:val="auto"/>
                <w:spacing w:val="0"/>
                <w:sz w:val="24"/>
                <w:szCs w:val="24"/>
                <w:highlight w:val="none"/>
                <w:u w:val="none"/>
                <w:lang w:val="en-US" w:eastAsia="zh-CN"/>
              </w:rPr>
              <w:t>石子、</w:t>
            </w:r>
            <w:r>
              <w:rPr>
                <w:rFonts w:hint="eastAsia" w:cs="Times New Roman"/>
                <w:color w:val="auto"/>
                <w:spacing w:val="0"/>
                <w:sz w:val="24"/>
                <w:szCs w:val="24"/>
                <w:highlight w:val="none"/>
                <w:u w:val="none"/>
                <w:lang w:val="en-US" w:eastAsia="zh-CN"/>
              </w:rPr>
              <w:t>沙子</w:t>
            </w:r>
            <w:r>
              <w:rPr>
                <w:rFonts w:hint="default" w:ascii="Times New Roman" w:hAnsi="Times New Roman" w:eastAsia="宋体" w:cs="Times New Roman"/>
                <w:color w:val="auto"/>
                <w:spacing w:val="0"/>
                <w:sz w:val="24"/>
                <w:szCs w:val="24"/>
                <w:highlight w:val="none"/>
                <w:u w:val="none"/>
                <w:lang w:val="en-US" w:eastAsia="zh-CN"/>
              </w:rPr>
              <w:t>由运输车送至厂区，暂存在原料区；水泥由密闭罐车运送至厂区，暂存在水泥筒仓内。该过程产生卸料粉尘、噪声。</w:t>
            </w:r>
          </w:p>
          <w:p w14:paraId="4AF6183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pacing w:val="0"/>
                <w:sz w:val="24"/>
                <w:szCs w:val="24"/>
                <w:highlight w:val="none"/>
                <w:u w:val="none"/>
                <w:lang w:val="en-US" w:eastAsia="zh-CN"/>
              </w:rPr>
            </w:pPr>
            <w:r>
              <w:rPr>
                <w:rFonts w:hint="default" w:ascii="Times New Roman" w:hAnsi="Times New Roman" w:eastAsia="宋体" w:cs="Times New Roman"/>
                <w:b/>
                <w:bCs/>
                <w:color w:val="auto"/>
                <w:spacing w:val="0"/>
                <w:sz w:val="24"/>
                <w:szCs w:val="24"/>
                <w:highlight w:val="none"/>
                <w:u w:val="none"/>
                <w:lang w:val="en-US" w:eastAsia="zh-CN"/>
              </w:rPr>
              <w:t>（2）投料</w:t>
            </w:r>
          </w:p>
          <w:p w14:paraId="1ACB0D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sz w:val="24"/>
                <w:szCs w:val="24"/>
                <w:highlight w:val="none"/>
                <w:u w:val="none"/>
                <w:lang w:val="en-US" w:eastAsia="zh-CN"/>
              </w:rPr>
            </w:pPr>
            <w:r>
              <w:rPr>
                <w:rFonts w:hint="default" w:ascii="Times New Roman" w:hAnsi="Times New Roman" w:eastAsia="宋体" w:cs="Times New Roman"/>
                <w:color w:val="auto"/>
                <w:spacing w:val="0"/>
                <w:sz w:val="24"/>
                <w:szCs w:val="24"/>
                <w:highlight w:val="none"/>
                <w:u w:val="none"/>
              </w:rPr>
              <w:t>水泥通过密闭管道</w:t>
            </w:r>
            <w:r>
              <w:rPr>
                <w:rFonts w:hint="default" w:ascii="Times New Roman" w:hAnsi="Times New Roman" w:eastAsia="宋体" w:cs="Times New Roman"/>
                <w:color w:val="auto"/>
                <w:spacing w:val="0"/>
                <w:sz w:val="24"/>
                <w:szCs w:val="24"/>
                <w:highlight w:val="none"/>
                <w:u w:val="none"/>
                <w:lang w:val="en-US" w:eastAsia="zh-CN"/>
              </w:rPr>
              <w:t>经计量</w:t>
            </w:r>
            <w:r>
              <w:rPr>
                <w:rFonts w:hint="default" w:ascii="Times New Roman" w:hAnsi="Times New Roman" w:eastAsia="宋体" w:cs="Times New Roman"/>
                <w:color w:val="auto"/>
                <w:spacing w:val="0"/>
                <w:sz w:val="24"/>
                <w:szCs w:val="24"/>
                <w:highlight w:val="none"/>
                <w:u w:val="none"/>
              </w:rPr>
              <w:t>落入搅拌机中</w:t>
            </w:r>
            <w:r>
              <w:rPr>
                <w:rFonts w:hint="default" w:ascii="Times New Roman" w:hAnsi="Times New Roman" w:eastAsia="宋体" w:cs="Times New Roman"/>
                <w:color w:val="auto"/>
                <w:spacing w:val="0"/>
                <w:sz w:val="24"/>
                <w:szCs w:val="24"/>
                <w:highlight w:val="none"/>
                <w:u w:val="none"/>
                <w:lang w:eastAsia="zh-CN"/>
              </w:rPr>
              <w:t>，</w:t>
            </w:r>
            <w:r>
              <w:rPr>
                <w:rFonts w:hint="default" w:ascii="Times New Roman" w:hAnsi="Times New Roman" w:eastAsia="宋体" w:cs="Times New Roman"/>
                <w:color w:val="auto"/>
                <w:spacing w:val="0"/>
                <w:sz w:val="24"/>
                <w:szCs w:val="24"/>
                <w:highlight w:val="none"/>
                <w:u w:val="none"/>
              </w:rPr>
              <w:t>石子、</w:t>
            </w:r>
            <w:r>
              <w:rPr>
                <w:rFonts w:hint="eastAsia" w:cs="Times New Roman"/>
                <w:color w:val="auto"/>
                <w:spacing w:val="0"/>
                <w:sz w:val="24"/>
                <w:szCs w:val="24"/>
                <w:highlight w:val="none"/>
                <w:u w:val="none"/>
                <w:lang w:eastAsia="zh-CN"/>
              </w:rPr>
              <w:t>沙子</w:t>
            </w:r>
            <w:r>
              <w:rPr>
                <w:rFonts w:hint="default" w:ascii="Times New Roman" w:hAnsi="Times New Roman" w:eastAsia="宋体" w:cs="Times New Roman"/>
                <w:color w:val="auto"/>
                <w:spacing w:val="0"/>
                <w:sz w:val="24"/>
                <w:szCs w:val="24"/>
                <w:highlight w:val="none"/>
                <w:u w:val="none"/>
              </w:rPr>
              <w:t>通过</w:t>
            </w:r>
            <w:r>
              <w:rPr>
                <w:rFonts w:hint="default" w:ascii="Times New Roman" w:hAnsi="Times New Roman" w:eastAsia="宋体" w:cs="Times New Roman"/>
                <w:color w:val="auto"/>
                <w:spacing w:val="0"/>
                <w:sz w:val="24"/>
                <w:szCs w:val="24"/>
                <w:highlight w:val="none"/>
                <w:u w:val="none"/>
                <w:lang w:val="en-US" w:eastAsia="zh-CN"/>
              </w:rPr>
              <w:t>装载机</w:t>
            </w:r>
            <w:r>
              <w:rPr>
                <w:rFonts w:hint="default" w:ascii="Times New Roman" w:hAnsi="Times New Roman" w:eastAsia="宋体" w:cs="Times New Roman"/>
                <w:color w:val="auto"/>
                <w:spacing w:val="0"/>
                <w:sz w:val="24"/>
                <w:szCs w:val="24"/>
                <w:highlight w:val="none"/>
                <w:u w:val="none"/>
              </w:rPr>
              <w:t>从原料</w:t>
            </w:r>
            <w:r>
              <w:rPr>
                <w:rFonts w:hint="default" w:ascii="Times New Roman" w:hAnsi="Times New Roman" w:eastAsia="宋体" w:cs="Times New Roman"/>
                <w:color w:val="auto"/>
                <w:spacing w:val="0"/>
                <w:sz w:val="24"/>
                <w:szCs w:val="24"/>
                <w:highlight w:val="none"/>
                <w:u w:val="none"/>
                <w:lang w:val="en-US" w:eastAsia="zh-CN"/>
              </w:rPr>
              <w:t>区投入进搅拌内</w:t>
            </w:r>
            <w:r>
              <w:rPr>
                <w:rFonts w:hint="default" w:ascii="Times New Roman" w:hAnsi="Times New Roman" w:eastAsia="宋体" w:cs="Times New Roman"/>
                <w:color w:val="auto"/>
                <w:spacing w:val="0"/>
                <w:sz w:val="24"/>
                <w:szCs w:val="24"/>
                <w:highlight w:val="none"/>
                <w:u w:val="none"/>
                <w:lang w:eastAsia="zh-CN"/>
              </w:rPr>
              <w:t>。</w:t>
            </w:r>
            <w:r>
              <w:rPr>
                <w:rFonts w:hint="default" w:ascii="Times New Roman" w:hAnsi="Times New Roman" w:eastAsia="宋体" w:cs="Times New Roman"/>
                <w:color w:val="auto"/>
                <w:spacing w:val="0"/>
                <w:sz w:val="24"/>
                <w:szCs w:val="24"/>
                <w:highlight w:val="none"/>
                <w:u w:val="none"/>
                <w:lang w:val="en-US" w:eastAsia="zh-CN"/>
              </w:rPr>
              <w:t>该过程产生粉尘、噪声。</w:t>
            </w:r>
          </w:p>
          <w:p w14:paraId="0308F40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pacing w:val="0"/>
                <w:sz w:val="24"/>
                <w:szCs w:val="24"/>
                <w:highlight w:val="none"/>
                <w:u w:val="none"/>
                <w:lang w:val="en-US" w:eastAsia="zh-CN"/>
              </w:rPr>
            </w:pPr>
            <w:r>
              <w:rPr>
                <w:rFonts w:hint="default" w:ascii="Times New Roman" w:hAnsi="Times New Roman" w:eastAsia="宋体" w:cs="Times New Roman"/>
                <w:b/>
                <w:bCs/>
                <w:color w:val="auto"/>
                <w:spacing w:val="0"/>
                <w:sz w:val="24"/>
                <w:szCs w:val="24"/>
                <w:highlight w:val="none"/>
                <w:u w:val="none"/>
                <w:lang w:eastAsia="zh-CN"/>
              </w:rPr>
              <w:t>（</w:t>
            </w:r>
            <w:r>
              <w:rPr>
                <w:rFonts w:hint="default" w:ascii="Times New Roman" w:hAnsi="Times New Roman" w:eastAsia="宋体" w:cs="Times New Roman"/>
                <w:b/>
                <w:bCs/>
                <w:color w:val="auto"/>
                <w:spacing w:val="0"/>
                <w:sz w:val="24"/>
                <w:szCs w:val="24"/>
                <w:highlight w:val="none"/>
                <w:u w:val="none"/>
                <w:lang w:val="en-US" w:eastAsia="zh-CN"/>
              </w:rPr>
              <w:t>3</w:t>
            </w:r>
            <w:r>
              <w:rPr>
                <w:rFonts w:hint="default" w:ascii="Times New Roman" w:hAnsi="Times New Roman" w:eastAsia="宋体" w:cs="Times New Roman"/>
                <w:b/>
                <w:bCs/>
                <w:color w:val="auto"/>
                <w:spacing w:val="0"/>
                <w:sz w:val="24"/>
                <w:szCs w:val="24"/>
                <w:highlight w:val="none"/>
                <w:u w:val="none"/>
                <w:lang w:eastAsia="zh-CN"/>
              </w:rPr>
              <w:t>）</w:t>
            </w:r>
            <w:r>
              <w:rPr>
                <w:rFonts w:hint="default" w:ascii="Times New Roman" w:hAnsi="Times New Roman" w:eastAsia="宋体" w:cs="Times New Roman"/>
                <w:b/>
                <w:bCs/>
                <w:color w:val="auto"/>
                <w:spacing w:val="0"/>
                <w:sz w:val="24"/>
                <w:szCs w:val="24"/>
                <w:highlight w:val="none"/>
                <w:u w:val="none"/>
                <w:lang w:val="en-US" w:eastAsia="zh-CN"/>
              </w:rPr>
              <w:t>搅拌</w:t>
            </w:r>
          </w:p>
          <w:p w14:paraId="4D4177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sz w:val="24"/>
                <w:szCs w:val="24"/>
                <w:highlight w:val="none"/>
                <w:u w:val="none"/>
                <w:lang w:val="en-US" w:eastAsia="zh-CN"/>
              </w:rPr>
            </w:pPr>
            <w:r>
              <w:rPr>
                <w:rFonts w:hint="default" w:ascii="Times New Roman" w:hAnsi="Times New Roman" w:eastAsia="宋体" w:cs="Times New Roman"/>
                <w:color w:val="auto"/>
                <w:spacing w:val="0"/>
                <w:sz w:val="24"/>
                <w:szCs w:val="24"/>
                <w:highlight w:val="none"/>
                <w:u w:val="none"/>
              </w:rPr>
              <w:t>将</w:t>
            </w:r>
            <w:r>
              <w:rPr>
                <w:rFonts w:hint="default" w:ascii="Times New Roman" w:hAnsi="Times New Roman" w:eastAsia="宋体" w:cs="Times New Roman"/>
                <w:color w:val="auto"/>
                <w:spacing w:val="0"/>
                <w:sz w:val="24"/>
                <w:szCs w:val="24"/>
                <w:highlight w:val="none"/>
                <w:u w:val="none"/>
                <w:lang w:val="en-US" w:eastAsia="zh-CN"/>
              </w:rPr>
              <w:t>石子</w:t>
            </w:r>
            <w:r>
              <w:rPr>
                <w:rFonts w:hint="default" w:ascii="Times New Roman" w:hAnsi="Times New Roman" w:eastAsia="宋体" w:cs="Times New Roman"/>
                <w:color w:val="auto"/>
                <w:spacing w:val="0"/>
                <w:sz w:val="24"/>
                <w:szCs w:val="24"/>
                <w:highlight w:val="none"/>
                <w:u w:val="none"/>
              </w:rPr>
              <w:t>、</w:t>
            </w:r>
            <w:r>
              <w:rPr>
                <w:rFonts w:hint="eastAsia" w:cs="Times New Roman"/>
                <w:color w:val="auto"/>
                <w:spacing w:val="0"/>
                <w:sz w:val="24"/>
                <w:szCs w:val="24"/>
                <w:highlight w:val="none"/>
                <w:u w:val="none"/>
                <w:lang w:eastAsia="zh-CN"/>
              </w:rPr>
              <w:t>沙子</w:t>
            </w:r>
            <w:r>
              <w:rPr>
                <w:rFonts w:hint="default" w:ascii="Times New Roman" w:hAnsi="Times New Roman" w:eastAsia="宋体" w:cs="Times New Roman"/>
                <w:color w:val="auto"/>
                <w:spacing w:val="0"/>
                <w:sz w:val="24"/>
                <w:szCs w:val="24"/>
                <w:highlight w:val="none"/>
                <w:u w:val="none"/>
                <w:lang w:eastAsia="zh-CN"/>
              </w:rPr>
              <w:t>、</w:t>
            </w:r>
            <w:r>
              <w:rPr>
                <w:rFonts w:hint="default" w:ascii="Times New Roman" w:hAnsi="Times New Roman" w:eastAsia="宋体" w:cs="Times New Roman"/>
                <w:color w:val="auto"/>
                <w:spacing w:val="0"/>
                <w:sz w:val="24"/>
                <w:szCs w:val="24"/>
                <w:highlight w:val="none"/>
                <w:u w:val="none"/>
                <w:lang w:val="en-US" w:eastAsia="zh-CN"/>
              </w:rPr>
              <w:t>水泥在搅拌机内</w:t>
            </w:r>
            <w:r>
              <w:rPr>
                <w:rFonts w:hint="default" w:ascii="Times New Roman" w:hAnsi="Times New Roman" w:eastAsia="宋体" w:cs="Times New Roman"/>
                <w:color w:val="auto"/>
                <w:spacing w:val="0"/>
                <w:sz w:val="24"/>
                <w:szCs w:val="24"/>
                <w:highlight w:val="none"/>
                <w:u w:val="none"/>
              </w:rPr>
              <w:t>按照配比向搅拌机内加入一定量的水进行搅拌</w:t>
            </w:r>
            <w:r>
              <w:rPr>
                <w:rFonts w:hint="default" w:ascii="Times New Roman" w:hAnsi="Times New Roman" w:eastAsia="宋体" w:cs="Times New Roman"/>
                <w:color w:val="auto"/>
                <w:spacing w:val="0"/>
                <w:sz w:val="24"/>
                <w:szCs w:val="24"/>
                <w:highlight w:val="none"/>
                <w:u w:val="none"/>
                <w:lang w:eastAsia="zh-CN"/>
              </w:rPr>
              <w:t>。</w:t>
            </w:r>
            <w:r>
              <w:rPr>
                <w:rFonts w:hint="default" w:ascii="Times New Roman" w:hAnsi="Times New Roman" w:eastAsia="宋体" w:cs="Times New Roman"/>
                <w:color w:val="auto"/>
                <w:spacing w:val="0"/>
                <w:sz w:val="24"/>
                <w:szCs w:val="24"/>
                <w:highlight w:val="none"/>
                <w:u w:val="none"/>
                <w:lang w:val="en-US" w:eastAsia="zh-CN"/>
              </w:rPr>
              <w:t>该过程产生搅拌粉尘、噪声。</w:t>
            </w:r>
          </w:p>
          <w:p w14:paraId="2582F9E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pacing w:val="0"/>
                <w:sz w:val="24"/>
                <w:szCs w:val="24"/>
                <w:highlight w:val="none"/>
                <w:u w:val="none"/>
                <w:lang w:val="en-US" w:eastAsia="zh-CN"/>
              </w:rPr>
            </w:pPr>
            <w:r>
              <w:rPr>
                <w:rFonts w:hint="default" w:ascii="Times New Roman" w:hAnsi="Times New Roman" w:eastAsia="宋体" w:cs="Times New Roman"/>
                <w:b/>
                <w:bCs/>
                <w:color w:val="auto"/>
                <w:spacing w:val="0"/>
                <w:sz w:val="24"/>
                <w:szCs w:val="24"/>
                <w:highlight w:val="none"/>
                <w:u w:val="none"/>
                <w:lang w:val="en-US" w:eastAsia="zh-CN"/>
              </w:rPr>
              <w:t>（4）钢筋</w:t>
            </w:r>
            <w:r>
              <w:rPr>
                <w:rFonts w:hint="eastAsia" w:cs="Times New Roman"/>
                <w:b/>
                <w:bCs/>
                <w:color w:val="auto"/>
                <w:spacing w:val="0"/>
                <w:sz w:val="24"/>
                <w:szCs w:val="24"/>
                <w:highlight w:val="none"/>
                <w:u w:val="none"/>
                <w:lang w:val="en-US" w:eastAsia="zh-CN"/>
              </w:rPr>
              <w:t>骨架加工</w:t>
            </w:r>
          </w:p>
          <w:p w14:paraId="7E8713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sz w:val="24"/>
                <w:szCs w:val="24"/>
                <w:highlight w:val="none"/>
                <w:u w:val="none"/>
                <w:lang w:val="en-US" w:eastAsia="zh-CN"/>
              </w:rPr>
            </w:pPr>
            <w:r>
              <w:rPr>
                <w:rFonts w:hint="default" w:ascii="Times New Roman" w:hAnsi="Times New Roman" w:eastAsia="宋体" w:cs="Times New Roman"/>
                <w:color w:val="auto"/>
                <w:spacing w:val="0"/>
                <w:sz w:val="24"/>
                <w:szCs w:val="24"/>
                <w:highlight w:val="none"/>
                <w:u w:val="none"/>
                <w:lang w:val="en-US" w:eastAsia="zh-CN"/>
              </w:rPr>
              <w:t>外购钢筋，使用滚焊机自动焊接绑扎成为钢筋骨架。本项目焊接工艺采用电阻焊，不使用焊丝或焊条。根据《不同焊接工艺的焊接烟尘污染特征》（太原市机械电子工业局郭永葆2010年《科技情报开发与经济》第20卷第4期），电阻焊施焊时电极对被焊接金属施压并通电，电流通过金属件紧贴的接触部位时，其电阻较大，发热并熔融接触点，在电极压力作用下接触点焊为一体，无需焊材，当被焊接材料焊接部位表面洁净时，无焊接烟尘产生。该过程产生噪声、</w:t>
            </w:r>
            <w:r>
              <w:rPr>
                <w:rFonts w:hint="eastAsia" w:cs="Times New Roman"/>
                <w:color w:val="auto"/>
                <w:spacing w:val="0"/>
                <w:sz w:val="24"/>
                <w:szCs w:val="24"/>
                <w:highlight w:val="none"/>
                <w:u w:val="none"/>
                <w:lang w:val="en-US" w:eastAsia="zh-CN"/>
              </w:rPr>
              <w:t>废钢筋</w:t>
            </w:r>
            <w:r>
              <w:rPr>
                <w:rFonts w:hint="default" w:ascii="Times New Roman" w:hAnsi="Times New Roman" w:eastAsia="宋体" w:cs="Times New Roman"/>
                <w:color w:val="auto"/>
                <w:spacing w:val="0"/>
                <w:sz w:val="24"/>
                <w:szCs w:val="24"/>
                <w:highlight w:val="none"/>
                <w:u w:val="none"/>
                <w:lang w:val="en-US" w:eastAsia="zh-CN"/>
              </w:rPr>
              <w:t>。</w:t>
            </w:r>
          </w:p>
          <w:p w14:paraId="2FD33ED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pacing w:val="0"/>
                <w:sz w:val="24"/>
                <w:szCs w:val="24"/>
                <w:highlight w:val="none"/>
                <w:u w:val="none"/>
                <w:lang w:val="en-US" w:eastAsia="zh-CN"/>
              </w:rPr>
            </w:pPr>
            <w:r>
              <w:rPr>
                <w:rFonts w:hint="default" w:ascii="Times New Roman" w:hAnsi="Times New Roman" w:eastAsia="宋体" w:cs="Times New Roman"/>
                <w:b/>
                <w:bCs/>
                <w:color w:val="auto"/>
                <w:spacing w:val="0"/>
                <w:sz w:val="24"/>
                <w:szCs w:val="24"/>
                <w:highlight w:val="none"/>
                <w:u w:val="none"/>
                <w:lang w:eastAsia="zh-CN"/>
              </w:rPr>
              <w:t>（</w:t>
            </w:r>
            <w:r>
              <w:rPr>
                <w:rFonts w:hint="default" w:ascii="Times New Roman" w:hAnsi="Times New Roman" w:eastAsia="宋体" w:cs="Times New Roman"/>
                <w:b/>
                <w:bCs/>
                <w:color w:val="auto"/>
                <w:spacing w:val="0"/>
                <w:sz w:val="24"/>
                <w:szCs w:val="24"/>
                <w:highlight w:val="none"/>
                <w:u w:val="none"/>
                <w:lang w:val="en-US" w:eastAsia="zh-CN"/>
              </w:rPr>
              <w:t>5</w:t>
            </w:r>
            <w:r>
              <w:rPr>
                <w:rFonts w:hint="default" w:ascii="Times New Roman" w:hAnsi="Times New Roman" w:eastAsia="宋体" w:cs="Times New Roman"/>
                <w:b/>
                <w:bCs/>
                <w:color w:val="auto"/>
                <w:spacing w:val="0"/>
                <w:sz w:val="24"/>
                <w:szCs w:val="24"/>
                <w:highlight w:val="none"/>
                <w:u w:val="none"/>
                <w:lang w:eastAsia="zh-CN"/>
              </w:rPr>
              <w:t>）</w:t>
            </w:r>
            <w:r>
              <w:rPr>
                <w:rFonts w:hint="default" w:ascii="Times New Roman" w:hAnsi="Times New Roman" w:eastAsia="宋体" w:cs="Times New Roman"/>
                <w:b/>
                <w:bCs/>
                <w:color w:val="auto"/>
                <w:spacing w:val="0"/>
                <w:sz w:val="24"/>
                <w:szCs w:val="24"/>
                <w:highlight w:val="none"/>
                <w:u w:val="none"/>
                <w:lang w:val="en-US" w:eastAsia="zh-CN"/>
              </w:rPr>
              <w:t>入模</w:t>
            </w:r>
            <w:r>
              <w:rPr>
                <w:rFonts w:hint="eastAsia" w:cs="Times New Roman"/>
                <w:b/>
                <w:bCs/>
                <w:color w:val="auto"/>
                <w:spacing w:val="0"/>
                <w:sz w:val="24"/>
                <w:szCs w:val="24"/>
                <w:highlight w:val="none"/>
                <w:u w:val="none"/>
                <w:lang w:val="en-US" w:eastAsia="zh-CN"/>
              </w:rPr>
              <w:t>成型</w:t>
            </w:r>
          </w:p>
          <w:p w14:paraId="37631D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sz w:val="24"/>
                <w:szCs w:val="24"/>
                <w:highlight w:val="none"/>
                <w:u w:val="none"/>
                <w:lang w:val="en-US" w:eastAsia="zh-CN"/>
              </w:rPr>
            </w:pPr>
            <w:r>
              <w:rPr>
                <w:rFonts w:hint="default" w:ascii="Times New Roman" w:hAnsi="Times New Roman" w:eastAsia="宋体" w:cs="Times New Roman"/>
                <w:color w:val="auto"/>
                <w:spacing w:val="0"/>
                <w:sz w:val="24"/>
                <w:szCs w:val="24"/>
                <w:highlight w:val="none"/>
                <w:u w:val="none"/>
              </w:rPr>
              <w:t>事先在模具中刷好脱模剂，目的是为了让成品能正常脱模，保障产品质量，本项目使用水性脱模剂。将制作好的钢筋骨架放入模具中，然后将搅拌好的混凝土浇筑</w:t>
            </w:r>
            <w:r>
              <w:rPr>
                <w:rFonts w:hint="eastAsia" w:cs="Times New Roman"/>
                <w:color w:val="auto"/>
                <w:spacing w:val="0"/>
                <w:sz w:val="24"/>
                <w:szCs w:val="24"/>
                <w:highlight w:val="none"/>
                <w:u w:val="none"/>
                <w:lang w:val="en-US" w:eastAsia="zh-CN"/>
              </w:rPr>
              <w:t>入模</w:t>
            </w:r>
            <w:r>
              <w:rPr>
                <w:rFonts w:hint="default" w:ascii="Times New Roman" w:hAnsi="Times New Roman" w:eastAsia="宋体" w:cs="Times New Roman"/>
                <w:color w:val="auto"/>
                <w:spacing w:val="0"/>
                <w:sz w:val="24"/>
                <w:szCs w:val="24"/>
                <w:highlight w:val="none"/>
                <w:u w:val="none"/>
              </w:rPr>
              <w:t>成型。</w:t>
            </w:r>
            <w:r>
              <w:rPr>
                <w:rFonts w:hint="eastAsia" w:cs="Times New Roman"/>
                <w:color w:val="auto"/>
                <w:spacing w:val="0"/>
                <w:sz w:val="24"/>
                <w:szCs w:val="24"/>
                <w:highlight w:val="none"/>
                <w:u w:val="none"/>
                <w:lang w:val="en-US" w:eastAsia="zh-CN"/>
              </w:rPr>
              <w:t>通过悬辊机加工成型。该过程产生噪声。</w:t>
            </w:r>
          </w:p>
          <w:p w14:paraId="1CD15F6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pacing w:val="0"/>
                <w:sz w:val="24"/>
                <w:szCs w:val="24"/>
                <w:highlight w:val="none"/>
                <w:u w:val="none"/>
              </w:rPr>
            </w:pPr>
            <w:r>
              <w:rPr>
                <w:rFonts w:hint="default" w:ascii="Times New Roman" w:hAnsi="Times New Roman" w:eastAsia="宋体" w:cs="Times New Roman"/>
                <w:b/>
                <w:bCs/>
                <w:color w:val="auto"/>
                <w:spacing w:val="0"/>
                <w:sz w:val="24"/>
                <w:szCs w:val="24"/>
                <w:highlight w:val="none"/>
                <w:u w:val="none"/>
                <w:lang w:eastAsia="zh-CN"/>
              </w:rPr>
              <w:t>（</w:t>
            </w:r>
            <w:r>
              <w:rPr>
                <w:rFonts w:hint="eastAsia" w:cs="Times New Roman"/>
                <w:b/>
                <w:bCs/>
                <w:color w:val="auto"/>
                <w:spacing w:val="0"/>
                <w:sz w:val="24"/>
                <w:szCs w:val="24"/>
                <w:highlight w:val="none"/>
                <w:u w:val="none"/>
                <w:lang w:val="en-US" w:eastAsia="zh-CN"/>
              </w:rPr>
              <w:t>6</w:t>
            </w:r>
            <w:r>
              <w:rPr>
                <w:rFonts w:hint="default" w:ascii="Times New Roman" w:hAnsi="Times New Roman" w:eastAsia="宋体" w:cs="Times New Roman"/>
                <w:b/>
                <w:bCs/>
                <w:color w:val="auto"/>
                <w:spacing w:val="0"/>
                <w:sz w:val="24"/>
                <w:szCs w:val="24"/>
                <w:highlight w:val="none"/>
                <w:u w:val="none"/>
                <w:lang w:eastAsia="zh-CN"/>
              </w:rPr>
              <w:t>）</w:t>
            </w:r>
            <w:r>
              <w:rPr>
                <w:rFonts w:hint="default" w:ascii="Times New Roman" w:hAnsi="Times New Roman" w:eastAsia="宋体" w:cs="Times New Roman"/>
                <w:b/>
                <w:bCs/>
                <w:color w:val="auto"/>
                <w:spacing w:val="0"/>
                <w:sz w:val="24"/>
                <w:szCs w:val="24"/>
                <w:highlight w:val="none"/>
                <w:u w:val="none"/>
              </w:rPr>
              <w:t>脱模</w:t>
            </w:r>
          </w:p>
          <w:p w14:paraId="568B63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sz w:val="24"/>
                <w:szCs w:val="24"/>
                <w:highlight w:val="none"/>
                <w:u w:val="none"/>
              </w:rPr>
            </w:pPr>
            <w:r>
              <w:rPr>
                <w:rFonts w:hint="default" w:ascii="Times New Roman" w:hAnsi="Times New Roman" w:eastAsia="宋体" w:cs="Times New Roman"/>
                <w:color w:val="auto"/>
                <w:spacing w:val="0"/>
                <w:sz w:val="24"/>
                <w:szCs w:val="24"/>
                <w:highlight w:val="none"/>
                <w:u w:val="none"/>
              </w:rPr>
              <w:t>当</w:t>
            </w:r>
            <w:r>
              <w:rPr>
                <w:rFonts w:hint="default" w:ascii="Times New Roman" w:hAnsi="Times New Roman" w:eastAsia="宋体" w:cs="Times New Roman"/>
                <w:color w:val="auto"/>
                <w:spacing w:val="0"/>
                <w:sz w:val="24"/>
                <w:szCs w:val="24"/>
                <w:highlight w:val="none"/>
                <w:u w:val="none"/>
                <w:lang w:val="en-US" w:eastAsia="zh-CN"/>
              </w:rPr>
              <w:t>水泥强度达到</w:t>
            </w:r>
            <w:r>
              <w:rPr>
                <w:rFonts w:hint="default" w:ascii="Times New Roman" w:hAnsi="Times New Roman" w:eastAsia="宋体" w:cs="Times New Roman"/>
                <w:color w:val="auto"/>
                <w:spacing w:val="0"/>
                <w:sz w:val="24"/>
                <w:szCs w:val="24"/>
                <w:highlight w:val="none"/>
                <w:u w:val="none"/>
              </w:rPr>
              <w:t>设计要求时方能脱模，</w:t>
            </w:r>
            <w:r>
              <w:rPr>
                <w:rFonts w:hint="default" w:ascii="Times New Roman" w:hAnsi="Times New Roman" w:eastAsia="宋体" w:cs="Times New Roman"/>
                <w:color w:val="auto"/>
                <w:spacing w:val="0"/>
                <w:sz w:val="24"/>
                <w:szCs w:val="24"/>
                <w:highlight w:val="none"/>
                <w:u w:val="none"/>
                <w:lang w:val="en-US" w:eastAsia="zh-CN"/>
              </w:rPr>
              <w:t>通过人工拆模的方式使模具与构件分离</w:t>
            </w:r>
            <w:r>
              <w:rPr>
                <w:rFonts w:hint="default" w:ascii="Times New Roman" w:hAnsi="Times New Roman" w:eastAsia="宋体" w:cs="Times New Roman"/>
                <w:color w:val="auto"/>
                <w:spacing w:val="0"/>
                <w:sz w:val="24"/>
                <w:szCs w:val="24"/>
                <w:highlight w:val="none"/>
                <w:u w:val="none"/>
                <w:lang w:eastAsia="zh-CN"/>
              </w:rPr>
              <w:t>。</w:t>
            </w:r>
            <w:r>
              <w:rPr>
                <w:rFonts w:hint="default" w:ascii="Times New Roman" w:hAnsi="Times New Roman" w:eastAsia="宋体" w:cs="Times New Roman"/>
                <w:color w:val="auto"/>
                <w:spacing w:val="0"/>
                <w:sz w:val="24"/>
                <w:szCs w:val="24"/>
                <w:highlight w:val="none"/>
                <w:u w:val="none"/>
                <w:lang w:val="en-US" w:eastAsia="zh-CN"/>
              </w:rPr>
              <w:t>该过程会产生废混凝土渣。</w:t>
            </w:r>
          </w:p>
          <w:p w14:paraId="02B9D6B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pacing w:val="0"/>
                <w:sz w:val="24"/>
                <w:szCs w:val="24"/>
                <w:highlight w:val="none"/>
                <w:u w:val="none"/>
                <w:lang w:val="en-US" w:eastAsia="zh-CN"/>
              </w:rPr>
            </w:pPr>
            <w:r>
              <w:rPr>
                <w:rFonts w:hint="default" w:ascii="Times New Roman" w:hAnsi="Times New Roman" w:eastAsia="宋体" w:cs="Times New Roman"/>
                <w:b/>
                <w:bCs/>
                <w:color w:val="auto"/>
                <w:spacing w:val="0"/>
                <w:sz w:val="24"/>
                <w:szCs w:val="24"/>
                <w:highlight w:val="none"/>
                <w:u w:val="none"/>
                <w:lang w:val="en-US" w:eastAsia="zh-CN"/>
              </w:rPr>
              <w:t>（</w:t>
            </w:r>
            <w:r>
              <w:rPr>
                <w:rFonts w:hint="eastAsia" w:cs="Times New Roman"/>
                <w:b/>
                <w:bCs/>
                <w:color w:val="auto"/>
                <w:spacing w:val="0"/>
                <w:sz w:val="24"/>
                <w:szCs w:val="24"/>
                <w:highlight w:val="none"/>
                <w:u w:val="none"/>
                <w:lang w:val="en-US" w:eastAsia="zh-CN"/>
              </w:rPr>
              <w:t>7</w:t>
            </w:r>
            <w:r>
              <w:rPr>
                <w:rFonts w:hint="default" w:ascii="Times New Roman" w:hAnsi="Times New Roman" w:eastAsia="宋体" w:cs="Times New Roman"/>
                <w:b/>
                <w:bCs/>
                <w:color w:val="auto"/>
                <w:spacing w:val="0"/>
                <w:sz w:val="24"/>
                <w:szCs w:val="24"/>
                <w:highlight w:val="none"/>
                <w:u w:val="none"/>
                <w:lang w:val="en-US" w:eastAsia="zh-CN"/>
              </w:rPr>
              <w:t>）自然养护</w:t>
            </w:r>
          </w:p>
          <w:p w14:paraId="066099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bCs/>
                <w:color w:val="auto"/>
                <w:spacing w:val="0"/>
                <w:sz w:val="24"/>
                <w:szCs w:val="24"/>
                <w:highlight w:val="none"/>
                <w:u w:val="none"/>
                <w:lang w:eastAsia="zh-CN"/>
              </w:rPr>
            </w:pPr>
            <w:r>
              <w:rPr>
                <w:rFonts w:hint="default" w:ascii="Times New Roman" w:hAnsi="Times New Roman" w:eastAsia="宋体" w:cs="Times New Roman"/>
                <w:color w:val="auto"/>
                <w:spacing w:val="0"/>
                <w:sz w:val="24"/>
                <w:szCs w:val="24"/>
                <w:highlight w:val="none"/>
                <w:u w:val="none"/>
              </w:rPr>
              <w:t>通过</w:t>
            </w:r>
            <w:r>
              <w:rPr>
                <w:rFonts w:hint="default" w:ascii="Times New Roman" w:hAnsi="Times New Roman" w:eastAsia="宋体" w:cs="Times New Roman"/>
                <w:color w:val="auto"/>
                <w:spacing w:val="0"/>
                <w:sz w:val="24"/>
                <w:szCs w:val="24"/>
                <w:highlight w:val="none"/>
                <w:u w:val="none"/>
                <w:lang w:eastAsia="zh-CN"/>
              </w:rPr>
              <w:t>行车</w:t>
            </w:r>
            <w:r>
              <w:rPr>
                <w:rFonts w:hint="default" w:ascii="Times New Roman" w:hAnsi="Times New Roman" w:eastAsia="宋体" w:cs="Times New Roman"/>
                <w:color w:val="auto"/>
                <w:spacing w:val="0"/>
                <w:sz w:val="24"/>
                <w:szCs w:val="24"/>
                <w:highlight w:val="none"/>
                <w:u w:val="none"/>
              </w:rPr>
              <w:t>将产品转移</w:t>
            </w:r>
            <w:r>
              <w:rPr>
                <w:rFonts w:hint="default" w:ascii="Times New Roman" w:hAnsi="Times New Roman" w:eastAsia="宋体" w:cs="Times New Roman"/>
                <w:color w:val="auto"/>
                <w:spacing w:val="0"/>
                <w:sz w:val="24"/>
                <w:szCs w:val="24"/>
                <w:highlight w:val="none"/>
                <w:u w:val="none"/>
                <w:lang w:val="en-US" w:eastAsia="zh-CN"/>
              </w:rPr>
              <w:t>至养护</w:t>
            </w:r>
            <w:r>
              <w:rPr>
                <w:rFonts w:hint="default" w:ascii="Times New Roman" w:hAnsi="Times New Roman" w:eastAsia="宋体" w:cs="Times New Roman"/>
                <w:color w:val="auto"/>
                <w:spacing w:val="0"/>
                <w:sz w:val="24"/>
                <w:szCs w:val="24"/>
                <w:highlight w:val="none"/>
                <w:u w:val="none"/>
              </w:rPr>
              <w:t>区，依靠管件自身水分进行养护。夏季养护</w:t>
            </w:r>
            <w:r>
              <w:rPr>
                <w:rFonts w:hint="eastAsia" w:ascii="Times New Roman" w:hAnsi="Times New Roman" w:eastAsia="宋体" w:cs="Times New Roman"/>
                <w:color w:val="auto"/>
                <w:spacing w:val="0"/>
                <w:sz w:val="24"/>
                <w:szCs w:val="24"/>
                <w:highlight w:val="none"/>
                <w:u w:val="none"/>
                <w:lang w:val="en-US" w:eastAsia="zh-CN"/>
              </w:rPr>
              <w:t>1-2天</w:t>
            </w:r>
            <w:r>
              <w:rPr>
                <w:rFonts w:hint="default" w:ascii="Times New Roman" w:hAnsi="Times New Roman" w:eastAsia="宋体" w:cs="Times New Roman"/>
                <w:color w:val="auto"/>
                <w:spacing w:val="0"/>
                <w:sz w:val="24"/>
                <w:szCs w:val="24"/>
                <w:highlight w:val="none"/>
                <w:u w:val="none"/>
              </w:rPr>
              <w:t>，冬季养护</w:t>
            </w:r>
            <w:r>
              <w:rPr>
                <w:rFonts w:hint="eastAsia" w:ascii="Times New Roman" w:hAnsi="Times New Roman" w:eastAsia="宋体" w:cs="Times New Roman"/>
                <w:color w:val="auto"/>
                <w:spacing w:val="0"/>
                <w:sz w:val="24"/>
                <w:szCs w:val="24"/>
                <w:highlight w:val="none"/>
                <w:u w:val="none"/>
                <w:lang w:val="en-US" w:eastAsia="zh-CN"/>
              </w:rPr>
              <w:t>2-3天，</w:t>
            </w:r>
            <w:r>
              <w:rPr>
                <w:rFonts w:hint="default" w:ascii="Times New Roman" w:hAnsi="Times New Roman" w:eastAsia="宋体" w:cs="Times New Roman"/>
                <w:color w:val="auto"/>
                <w:spacing w:val="0"/>
                <w:sz w:val="24"/>
                <w:szCs w:val="24"/>
                <w:highlight w:val="none"/>
                <w:u w:val="none"/>
              </w:rPr>
              <w:t>可达到设计强度要求</w:t>
            </w:r>
            <w:r>
              <w:rPr>
                <w:rFonts w:hint="default" w:ascii="Times New Roman" w:hAnsi="Times New Roman" w:eastAsia="宋体" w:cs="Times New Roman"/>
                <w:color w:val="auto"/>
                <w:spacing w:val="0"/>
                <w:sz w:val="24"/>
                <w:szCs w:val="24"/>
                <w:highlight w:val="none"/>
                <w:u w:val="none"/>
                <w:lang w:val="en-US" w:eastAsia="zh-CN"/>
              </w:rPr>
              <w:t>。遇低温天气时采用工业电暖风机（电加热）在生产车间内进行预养护，本项目不使用煤球等高污染燃料。</w:t>
            </w:r>
          </w:p>
          <w:p w14:paraId="3341F89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pacing w:val="0"/>
                <w:sz w:val="24"/>
                <w:szCs w:val="24"/>
                <w:u w:val="none"/>
                <w:lang w:val="en-US" w:eastAsia="zh-CN"/>
              </w:rPr>
            </w:pPr>
            <w:r>
              <w:rPr>
                <w:rFonts w:hint="default" w:ascii="Times New Roman" w:hAnsi="Times New Roman" w:eastAsia="宋体" w:cs="Times New Roman"/>
                <w:b/>
                <w:bCs/>
                <w:color w:val="auto"/>
                <w:spacing w:val="0"/>
                <w:sz w:val="24"/>
                <w:szCs w:val="24"/>
                <w:u w:val="none"/>
                <w:lang w:val="en-US" w:eastAsia="zh-CN"/>
              </w:rPr>
              <w:t>（</w:t>
            </w:r>
            <w:r>
              <w:rPr>
                <w:rFonts w:hint="eastAsia" w:cs="Times New Roman"/>
                <w:b/>
                <w:bCs/>
                <w:color w:val="auto"/>
                <w:spacing w:val="0"/>
                <w:sz w:val="24"/>
                <w:szCs w:val="24"/>
                <w:u w:val="none"/>
                <w:lang w:val="en-US" w:eastAsia="zh-CN"/>
              </w:rPr>
              <w:t>8</w:t>
            </w:r>
            <w:r>
              <w:rPr>
                <w:rFonts w:hint="default" w:ascii="Times New Roman" w:hAnsi="Times New Roman" w:eastAsia="宋体" w:cs="Times New Roman"/>
                <w:b/>
                <w:bCs/>
                <w:color w:val="auto"/>
                <w:spacing w:val="0"/>
                <w:sz w:val="24"/>
                <w:szCs w:val="24"/>
                <w:u w:val="none"/>
                <w:lang w:val="en-US" w:eastAsia="zh-CN"/>
              </w:rPr>
              <w:t>）成品检查与表面修补</w:t>
            </w:r>
          </w:p>
          <w:p w14:paraId="3812A6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color w:val="auto"/>
                <w:spacing w:val="0"/>
                <w:sz w:val="24"/>
                <w:szCs w:val="24"/>
              </w:rPr>
            </w:pPr>
            <w:r>
              <w:rPr>
                <w:rFonts w:hint="default" w:ascii="Times New Roman" w:hAnsi="Times New Roman" w:eastAsia="宋体" w:cs="Times New Roman"/>
                <w:color w:val="auto"/>
                <w:spacing w:val="0"/>
                <w:sz w:val="24"/>
                <w:szCs w:val="24"/>
                <w:u w:val="none"/>
                <w:lang w:val="en-US" w:eastAsia="zh-CN"/>
              </w:rPr>
              <w:t>脱模后，质检人员对成品进行检查；外观质量不宜有一般缺陷，不应有严重缺陷。对于已经出现的一般缺陷，应进行修补处理，并重新检查验收。经检验合格后为成品。</w:t>
            </w:r>
            <w:r>
              <w:rPr>
                <w:rFonts w:hint="eastAsia" w:cs="Times New Roman"/>
                <w:color w:val="auto"/>
                <w:spacing w:val="0"/>
                <w:sz w:val="24"/>
                <w:szCs w:val="24"/>
                <w:u w:val="none"/>
                <w:lang w:val="en-US" w:eastAsia="zh-CN"/>
              </w:rPr>
              <w:t>其余的</w:t>
            </w:r>
            <w:r>
              <w:rPr>
                <w:rFonts w:hint="default" w:ascii="Times New Roman" w:hAnsi="Times New Roman" w:eastAsia="宋体" w:cs="Times New Roman"/>
                <w:color w:val="auto"/>
                <w:spacing w:val="0"/>
                <w:sz w:val="24"/>
                <w:szCs w:val="24"/>
                <w:u w:val="none"/>
                <w:lang w:val="en-US" w:eastAsia="zh-CN"/>
              </w:rPr>
              <w:t>次品外售。</w:t>
            </w:r>
          </w:p>
          <w:p w14:paraId="60BF56C1">
            <w:pPr>
              <w:snapToGrid w:val="0"/>
              <w:spacing w:line="360" w:lineRule="auto"/>
              <w:ind w:firstLine="465"/>
              <w:rPr>
                <w:rFonts w:hint="default" w:ascii="Times New Roman" w:hAnsi="Times New Roman" w:eastAsia="宋体" w:cs="Times New Roman"/>
                <w:b/>
                <w:color w:val="auto"/>
                <w:spacing w:val="0"/>
                <w:sz w:val="24"/>
              </w:rPr>
            </w:pPr>
            <w:r>
              <w:rPr>
                <w:rFonts w:hint="default" w:ascii="Times New Roman" w:hAnsi="Times New Roman" w:eastAsia="宋体" w:cs="Times New Roman"/>
                <w:b/>
                <w:color w:val="auto"/>
                <w:spacing w:val="0"/>
                <w:sz w:val="24"/>
              </w:rPr>
              <w:t>2、产污环节</w:t>
            </w:r>
          </w:p>
          <w:p w14:paraId="6E93BCBC">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snapToGrid w:val="0"/>
                <w:color w:val="auto"/>
                <w:spacing w:val="0"/>
                <w:kern w:val="0"/>
                <w:sz w:val="24"/>
              </w:rPr>
            </w:pPr>
            <w:r>
              <w:rPr>
                <w:rFonts w:hint="default" w:ascii="Times New Roman" w:hAnsi="Times New Roman" w:eastAsia="宋体" w:cs="Times New Roman"/>
                <w:b/>
                <w:bCs/>
                <w:snapToGrid w:val="0"/>
                <w:color w:val="auto"/>
                <w:spacing w:val="0"/>
                <w:kern w:val="0"/>
                <w:sz w:val="24"/>
              </w:rPr>
              <w:t>产污节点一览表</w:t>
            </w:r>
          </w:p>
          <w:tbl>
            <w:tblPr>
              <w:tblStyle w:val="36"/>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2113"/>
              <w:gridCol w:w="1319"/>
              <w:gridCol w:w="1107"/>
              <w:gridCol w:w="2600"/>
            </w:tblGrid>
            <w:tr w14:paraId="50C0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pct"/>
                  <w:tcBorders>
                    <w:tl2br w:val="nil"/>
                    <w:tr2bl w:val="nil"/>
                  </w:tcBorders>
                  <w:noWrap w:val="0"/>
                  <w:vAlign w:val="center"/>
                </w:tcPr>
                <w:p w14:paraId="22624EE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类别</w:t>
                  </w:r>
                </w:p>
              </w:tc>
              <w:tc>
                <w:tcPr>
                  <w:tcW w:w="1349" w:type="pct"/>
                  <w:tcBorders>
                    <w:tl2br w:val="nil"/>
                    <w:tr2bl w:val="nil"/>
                  </w:tcBorders>
                  <w:noWrap w:val="0"/>
                  <w:vAlign w:val="center"/>
                </w:tcPr>
                <w:p w14:paraId="100614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污染源</w:t>
                  </w:r>
                </w:p>
              </w:tc>
              <w:tc>
                <w:tcPr>
                  <w:tcW w:w="842" w:type="pct"/>
                  <w:tcBorders>
                    <w:tl2br w:val="nil"/>
                    <w:tr2bl w:val="nil"/>
                  </w:tcBorders>
                  <w:noWrap w:val="0"/>
                  <w:vAlign w:val="center"/>
                </w:tcPr>
                <w:p w14:paraId="354A42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主要污染物</w:t>
                  </w:r>
                </w:p>
              </w:tc>
              <w:tc>
                <w:tcPr>
                  <w:tcW w:w="707" w:type="pct"/>
                  <w:tcBorders>
                    <w:tl2br w:val="nil"/>
                    <w:tr2bl w:val="nil"/>
                  </w:tcBorders>
                  <w:noWrap w:val="0"/>
                  <w:vAlign w:val="center"/>
                </w:tcPr>
                <w:p w14:paraId="09997F9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排放规律</w:t>
                  </w:r>
                </w:p>
              </w:tc>
              <w:tc>
                <w:tcPr>
                  <w:tcW w:w="1660" w:type="pct"/>
                  <w:tcBorders>
                    <w:tl2br w:val="nil"/>
                    <w:tr2bl w:val="nil"/>
                  </w:tcBorders>
                  <w:noWrap w:val="0"/>
                  <w:vAlign w:val="center"/>
                </w:tcPr>
                <w:p w14:paraId="6798C27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措施及去向</w:t>
                  </w:r>
                </w:p>
              </w:tc>
            </w:tr>
            <w:tr w14:paraId="65A95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pct"/>
                  <w:vMerge w:val="restart"/>
                  <w:tcBorders>
                    <w:tl2br w:val="nil"/>
                    <w:tr2bl w:val="nil"/>
                  </w:tcBorders>
                  <w:noWrap w:val="0"/>
                  <w:vAlign w:val="center"/>
                </w:tcPr>
                <w:p w14:paraId="35D788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废气</w:t>
                  </w:r>
                </w:p>
              </w:tc>
              <w:tc>
                <w:tcPr>
                  <w:tcW w:w="1349" w:type="pct"/>
                  <w:tcBorders>
                    <w:tl2br w:val="nil"/>
                    <w:tr2bl w:val="nil"/>
                  </w:tcBorders>
                  <w:noWrap w:val="0"/>
                  <w:vAlign w:val="center"/>
                </w:tcPr>
                <w:p w14:paraId="0416941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石子、</w:t>
                  </w:r>
                  <w:r>
                    <w:rPr>
                      <w:rFonts w:hint="eastAsia" w:ascii="Times New Roman" w:hAnsi="Times New Roman" w:eastAsia="宋体" w:cs="Times New Roman"/>
                      <w:b w:val="0"/>
                      <w:bCs w:val="0"/>
                      <w:color w:val="auto"/>
                      <w:spacing w:val="0"/>
                      <w:szCs w:val="21"/>
                      <w:highlight w:val="none"/>
                      <w:lang w:val="en-US" w:eastAsia="zh-CN"/>
                    </w:rPr>
                    <w:t>沙子</w:t>
                  </w:r>
                  <w:r>
                    <w:rPr>
                      <w:rFonts w:hint="default" w:ascii="Times New Roman" w:hAnsi="Times New Roman" w:eastAsia="宋体" w:cs="Times New Roman"/>
                      <w:b w:val="0"/>
                      <w:bCs w:val="0"/>
                      <w:color w:val="auto"/>
                      <w:spacing w:val="0"/>
                      <w:szCs w:val="21"/>
                      <w:highlight w:val="none"/>
                      <w:lang w:val="en-US" w:eastAsia="zh-CN"/>
                    </w:rPr>
                    <w:t>卸料</w:t>
                  </w:r>
                </w:p>
              </w:tc>
              <w:tc>
                <w:tcPr>
                  <w:tcW w:w="842" w:type="pct"/>
                  <w:tcBorders>
                    <w:tl2br w:val="nil"/>
                    <w:tr2bl w:val="nil"/>
                  </w:tcBorders>
                  <w:noWrap w:val="0"/>
                  <w:vAlign w:val="center"/>
                </w:tcPr>
                <w:p w14:paraId="0AC2F74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粉尘</w:t>
                  </w:r>
                </w:p>
              </w:tc>
              <w:tc>
                <w:tcPr>
                  <w:tcW w:w="707" w:type="pct"/>
                  <w:tcBorders>
                    <w:tl2br w:val="nil"/>
                    <w:tr2bl w:val="nil"/>
                  </w:tcBorders>
                  <w:noWrap w:val="0"/>
                  <w:vAlign w:val="center"/>
                </w:tcPr>
                <w:p w14:paraId="3E4F0FD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间歇</w:t>
                  </w:r>
                </w:p>
              </w:tc>
              <w:tc>
                <w:tcPr>
                  <w:tcW w:w="1660" w:type="pct"/>
                  <w:tcBorders>
                    <w:tl2br w:val="nil"/>
                    <w:tr2bl w:val="nil"/>
                  </w:tcBorders>
                  <w:noWrap w:val="0"/>
                  <w:vAlign w:val="center"/>
                </w:tcPr>
                <w:p w14:paraId="1C2844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水喷淋抑尘处理后车间内无组织排放</w:t>
                  </w:r>
                </w:p>
              </w:tc>
            </w:tr>
            <w:tr w14:paraId="3339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pct"/>
                  <w:vMerge w:val="continue"/>
                  <w:tcBorders>
                    <w:tl2br w:val="nil"/>
                    <w:tr2bl w:val="nil"/>
                  </w:tcBorders>
                  <w:noWrap w:val="0"/>
                  <w:vAlign w:val="center"/>
                </w:tcPr>
                <w:p w14:paraId="135E65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p>
              </w:tc>
              <w:tc>
                <w:tcPr>
                  <w:tcW w:w="1349" w:type="pct"/>
                  <w:tcBorders>
                    <w:tl2br w:val="nil"/>
                    <w:tr2bl w:val="nil"/>
                  </w:tcBorders>
                  <w:noWrap w:val="0"/>
                  <w:vAlign w:val="center"/>
                </w:tcPr>
                <w:p w14:paraId="5492E6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水泥筒仓卸料</w:t>
                  </w:r>
                </w:p>
              </w:tc>
              <w:tc>
                <w:tcPr>
                  <w:tcW w:w="842" w:type="pct"/>
                  <w:tcBorders>
                    <w:tl2br w:val="nil"/>
                    <w:tr2bl w:val="nil"/>
                  </w:tcBorders>
                  <w:noWrap w:val="0"/>
                  <w:vAlign w:val="center"/>
                </w:tcPr>
                <w:p w14:paraId="1B4F604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粉尘</w:t>
                  </w:r>
                </w:p>
              </w:tc>
              <w:tc>
                <w:tcPr>
                  <w:tcW w:w="707" w:type="pct"/>
                  <w:tcBorders>
                    <w:tl2br w:val="nil"/>
                    <w:tr2bl w:val="nil"/>
                  </w:tcBorders>
                  <w:noWrap w:val="0"/>
                  <w:vAlign w:val="center"/>
                </w:tcPr>
                <w:p w14:paraId="6BC79F2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间歇</w:t>
                  </w:r>
                </w:p>
              </w:tc>
              <w:tc>
                <w:tcPr>
                  <w:tcW w:w="1660" w:type="pct"/>
                  <w:vMerge w:val="restart"/>
                  <w:tcBorders>
                    <w:tl2br w:val="nil"/>
                    <w:tr2bl w:val="nil"/>
                  </w:tcBorders>
                  <w:noWrap w:val="0"/>
                  <w:vAlign w:val="center"/>
                </w:tcPr>
                <w:p w14:paraId="6E5E7C0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袋式除尘器处理后经15</w:t>
                  </w:r>
                  <w:r>
                    <w:rPr>
                      <w:rFonts w:hint="eastAsia" w:ascii="Times New Roman" w:hAnsi="Times New Roman" w:eastAsia="宋体" w:cs="Times New Roman"/>
                      <w:b w:val="0"/>
                      <w:bCs w:val="0"/>
                      <w:color w:val="auto"/>
                      <w:spacing w:val="0"/>
                      <w:szCs w:val="21"/>
                      <w:highlight w:val="none"/>
                      <w:lang w:val="en-US" w:eastAsia="zh-CN"/>
                    </w:rPr>
                    <w:t>m</w:t>
                  </w:r>
                  <w:r>
                    <w:rPr>
                      <w:rFonts w:hint="default" w:ascii="Times New Roman" w:hAnsi="Times New Roman" w:eastAsia="宋体" w:cs="Times New Roman"/>
                      <w:b w:val="0"/>
                      <w:bCs w:val="0"/>
                      <w:color w:val="auto"/>
                      <w:spacing w:val="0"/>
                      <w:szCs w:val="21"/>
                      <w:highlight w:val="none"/>
                      <w:lang w:val="en-US" w:eastAsia="zh-CN"/>
                    </w:rPr>
                    <w:t>排气筒</w:t>
                  </w:r>
                  <w:r>
                    <w:rPr>
                      <w:rFonts w:hint="eastAsia" w:ascii="Times New Roman" w:hAnsi="Times New Roman" w:eastAsia="宋体" w:cs="Times New Roman"/>
                      <w:b w:val="0"/>
                      <w:bCs w:val="0"/>
                      <w:color w:val="auto"/>
                      <w:spacing w:val="0"/>
                      <w:szCs w:val="21"/>
                      <w:highlight w:val="none"/>
                      <w:lang w:val="en-US" w:eastAsia="zh-CN"/>
                    </w:rPr>
                    <w:t>DA001</w:t>
                  </w:r>
                  <w:r>
                    <w:rPr>
                      <w:rFonts w:hint="default" w:ascii="Times New Roman" w:hAnsi="Times New Roman" w:eastAsia="宋体" w:cs="Times New Roman"/>
                      <w:b w:val="0"/>
                      <w:bCs w:val="0"/>
                      <w:color w:val="auto"/>
                      <w:spacing w:val="0"/>
                      <w:szCs w:val="21"/>
                      <w:highlight w:val="none"/>
                      <w:lang w:val="en-US" w:eastAsia="zh-CN"/>
                    </w:rPr>
                    <w:t>排放</w:t>
                  </w:r>
                </w:p>
              </w:tc>
            </w:tr>
            <w:tr w14:paraId="42CF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pct"/>
                  <w:vMerge w:val="continue"/>
                  <w:tcBorders>
                    <w:tl2br w:val="nil"/>
                    <w:tr2bl w:val="nil"/>
                  </w:tcBorders>
                  <w:noWrap w:val="0"/>
                  <w:vAlign w:val="center"/>
                </w:tcPr>
                <w:p w14:paraId="317230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p>
              </w:tc>
              <w:tc>
                <w:tcPr>
                  <w:tcW w:w="1349" w:type="pct"/>
                  <w:tcBorders>
                    <w:tl2br w:val="nil"/>
                    <w:tr2bl w:val="nil"/>
                  </w:tcBorders>
                  <w:noWrap w:val="0"/>
                  <w:vAlign w:val="center"/>
                </w:tcPr>
                <w:p w14:paraId="0F0C53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石子、</w:t>
                  </w:r>
                  <w:r>
                    <w:rPr>
                      <w:rFonts w:hint="eastAsia" w:ascii="Times New Roman" w:hAnsi="Times New Roman" w:eastAsia="宋体" w:cs="Times New Roman"/>
                      <w:b w:val="0"/>
                      <w:bCs w:val="0"/>
                      <w:color w:val="auto"/>
                      <w:spacing w:val="0"/>
                      <w:szCs w:val="21"/>
                      <w:highlight w:val="none"/>
                      <w:lang w:val="en-US" w:eastAsia="zh-CN"/>
                    </w:rPr>
                    <w:t>沙子、水泥</w:t>
                  </w:r>
                  <w:r>
                    <w:rPr>
                      <w:rFonts w:hint="default" w:ascii="Times New Roman" w:hAnsi="Times New Roman" w:eastAsia="宋体" w:cs="Times New Roman"/>
                      <w:b w:val="0"/>
                      <w:bCs w:val="0"/>
                      <w:color w:val="auto"/>
                      <w:spacing w:val="0"/>
                      <w:szCs w:val="21"/>
                      <w:highlight w:val="none"/>
                      <w:lang w:val="en-US" w:eastAsia="zh-CN"/>
                    </w:rPr>
                    <w:t>投料</w:t>
                  </w:r>
                </w:p>
              </w:tc>
              <w:tc>
                <w:tcPr>
                  <w:tcW w:w="842" w:type="pct"/>
                  <w:tcBorders>
                    <w:tl2br w:val="nil"/>
                    <w:tr2bl w:val="nil"/>
                  </w:tcBorders>
                  <w:noWrap w:val="0"/>
                  <w:vAlign w:val="center"/>
                </w:tcPr>
                <w:p w14:paraId="4FD134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粉尘</w:t>
                  </w:r>
                </w:p>
              </w:tc>
              <w:tc>
                <w:tcPr>
                  <w:tcW w:w="707" w:type="pct"/>
                  <w:tcBorders>
                    <w:tl2br w:val="nil"/>
                    <w:tr2bl w:val="nil"/>
                  </w:tcBorders>
                  <w:noWrap w:val="0"/>
                  <w:vAlign w:val="center"/>
                </w:tcPr>
                <w:p w14:paraId="676DB8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间歇</w:t>
                  </w:r>
                </w:p>
              </w:tc>
              <w:tc>
                <w:tcPr>
                  <w:tcW w:w="1660" w:type="pct"/>
                  <w:vMerge w:val="continue"/>
                  <w:tcBorders>
                    <w:tl2br w:val="nil"/>
                    <w:tr2bl w:val="nil"/>
                  </w:tcBorders>
                  <w:noWrap w:val="0"/>
                  <w:vAlign w:val="center"/>
                </w:tcPr>
                <w:p w14:paraId="6DFFF5D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p>
              </w:tc>
            </w:tr>
            <w:tr w14:paraId="20BD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pct"/>
                  <w:vMerge w:val="continue"/>
                  <w:tcBorders>
                    <w:tl2br w:val="nil"/>
                    <w:tr2bl w:val="nil"/>
                  </w:tcBorders>
                  <w:noWrap w:val="0"/>
                  <w:vAlign w:val="center"/>
                </w:tcPr>
                <w:p w14:paraId="4701FEC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p>
              </w:tc>
              <w:tc>
                <w:tcPr>
                  <w:tcW w:w="1349" w:type="pct"/>
                  <w:tcBorders>
                    <w:tl2br w:val="nil"/>
                    <w:tr2bl w:val="nil"/>
                  </w:tcBorders>
                  <w:noWrap w:val="0"/>
                  <w:vAlign w:val="center"/>
                </w:tcPr>
                <w:p w14:paraId="79619C0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eastAsia" w:cs="Times New Roman"/>
                      <w:b w:val="0"/>
                      <w:bCs w:val="0"/>
                      <w:color w:val="auto"/>
                      <w:spacing w:val="0"/>
                      <w:szCs w:val="21"/>
                      <w:highlight w:val="none"/>
                      <w:lang w:val="en-US" w:eastAsia="zh-CN"/>
                    </w:rPr>
                    <w:t>搅拌</w:t>
                  </w:r>
                </w:p>
              </w:tc>
              <w:tc>
                <w:tcPr>
                  <w:tcW w:w="842" w:type="pct"/>
                  <w:tcBorders>
                    <w:tl2br w:val="nil"/>
                    <w:tr2bl w:val="nil"/>
                  </w:tcBorders>
                  <w:noWrap w:val="0"/>
                  <w:vAlign w:val="center"/>
                </w:tcPr>
                <w:p w14:paraId="0A125C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粉尘</w:t>
                  </w:r>
                </w:p>
              </w:tc>
              <w:tc>
                <w:tcPr>
                  <w:tcW w:w="707" w:type="pct"/>
                  <w:tcBorders>
                    <w:tl2br w:val="nil"/>
                    <w:tr2bl w:val="nil"/>
                  </w:tcBorders>
                  <w:noWrap w:val="0"/>
                  <w:vAlign w:val="center"/>
                </w:tcPr>
                <w:p w14:paraId="3D50AB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间歇</w:t>
                  </w:r>
                </w:p>
              </w:tc>
              <w:tc>
                <w:tcPr>
                  <w:tcW w:w="1660" w:type="pct"/>
                  <w:vMerge w:val="continue"/>
                  <w:tcBorders>
                    <w:tl2br w:val="nil"/>
                    <w:tr2bl w:val="nil"/>
                  </w:tcBorders>
                  <w:noWrap w:val="0"/>
                  <w:vAlign w:val="center"/>
                </w:tcPr>
                <w:p w14:paraId="7FBB7AB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p>
              </w:tc>
            </w:tr>
            <w:tr w14:paraId="122C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pct"/>
                  <w:vMerge w:val="restart"/>
                  <w:tcBorders>
                    <w:tl2br w:val="nil"/>
                    <w:tr2bl w:val="nil"/>
                  </w:tcBorders>
                  <w:noWrap w:val="0"/>
                  <w:vAlign w:val="center"/>
                </w:tcPr>
                <w:p w14:paraId="2F4075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废水</w:t>
                  </w:r>
                </w:p>
              </w:tc>
              <w:tc>
                <w:tcPr>
                  <w:tcW w:w="1349" w:type="pct"/>
                  <w:tcBorders>
                    <w:tl2br w:val="nil"/>
                    <w:tr2bl w:val="nil"/>
                  </w:tcBorders>
                  <w:noWrap w:val="0"/>
                  <w:vAlign w:val="center"/>
                </w:tcPr>
                <w:p w14:paraId="03A419A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职工</w:t>
                  </w:r>
                </w:p>
              </w:tc>
              <w:tc>
                <w:tcPr>
                  <w:tcW w:w="842" w:type="pct"/>
                  <w:tcBorders>
                    <w:tl2br w:val="nil"/>
                    <w:tr2bl w:val="nil"/>
                  </w:tcBorders>
                  <w:noWrap w:val="0"/>
                  <w:vAlign w:val="center"/>
                </w:tcPr>
                <w:p w14:paraId="5D5930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生活污水</w:t>
                  </w:r>
                </w:p>
              </w:tc>
              <w:tc>
                <w:tcPr>
                  <w:tcW w:w="707" w:type="pct"/>
                  <w:tcBorders>
                    <w:tl2br w:val="nil"/>
                    <w:tr2bl w:val="nil"/>
                  </w:tcBorders>
                  <w:noWrap w:val="0"/>
                  <w:vAlign w:val="center"/>
                </w:tcPr>
                <w:p w14:paraId="24BE77E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间歇</w:t>
                  </w:r>
                </w:p>
              </w:tc>
              <w:tc>
                <w:tcPr>
                  <w:tcW w:w="1660" w:type="pct"/>
                  <w:tcBorders>
                    <w:tl2br w:val="nil"/>
                    <w:tr2bl w:val="nil"/>
                  </w:tcBorders>
                  <w:noWrap w:val="0"/>
                  <w:vAlign w:val="center"/>
                </w:tcPr>
                <w:p w14:paraId="6A31B1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化粪池</w:t>
                  </w:r>
                  <w:r>
                    <w:rPr>
                      <w:rFonts w:hint="eastAsia" w:ascii="Times New Roman" w:hAnsi="Times New Roman" w:eastAsia="宋体" w:cs="Times New Roman"/>
                      <w:b w:val="0"/>
                      <w:bCs w:val="0"/>
                      <w:color w:val="auto"/>
                      <w:spacing w:val="0"/>
                      <w:szCs w:val="21"/>
                      <w:highlight w:val="none"/>
                      <w:lang w:val="en-US" w:eastAsia="zh-CN"/>
                    </w:rPr>
                    <w:t>处理</w:t>
                  </w:r>
                  <w:r>
                    <w:rPr>
                      <w:rFonts w:hint="default" w:ascii="Times New Roman" w:hAnsi="Times New Roman" w:eastAsia="宋体" w:cs="Times New Roman"/>
                      <w:b w:val="0"/>
                      <w:bCs w:val="0"/>
                      <w:color w:val="auto"/>
                      <w:spacing w:val="0"/>
                      <w:szCs w:val="21"/>
                      <w:highlight w:val="none"/>
                      <w:lang w:val="en-US" w:eastAsia="zh-CN"/>
                    </w:rPr>
                    <w:t>后由环卫部门清运</w:t>
                  </w:r>
                </w:p>
              </w:tc>
            </w:tr>
            <w:tr w14:paraId="2108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pct"/>
                  <w:vMerge w:val="continue"/>
                  <w:tcBorders>
                    <w:tl2br w:val="nil"/>
                    <w:tr2bl w:val="nil"/>
                  </w:tcBorders>
                  <w:noWrap w:val="0"/>
                  <w:vAlign w:val="center"/>
                </w:tcPr>
                <w:p w14:paraId="279FB84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p>
              </w:tc>
              <w:tc>
                <w:tcPr>
                  <w:tcW w:w="1349" w:type="pct"/>
                  <w:tcBorders>
                    <w:tl2br w:val="nil"/>
                    <w:tr2bl w:val="nil"/>
                  </w:tcBorders>
                  <w:noWrap w:val="0"/>
                  <w:vAlign w:val="center"/>
                </w:tcPr>
                <w:p w14:paraId="25901E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eastAsia" w:ascii="Times New Roman" w:hAnsi="Times New Roman" w:eastAsia="宋体" w:cs="Times New Roman"/>
                      <w:b w:val="0"/>
                      <w:bCs w:val="0"/>
                      <w:color w:val="auto"/>
                      <w:spacing w:val="0"/>
                      <w:szCs w:val="21"/>
                      <w:highlight w:val="none"/>
                      <w:lang w:val="en-US" w:eastAsia="zh-CN"/>
                    </w:rPr>
                    <w:t>车辆清洗废水</w:t>
                  </w:r>
                </w:p>
              </w:tc>
              <w:tc>
                <w:tcPr>
                  <w:tcW w:w="842" w:type="pct"/>
                  <w:tcBorders>
                    <w:tl2br w:val="nil"/>
                    <w:tr2bl w:val="nil"/>
                  </w:tcBorders>
                  <w:noWrap w:val="0"/>
                  <w:vAlign w:val="center"/>
                </w:tcPr>
                <w:p w14:paraId="5C6F36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SS</w:t>
                  </w:r>
                </w:p>
              </w:tc>
              <w:tc>
                <w:tcPr>
                  <w:tcW w:w="707" w:type="pct"/>
                  <w:tcBorders>
                    <w:tl2br w:val="nil"/>
                    <w:tr2bl w:val="nil"/>
                  </w:tcBorders>
                  <w:noWrap w:val="0"/>
                  <w:vAlign w:val="center"/>
                </w:tcPr>
                <w:p w14:paraId="516F2EF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间歇</w:t>
                  </w:r>
                </w:p>
              </w:tc>
              <w:tc>
                <w:tcPr>
                  <w:tcW w:w="1660" w:type="pct"/>
                  <w:tcBorders>
                    <w:tl2br w:val="nil"/>
                    <w:tr2bl w:val="nil"/>
                  </w:tcBorders>
                  <w:noWrap w:val="0"/>
                  <w:vAlign w:val="center"/>
                </w:tcPr>
                <w:p w14:paraId="2F85E54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eastAsia" w:ascii="Times New Roman" w:hAnsi="Times New Roman" w:eastAsia="宋体" w:cs="Times New Roman"/>
                      <w:b w:val="0"/>
                      <w:bCs w:val="0"/>
                      <w:color w:val="auto"/>
                      <w:spacing w:val="0"/>
                      <w:szCs w:val="21"/>
                      <w:highlight w:val="none"/>
                      <w:lang w:val="en-US" w:eastAsia="zh-CN"/>
                    </w:rPr>
                    <w:t>经沉淀处理后循环使用</w:t>
                  </w:r>
                </w:p>
              </w:tc>
            </w:tr>
            <w:tr w14:paraId="46B4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pct"/>
                  <w:vMerge w:val="continue"/>
                  <w:tcBorders>
                    <w:tl2br w:val="nil"/>
                    <w:tr2bl w:val="nil"/>
                  </w:tcBorders>
                  <w:noWrap w:val="0"/>
                  <w:vAlign w:val="center"/>
                </w:tcPr>
                <w:p w14:paraId="4003019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p>
              </w:tc>
              <w:tc>
                <w:tcPr>
                  <w:tcW w:w="1349" w:type="pct"/>
                  <w:tcBorders>
                    <w:tl2br w:val="nil"/>
                    <w:tr2bl w:val="nil"/>
                  </w:tcBorders>
                  <w:noWrap w:val="0"/>
                  <w:vAlign w:val="center"/>
                </w:tcPr>
                <w:p w14:paraId="2654E40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设备、模具清洗废水</w:t>
                  </w:r>
                </w:p>
              </w:tc>
              <w:tc>
                <w:tcPr>
                  <w:tcW w:w="842" w:type="pct"/>
                  <w:tcBorders>
                    <w:tl2br w:val="nil"/>
                    <w:tr2bl w:val="nil"/>
                  </w:tcBorders>
                  <w:noWrap w:val="0"/>
                  <w:vAlign w:val="center"/>
                </w:tcPr>
                <w:p w14:paraId="1E3239A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SS</w:t>
                  </w:r>
                </w:p>
              </w:tc>
              <w:tc>
                <w:tcPr>
                  <w:tcW w:w="707" w:type="pct"/>
                  <w:tcBorders>
                    <w:tl2br w:val="nil"/>
                    <w:tr2bl w:val="nil"/>
                  </w:tcBorders>
                  <w:noWrap w:val="0"/>
                  <w:vAlign w:val="center"/>
                </w:tcPr>
                <w:p w14:paraId="38CFE9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间歇</w:t>
                  </w:r>
                </w:p>
              </w:tc>
              <w:tc>
                <w:tcPr>
                  <w:tcW w:w="1660" w:type="pct"/>
                  <w:tcBorders>
                    <w:tl2br w:val="nil"/>
                    <w:tr2bl w:val="nil"/>
                  </w:tcBorders>
                  <w:noWrap w:val="0"/>
                  <w:vAlign w:val="center"/>
                </w:tcPr>
                <w:p w14:paraId="38849B4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eastAsia" w:ascii="Times New Roman" w:hAnsi="Times New Roman" w:eastAsia="宋体" w:cs="Times New Roman"/>
                      <w:b w:val="0"/>
                      <w:bCs w:val="0"/>
                      <w:color w:val="auto"/>
                      <w:spacing w:val="0"/>
                      <w:szCs w:val="21"/>
                      <w:highlight w:val="none"/>
                      <w:lang w:val="en-US" w:eastAsia="zh-CN"/>
                    </w:rPr>
                    <w:t>经沉淀处理后</w:t>
                  </w:r>
                  <w:r>
                    <w:rPr>
                      <w:rFonts w:hint="default" w:ascii="Times New Roman" w:hAnsi="Times New Roman" w:eastAsia="宋体" w:cs="Times New Roman"/>
                      <w:b w:val="0"/>
                      <w:bCs w:val="0"/>
                      <w:color w:val="auto"/>
                      <w:spacing w:val="0"/>
                      <w:szCs w:val="21"/>
                      <w:highlight w:val="none"/>
                      <w:lang w:val="en-US" w:eastAsia="zh-CN"/>
                    </w:rPr>
                    <w:t>回用</w:t>
                  </w:r>
                </w:p>
              </w:tc>
            </w:tr>
            <w:tr w14:paraId="7B35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pct"/>
                  <w:tcBorders>
                    <w:tl2br w:val="nil"/>
                    <w:tr2bl w:val="nil"/>
                  </w:tcBorders>
                  <w:noWrap w:val="0"/>
                  <w:vAlign w:val="center"/>
                </w:tcPr>
                <w:p w14:paraId="7105F8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噪声</w:t>
                  </w:r>
                </w:p>
              </w:tc>
              <w:tc>
                <w:tcPr>
                  <w:tcW w:w="1349" w:type="pct"/>
                  <w:tcBorders>
                    <w:tl2br w:val="nil"/>
                    <w:tr2bl w:val="nil"/>
                  </w:tcBorders>
                  <w:noWrap w:val="0"/>
                  <w:vAlign w:val="center"/>
                </w:tcPr>
                <w:p w14:paraId="2D3453C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设备</w:t>
                  </w:r>
                </w:p>
              </w:tc>
              <w:tc>
                <w:tcPr>
                  <w:tcW w:w="842" w:type="pct"/>
                  <w:tcBorders>
                    <w:tl2br w:val="nil"/>
                    <w:tr2bl w:val="nil"/>
                  </w:tcBorders>
                  <w:noWrap w:val="0"/>
                  <w:vAlign w:val="center"/>
                </w:tcPr>
                <w:p w14:paraId="4CFECC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LeqA</w:t>
                  </w:r>
                </w:p>
              </w:tc>
              <w:tc>
                <w:tcPr>
                  <w:tcW w:w="707" w:type="pct"/>
                  <w:tcBorders>
                    <w:tl2br w:val="nil"/>
                    <w:tr2bl w:val="nil"/>
                  </w:tcBorders>
                  <w:noWrap w:val="0"/>
                  <w:vAlign w:val="center"/>
                </w:tcPr>
                <w:p w14:paraId="74A7B8E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间歇</w:t>
                  </w:r>
                </w:p>
              </w:tc>
              <w:tc>
                <w:tcPr>
                  <w:tcW w:w="1660" w:type="pct"/>
                  <w:tcBorders>
                    <w:tl2br w:val="nil"/>
                    <w:tr2bl w:val="nil"/>
                  </w:tcBorders>
                  <w:noWrap w:val="0"/>
                  <w:vAlign w:val="center"/>
                </w:tcPr>
                <w:p w14:paraId="40B7B7F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车间隔声、减震</w:t>
                  </w:r>
                </w:p>
              </w:tc>
            </w:tr>
            <w:tr w14:paraId="4E077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pct"/>
                  <w:vMerge w:val="restart"/>
                  <w:tcBorders>
                    <w:tl2br w:val="nil"/>
                    <w:tr2bl w:val="nil"/>
                  </w:tcBorders>
                  <w:noWrap w:val="0"/>
                  <w:vAlign w:val="center"/>
                </w:tcPr>
                <w:p w14:paraId="65AD2B1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固废</w:t>
                  </w:r>
                </w:p>
              </w:tc>
              <w:tc>
                <w:tcPr>
                  <w:tcW w:w="1349" w:type="pct"/>
                  <w:tcBorders>
                    <w:tl2br w:val="nil"/>
                    <w:tr2bl w:val="nil"/>
                  </w:tcBorders>
                  <w:noWrap w:val="0"/>
                  <w:vAlign w:val="center"/>
                </w:tcPr>
                <w:p w14:paraId="073F546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eastAsia" w:cs="Times New Roman"/>
                      <w:b w:val="0"/>
                      <w:bCs w:val="0"/>
                      <w:color w:val="auto"/>
                      <w:spacing w:val="0"/>
                      <w:szCs w:val="21"/>
                      <w:highlight w:val="none"/>
                      <w:lang w:val="en-US" w:eastAsia="zh-CN"/>
                    </w:rPr>
                    <w:t>骨架加工</w:t>
                  </w:r>
                </w:p>
              </w:tc>
              <w:tc>
                <w:tcPr>
                  <w:tcW w:w="842" w:type="pct"/>
                  <w:tcBorders>
                    <w:tl2br w:val="nil"/>
                    <w:tr2bl w:val="nil"/>
                  </w:tcBorders>
                  <w:noWrap w:val="0"/>
                  <w:vAlign w:val="center"/>
                </w:tcPr>
                <w:p w14:paraId="1F3DFDC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eastAsia" w:cs="Times New Roman"/>
                      <w:b w:val="0"/>
                      <w:bCs w:val="0"/>
                      <w:color w:val="0000FF"/>
                      <w:spacing w:val="0"/>
                      <w:szCs w:val="21"/>
                      <w:highlight w:val="none"/>
                      <w:lang w:val="en-US" w:eastAsia="zh-CN"/>
                    </w:rPr>
                    <w:t>废钢筋</w:t>
                  </w:r>
                </w:p>
              </w:tc>
              <w:tc>
                <w:tcPr>
                  <w:tcW w:w="707" w:type="pct"/>
                  <w:tcBorders>
                    <w:tl2br w:val="nil"/>
                    <w:tr2bl w:val="nil"/>
                  </w:tcBorders>
                  <w:noWrap w:val="0"/>
                  <w:vAlign w:val="center"/>
                </w:tcPr>
                <w:p w14:paraId="5A4C1E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间歇</w:t>
                  </w:r>
                </w:p>
              </w:tc>
              <w:tc>
                <w:tcPr>
                  <w:tcW w:w="1660" w:type="pct"/>
                  <w:tcBorders>
                    <w:tl2br w:val="nil"/>
                    <w:tr2bl w:val="nil"/>
                  </w:tcBorders>
                  <w:noWrap w:val="0"/>
                  <w:vAlign w:val="center"/>
                </w:tcPr>
                <w:p w14:paraId="311BB02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收集后外售综合利用</w:t>
                  </w:r>
                </w:p>
              </w:tc>
            </w:tr>
            <w:tr w14:paraId="3232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pct"/>
                  <w:vMerge w:val="continue"/>
                  <w:tcBorders>
                    <w:tl2br w:val="nil"/>
                    <w:tr2bl w:val="nil"/>
                  </w:tcBorders>
                  <w:noWrap w:val="0"/>
                  <w:vAlign w:val="center"/>
                </w:tcPr>
                <w:p w14:paraId="472C3BA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p>
              </w:tc>
              <w:tc>
                <w:tcPr>
                  <w:tcW w:w="1349" w:type="pct"/>
                  <w:vMerge w:val="restart"/>
                  <w:tcBorders>
                    <w:tl2br w:val="nil"/>
                    <w:tr2bl w:val="nil"/>
                  </w:tcBorders>
                  <w:noWrap w:val="0"/>
                  <w:vAlign w:val="center"/>
                </w:tcPr>
                <w:p w14:paraId="7F5F23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除尘器</w:t>
                  </w:r>
                </w:p>
              </w:tc>
              <w:tc>
                <w:tcPr>
                  <w:tcW w:w="842" w:type="pct"/>
                  <w:tcBorders>
                    <w:tl2br w:val="nil"/>
                    <w:tr2bl w:val="nil"/>
                  </w:tcBorders>
                  <w:noWrap w:val="0"/>
                  <w:vAlign w:val="center"/>
                </w:tcPr>
                <w:p w14:paraId="03A80B4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收集粉尘</w:t>
                  </w:r>
                </w:p>
              </w:tc>
              <w:tc>
                <w:tcPr>
                  <w:tcW w:w="707" w:type="pct"/>
                  <w:tcBorders>
                    <w:tl2br w:val="nil"/>
                    <w:tr2bl w:val="nil"/>
                  </w:tcBorders>
                  <w:noWrap w:val="0"/>
                  <w:vAlign w:val="center"/>
                </w:tcPr>
                <w:p w14:paraId="63A58FA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间歇</w:t>
                  </w:r>
                </w:p>
              </w:tc>
              <w:tc>
                <w:tcPr>
                  <w:tcW w:w="1660" w:type="pct"/>
                  <w:tcBorders>
                    <w:tl2br w:val="nil"/>
                    <w:tr2bl w:val="nil"/>
                  </w:tcBorders>
                  <w:noWrap w:val="0"/>
                  <w:vAlign w:val="center"/>
                </w:tcPr>
                <w:p w14:paraId="3626E2C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收集后回用于生产</w:t>
                  </w:r>
                </w:p>
              </w:tc>
            </w:tr>
            <w:tr w14:paraId="119E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pct"/>
                  <w:vMerge w:val="continue"/>
                  <w:tcBorders>
                    <w:tl2br w:val="nil"/>
                    <w:tr2bl w:val="nil"/>
                  </w:tcBorders>
                  <w:noWrap w:val="0"/>
                  <w:vAlign w:val="center"/>
                </w:tcPr>
                <w:p w14:paraId="612FE5E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p>
              </w:tc>
              <w:tc>
                <w:tcPr>
                  <w:tcW w:w="1349" w:type="pct"/>
                  <w:vMerge w:val="continue"/>
                  <w:tcBorders>
                    <w:tl2br w:val="nil"/>
                    <w:tr2bl w:val="nil"/>
                  </w:tcBorders>
                  <w:noWrap w:val="0"/>
                  <w:vAlign w:val="center"/>
                </w:tcPr>
                <w:p w14:paraId="7C878F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p>
              </w:tc>
              <w:tc>
                <w:tcPr>
                  <w:tcW w:w="842" w:type="pct"/>
                  <w:tcBorders>
                    <w:tl2br w:val="nil"/>
                    <w:tr2bl w:val="nil"/>
                  </w:tcBorders>
                  <w:noWrap w:val="0"/>
                  <w:vAlign w:val="center"/>
                </w:tcPr>
                <w:p w14:paraId="14EBD12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废布袋</w:t>
                  </w:r>
                </w:p>
              </w:tc>
              <w:tc>
                <w:tcPr>
                  <w:tcW w:w="707" w:type="pct"/>
                  <w:tcBorders>
                    <w:tl2br w:val="nil"/>
                    <w:tr2bl w:val="nil"/>
                  </w:tcBorders>
                  <w:noWrap w:val="0"/>
                  <w:vAlign w:val="center"/>
                </w:tcPr>
                <w:p w14:paraId="1F7FFF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间歇</w:t>
                  </w:r>
                </w:p>
              </w:tc>
              <w:tc>
                <w:tcPr>
                  <w:tcW w:w="1660" w:type="pct"/>
                  <w:tcBorders>
                    <w:tl2br w:val="nil"/>
                    <w:tr2bl w:val="nil"/>
                  </w:tcBorders>
                  <w:noWrap w:val="0"/>
                  <w:vAlign w:val="center"/>
                </w:tcPr>
                <w:p w14:paraId="24A95B9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收集后外售综合利用</w:t>
                  </w:r>
                </w:p>
              </w:tc>
            </w:tr>
            <w:tr w14:paraId="51C5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pct"/>
                  <w:vMerge w:val="continue"/>
                  <w:tcBorders>
                    <w:tl2br w:val="nil"/>
                    <w:tr2bl w:val="nil"/>
                  </w:tcBorders>
                  <w:noWrap w:val="0"/>
                  <w:vAlign w:val="center"/>
                </w:tcPr>
                <w:p w14:paraId="0422FDD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p>
              </w:tc>
              <w:tc>
                <w:tcPr>
                  <w:tcW w:w="1349" w:type="pct"/>
                  <w:tcBorders>
                    <w:tl2br w:val="nil"/>
                    <w:tr2bl w:val="nil"/>
                  </w:tcBorders>
                  <w:noWrap w:val="0"/>
                  <w:vAlign w:val="center"/>
                </w:tcPr>
                <w:p w14:paraId="50D5652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生产过程</w:t>
                  </w:r>
                </w:p>
              </w:tc>
              <w:tc>
                <w:tcPr>
                  <w:tcW w:w="842" w:type="pct"/>
                  <w:tcBorders>
                    <w:tl2br w:val="nil"/>
                    <w:tr2bl w:val="nil"/>
                  </w:tcBorders>
                  <w:noWrap w:val="0"/>
                  <w:vAlign w:val="center"/>
                </w:tcPr>
                <w:p w14:paraId="4694C33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清扫地面粉尘</w:t>
                  </w:r>
                </w:p>
              </w:tc>
              <w:tc>
                <w:tcPr>
                  <w:tcW w:w="707" w:type="pct"/>
                  <w:tcBorders>
                    <w:tl2br w:val="nil"/>
                    <w:tr2bl w:val="nil"/>
                  </w:tcBorders>
                  <w:noWrap w:val="0"/>
                  <w:vAlign w:val="center"/>
                </w:tcPr>
                <w:p w14:paraId="5D3C405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间歇</w:t>
                  </w:r>
                </w:p>
              </w:tc>
              <w:tc>
                <w:tcPr>
                  <w:tcW w:w="1660" w:type="pct"/>
                  <w:tcBorders>
                    <w:tl2br w:val="nil"/>
                    <w:tr2bl w:val="nil"/>
                  </w:tcBorders>
                  <w:noWrap w:val="0"/>
                  <w:vAlign w:val="center"/>
                </w:tcPr>
                <w:p w14:paraId="6BD84DF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收集后回用于生产</w:t>
                  </w:r>
                </w:p>
              </w:tc>
            </w:tr>
            <w:tr w14:paraId="7BD6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pct"/>
                  <w:vMerge w:val="continue"/>
                  <w:tcBorders>
                    <w:tl2br w:val="nil"/>
                    <w:tr2bl w:val="nil"/>
                  </w:tcBorders>
                  <w:noWrap w:val="0"/>
                  <w:vAlign w:val="center"/>
                </w:tcPr>
                <w:p w14:paraId="5EFDD7A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p>
              </w:tc>
              <w:tc>
                <w:tcPr>
                  <w:tcW w:w="1349" w:type="pct"/>
                  <w:tcBorders>
                    <w:tl2br w:val="nil"/>
                    <w:tr2bl w:val="nil"/>
                  </w:tcBorders>
                  <w:noWrap w:val="0"/>
                  <w:vAlign w:val="center"/>
                </w:tcPr>
                <w:p w14:paraId="7C8E367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沉淀池</w:t>
                  </w:r>
                </w:p>
              </w:tc>
              <w:tc>
                <w:tcPr>
                  <w:tcW w:w="842" w:type="pct"/>
                  <w:tcBorders>
                    <w:tl2br w:val="nil"/>
                    <w:tr2bl w:val="nil"/>
                  </w:tcBorders>
                  <w:noWrap w:val="0"/>
                  <w:vAlign w:val="center"/>
                </w:tcPr>
                <w:p w14:paraId="2F1C6A2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沉淀池沉渣</w:t>
                  </w:r>
                </w:p>
              </w:tc>
              <w:tc>
                <w:tcPr>
                  <w:tcW w:w="707" w:type="pct"/>
                  <w:tcBorders>
                    <w:tl2br w:val="nil"/>
                    <w:tr2bl w:val="nil"/>
                  </w:tcBorders>
                  <w:noWrap w:val="0"/>
                  <w:vAlign w:val="center"/>
                </w:tcPr>
                <w:p w14:paraId="3DF8BC4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间歇</w:t>
                  </w:r>
                </w:p>
              </w:tc>
              <w:tc>
                <w:tcPr>
                  <w:tcW w:w="1660" w:type="pct"/>
                  <w:tcBorders>
                    <w:tl2br w:val="nil"/>
                    <w:tr2bl w:val="nil"/>
                  </w:tcBorders>
                  <w:noWrap w:val="0"/>
                  <w:vAlign w:val="center"/>
                </w:tcPr>
                <w:p w14:paraId="1AF527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收集后外售综合利用</w:t>
                  </w:r>
                </w:p>
              </w:tc>
            </w:tr>
            <w:tr w14:paraId="7C25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pct"/>
                  <w:vMerge w:val="continue"/>
                  <w:tcBorders>
                    <w:tl2br w:val="nil"/>
                    <w:tr2bl w:val="nil"/>
                  </w:tcBorders>
                  <w:noWrap w:val="0"/>
                  <w:vAlign w:val="center"/>
                </w:tcPr>
                <w:p w14:paraId="23C6125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p>
              </w:tc>
              <w:tc>
                <w:tcPr>
                  <w:tcW w:w="1349" w:type="pct"/>
                  <w:tcBorders>
                    <w:tl2br w:val="nil"/>
                    <w:tr2bl w:val="nil"/>
                  </w:tcBorders>
                  <w:noWrap w:val="0"/>
                  <w:vAlign w:val="center"/>
                </w:tcPr>
                <w:p w14:paraId="256A2C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eastAsia" w:ascii="Times New Roman" w:hAnsi="Times New Roman" w:eastAsia="宋体" w:cs="Times New Roman"/>
                      <w:b w:val="0"/>
                      <w:bCs w:val="0"/>
                      <w:color w:val="auto"/>
                      <w:spacing w:val="0"/>
                      <w:szCs w:val="21"/>
                      <w:highlight w:val="none"/>
                      <w:lang w:val="en-US" w:eastAsia="zh-CN"/>
                    </w:rPr>
                    <w:t>离心</w:t>
                  </w:r>
                </w:p>
              </w:tc>
              <w:tc>
                <w:tcPr>
                  <w:tcW w:w="842" w:type="pct"/>
                  <w:tcBorders>
                    <w:tl2br w:val="nil"/>
                    <w:tr2bl w:val="nil"/>
                  </w:tcBorders>
                  <w:noWrap w:val="0"/>
                  <w:vAlign w:val="center"/>
                </w:tcPr>
                <w:p w14:paraId="7B24F3F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eastAsia" w:ascii="Times New Roman" w:hAnsi="Times New Roman" w:eastAsia="宋体" w:cs="Times New Roman"/>
                      <w:b w:val="0"/>
                      <w:bCs w:val="0"/>
                      <w:color w:val="auto"/>
                      <w:spacing w:val="0"/>
                      <w:szCs w:val="21"/>
                      <w:highlight w:val="none"/>
                      <w:lang w:val="en-US" w:eastAsia="zh-CN"/>
                    </w:rPr>
                    <w:t>废混凝土渣</w:t>
                  </w:r>
                </w:p>
              </w:tc>
              <w:tc>
                <w:tcPr>
                  <w:tcW w:w="707" w:type="pct"/>
                  <w:tcBorders>
                    <w:tl2br w:val="nil"/>
                    <w:tr2bl w:val="nil"/>
                  </w:tcBorders>
                  <w:noWrap w:val="0"/>
                  <w:vAlign w:val="center"/>
                </w:tcPr>
                <w:p w14:paraId="28A1CE4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间歇</w:t>
                  </w:r>
                </w:p>
              </w:tc>
              <w:tc>
                <w:tcPr>
                  <w:tcW w:w="1660" w:type="pct"/>
                  <w:tcBorders>
                    <w:tl2br w:val="nil"/>
                    <w:tr2bl w:val="nil"/>
                  </w:tcBorders>
                  <w:noWrap w:val="0"/>
                  <w:vAlign w:val="center"/>
                </w:tcPr>
                <w:p w14:paraId="3DFF993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收集后外售综合利用</w:t>
                  </w:r>
                </w:p>
              </w:tc>
            </w:tr>
            <w:tr w14:paraId="102D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pct"/>
                  <w:vMerge w:val="continue"/>
                  <w:tcBorders>
                    <w:tl2br w:val="nil"/>
                    <w:tr2bl w:val="nil"/>
                  </w:tcBorders>
                  <w:noWrap w:val="0"/>
                  <w:vAlign w:val="center"/>
                </w:tcPr>
                <w:p w14:paraId="435D6E7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p>
              </w:tc>
              <w:tc>
                <w:tcPr>
                  <w:tcW w:w="1349" w:type="pct"/>
                  <w:tcBorders>
                    <w:tl2br w:val="nil"/>
                    <w:tr2bl w:val="nil"/>
                  </w:tcBorders>
                  <w:noWrap w:val="0"/>
                  <w:vAlign w:val="center"/>
                </w:tcPr>
                <w:p w14:paraId="323F6F5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eastAsia" w:ascii="Times New Roman" w:hAnsi="Times New Roman" w:eastAsia="宋体" w:cs="Times New Roman"/>
                      <w:b w:val="0"/>
                      <w:bCs w:val="0"/>
                      <w:color w:val="auto"/>
                      <w:spacing w:val="0"/>
                      <w:szCs w:val="21"/>
                      <w:highlight w:val="none"/>
                      <w:lang w:val="en-US" w:eastAsia="zh-CN"/>
                    </w:rPr>
                    <w:t>脱模</w:t>
                  </w:r>
                </w:p>
              </w:tc>
              <w:tc>
                <w:tcPr>
                  <w:tcW w:w="842" w:type="pct"/>
                  <w:tcBorders>
                    <w:tl2br w:val="nil"/>
                    <w:tr2bl w:val="nil"/>
                  </w:tcBorders>
                  <w:noWrap w:val="0"/>
                  <w:vAlign w:val="center"/>
                </w:tcPr>
                <w:p w14:paraId="1F1DC7E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eastAsia" w:ascii="Times New Roman" w:hAnsi="Times New Roman" w:eastAsia="宋体" w:cs="Times New Roman"/>
                      <w:b w:val="0"/>
                      <w:bCs w:val="0"/>
                      <w:color w:val="auto"/>
                      <w:spacing w:val="0"/>
                      <w:szCs w:val="21"/>
                      <w:highlight w:val="none"/>
                      <w:lang w:val="en-US" w:eastAsia="zh-CN"/>
                    </w:rPr>
                    <w:t>废混凝土渣</w:t>
                  </w:r>
                </w:p>
              </w:tc>
              <w:tc>
                <w:tcPr>
                  <w:tcW w:w="707" w:type="pct"/>
                  <w:tcBorders>
                    <w:tl2br w:val="nil"/>
                    <w:tr2bl w:val="nil"/>
                  </w:tcBorders>
                  <w:noWrap w:val="0"/>
                  <w:vAlign w:val="center"/>
                </w:tcPr>
                <w:p w14:paraId="44548E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间歇</w:t>
                  </w:r>
                </w:p>
              </w:tc>
              <w:tc>
                <w:tcPr>
                  <w:tcW w:w="1660" w:type="pct"/>
                  <w:tcBorders>
                    <w:tl2br w:val="nil"/>
                    <w:tr2bl w:val="nil"/>
                  </w:tcBorders>
                  <w:noWrap w:val="0"/>
                  <w:vAlign w:val="center"/>
                </w:tcPr>
                <w:p w14:paraId="16343B3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收集后外售综合利用</w:t>
                  </w:r>
                </w:p>
              </w:tc>
            </w:tr>
            <w:tr w14:paraId="4AA2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pct"/>
                  <w:vMerge w:val="continue"/>
                  <w:tcBorders>
                    <w:tl2br w:val="nil"/>
                    <w:tr2bl w:val="nil"/>
                  </w:tcBorders>
                  <w:noWrap w:val="0"/>
                  <w:vAlign w:val="center"/>
                </w:tcPr>
                <w:p w14:paraId="028AFD2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p>
              </w:tc>
              <w:tc>
                <w:tcPr>
                  <w:tcW w:w="1349" w:type="pct"/>
                  <w:tcBorders>
                    <w:tl2br w:val="nil"/>
                    <w:tr2bl w:val="nil"/>
                  </w:tcBorders>
                  <w:noWrap w:val="0"/>
                  <w:vAlign w:val="center"/>
                </w:tcPr>
                <w:p w14:paraId="7C81DE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原料包装</w:t>
                  </w:r>
                </w:p>
              </w:tc>
              <w:tc>
                <w:tcPr>
                  <w:tcW w:w="842" w:type="pct"/>
                  <w:tcBorders>
                    <w:tl2br w:val="nil"/>
                    <w:tr2bl w:val="nil"/>
                  </w:tcBorders>
                  <w:noWrap w:val="0"/>
                  <w:vAlign w:val="center"/>
                </w:tcPr>
                <w:p w14:paraId="4F81260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脱模剂装桶</w:t>
                  </w:r>
                </w:p>
              </w:tc>
              <w:tc>
                <w:tcPr>
                  <w:tcW w:w="707" w:type="pct"/>
                  <w:tcBorders>
                    <w:tl2br w:val="nil"/>
                    <w:tr2bl w:val="nil"/>
                  </w:tcBorders>
                  <w:noWrap w:val="0"/>
                  <w:vAlign w:val="center"/>
                </w:tcPr>
                <w:p w14:paraId="1D7C7C3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间歇</w:t>
                  </w:r>
                </w:p>
              </w:tc>
              <w:tc>
                <w:tcPr>
                  <w:tcW w:w="1660" w:type="pct"/>
                  <w:tcBorders>
                    <w:tl2br w:val="nil"/>
                    <w:tr2bl w:val="nil"/>
                  </w:tcBorders>
                  <w:noWrap w:val="0"/>
                  <w:vAlign w:val="center"/>
                </w:tcPr>
                <w:p w14:paraId="16516F3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收集后外售综合利用</w:t>
                  </w:r>
                </w:p>
              </w:tc>
            </w:tr>
            <w:tr w14:paraId="4320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pct"/>
                  <w:vMerge w:val="continue"/>
                  <w:tcBorders>
                    <w:tl2br w:val="nil"/>
                    <w:tr2bl w:val="nil"/>
                  </w:tcBorders>
                  <w:noWrap w:val="0"/>
                  <w:vAlign w:val="center"/>
                </w:tcPr>
                <w:p w14:paraId="276DF7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p>
              </w:tc>
              <w:tc>
                <w:tcPr>
                  <w:tcW w:w="1349" w:type="pct"/>
                  <w:tcBorders>
                    <w:tl2br w:val="nil"/>
                    <w:tr2bl w:val="nil"/>
                  </w:tcBorders>
                  <w:noWrap w:val="0"/>
                  <w:vAlign w:val="center"/>
                </w:tcPr>
                <w:p w14:paraId="68E494B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检查补修</w:t>
                  </w:r>
                </w:p>
              </w:tc>
              <w:tc>
                <w:tcPr>
                  <w:tcW w:w="842" w:type="pct"/>
                  <w:tcBorders>
                    <w:tl2br w:val="nil"/>
                    <w:tr2bl w:val="nil"/>
                  </w:tcBorders>
                  <w:noWrap w:val="0"/>
                  <w:vAlign w:val="center"/>
                </w:tcPr>
                <w:p w14:paraId="1FC536C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不合格品</w:t>
                  </w:r>
                </w:p>
              </w:tc>
              <w:tc>
                <w:tcPr>
                  <w:tcW w:w="707" w:type="pct"/>
                  <w:tcBorders>
                    <w:tl2br w:val="nil"/>
                    <w:tr2bl w:val="nil"/>
                  </w:tcBorders>
                  <w:noWrap w:val="0"/>
                  <w:vAlign w:val="center"/>
                </w:tcPr>
                <w:p w14:paraId="717CF0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间歇</w:t>
                  </w:r>
                </w:p>
              </w:tc>
              <w:tc>
                <w:tcPr>
                  <w:tcW w:w="1660" w:type="pct"/>
                  <w:tcBorders>
                    <w:tl2br w:val="nil"/>
                    <w:tr2bl w:val="nil"/>
                  </w:tcBorders>
                  <w:noWrap w:val="0"/>
                  <w:vAlign w:val="center"/>
                </w:tcPr>
                <w:p w14:paraId="4BC2C2B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收集后外售综合利用</w:t>
                  </w:r>
                </w:p>
              </w:tc>
            </w:tr>
            <w:tr w14:paraId="72F6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pct"/>
                  <w:vMerge w:val="continue"/>
                  <w:tcBorders>
                    <w:tl2br w:val="nil"/>
                    <w:tr2bl w:val="nil"/>
                  </w:tcBorders>
                  <w:noWrap w:val="0"/>
                  <w:vAlign w:val="center"/>
                </w:tcPr>
                <w:p w14:paraId="2A5B3E5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p>
              </w:tc>
              <w:tc>
                <w:tcPr>
                  <w:tcW w:w="1349" w:type="pct"/>
                  <w:vMerge w:val="restart"/>
                  <w:tcBorders>
                    <w:tl2br w:val="nil"/>
                    <w:tr2bl w:val="nil"/>
                  </w:tcBorders>
                  <w:noWrap w:val="0"/>
                  <w:vAlign w:val="center"/>
                </w:tcPr>
                <w:p w14:paraId="0EA2F71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设备维护</w:t>
                  </w:r>
                  <w:r>
                    <w:rPr>
                      <w:rFonts w:hint="eastAsia" w:ascii="Times New Roman" w:hAnsi="Times New Roman" w:eastAsia="宋体" w:cs="Times New Roman"/>
                      <w:b w:val="0"/>
                      <w:bCs w:val="0"/>
                      <w:color w:val="auto"/>
                      <w:spacing w:val="0"/>
                      <w:szCs w:val="21"/>
                      <w:highlight w:val="none"/>
                      <w:lang w:val="en-US" w:eastAsia="zh-CN"/>
                    </w:rPr>
                    <w:t>、检修</w:t>
                  </w:r>
                </w:p>
              </w:tc>
              <w:tc>
                <w:tcPr>
                  <w:tcW w:w="842" w:type="pct"/>
                  <w:tcBorders>
                    <w:tl2br w:val="nil"/>
                    <w:tr2bl w:val="nil"/>
                  </w:tcBorders>
                  <w:noWrap w:val="0"/>
                  <w:vAlign w:val="center"/>
                </w:tcPr>
                <w:p w14:paraId="791EADE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废润滑油</w:t>
                  </w:r>
                </w:p>
              </w:tc>
              <w:tc>
                <w:tcPr>
                  <w:tcW w:w="707" w:type="pct"/>
                  <w:tcBorders>
                    <w:tl2br w:val="nil"/>
                    <w:tr2bl w:val="nil"/>
                  </w:tcBorders>
                  <w:noWrap w:val="0"/>
                  <w:vAlign w:val="center"/>
                </w:tcPr>
                <w:p w14:paraId="05FCD10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间歇</w:t>
                  </w:r>
                </w:p>
              </w:tc>
              <w:tc>
                <w:tcPr>
                  <w:tcW w:w="1660" w:type="pct"/>
                  <w:tcBorders>
                    <w:tl2br w:val="nil"/>
                    <w:tr2bl w:val="nil"/>
                  </w:tcBorders>
                  <w:noWrap w:val="0"/>
                  <w:vAlign w:val="center"/>
                </w:tcPr>
                <w:p w14:paraId="0FE9BA2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委托资质单位处置</w:t>
                  </w:r>
                </w:p>
              </w:tc>
            </w:tr>
            <w:tr w14:paraId="059D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pct"/>
                  <w:vMerge w:val="continue"/>
                  <w:tcBorders>
                    <w:tl2br w:val="nil"/>
                    <w:tr2bl w:val="nil"/>
                  </w:tcBorders>
                  <w:noWrap w:val="0"/>
                  <w:vAlign w:val="center"/>
                </w:tcPr>
                <w:p w14:paraId="4867310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p>
              </w:tc>
              <w:tc>
                <w:tcPr>
                  <w:tcW w:w="1349" w:type="pct"/>
                  <w:vMerge w:val="continue"/>
                  <w:tcBorders>
                    <w:tl2br w:val="nil"/>
                    <w:tr2bl w:val="nil"/>
                  </w:tcBorders>
                  <w:noWrap w:val="0"/>
                  <w:vAlign w:val="center"/>
                </w:tcPr>
                <w:p w14:paraId="3A29F4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p>
              </w:tc>
              <w:tc>
                <w:tcPr>
                  <w:tcW w:w="842" w:type="pct"/>
                  <w:tcBorders>
                    <w:tl2br w:val="nil"/>
                    <w:tr2bl w:val="nil"/>
                  </w:tcBorders>
                  <w:noWrap w:val="0"/>
                  <w:vAlign w:val="center"/>
                </w:tcPr>
                <w:p w14:paraId="7C361F3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废润滑油桶</w:t>
                  </w:r>
                </w:p>
              </w:tc>
              <w:tc>
                <w:tcPr>
                  <w:tcW w:w="707" w:type="pct"/>
                  <w:tcBorders>
                    <w:tl2br w:val="nil"/>
                    <w:tr2bl w:val="nil"/>
                  </w:tcBorders>
                  <w:noWrap w:val="0"/>
                  <w:vAlign w:val="center"/>
                </w:tcPr>
                <w:p w14:paraId="49961AC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间歇</w:t>
                  </w:r>
                </w:p>
              </w:tc>
              <w:tc>
                <w:tcPr>
                  <w:tcW w:w="1660" w:type="pct"/>
                  <w:tcBorders>
                    <w:tl2br w:val="nil"/>
                    <w:tr2bl w:val="nil"/>
                  </w:tcBorders>
                  <w:noWrap w:val="0"/>
                  <w:vAlign w:val="center"/>
                </w:tcPr>
                <w:p w14:paraId="6740A5A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委托资质单位处置</w:t>
                  </w:r>
                </w:p>
              </w:tc>
            </w:tr>
            <w:tr w14:paraId="7524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pct"/>
                  <w:vMerge w:val="continue"/>
                  <w:tcBorders>
                    <w:tl2br w:val="nil"/>
                    <w:tr2bl w:val="nil"/>
                  </w:tcBorders>
                  <w:noWrap w:val="0"/>
                  <w:vAlign w:val="center"/>
                </w:tcPr>
                <w:p w14:paraId="5FB271C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p>
              </w:tc>
              <w:tc>
                <w:tcPr>
                  <w:tcW w:w="1349" w:type="pct"/>
                  <w:vMerge w:val="continue"/>
                  <w:tcBorders>
                    <w:tl2br w:val="nil"/>
                    <w:tr2bl w:val="nil"/>
                  </w:tcBorders>
                  <w:noWrap w:val="0"/>
                  <w:vAlign w:val="center"/>
                </w:tcPr>
                <w:p w14:paraId="79D8F63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p>
              </w:tc>
              <w:tc>
                <w:tcPr>
                  <w:tcW w:w="842" w:type="pct"/>
                  <w:tcBorders>
                    <w:tl2br w:val="nil"/>
                    <w:tr2bl w:val="nil"/>
                  </w:tcBorders>
                  <w:noWrap w:val="0"/>
                  <w:vAlign w:val="center"/>
                </w:tcPr>
                <w:p w14:paraId="64ACAE6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eastAsia" w:cs="Times New Roman"/>
                      <w:b w:val="0"/>
                      <w:bCs w:val="0"/>
                      <w:color w:val="auto"/>
                      <w:spacing w:val="0"/>
                      <w:szCs w:val="21"/>
                      <w:highlight w:val="none"/>
                      <w:lang w:val="en-US" w:eastAsia="zh-CN"/>
                    </w:rPr>
                    <w:t>废吸油毡</w:t>
                  </w:r>
                </w:p>
              </w:tc>
              <w:tc>
                <w:tcPr>
                  <w:tcW w:w="707" w:type="pct"/>
                  <w:tcBorders>
                    <w:tl2br w:val="nil"/>
                    <w:tr2bl w:val="nil"/>
                  </w:tcBorders>
                  <w:noWrap w:val="0"/>
                  <w:vAlign w:val="center"/>
                </w:tcPr>
                <w:p w14:paraId="2D4BD98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间歇</w:t>
                  </w:r>
                </w:p>
              </w:tc>
              <w:tc>
                <w:tcPr>
                  <w:tcW w:w="1660" w:type="pct"/>
                  <w:tcBorders>
                    <w:tl2br w:val="nil"/>
                    <w:tr2bl w:val="nil"/>
                  </w:tcBorders>
                  <w:noWrap w:val="0"/>
                  <w:vAlign w:val="center"/>
                </w:tcPr>
                <w:p w14:paraId="4F5C69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b w:val="0"/>
                      <w:bCs w:val="0"/>
                      <w:color w:val="auto"/>
                      <w:spacing w:val="0"/>
                      <w:szCs w:val="21"/>
                      <w:highlight w:val="none"/>
                      <w:lang w:val="en-US" w:eastAsia="zh-CN"/>
                    </w:rPr>
                    <w:t>委托资质单位处置</w:t>
                  </w:r>
                </w:p>
              </w:tc>
            </w:tr>
          </w:tbl>
          <w:p w14:paraId="5A8517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sz w:val="24"/>
                <w:szCs w:val="32"/>
              </w:rPr>
            </w:pPr>
          </w:p>
        </w:tc>
      </w:tr>
      <w:tr w14:paraId="76B1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267" w:type="pct"/>
            <w:tcBorders>
              <w:tl2br w:val="nil"/>
              <w:tr2bl w:val="nil"/>
            </w:tcBorders>
            <w:noWrap w:val="0"/>
            <w:vAlign w:val="center"/>
          </w:tcPr>
          <w:p w14:paraId="3C6E0069">
            <w:pPr>
              <w:pStyle w:val="32"/>
              <w:adjustRightInd w:val="0"/>
              <w:snapToGrid w:val="0"/>
              <w:spacing w:before="0" w:beforeAutospacing="0" w:after="0" w:afterAutospacing="0"/>
              <w:jc w:val="center"/>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bCs/>
                <w:color w:val="auto"/>
                <w:spacing w:val="0"/>
                <w:kern w:val="2"/>
                <w:sz w:val="24"/>
                <w:szCs w:val="24"/>
                <w:lang w:val="en-US" w:eastAsia="zh-CN"/>
              </w:rPr>
              <w:t>与项目有关的原有环境污染问题</w:t>
            </w:r>
          </w:p>
        </w:tc>
        <w:tc>
          <w:tcPr>
            <w:tcW w:w="4732" w:type="pct"/>
            <w:tcBorders>
              <w:tl2br w:val="nil"/>
              <w:tr2bl w:val="nil"/>
            </w:tcBorders>
            <w:noWrap w:val="0"/>
            <w:vAlign w:val="center"/>
          </w:tcPr>
          <w:p w14:paraId="160A2EE8">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eastAsia="宋体" w:cs="Times New Roman"/>
                <w:color w:val="auto"/>
                <w:spacing w:val="0"/>
              </w:rPr>
            </w:pPr>
            <w:r>
              <w:rPr>
                <w:rFonts w:hint="eastAsia" w:cs="Times New Roman"/>
                <w:color w:val="auto"/>
                <w:spacing w:val="0"/>
                <w:kern w:val="0"/>
                <w:sz w:val="24"/>
                <w:lang w:val="en-US" w:eastAsia="zh-CN"/>
              </w:rPr>
              <w:t>无。</w:t>
            </w:r>
          </w:p>
        </w:tc>
      </w:tr>
    </w:tbl>
    <w:p w14:paraId="5A4951B8">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eastAsia="宋体" w:cs="Times New Roman"/>
          <w:snapToGrid w:val="0"/>
          <w:color w:val="auto"/>
          <w:spacing w:val="0"/>
          <w:sz w:val="36"/>
          <w:szCs w:val="36"/>
        </w:rPr>
        <w:sectPr>
          <w:pgSz w:w="11906" w:h="16838"/>
          <w:pgMar w:top="1440" w:right="1800" w:bottom="1440" w:left="1800" w:header="851" w:footer="851" w:gutter="0"/>
          <w:pgBorders>
            <w:top w:val="none" w:sz="0" w:space="0"/>
            <w:left w:val="none" w:sz="0" w:space="0"/>
            <w:bottom w:val="none" w:sz="0" w:space="0"/>
            <w:right w:val="none" w:sz="0" w:space="0"/>
          </w:pgBorders>
          <w:pgNumType w:fmt="decimal"/>
          <w:cols w:space="720" w:num="1"/>
          <w:docGrid w:linePitch="312" w:charSpace="0"/>
        </w:sectPr>
      </w:pPr>
    </w:p>
    <w:p w14:paraId="1E40B1FE">
      <w:pPr>
        <w:pStyle w:val="32"/>
        <w:adjustRightInd w:val="0"/>
        <w:snapToGrid w:val="0"/>
        <w:spacing w:before="0" w:beforeAutospacing="0" w:after="0" w:afterAutospacing="0" w:line="14" w:lineRule="auto"/>
        <w:jc w:val="center"/>
        <w:rPr>
          <w:rFonts w:hint="default" w:ascii="Times New Roman" w:hAnsi="Times New Roman" w:eastAsia="宋体" w:cs="Times New Roman"/>
          <w:snapToGrid w:val="0"/>
          <w:color w:val="auto"/>
          <w:spacing w:val="0"/>
          <w:sz w:val="30"/>
          <w:szCs w:val="30"/>
        </w:rPr>
      </w:pPr>
    </w:p>
    <w:p w14:paraId="11A077BF">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outlineLvl w:val="0"/>
        <w:rPr>
          <w:rFonts w:hint="default" w:ascii="Times New Roman" w:hAnsi="Times New Roman" w:eastAsia="宋体" w:cs="Times New Roman"/>
          <w:b/>
          <w:bCs/>
          <w:snapToGrid w:val="0"/>
          <w:color w:val="auto"/>
          <w:spacing w:val="0"/>
          <w:sz w:val="30"/>
          <w:szCs w:val="30"/>
        </w:rPr>
      </w:pPr>
      <w:bookmarkStart w:id="7" w:name="_Toc15079"/>
      <w:r>
        <w:rPr>
          <w:rFonts w:hint="default" w:ascii="Times New Roman" w:hAnsi="Times New Roman" w:eastAsia="宋体" w:cs="Times New Roman"/>
          <w:b/>
          <w:bCs/>
          <w:snapToGrid w:val="0"/>
          <w:color w:val="auto"/>
          <w:spacing w:val="0"/>
          <w:sz w:val="30"/>
          <w:szCs w:val="30"/>
        </w:rPr>
        <w:t>三、区域环境质量现状、环境保护目标及评价标准</w:t>
      </w:r>
      <w:bookmarkEnd w:id="7"/>
    </w:p>
    <w:tbl>
      <w:tblPr>
        <w:tblStyle w:val="3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8069"/>
      </w:tblGrid>
      <w:tr w14:paraId="516D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4" w:type="pct"/>
            <w:tcBorders>
              <w:tl2br w:val="nil"/>
              <w:tr2bl w:val="nil"/>
            </w:tcBorders>
            <w:noWrap w:val="0"/>
            <w:vAlign w:val="center"/>
          </w:tcPr>
          <w:p w14:paraId="44B4F3C3">
            <w:pPr>
              <w:adjustRightInd w:val="0"/>
              <w:snapToGrid w:val="0"/>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区域</w:t>
            </w:r>
          </w:p>
          <w:p w14:paraId="66F03333">
            <w:pPr>
              <w:adjustRightInd w:val="0"/>
              <w:snapToGrid w:val="0"/>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环境</w:t>
            </w:r>
          </w:p>
          <w:p w14:paraId="67ABEB5D">
            <w:pPr>
              <w:adjustRightInd w:val="0"/>
              <w:snapToGrid w:val="0"/>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质量</w:t>
            </w:r>
          </w:p>
          <w:p w14:paraId="46DC5295">
            <w:pPr>
              <w:adjustRightInd w:val="0"/>
              <w:snapToGrid w:val="0"/>
              <w:jc w:val="center"/>
              <w:rPr>
                <w:rFonts w:hint="default" w:ascii="Times New Roman" w:hAnsi="Times New Roman" w:eastAsia="宋体" w:cs="Times New Roman"/>
                <w:color w:val="auto"/>
                <w:spacing w:val="0"/>
                <w:kern w:val="0"/>
                <w:szCs w:val="21"/>
              </w:rPr>
            </w:pPr>
            <w:r>
              <w:rPr>
                <w:rFonts w:hint="default" w:ascii="Times New Roman" w:hAnsi="Times New Roman" w:eastAsia="宋体" w:cs="Times New Roman"/>
                <w:color w:val="auto"/>
                <w:spacing w:val="0"/>
                <w:kern w:val="0"/>
                <w:sz w:val="24"/>
                <w:szCs w:val="24"/>
              </w:rPr>
              <w:t>现状</w:t>
            </w:r>
          </w:p>
        </w:tc>
        <w:tc>
          <w:tcPr>
            <w:tcW w:w="4795" w:type="pct"/>
            <w:tcBorders>
              <w:tl2br w:val="nil"/>
              <w:tr2bl w:val="nil"/>
            </w:tcBorders>
            <w:noWrap w:val="0"/>
            <w:vAlign w:val="center"/>
          </w:tcPr>
          <w:p w14:paraId="3AC2F586">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default" w:ascii="Times New Roman" w:hAnsi="Times New Roman" w:eastAsia="宋体" w:cs="Times New Roman"/>
                <w:b/>
                <w:color w:val="auto"/>
                <w:spacing w:val="0"/>
                <w:sz w:val="24"/>
                <w:szCs w:val="24"/>
                <w:highlight w:val="none"/>
              </w:rPr>
            </w:pPr>
            <w:r>
              <w:rPr>
                <w:rFonts w:hint="default" w:ascii="Times New Roman" w:hAnsi="Times New Roman" w:eastAsia="宋体" w:cs="Times New Roman"/>
                <w:b/>
                <w:color w:val="auto"/>
                <w:spacing w:val="0"/>
                <w:sz w:val="24"/>
                <w:szCs w:val="24"/>
                <w:highlight w:val="none"/>
              </w:rPr>
              <w:t>1、大气环境</w:t>
            </w:r>
          </w:p>
          <w:p w14:paraId="01EE133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color w:val="auto"/>
                <w:spacing w:val="0"/>
                <w:sz w:val="24"/>
                <w:szCs w:val="24"/>
                <w:highlight w:val="none"/>
              </w:rPr>
            </w:pPr>
            <w:r>
              <w:rPr>
                <w:rFonts w:hint="eastAsia" w:ascii="Times New Roman" w:hAnsi="Times New Roman" w:eastAsia="宋体" w:cs="Times New Roman"/>
                <w:color w:val="auto"/>
                <w:spacing w:val="0"/>
                <w:sz w:val="24"/>
                <w:szCs w:val="24"/>
                <w:highlight w:val="none"/>
                <w:lang w:val="en-US" w:eastAsia="zh-CN"/>
              </w:rPr>
              <w:t>本</w:t>
            </w:r>
            <w:r>
              <w:rPr>
                <w:rFonts w:hint="default" w:ascii="Times New Roman" w:hAnsi="Times New Roman" w:eastAsia="宋体" w:cs="Times New Roman"/>
                <w:color w:val="auto"/>
                <w:spacing w:val="0"/>
                <w:sz w:val="24"/>
                <w:szCs w:val="24"/>
                <w:highlight w:val="none"/>
              </w:rPr>
              <w:t>项目所在地环境空气质量执行《环境空气质量标准》（GB3095-2012）二级标准。根据济宁市生态环境局发布的全市大气环境质量污染物浓度情况，嘉祥县202</w:t>
            </w:r>
            <w:r>
              <w:rPr>
                <w:rFonts w:hint="eastAsia" w:cs="Times New Roman"/>
                <w:color w:val="auto"/>
                <w:spacing w:val="0"/>
                <w:sz w:val="24"/>
                <w:szCs w:val="24"/>
                <w:highlight w:val="none"/>
                <w:lang w:val="en-US" w:eastAsia="zh-CN"/>
              </w:rPr>
              <w:t>3</w:t>
            </w:r>
            <w:r>
              <w:rPr>
                <w:rFonts w:hint="default" w:ascii="Times New Roman" w:hAnsi="Times New Roman" w:eastAsia="宋体" w:cs="Times New Roman"/>
                <w:color w:val="auto"/>
                <w:spacing w:val="0"/>
                <w:sz w:val="24"/>
                <w:szCs w:val="24"/>
                <w:highlight w:val="none"/>
              </w:rPr>
              <w:t>年1月至12月大气环境质量见下表</w:t>
            </w:r>
            <w:r>
              <w:rPr>
                <w:rFonts w:hint="eastAsia" w:cs="Times New Roman"/>
                <w:color w:val="auto"/>
                <w:spacing w:val="0"/>
                <w:sz w:val="24"/>
                <w:szCs w:val="24"/>
                <w:highlight w:val="none"/>
                <w:lang w:eastAsia="zh-CN"/>
              </w:rPr>
              <w:t>。</w:t>
            </w:r>
          </w:p>
          <w:p w14:paraId="48B3040C">
            <w:pPr>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caps w:val="0"/>
                <w:color w:val="auto"/>
                <w:spacing w:val="0"/>
                <w:kern w:val="0"/>
                <w:position w:val="0"/>
                <w:sz w:val="24"/>
                <w:szCs w:val="24"/>
                <w:highlight w:val="none"/>
                <w:lang w:val="en-US" w:eastAsia="zh-CN"/>
              </w:rPr>
            </w:pPr>
            <w:r>
              <w:rPr>
                <w:rFonts w:hint="default" w:ascii="Times New Roman" w:hAnsi="Times New Roman" w:eastAsia="宋体" w:cs="Times New Roman"/>
                <w:b/>
                <w:caps w:val="0"/>
                <w:color w:val="auto"/>
                <w:spacing w:val="0"/>
                <w:kern w:val="0"/>
                <w:position w:val="0"/>
                <w:sz w:val="24"/>
                <w:szCs w:val="24"/>
                <w:highlight w:val="none"/>
                <w:lang w:val="en-US" w:eastAsia="zh-CN"/>
              </w:rPr>
              <w:t>嘉祥县202</w:t>
            </w:r>
            <w:r>
              <w:rPr>
                <w:rFonts w:hint="eastAsia" w:cs="Times New Roman"/>
                <w:b/>
                <w:caps w:val="0"/>
                <w:color w:val="auto"/>
                <w:spacing w:val="0"/>
                <w:kern w:val="0"/>
                <w:position w:val="0"/>
                <w:sz w:val="24"/>
                <w:szCs w:val="24"/>
                <w:highlight w:val="none"/>
                <w:lang w:val="en-US" w:eastAsia="zh-CN"/>
              </w:rPr>
              <w:t>3</w:t>
            </w:r>
            <w:r>
              <w:rPr>
                <w:rFonts w:hint="default" w:ascii="Times New Roman" w:hAnsi="Times New Roman" w:eastAsia="宋体" w:cs="Times New Roman"/>
                <w:b/>
                <w:caps w:val="0"/>
                <w:color w:val="auto"/>
                <w:spacing w:val="0"/>
                <w:kern w:val="0"/>
                <w:position w:val="0"/>
                <w:sz w:val="24"/>
                <w:szCs w:val="24"/>
                <w:highlight w:val="none"/>
                <w:lang w:val="en-US" w:eastAsia="zh-CN"/>
              </w:rPr>
              <w:t>年大气环境质量现状评价表</w:t>
            </w:r>
          </w:p>
          <w:tbl>
            <w:tblPr>
              <w:tblStyle w:val="3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1106"/>
              <w:gridCol w:w="1122"/>
              <w:gridCol w:w="1122"/>
              <w:gridCol w:w="1122"/>
              <w:gridCol w:w="1125"/>
              <w:gridCol w:w="1123"/>
              <w:gridCol w:w="1118"/>
            </w:tblGrid>
            <w:tr w14:paraId="3147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706" w:type="pct"/>
                  <w:tcBorders>
                    <w:tl2br w:val="nil"/>
                    <w:tr2bl w:val="nil"/>
                  </w:tcBorders>
                  <w:noWrap w:val="0"/>
                  <w:vAlign w:val="center"/>
                </w:tcPr>
                <w:p w14:paraId="186CCFC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w:t>
                  </w:r>
                </w:p>
              </w:tc>
              <w:tc>
                <w:tcPr>
                  <w:tcW w:w="715" w:type="pct"/>
                  <w:tcBorders>
                    <w:tl2br w:val="nil"/>
                    <w:tr2bl w:val="nil"/>
                  </w:tcBorders>
                  <w:noWrap w:val="0"/>
                  <w:vAlign w:val="center"/>
                </w:tcPr>
                <w:p w14:paraId="2C58876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二氧化硫</w:t>
                  </w:r>
                </w:p>
                <w:p w14:paraId="2CB7773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日平均浓度值（μg/m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715" w:type="pct"/>
                  <w:tcBorders>
                    <w:tl2br w:val="nil"/>
                    <w:tr2bl w:val="nil"/>
                  </w:tcBorders>
                  <w:noWrap w:val="0"/>
                  <w:vAlign w:val="center"/>
                </w:tcPr>
                <w:p w14:paraId="4ACBAA6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二氧化氮</w:t>
                  </w:r>
                </w:p>
                <w:p w14:paraId="495F559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日平均浓度值（μg/m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715" w:type="pct"/>
                  <w:tcBorders>
                    <w:tl2br w:val="nil"/>
                    <w:tr2bl w:val="nil"/>
                  </w:tcBorders>
                  <w:noWrap w:val="0"/>
                  <w:vAlign w:val="center"/>
                </w:tcPr>
                <w:p w14:paraId="099DC09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rPr>
                    <w:t>10</w:t>
                  </w:r>
                </w:p>
                <w:p w14:paraId="07267AB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日平均浓度值（μg/m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717" w:type="pct"/>
                  <w:tcBorders>
                    <w:tl2br w:val="nil"/>
                    <w:tr2bl w:val="nil"/>
                  </w:tcBorders>
                  <w:noWrap w:val="0"/>
                  <w:vAlign w:val="center"/>
                </w:tcPr>
                <w:p w14:paraId="64E0235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rPr>
                    <w:t>2.5</w:t>
                  </w:r>
                </w:p>
                <w:p w14:paraId="11B029F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日平均浓度值（μg/m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716" w:type="pct"/>
                  <w:tcBorders>
                    <w:tl2br w:val="nil"/>
                    <w:tr2bl w:val="nil"/>
                  </w:tcBorders>
                  <w:noWrap w:val="0"/>
                  <w:vAlign w:val="center"/>
                </w:tcPr>
                <w:p w14:paraId="5077766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CO95百分数浓度值（mg/m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713" w:type="pct"/>
                  <w:tcBorders>
                    <w:tl2br w:val="nil"/>
                    <w:tr2bl w:val="nil"/>
                  </w:tcBorders>
                  <w:noWrap w:val="0"/>
                  <w:vAlign w:val="center"/>
                </w:tcPr>
                <w:p w14:paraId="4D8D8ED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O</w:t>
                  </w:r>
                  <w:r>
                    <w:rPr>
                      <w:rFonts w:hint="default" w:ascii="Times New Roman" w:hAnsi="Times New Roman" w:eastAsia="宋体" w:cs="Times New Roman"/>
                      <w:color w:val="auto"/>
                      <w:sz w:val="21"/>
                      <w:szCs w:val="21"/>
                      <w:highlight w:val="none"/>
                      <w:vertAlign w:val="subscript"/>
                    </w:rPr>
                    <w:t>3</w:t>
                  </w:r>
                  <w:r>
                    <w:rPr>
                      <w:rFonts w:hint="default" w:ascii="Times New Roman" w:hAnsi="Times New Roman" w:eastAsia="宋体" w:cs="Times New Roman"/>
                      <w:color w:val="auto"/>
                      <w:sz w:val="21"/>
                      <w:szCs w:val="21"/>
                      <w:highlight w:val="none"/>
                    </w:rPr>
                    <w:t>90百分数浓度值（μg/m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r>
            <w:tr w14:paraId="1FF1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706" w:type="pct"/>
                  <w:tcBorders>
                    <w:tl2br w:val="nil"/>
                    <w:tr2bl w:val="nil"/>
                  </w:tcBorders>
                  <w:noWrap w:val="0"/>
                  <w:vAlign w:val="center"/>
                </w:tcPr>
                <w:p w14:paraId="4D5FA20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2023-</w:t>
                  </w:r>
                  <w:r>
                    <w:rPr>
                      <w:rFonts w:hint="default" w:ascii="Times New Roman" w:hAnsi="Times New Roman" w:eastAsia="宋体" w:cs="Times New Roman"/>
                      <w:color w:val="auto"/>
                      <w:sz w:val="21"/>
                      <w:szCs w:val="21"/>
                      <w:highlight w:val="none"/>
                    </w:rPr>
                    <w:t>1</w:t>
                  </w:r>
                </w:p>
              </w:tc>
              <w:tc>
                <w:tcPr>
                  <w:tcW w:w="715" w:type="pct"/>
                  <w:tcBorders>
                    <w:tl2br w:val="nil"/>
                    <w:tr2bl w:val="nil"/>
                  </w:tcBorders>
                  <w:noWrap w:val="0"/>
                  <w:vAlign w:val="center"/>
                </w:tcPr>
                <w:p w14:paraId="6695D70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715" w:type="pct"/>
                  <w:tcBorders>
                    <w:tl2br w:val="nil"/>
                    <w:tr2bl w:val="nil"/>
                  </w:tcBorders>
                  <w:noWrap w:val="0"/>
                  <w:vAlign w:val="center"/>
                </w:tcPr>
                <w:p w14:paraId="0814713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39</w:t>
                  </w:r>
                </w:p>
              </w:tc>
              <w:tc>
                <w:tcPr>
                  <w:tcW w:w="715" w:type="pct"/>
                  <w:tcBorders>
                    <w:tl2br w:val="nil"/>
                    <w:tr2bl w:val="nil"/>
                  </w:tcBorders>
                  <w:noWrap w:val="0"/>
                  <w:vAlign w:val="center"/>
                </w:tcPr>
                <w:p w14:paraId="31A14AF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143</w:t>
                  </w:r>
                </w:p>
              </w:tc>
              <w:tc>
                <w:tcPr>
                  <w:tcW w:w="717" w:type="pct"/>
                  <w:tcBorders>
                    <w:tl2br w:val="nil"/>
                    <w:tr2bl w:val="nil"/>
                  </w:tcBorders>
                  <w:noWrap w:val="0"/>
                  <w:vAlign w:val="center"/>
                </w:tcPr>
                <w:p w14:paraId="76B46D6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110</w:t>
                  </w:r>
                </w:p>
              </w:tc>
              <w:tc>
                <w:tcPr>
                  <w:tcW w:w="716" w:type="pct"/>
                  <w:tcBorders>
                    <w:tl2br w:val="nil"/>
                    <w:tr2bl w:val="nil"/>
                  </w:tcBorders>
                  <w:noWrap w:val="0"/>
                  <w:vAlign w:val="center"/>
                </w:tcPr>
                <w:p w14:paraId="616D0F6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713" w:type="pct"/>
                  <w:tcBorders>
                    <w:tl2br w:val="nil"/>
                    <w:tr2bl w:val="nil"/>
                  </w:tcBorders>
                  <w:noWrap w:val="0"/>
                  <w:vAlign w:val="center"/>
                </w:tcPr>
                <w:p w14:paraId="3FD27B7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77</w:t>
                  </w:r>
                </w:p>
              </w:tc>
            </w:tr>
            <w:tr w14:paraId="2660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706" w:type="pct"/>
                  <w:tcBorders>
                    <w:tl2br w:val="nil"/>
                    <w:tr2bl w:val="nil"/>
                  </w:tcBorders>
                  <w:noWrap w:val="0"/>
                  <w:vAlign w:val="center"/>
                </w:tcPr>
                <w:p w14:paraId="3FA0A1F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2023-</w:t>
                  </w:r>
                  <w:r>
                    <w:rPr>
                      <w:rFonts w:hint="default" w:ascii="Times New Roman" w:hAnsi="Times New Roman" w:eastAsia="宋体" w:cs="Times New Roman"/>
                      <w:color w:val="auto"/>
                      <w:sz w:val="21"/>
                      <w:szCs w:val="21"/>
                      <w:highlight w:val="none"/>
                    </w:rPr>
                    <w:t>2</w:t>
                  </w:r>
                </w:p>
              </w:tc>
              <w:tc>
                <w:tcPr>
                  <w:tcW w:w="715" w:type="pct"/>
                  <w:tcBorders>
                    <w:tl2br w:val="nil"/>
                    <w:tr2bl w:val="nil"/>
                  </w:tcBorders>
                  <w:noWrap w:val="0"/>
                  <w:vAlign w:val="center"/>
                </w:tcPr>
                <w:p w14:paraId="357B68A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715" w:type="pct"/>
                  <w:tcBorders>
                    <w:tl2br w:val="nil"/>
                    <w:tr2bl w:val="nil"/>
                  </w:tcBorders>
                  <w:noWrap w:val="0"/>
                  <w:vAlign w:val="center"/>
                </w:tcPr>
                <w:p w14:paraId="6A8315B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w:t>
                  </w:r>
                </w:p>
              </w:tc>
              <w:tc>
                <w:tcPr>
                  <w:tcW w:w="715" w:type="pct"/>
                  <w:tcBorders>
                    <w:tl2br w:val="nil"/>
                    <w:tr2bl w:val="nil"/>
                  </w:tcBorders>
                  <w:noWrap w:val="0"/>
                  <w:vAlign w:val="center"/>
                </w:tcPr>
                <w:p w14:paraId="758A36F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87</w:t>
                  </w:r>
                </w:p>
              </w:tc>
              <w:tc>
                <w:tcPr>
                  <w:tcW w:w="717" w:type="pct"/>
                  <w:tcBorders>
                    <w:tl2br w:val="nil"/>
                    <w:tr2bl w:val="nil"/>
                  </w:tcBorders>
                  <w:noWrap w:val="0"/>
                  <w:vAlign w:val="center"/>
                </w:tcPr>
                <w:p w14:paraId="54F61D4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59</w:t>
                  </w:r>
                </w:p>
              </w:tc>
              <w:tc>
                <w:tcPr>
                  <w:tcW w:w="716" w:type="pct"/>
                  <w:tcBorders>
                    <w:tl2br w:val="nil"/>
                    <w:tr2bl w:val="nil"/>
                  </w:tcBorders>
                  <w:noWrap w:val="0"/>
                  <w:vAlign w:val="center"/>
                </w:tcPr>
                <w:p w14:paraId="15415D0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713" w:type="pct"/>
                  <w:tcBorders>
                    <w:tl2br w:val="nil"/>
                    <w:tr2bl w:val="nil"/>
                  </w:tcBorders>
                  <w:noWrap w:val="0"/>
                  <w:vAlign w:val="center"/>
                </w:tcPr>
                <w:p w14:paraId="3FCF9C0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114</w:t>
                  </w:r>
                </w:p>
              </w:tc>
            </w:tr>
            <w:tr w14:paraId="4C56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706" w:type="pct"/>
                  <w:tcBorders>
                    <w:tl2br w:val="nil"/>
                    <w:tr2bl w:val="nil"/>
                  </w:tcBorders>
                  <w:noWrap w:val="0"/>
                  <w:vAlign w:val="center"/>
                </w:tcPr>
                <w:p w14:paraId="08F5CF0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2023-</w:t>
                  </w:r>
                  <w:r>
                    <w:rPr>
                      <w:rFonts w:hint="default" w:ascii="Times New Roman" w:hAnsi="Times New Roman" w:eastAsia="宋体" w:cs="Times New Roman"/>
                      <w:color w:val="auto"/>
                      <w:sz w:val="21"/>
                      <w:szCs w:val="21"/>
                      <w:highlight w:val="none"/>
                    </w:rPr>
                    <w:t>3</w:t>
                  </w:r>
                </w:p>
              </w:tc>
              <w:tc>
                <w:tcPr>
                  <w:tcW w:w="715" w:type="pct"/>
                  <w:tcBorders>
                    <w:tl2br w:val="nil"/>
                    <w:tr2bl w:val="nil"/>
                  </w:tcBorders>
                  <w:noWrap w:val="0"/>
                  <w:vAlign w:val="center"/>
                </w:tcPr>
                <w:p w14:paraId="0072B63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715" w:type="pct"/>
                  <w:tcBorders>
                    <w:tl2br w:val="nil"/>
                    <w:tr2bl w:val="nil"/>
                  </w:tcBorders>
                  <w:noWrap w:val="0"/>
                  <w:vAlign w:val="center"/>
                </w:tcPr>
                <w:p w14:paraId="2AB69C2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w:t>
                  </w:r>
                </w:p>
              </w:tc>
              <w:tc>
                <w:tcPr>
                  <w:tcW w:w="715" w:type="pct"/>
                  <w:tcBorders>
                    <w:tl2br w:val="nil"/>
                    <w:tr2bl w:val="nil"/>
                  </w:tcBorders>
                  <w:noWrap w:val="0"/>
                  <w:vAlign w:val="center"/>
                </w:tcPr>
                <w:p w14:paraId="3F15CAB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83</w:t>
                  </w:r>
                </w:p>
              </w:tc>
              <w:tc>
                <w:tcPr>
                  <w:tcW w:w="717" w:type="pct"/>
                  <w:tcBorders>
                    <w:tl2br w:val="nil"/>
                    <w:tr2bl w:val="nil"/>
                  </w:tcBorders>
                  <w:noWrap w:val="0"/>
                  <w:vAlign w:val="center"/>
                </w:tcPr>
                <w:p w14:paraId="3D46AD0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49</w:t>
                  </w:r>
                </w:p>
              </w:tc>
              <w:tc>
                <w:tcPr>
                  <w:tcW w:w="716" w:type="pct"/>
                  <w:tcBorders>
                    <w:tl2br w:val="nil"/>
                    <w:tr2bl w:val="nil"/>
                  </w:tcBorders>
                  <w:noWrap w:val="0"/>
                  <w:vAlign w:val="center"/>
                </w:tcPr>
                <w:p w14:paraId="1AA0E31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13" w:type="pct"/>
                  <w:tcBorders>
                    <w:tl2br w:val="nil"/>
                    <w:tr2bl w:val="nil"/>
                  </w:tcBorders>
                  <w:noWrap w:val="0"/>
                  <w:vAlign w:val="center"/>
                </w:tcPr>
                <w:p w14:paraId="110840D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122</w:t>
                  </w:r>
                </w:p>
              </w:tc>
            </w:tr>
            <w:tr w14:paraId="180B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706" w:type="pct"/>
                  <w:tcBorders>
                    <w:tl2br w:val="nil"/>
                    <w:tr2bl w:val="nil"/>
                  </w:tcBorders>
                  <w:noWrap w:val="0"/>
                  <w:vAlign w:val="center"/>
                </w:tcPr>
                <w:p w14:paraId="1A939ED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2023-</w:t>
                  </w:r>
                  <w:r>
                    <w:rPr>
                      <w:rFonts w:hint="default" w:ascii="Times New Roman" w:hAnsi="Times New Roman" w:eastAsia="宋体" w:cs="Times New Roman"/>
                      <w:color w:val="auto"/>
                      <w:sz w:val="21"/>
                      <w:szCs w:val="21"/>
                      <w:highlight w:val="none"/>
                    </w:rPr>
                    <w:t>4</w:t>
                  </w:r>
                </w:p>
              </w:tc>
              <w:tc>
                <w:tcPr>
                  <w:tcW w:w="715" w:type="pct"/>
                  <w:tcBorders>
                    <w:tl2br w:val="nil"/>
                    <w:tr2bl w:val="nil"/>
                  </w:tcBorders>
                  <w:noWrap w:val="0"/>
                  <w:vAlign w:val="center"/>
                </w:tcPr>
                <w:p w14:paraId="4F52A10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15" w:type="pct"/>
                  <w:tcBorders>
                    <w:tl2br w:val="nil"/>
                    <w:tr2bl w:val="nil"/>
                  </w:tcBorders>
                  <w:noWrap w:val="0"/>
                  <w:vAlign w:val="center"/>
                </w:tcPr>
                <w:p w14:paraId="1F439EF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715" w:type="pct"/>
                  <w:tcBorders>
                    <w:tl2br w:val="nil"/>
                    <w:tr2bl w:val="nil"/>
                  </w:tcBorders>
                  <w:noWrap w:val="0"/>
                  <w:vAlign w:val="center"/>
                </w:tcPr>
                <w:p w14:paraId="4586274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77</w:t>
                  </w:r>
                </w:p>
              </w:tc>
              <w:tc>
                <w:tcPr>
                  <w:tcW w:w="717" w:type="pct"/>
                  <w:tcBorders>
                    <w:tl2br w:val="nil"/>
                    <w:tr2bl w:val="nil"/>
                  </w:tcBorders>
                  <w:noWrap w:val="0"/>
                  <w:vAlign w:val="center"/>
                </w:tcPr>
                <w:p w14:paraId="02B5BB9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w:t>
                  </w:r>
                </w:p>
              </w:tc>
              <w:tc>
                <w:tcPr>
                  <w:tcW w:w="716" w:type="pct"/>
                  <w:tcBorders>
                    <w:tl2br w:val="nil"/>
                    <w:tr2bl w:val="nil"/>
                  </w:tcBorders>
                  <w:noWrap w:val="0"/>
                  <w:vAlign w:val="center"/>
                </w:tcPr>
                <w:p w14:paraId="010E76F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13" w:type="pct"/>
                  <w:tcBorders>
                    <w:tl2br w:val="nil"/>
                    <w:tr2bl w:val="nil"/>
                  </w:tcBorders>
                  <w:noWrap w:val="0"/>
                  <w:vAlign w:val="center"/>
                </w:tcPr>
                <w:p w14:paraId="096880B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162</w:t>
                  </w:r>
                </w:p>
              </w:tc>
            </w:tr>
            <w:tr w14:paraId="5674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706" w:type="pct"/>
                  <w:tcBorders>
                    <w:tl2br w:val="nil"/>
                    <w:tr2bl w:val="nil"/>
                  </w:tcBorders>
                  <w:noWrap w:val="0"/>
                  <w:vAlign w:val="center"/>
                </w:tcPr>
                <w:p w14:paraId="6338E0C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2023-</w:t>
                  </w:r>
                  <w:r>
                    <w:rPr>
                      <w:rFonts w:hint="default" w:ascii="Times New Roman" w:hAnsi="Times New Roman" w:eastAsia="宋体" w:cs="Times New Roman"/>
                      <w:color w:val="auto"/>
                      <w:sz w:val="21"/>
                      <w:szCs w:val="21"/>
                      <w:highlight w:val="none"/>
                    </w:rPr>
                    <w:t>5</w:t>
                  </w:r>
                </w:p>
              </w:tc>
              <w:tc>
                <w:tcPr>
                  <w:tcW w:w="715" w:type="pct"/>
                  <w:tcBorders>
                    <w:tl2br w:val="nil"/>
                    <w:tr2bl w:val="nil"/>
                  </w:tcBorders>
                  <w:noWrap w:val="0"/>
                  <w:vAlign w:val="center"/>
                </w:tcPr>
                <w:p w14:paraId="0006AF2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15" w:type="pct"/>
                  <w:tcBorders>
                    <w:tl2br w:val="nil"/>
                    <w:tr2bl w:val="nil"/>
                  </w:tcBorders>
                  <w:noWrap w:val="0"/>
                  <w:vAlign w:val="center"/>
                </w:tcPr>
                <w:p w14:paraId="5408DF0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715" w:type="pct"/>
                  <w:tcBorders>
                    <w:tl2br w:val="nil"/>
                    <w:tr2bl w:val="nil"/>
                  </w:tcBorders>
                  <w:noWrap w:val="0"/>
                  <w:vAlign w:val="center"/>
                </w:tcPr>
                <w:p w14:paraId="6CFB424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68</w:t>
                  </w:r>
                </w:p>
              </w:tc>
              <w:tc>
                <w:tcPr>
                  <w:tcW w:w="717" w:type="pct"/>
                  <w:tcBorders>
                    <w:tl2br w:val="nil"/>
                    <w:tr2bl w:val="nil"/>
                  </w:tcBorders>
                  <w:noWrap w:val="0"/>
                  <w:vAlign w:val="center"/>
                </w:tcPr>
                <w:p w14:paraId="7321FF5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33</w:t>
                  </w:r>
                </w:p>
              </w:tc>
              <w:tc>
                <w:tcPr>
                  <w:tcW w:w="716" w:type="pct"/>
                  <w:tcBorders>
                    <w:tl2br w:val="nil"/>
                    <w:tr2bl w:val="nil"/>
                  </w:tcBorders>
                  <w:noWrap w:val="0"/>
                  <w:vAlign w:val="center"/>
                </w:tcPr>
                <w:p w14:paraId="49B2C8A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0.9</w:t>
                  </w:r>
                </w:p>
              </w:tc>
              <w:tc>
                <w:tcPr>
                  <w:tcW w:w="713" w:type="pct"/>
                  <w:tcBorders>
                    <w:tl2br w:val="nil"/>
                    <w:tr2bl w:val="nil"/>
                  </w:tcBorders>
                  <w:noWrap w:val="0"/>
                  <w:vAlign w:val="center"/>
                </w:tcPr>
                <w:p w14:paraId="1C739C9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173</w:t>
                  </w:r>
                </w:p>
              </w:tc>
            </w:tr>
            <w:tr w14:paraId="174D6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706" w:type="pct"/>
                  <w:tcBorders>
                    <w:tl2br w:val="nil"/>
                    <w:tr2bl w:val="nil"/>
                  </w:tcBorders>
                  <w:noWrap w:val="0"/>
                  <w:vAlign w:val="center"/>
                </w:tcPr>
                <w:p w14:paraId="1248400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2023-</w:t>
                  </w:r>
                  <w:r>
                    <w:rPr>
                      <w:rFonts w:hint="default" w:ascii="Times New Roman" w:hAnsi="Times New Roman" w:eastAsia="宋体" w:cs="Times New Roman"/>
                      <w:color w:val="auto"/>
                      <w:sz w:val="21"/>
                      <w:szCs w:val="21"/>
                      <w:highlight w:val="none"/>
                    </w:rPr>
                    <w:t>6</w:t>
                  </w:r>
                </w:p>
              </w:tc>
              <w:tc>
                <w:tcPr>
                  <w:tcW w:w="715" w:type="pct"/>
                  <w:tcBorders>
                    <w:tl2br w:val="nil"/>
                    <w:tr2bl w:val="nil"/>
                  </w:tcBorders>
                  <w:noWrap w:val="0"/>
                  <w:vAlign w:val="center"/>
                </w:tcPr>
                <w:p w14:paraId="1156F7B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715" w:type="pct"/>
                  <w:tcBorders>
                    <w:tl2br w:val="nil"/>
                    <w:tr2bl w:val="nil"/>
                  </w:tcBorders>
                  <w:noWrap w:val="0"/>
                  <w:vAlign w:val="center"/>
                </w:tcPr>
                <w:p w14:paraId="6B6E3BB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715" w:type="pct"/>
                  <w:tcBorders>
                    <w:tl2br w:val="nil"/>
                    <w:tr2bl w:val="nil"/>
                  </w:tcBorders>
                  <w:noWrap w:val="0"/>
                  <w:vAlign w:val="center"/>
                </w:tcPr>
                <w:p w14:paraId="239368D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w:t>
                  </w:r>
                </w:p>
              </w:tc>
              <w:tc>
                <w:tcPr>
                  <w:tcW w:w="717" w:type="pct"/>
                  <w:tcBorders>
                    <w:tl2br w:val="nil"/>
                    <w:tr2bl w:val="nil"/>
                  </w:tcBorders>
                  <w:noWrap w:val="0"/>
                  <w:vAlign w:val="center"/>
                </w:tcPr>
                <w:p w14:paraId="74FCB6B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w:t>
                  </w:r>
                </w:p>
              </w:tc>
              <w:tc>
                <w:tcPr>
                  <w:tcW w:w="716" w:type="pct"/>
                  <w:tcBorders>
                    <w:tl2br w:val="nil"/>
                    <w:tr2bl w:val="nil"/>
                  </w:tcBorders>
                  <w:noWrap w:val="0"/>
                  <w:vAlign w:val="center"/>
                </w:tcPr>
                <w:p w14:paraId="2BD6D29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0.8</w:t>
                  </w:r>
                </w:p>
              </w:tc>
              <w:tc>
                <w:tcPr>
                  <w:tcW w:w="713" w:type="pct"/>
                  <w:tcBorders>
                    <w:tl2br w:val="nil"/>
                    <w:tr2bl w:val="nil"/>
                  </w:tcBorders>
                  <w:noWrap w:val="0"/>
                  <w:vAlign w:val="center"/>
                </w:tcPr>
                <w:p w14:paraId="01F4C83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237</w:t>
                  </w:r>
                </w:p>
              </w:tc>
            </w:tr>
            <w:tr w14:paraId="1DF4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706" w:type="pct"/>
                  <w:tcBorders>
                    <w:tl2br w:val="nil"/>
                    <w:tr2bl w:val="nil"/>
                  </w:tcBorders>
                  <w:noWrap w:val="0"/>
                  <w:vAlign w:val="center"/>
                </w:tcPr>
                <w:p w14:paraId="1EF6DB7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2023-</w:t>
                  </w:r>
                  <w:r>
                    <w:rPr>
                      <w:rFonts w:hint="default" w:ascii="Times New Roman" w:hAnsi="Times New Roman" w:eastAsia="宋体" w:cs="Times New Roman"/>
                      <w:color w:val="auto"/>
                      <w:sz w:val="21"/>
                      <w:szCs w:val="21"/>
                      <w:highlight w:val="none"/>
                    </w:rPr>
                    <w:t>7</w:t>
                  </w:r>
                </w:p>
              </w:tc>
              <w:tc>
                <w:tcPr>
                  <w:tcW w:w="715" w:type="pct"/>
                  <w:tcBorders>
                    <w:tl2br w:val="nil"/>
                    <w:tr2bl w:val="nil"/>
                  </w:tcBorders>
                  <w:noWrap w:val="0"/>
                  <w:vAlign w:val="center"/>
                </w:tcPr>
                <w:p w14:paraId="49480A7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715" w:type="pct"/>
                  <w:tcBorders>
                    <w:tl2br w:val="nil"/>
                    <w:tr2bl w:val="nil"/>
                  </w:tcBorders>
                  <w:noWrap w:val="0"/>
                  <w:vAlign w:val="center"/>
                </w:tcPr>
                <w:p w14:paraId="101DEB8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715" w:type="pct"/>
                  <w:tcBorders>
                    <w:tl2br w:val="nil"/>
                    <w:tr2bl w:val="nil"/>
                  </w:tcBorders>
                  <w:noWrap w:val="0"/>
                  <w:vAlign w:val="center"/>
                </w:tcPr>
                <w:p w14:paraId="48FEE2F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w:t>
                  </w:r>
                </w:p>
              </w:tc>
              <w:tc>
                <w:tcPr>
                  <w:tcW w:w="717" w:type="pct"/>
                  <w:tcBorders>
                    <w:tl2br w:val="nil"/>
                    <w:tr2bl w:val="nil"/>
                  </w:tcBorders>
                  <w:noWrap w:val="0"/>
                  <w:vAlign w:val="center"/>
                </w:tcPr>
                <w:p w14:paraId="06C44E9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w:t>
                  </w:r>
                </w:p>
              </w:tc>
              <w:tc>
                <w:tcPr>
                  <w:tcW w:w="716" w:type="pct"/>
                  <w:tcBorders>
                    <w:tl2br w:val="nil"/>
                    <w:tr2bl w:val="nil"/>
                  </w:tcBorders>
                  <w:noWrap w:val="0"/>
                  <w:vAlign w:val="center"/>
                </w:tcPr>
                <w:p w14:paraId="53B74BD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13" w:type="pct"/>
                  <w:tcBorders>
                    <w:tl2br w:val="nil"/>
                    <w:tr2bl w:val="nil"/>
                  </w:tcBorders>
                  <w:noWrap w:val="0"/>
                  <w:vAlign w:val="center"/>
                </w:tcPr>
                <w:p w14:paraId="5001A6B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160</w:t>
                  </w:r>
                </w:p>
              </w:tc>
            </w:tr>
            <w:tr w14:paraId="2B16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706" w:type="pct"/>
                  <w:tcBorders>
                    <w:tl2br w:val="nil"/>
                    <w:tr2bl w:val="nil"/>
                  </w:tcBorders>
                  <w:noWrap w:val="0"/>
                  <w:vAlign w:val="center"/>
                </w:tcPr>
                <w:p w14:paraId="2984F32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2023-</w:t>
                  </w:r>
                  <w:r>
                    <w:rPr>
                      <w:rFonts w:hint="default" w:ascii="Times New Roman" w:hAnsi="Times New Roman" w:eastAsia="宋体" w:cs="Times New Roman"/>
                      <w:color w:val="auto"/>
                      <w:sz w:val="21"/>
                      <w:szCs w:val="21"/>
                      <w:highlight w:val="none"/>
                    </w:rPr>
                    <w:t>8</w:t>
                  </w:r>
                </w:p>
              </w:tc>
              <w:tc>
                <w:tcPr>
                  <w:tcW w:w="715" w:type="pct"/>
                  <w:tcBorders>
                    <w:tl2br w:val="nil"/>
                    <w:tr2bl w:val="nil"/>
                  </w:tcBorders>
                  <w:noWrap w:val="0"/>
                  <w:vAlign w:val="center"/>
                </w:tcPr>
                <w:p w14:paraId="07874AB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715" w:type="pct"/>
                  <w:tcBorders>
                    <w:tl2br w:val="nil"/>
                    <w:tr2bl w:val="nil"/>
                  </w:tcBorders>
                  <w:noWrap w:val="0"/>
                  <w:vAlign w:val="center"/>
                </w:tcPr>
                <w:p w14:paraId="3E4C8E0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715" w:type="pct"/>
                  <w:tcBorders>
                    <w:tl2br w:val="nil"/>
                    <w:tr2bl w:val="nil"/>
                  </w:tcBorders>
                  <w:noWrap w:val="0"/>
                  <w:vAlign w:val="center"/>
                </w:tcPr>
                <w:p w14:paraId="62BD76C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w:t>
                  </w:r>
                </w:p>
              </w:tc>
              <w:tc>
                <w:tcPr>
                  <w:tcW w:w="717" w:type="pct"/>
                  <w:tcBorders>
                    <w:tl2br w:val="nil"/>
                    <w:tr2bl w:val="nil"/>
                  </w:tcBorders>
                  <w:noWrap w:val="0"/>
                  <w:vAlign w:val="center"/>
                </w:tcPr>
                <w:p w14:paraId="7E11140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w:t>
                  </w:r>
                </w:p>
              </w:tc>
              <w:tc>
                <w:tcPr>
                  <w:tcW w:w="716" w:type="pct"/>
                  <w:tcBorders>
                    <w:tl2br w:val="nil"/>
                    <w:tr2bl w:val="nil"/>
                  </w:tcBorders>
                  <w:noWrap w:val="0"/>
                  <w:vAlign w:val="center"/>
                </w:tcPr>
                <w:p w14:paraId="35D08C0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13" w:type="pct"/>
                  <w:tcBorders>
                    <w:tl2br w:val="nil"/>
                    <w:tr2bl w:val="nil"/>
                  </w:tcBorders>
                  <w:noWrap w:val="0"/>
                  <w:vAlign w:val="center"/>
                </w:tcPr>
                <w:p w14:paraId="6365AC0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157</w:t>
                  </w:r>
                </w:p>
              </w:tc>
            </w:tr>
            <w:tr w14:paraId="1142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706" w:type="pct"/>
                  <w:tcBorders>
                    <w:tl2br w:val="nil"/>
                    <w:tr2bl w:val="nil"/>
                  </w:tcBorders>
                  <w:noWrap w:val="0"/>
                  <w:vAlign w:val="center"/>
                </w:tcPr>
                <w:p w14:paraId="40C6E42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2023-</w:t>
                  </w:r>
                  <w:r>
                    <w:rPr>
                      <w:rFonts w:hint="default" w:ascii="Times New Roman" w:hAnsi="Times New Roman" w:eastAsia="宋体" w:cs="Times New Roman"/>
                      <w:color w:val="auto"/>
                      <w:sz w:val="21"/>
                      <w:szCs w:val="21"/>
                      <w:highlight w:val="none"/>
                    </w:rPr>
                    <w:t>9</w:t>
                  </w:r>
                </w:p>
              </w:tc>
              <w:tc>
                <w:tcPr>
                  <w:tcW w:w="715" w:type="pct"/>
                  <w:tcBorders>
                    <w:tl2br w:val="nil"/>
                    <w:tr2bl w:val="nil"/>
                  </w:tcBorders>
                  <w:noWrap w:val="0"/>
                  <w:vAlign w:val="center"/>
                </w:tcPr>
                <w:p w14:paraId="3794679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715" w:type="pct"/>
                  <w:tcBorders>
                    <w:tl2br w:val="nil"/>
                    <w:tr2bl w:val="nil"/>
                  </w:tcBorders>
                  <w:noWrap w:val="0"/>
                  <w:vAlign w:val="center"/>
                </w:tcPr>
                <w:p w14:paraId="7ED8B44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w:t>
                  </w:r>
                </w:p>
              </w:tc>
              <w:tc>
                <w:tcPr>
                  <w:tcW w:w="715" w:type="pct"/>
                  <w:tcBorders>
                    <w:tl2br w:val="nil"/>
                    <w:tr2bl w:val="nil"/>
                  </w:tcBorders>
                  <w:noWrap w:val="0"/>
                  <w:vAlign w:val="center"/>
                </w:tcPr>
                <w:p w14:paraId="0403FF6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66</w:t>
                  </w:r>
                </w:p>
              </w:tc>
              <w:tc>
                <w:tcPr>
                  <w:tcW w:w="717" w:type="pct"/>
                  <w:tcBorders>
                    <w:tl2br w:val="nil"/>
                    <w:tr2bl w:val="nil"/>
                  </w:tcBorders>
                  <w:noWrap w:val="0"/>
                  <w:vAlign w:val="center"/>
                </w:tcPr>
                <w:p w14:paraId="4821502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34</w:t>
                  </w:r>
                </w:p>
              </w:tc>
              <w:tc>
                <w:tcPr>
                  <w:tcW w:w="716" w:type="pct"/>
                  <w:tcBorders>
                    <w:tl2br w:val="nil"/>
                    <w:tr2bl w:val="nil"/>
                  </w:tcBorders>
                  <w:noWrap w:val="0"/>
                  <w:vAlign w:val="center"/>
                </w:tcPr>
                <w:p w14:paraId="4145D21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13" w:type="pct"/>
                  <w:tcBorders>
                    <w:tl2br w:val="nil"/>
                    <w:tr2bl w:val="nil"/>
                  </w:tcBorders>
                  <w:noWrap w:val="0"/>
                  <w:vAlign w:val="center"/>
                </w:tcPr>
                <w:p w14:paraId="33C0648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182</w:t>
                  </w:r>
                </w:p>
              </w:tc>
            </w:tr>
            <w:tr w14:paraId="3115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706" w:type="pct"/>
                  <w:tcBorders>
                    <w:tl2br w:val="nil"/>
                    <w:tr2bl w:val="nil"/>
                  </w:tcBorders>
                  <w:noWrap w:val="0"/>
                  <w:vAlign w:val="center"/>
                </w:tcPr>
                <w:p w14:paraId="24DD03C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2023-</w:t>
                  </w:r>
                  <w:r>
                    <w:rPr>
                      <w:rFonts w:hint="default" w:ascii="Times New Roman" w:hAnsi="Times New Roman" w:eastAsia="宋体" w:cs="Times New Roman"/>
                      <w:color w:val="auto"/>
                      <w:sz w:val="21"/>
                      <w:szCs w:val="21"/>
                      <w:highlight w:val="none"/>
                    </w:rPr>
                    <w:t>10</w:t>
                  </w:r>
                </w:p>
              </w:tc>
              <w:tc>
                <w:tcPr>
                  <w:tcW w:w="715" w:type="pct"/>
                  <w:tcBorders>
                    <w:tl2br w:val="nil"/>
                    <w:tr2bl w:val="nil"/>
                  </w:tcBorders>
                  <w:noWrap w:val="0"/>
                  <w:vAlign w:val="center"/>
                </w:tcPr>
                <w:p w14:paraId="25282DF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15" w:type="pct"/>
                  <w:tcBorders>
                    <w:tl2br w:val="nil"/>
                    <w:tr2bl w:val="nil"/>
                  </w:tcBorders>
                  <w:noWrap w:val="0"/>
                  <w:vAlign w:val="center"/>
                </w:tcPr>
                <w:p w14:paraId="285893B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w:t>
                  </w:r>
                </w:p>
              </w:tc>
              <w:tc>
                <w:tcPr>
                  <w:tcW w:w="715" w:type="pct"/>
                  <w:tcBorders>
                    <w:tl2br w:val="nil"/>
                    <w:tr2bl w:val="nil"/>
                  </w:tcBorders>
                  <w:noWrap w:val="0"/>
                  <w:vAlign w:val="center"/>
                </w:tcPr>
                <w:p w14:paraId="0A54D4C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74</w:t>
                  </w:r>
                </w:p>
              </w:tc>
              <w:tc>
                <w:tcPr>
                  <w:tcW w:w="717" w:type="pct"/>
                  <w:tcBorders>
                    <w:tl2br w:val="nil"/>
                    <w:tr2bl w:val="nil"/>
                  </w:tcBorders>
                  <w:noWrap w:val="0"/>
                  <w:vAlign w:val="center"/>
                </w:tcPr>
                <w:p w14:paraId="62D5057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w:t>
                  </w:r>
                </w:p>
              </w:tc>
              <w:tc>
                <w:tcPr>
                  <w:tcW w:w="716" w:type="pct"/>
                  <w:tcBorders>
                    <w:tl2br w:val="nil"/>
                    <w:tr2bl w:val="nil"/>
                  </w:tcBorders>
                  <w:noWrap w:val="0"/>
                  <w:vAlign w:val="center"/>
                </w:tcPr>
                <w:p w14:paraId="088AE65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13" w:type="pct"/>
                  <w:tcBorders>
                    <w:tl2br w:val="nil"/>
                    <w:tr2bl w:val="nil"/>
                  </w:tcBorders>
                  <w:noWrap w:val="0"/>
                  <w:vAlign w:val="center"/>
                </w:tcPr>
                <w:p w14:paraId="007A1BE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142</w:t>
                  </w:r>
                </w:p>
              </w:tc>
            </w:tr>
            <w:tr w14:paraId="5A85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706" w:type="pct"/>
                  <w:tcBorders>
                    <w:tl2br w:val="nil"/>
                    <w:tr2bl w:val="nil"/>
                  </w:tcBorders>
                  <w:noWrap w:val="0"/>
                  <w:vAlign w:val="center"/>
                </w:tcPr>
                <w:p w14:paraId="354947B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2023-</w:t>
                  </w:r>
                  <w:r>
                    <w:rPr>
                      <w:rFonts w:hint="default" w:ascii="Times New Roman" w:hAnsi="Times New Roman" w:eastAsia="宋体" w:cs="Times New Roman"/>
                      <w:color w:val="auto"/>
                      <w:sz w:val="21"/>
                      <w:szCs w:val="21"/>
                      <w:highlight w:val="none"/>
                    </w:rPr>
                    <w:t>11</w:t>
                  </w:r>
                </w:p>
              </w:tc>
              <w:tc>
                <w:tcPr>
                  <w:tcW w:w="715" w:type="pct"/>
                  <w:tcBorders>
                    <w:tl2br w:val="nil"/>
                    <w:tr2bl w:val="nil"/>
                  </w:tcBorders>
                  <w:noWrap w:val="0"/>
                  <w:vAlign w:val="center"/>
                </w:tcPr>
                <w:p w14:paraId="7DD7097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15" w:type="pct"/>
                  <w:tcBorders>
                    <w:tl2br w:val="nil"/>
                    <w:tr2bl w:val="nil"/>
                  </w:tcBorders>
                  <w:noWrap w:val="0"/>
                  <w:vAlign w:val="center"/>
                </w:tcPr>
                <w:p w14:paraId="41699F3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33</w:t>
                  </w:r>
                </w:p>
              </w:tc>
              <w:tc>
                <w:tcPr>
                  <w:tcW w:w="715" w:type="pct"/>
                  <w:tcBorders>
                    <w:tl2br w:val="nil"/>
                    <w:tr2bl w:val="nil"/>
                  </w:tcBorders>
                  <w:noWrap w:val="0"/>
                  <w:vAlign w:val="center"/>
                </w:tcPr>
                <w:p w14:paraId="7BE25AA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74</w:t>
                  </w:r>
                </w:p>
              </w:tc>
              <w:tc>
                <w:tcPr>
                  <w:tcW w:w="717" w:type="pct"/>
                  <w:tcBorders>
                    <w:tl2br w:val="nil"/>
                    <w:tr2bl w:val="nil"/>
                  </w:tcBorders>
                  <w:noWrap w:val="0"/>
                  <w:vAlign w:val="center"/>
                </w:tcPr>
                <w:p w14:paraId="2597978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49</w:t>
                  </w:r>
                </w:p>
              </w:tc>
              <w:tc>
                <w:tcPr>
                  <w:tcW w:w="716" w:type="pct"/>
                  <w:tcBorders>
                    <w:tl2br w:val="nil"/>
                    <w:tr2bl w:val="nil"/>
                  </w:tcBorders>
                  <w:noWrap w:val="0"/>
                  <w:vAlign w:val="center"/>
                </w:tcPr>
                <w:p w14:paraId="7437848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713" w:type="pct"/>
                  <w:tcBorders>
                    <w:tl2br w:val="nil"/>
                    <w:tr2bl w:val="nil"/>
                  </w:tcBorders>
                  <w:noWrap w:val="0"/>
                  <w:vAlign w:val="center"/>
                </w:tcPr>
                <w:p w14:paraId="04CD72D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w:t>
                  </w:r>
                </w:p>
              </w:tc>
            </w:tr>
            <w:tr w14:paraId="1E10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706" w:type="pct"/>
                  <w:tcBorders>
                    <w:tl2br w:val="nil"/>
                    <w:tr2bl w:val="nil"/>
                  </w:tcBorders>
                  <w:noWrap w:val="0"/>
                  <w:vAlign w:val="center"/>
                </w:tcPr>
                <w:p w14:paraId="227ED54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2023-</w:t>
                  </w:r>
                  <w:r>
                    <w:rPr>
                      <w:rFonts w:hint="default" w:ascii="Times New Roman" w:hAnsi="Times New Roman" w:eastAsia="宋体" w:cs="Times New Roman"/>
                      <w:color w:val="auto"/>
                      <w:sz w:val="21"/>
                      <w:szCs w:val="21"/>
                      <w:highlight w:val="none"/>
                    </w:rPr>
                    <w:t>12</w:t>
                  </w:r>
                </w:p>
              </w:tc>
              <w:tc>
                <w:tcPr>
                  <w:tcW w:w="715" w:type="pct"/>
                  <w:tcBorders>
                    <w:tl2br w:val="nil"/>
                    <w:tr2bl w:val="nil"/>
                  </w:tcBorders>
                  <w:noWrap w:val="0"/>
                  <w:vAlign w:val="center"/>
                </w:tcPr>
                <w:p w14:paraId="2D64D83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715" w:type="pct"/>
                  <w:tcBorders>
                    <w:tl2br w:val="nil"/>
                    <w:tr2bl w:val="nil"/>
                  </w:tcBorders>
                  <w:noWrap w:val="0"/>
                  <w:vAlign w:val="center"/>
                </w:tcPr>
                <w:p w14:paraId="5F38F16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w:t>
                  </w:r>
                </w:p>
              </w:tc>
              <w:tc>
                <w:tcPr>
                  <w:tcW w:w="715" w:type="pct"/>
                  <w:tcBorders>
                    <w:tl2br w:val="nil"/>
                    <w:tr2bl w:val="nil"/>
                  </w:tcBorders>
                  <w:noWrap w:val="0"/>
                  <w:vAlign w:val="center"/>
                </w:tcPr>
                <w:p w14:paraId="3BFD14E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w:t>
                  </w:r>
                </w:p>
              </w:tc>
              <w:tc>
                <w:tcPr>
                  <w:tcW w:w="717" w:type="pct"/>
                  <w:tcBorders>
                    <w:tl2br w:val="nil"/>
                    <w:tr2bl w:val="nil"/>
                  </w:tcBorders>
                  <w:noWrap w:val="0"/>
                  <w:vAlign w:val="center"/>
                </w:tcPr>
                <w:p w14:paraId="7D4DF9B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73</w:t>
                  </w:r>
                </w:p>
              </w:tc>
              <w:tc>
                <w:tcPr>
                  <w:tcW w:w="716" w:type="pct"/>
                  <w:tcBorders>
                    <w:tl2br w:val="nil"/>
                    <w:tr2bl w:val="nil"/>
                  </w:tcBorders>
                  <w:noWrap w:val="0"/>
                  <w:vAlign w:val="center"/>
                </w:tcPr>
                <w:p w14:paraId="613668D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713" w:type="pct"/>
                  <w:tcBorders>
                    <w:tl2br w:val="nil"/>
                    <w:tr2bl w:val="nil"/>
                  </w:tcBorders>
                  <w:noWrap w:val="0"/>
                  <w:vAlign w:val="center"/>
                </w:tcPr>
                <w:p w14:paraId="0ED91BA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65</w:t>
                  </w:r>
                </w:p>
              </w:tc>
            </w:tr>
            <w:tr w14:paraId="4226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706" w:type="pct"/>
                  <w:tcBorders>
                    <w:tl2br w:val="nil"/>
                    <w:tr2bl w:val="nil"/>
                  </w:tcBorders>
                  <w:noWrap w:val="0"/>
                  <w:vAlign w:val="center"/>
                </w:tcPr>
                <w:p w14:paraId="4A87E5F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年均值</w:t>
                  </w:r>
                </w:p>
              </w:tc>
              <w:tc>
                <w:tcPr>
                  <w:tcW w:w="715" w:type="pct"/>
                  <w:tcBorders>
                    <w:tl2br w:val="nil"/>
                    <w:tr2bl w:val="nil"/>
                  </w:tcBorders>
                  <w:noWrap w:val="0"/>
                  <w:vAlign w:val="center"/>
                </w:tcPr>
                <w:p w14:paraId="77930EB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715" w:type="pct"/>
                  <w:tcBorders>
                    <w:tl2br w:val="nil"/>
                    <w:tr2bl w:val="nil"/>
                  </w:tcBorders>
                  <w:noWrap w:val="0"/>
                  <w:vAlign w:val="center"/>
                </w:tcPr>
                <w:p w14:paraId="5C6459B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w:t>
                  </w:r>
                </w:p>
              </w:tc>
              <w:tc>
                <w:tcPr>
                  <w:tcW w:w="715" w:type="pct"/>
                  <w:tcBorders>
                    <w:tl2br w:val="nil"/>
                    <w:tr2bl w:val="nil"/>
                  </w:tcBorders>
                  <w:noWrap w:val="0"/>
                  <w:vAlign w:val="center"/>
                </w:tcPr>
                <w:p w14:paraId="33AC921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77</w:t>
                  </w:r>
                </w:p>
              </w:tc>
              <w:tc>
                <w:tcPr>
                  <w:tcW w:w="717" w:type="pct"/>
                  <w:tcBorders>
                    <w:tl2br w:val="nil"/>
                    <w:tr2bl w:val="nil"/>
                  </w:tcBorders>
                  <w:noWrap w:val="0"/>
                  <w:vAlign w:val="center"/>
                </w:tcPr>
                <w:p w14:paraId="0E64AD9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w:t>
                  </w:r>
                </w:p>
              </w:tc>
              <w:tc>
                <w:tcPr>
                  <w:tcW w:w="716" w:type="pct"/>
                  <w:tcBorders>
                    <w:tl2br w:val="nil"/>
                    <w:tr2bl w:val="nil"/>
                  </w:tcBorders>
                  <w:noWrap w:val="0"/>
                  <w:vAlign w:val="center"/>
                </w:tcPr>
                <w:p w14:paraId="444B13F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13" w:type="pct"/>
                  <w:tcBorders>
                    <w:tl2br w:val="nil"/>
                    <w:tr2bl w:val="nil"/>
                  </w:tcBorders>
                  <w:noWrap w:val="0"/>
                  <w:vAlign w:val="center"/>
                </w:tcPr>
                <w:p w14:paraId="3E9DCC1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141</w:t>
                  </w:r>
                </w:p>
              </w:tc>
            </w:tr>
          </w:tbl>
          <w:p w14:paraId="0DEC5665">
            <w:pPr>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
                <w:caps w:val="0"/>
                <w:color w:val="auto"/>
                <w:spacing w:val="0"/>
                <w:kern w:val="0"/>
                <w:position w:val="0"/>
                <w:sz w:val="24"/>
                <w:szCs w:val="24"/>
                <w:highlight w:val="none"/>
                <w:lang w:val="en-US" w:eastAsia="zh-CN"/>
              </w:rPr>
            </w:pPr>
            <w:r>
              <w:rPr>
                <w:rFonts w:hint="eastAsia" w:ascii="Times New Roman" w:hAnsi="Times New Roman" w:eastAsia="宋体" w:cs="Times New Roman"/>
                <w:b/>
                <w:caps w:val="0"/>
                <w:color w:val="auto"/>
                <w:spacing w:val="0"/>
                <w:kern w:val="0"/>
                <w:position w:val="0"/>
                <w:sz w:val="24"/>
                <w:szCs w:val="24"/>
                <w:highlight w:val="none"/>
                <w:lang w:val="en-US" w:eastAsia="zh-CN"/>
              </w:rPr>
              <w:t>嘉祥县</w:t>
            </w:r>
            <w:r>
              <w:rPr>
                <w:rFonts w:hint="default" w:ascii="Times New Roman" w:hAnsi="Times New Roman" w:eastAsia="宋体" w:cs="Times New Roman"/>
                <w:b/>
                <w:caps w:val="0"/>
                <w:color w:val="auto"/>
                <w:spacing w:val="0"/>
                <w:kern w:val="0"/>
                <w:position w:val="0"/>
                <w:sz w:val="24"/>
                <w:szCs w:val="24"/>
                <w:highlight w:val="none"/>
                <w:lang w:val="en-US" w:eastAsia="zh-CN"/>
              </w:rPr>
              <w:t>202</w:t>
            </w:r>
            <w:r>
              <w:rPr>
                <w:rFonts w:hint="eastAsia" w:cs="Times New Roman"/>
                <w:b/>
                <w:caps w:val="0"/>
                <w:color w:val="auto"/>
                <w:spacing w:val="0"/>
                <w:kern w:val="0"/>
                <w:position w:val="0"/>
                <w:sz w:val="24"/>
                <w:szCs w:val="24"/>
                <w:highlight w:val="none"/>
                <w:lang w:val="en-US" w:eastAsia="zh-CN"/>
              </w:rPr>
              <w:t>3</w:t>
            </w:r>
            <w:r>
              <w:rPr>
                <w:rFonts w:hint="default" w:ascii="Times New Roman" w:hAnsi="Times New Roman" w:eastAsia="宋体" w:cs="Times New Roman"/>
                <w:b/>
                <w:caps w:val="0"/>
                <w:color w:val="auto"/>
                <w:spacing w:val="0"/>
                <w:kern w:val="0"/>
                <w:position w:val="0"/>
                <w:sz w:val="24"/>
                <w:szCs w:val="24"/>
                <w:highlight w:val="none"/>
                <w:lang w:val="en-US" w:eastAsia="zh-CN"/>
              </w:rPr>
              <w:t>年</w:t>
            </w:r>
            <w:r>
              <w:rPr>
                <w:rFonts w:hint="eastAsia" w:ascii="Times New Roman" w:hAnsi="Times New Roman" w:eastAsia="宋体" w:cs="Times New Roman"/>
                <w:b/>
                <w:caps w:val="0"/>
                <w:color w:val="auto"/>
                <w:spacing w:val="0"/>
                <w:kern w:val="0"/>
                <w:position w:val="0"/>
                <w:sz w:val="24"/>
                <w:szCs w:val="24"/>
                <w:highlight w:val="none"/>
                <w:lang w:val="en-US" w:eastAsia="zh-CN"/>
              </w:rPr>
              <w:t>度环境空气质量现状评价表</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1307"/>
              <w:gridCol w:w="1307"/>
              <w:gridCol w:w="1307"/>
              <w:gridCol w:w="1308"/>
              <w:gridCol w:w="1303"/>
            </w:tblGrid>
            <w:tr w14:paraId="61F8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1" w:type="dxa"/>
                  <w:noWrap w:val="0"/>
                  <w:vAlign w:val="center"/>
                </w:tcPr>
                <w:p w14:paraId="1CA3115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污染物</w:t>
                  </w:r>
                </w:p>
              </w:tc>
              <w:tc>
                <w:tcPr>
                  <w:tcW w:w="1310" w:type="dxa"/>
                  <w:noWrap w:val="0"/>
                  <w:vAlign w:val="center"/>
                </w:tcPr>
                <w:p w14:paraId="7D20FB1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单位</w:t>
                  </w:r>
                </w:p>
              </w:tc>
              <w:tc>
                <w:tcPr>
                  <w:tcW w:w="1311" w:type="dxa"/>
                  <w:noWrap w:val="0"/>
                  <w:vAlign w:val="center"/>
                </w:tcPr>
                <w:p w14:paraId="4C293CF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现状浓度</w:t>
                  </w:r>
                </w:p>
              </w:tc>
              <w:tc>
                <w:tcPr>
                  <w:tcW w:w="1311" w:type="dxa"/>
                  <w:noWrap w:val="0"/>
                  <w:vAlign w:val="center"/>
                </w:tcPr>
                <w:p w14:paraId="09958BE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标准值</w:t>
                  </w:r>
                </w:p>
              </w:tc>
              <w:tc>
                <w:tcPr>
                  <w:tcW w:w="1311" w:type="dxa"/>
                  <w:noWrap w:val="0"/>
                  <w:vAlign w:val="center"/>
                </w:tcPr>
                <w:p w14:paraId="355D33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占标率%</w:t>
                  </w:r>
                </w:p>
              </w:tc>
              <w:tc>
                <w:tcPr>
                  <w:tcW w:w="1307" w:type="dxa"/>
                  <w:noWrap w:val="0"/>
                  <w:vAlign w:val="center"/>
                </w:tcPr>
                <w:p w14:paraId="5602DF0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达标情况</w:t>
                  </w:r>
                </w:p>
              </w:tc>
            </w:tr>
            <w:tr w14:paraId="7E06B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1" w:type="dxa"/>
                  <w:noWrap w:val="0"/>
                  <w:vAlign w:val="center"/>
                </w:tcPr>
                <w:p w14:paraId="004BA44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pacing w:val="0"/>
                      <w:sz w:val="21"/>
                      <w:szCs w:val="21"/>
                      <w:highlight w:val="none"/>
                    </w:rPr>
                  </w:pP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p>
              </w:tc>
              <w:tc>
                <w:tcPr>
                  <w:tcW w:w="1310" w:type="dxa"/>
                  <w:noWrap w:val="0"/>
                  <w:vAlign w:val="center"/>
                </w:tcPr>
                <w:p w14:paraId="16F2987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sz w:val="21"/>
                      <w:szCs w:val="21"/>
                      <w:highlight w:val="none"/>
                    </w:rPr>
                  </w:pPr>
                  <w:r>
                    <w:rPr>
                      <w:rFonts w:hint="default" w:ascii="Times New Roman" w:hAnsi="Times New Roman" w:eastAsia="宋体" w:cs="Times New Roman"/>
                      <w:color w:val="auto"/>
                      <w:sz w:val="21"/>
                      <w:szCs w:val="21"/>
                      <w:highlight w:val="none"/>
                    </w:rPr>
                    <w:t>μg/m</w:t>
                  </w:r>
                  <w:r>
                    <w:rPr>
                      <w:rFonts w:hint="default" w:ascii="Times New Roman" w:hAnsi="Times New Roman" w:eastAsia="宋体" w:cs="Times New Roman"/>
                      <w:color w:val="auto"/>
                      <w:sz w:val="21"/>
                      <w:szCs w:val="21"/>
                      <w:highlight w:val="none"/>
                      <w:vertAlign w:val="superscript"/>
                    </w:rPr>
                    <w:t>3</w:t>
                  </w:r>
                </w:p>
              </w:tc>
              <w:tc>
                <w:tcPr>
                  <w:tcW w:w="1311" w:type="dxa"/>
                  <w:noWrap w:val="0"/>
                  <w:vAlign w:val="center"/>
                </w:tcPr>
                <w:p w14:paraId="5D0D473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11</w:t>
                  </w:r>
                </w:p>
              </w:tc>
              <w:tc>
                <w:tcPr>
                  <w:tcW w:w="1311" w:type="dxa"/>
                  <w:noWrap w:val="0"/>
                  <w:vAlign w:val="center"/>
                </w:tcPr>
                <w:p w14:paraId="13616B5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60</w:t>
                  </w:r>
                </w:p>
              </w:tc>
              <w:tc>
                <w:tcPr>
                  <w:tcW w:w="1311" w:type="dxa"/>
                  <w:noWrap w:val="0"/>
                  <w:vAlign w:val="center"/>
                </w:tcPr>
                <w:p w14:paraId="2563DF3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18.33</w:t>
                  </w:r>
                </w:p>
              </w:tc>
              <w:tc>
                <w:tcPr>
                  <w:tcW w:w="1307" w:type="dxa"/>
                  <w:noWrap w:val="0"/>
                  <w:vAlign w:val="center"/>
                </w:tcPr>
                <w:p w14:paraId="293EF3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达标</w:t>
                  </w:r>
                </w:p>
              </w:tc>
            </w:tr>
            <w:tr w14:paraId="0C81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1" w:type="dxa"/>
                  <w:noWrap w:val="0"/>
                  <w:vAlign w:val="center"/>
                </w:tcPr>
                <w:p w14:paraId="6BA1B4E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pacing w:val="0"/>
                      <w:sz w:val="21"/>
                      <w:szCs w:val="21"/>
                      <w:highlight w:val="none"/>
                    </w:rPr>
                  </w:pPr>
                  <w:r>
                    <w:rPr>
                      <w:rFonts w:hint="default" w:ascii="Times New Roman" w:hAnsi="Times New Roman" w:eastAsia="宋体" w:cs="Times New Roman"/>
                      <w:color w:val="auto"/>
                      <w:sz w:val="21"/>
                      <w:szCs w:val="21"/>
                      <w:highlight w:val="none"/>
                    </w:rPr>
                    <w:t>NO</w:t>
                  </w:r>
                  <w:r>
                    <w:rPr>
                      <w:rFonts w:hint="default" w:ascii="Times New Roman" w:hAnsi="Times New Roman" w:eastAsia="宋体" w:cs="Times New Roman"/>
                      <w:color w:val="auto"/>
                      <w:sz w:val="21"/>
                      <w:szCs w:val="21"/>
                      <w:highlight w:val="none"/>
                      <w:vertAlign w:val="subscript"/>
                    </w:rPr>
                    <w:t>2</w:t>
                  </w:r>
                </w:p>
              </w:tc>
              <w:tc>
                <w:tcPr>
                  <w:tcW w:w="1310" w:type="dxa"/>
                  <w:noWrap w:val="0"/>
                  <w:vAlign w:val="center"/>
                </w:tcPr>
                <w:p w14:paraId="1AA2907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sz w:val="21"/>
                      <w:szCs w:val="21"/>
                      <w:highlight w:val="none"/>
                    </w:rPr>
                  </w:pPr>
                  <w:r>
                    <w:rPr>
                      <w:rFonts w:hint="default" w:ascii="Times New Roman" w:hAnsi="Times New Roman" w:eastAsia="宋体" w:cs="Times New Roman"/>
                      <w:color w:val="auto"/>
                      <w:sz w:val="21"/>
                      <w:szCs w:val="21"/>
                      <w:highlight w:val="none"/>
                    </w:rPr>
                    <w:t>μg/m</w:t>
                  </w:r>
                  <w:r>
                    <w:rPr>
                      <w:rFonts w:hint="default" w:ascii="Times New Roman" w:hAnsi="Times New Roman" w:eastAsia="宋体" w:cs="Times New Roman"/>
                      <w:color w:val="auto"/>
                      <w:sz w:val="21"/>
                      <w:szCs w:val="21"/>
                      <w:highlight w:val="none"/>
                      <w:vertAlign w:val="superscript"/>
                    </w:rPr>
                    <w:t>3</w:t>
                  </w:r>
                </w:p>
              </w:tc>
              <w:tc>
                <w:tcPr>
                  <w:tcW w:w="1311" w:type="dxa"/>
                  <w:noWrap w:val="0"/>
                  <w:vAlign w:val="center"/>
                </w:tcPr>
                <w:p w14:paraId="137AE47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25</w:t>
                  </w:r>
                </w:p>
              </w:tc>
              <w:tc>
                <w:tcPr>
                  <w:tcW w:w="1311" w:type="dxa"/>
                  <w:noWrap w:val="0"/>
                  <w:vAlign w:val="center"/>
                </w:tcPr>
                <w:p w14:paraId="304B7CA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40</w:t>
                  </w:r>
                </w:p>
              </w:tc>
              <w:tc>
                <w:tcPr>
                  <w:tcW w:w="1311" w:type="dxa"/>
                  <w:noWrap w:val="0"/>
                  <w:vAlign w:val="center"/>
                </w:tcPr>
                <w:p w14:paraId="7C1AA3D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62.50</w:t>
                  </w:r>
                </w:p>
              </w:tc>
              <w:tc>
                <w:tcPr>
                  <w:tcW w:w="1307" w:type="dxa"/>
                  <w:noWrap w:val="0"/>
                  <w:vAlign w:val="center"/>
                </w:tcPr>
                <w:p w14:paraId="5012290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pacing w:val="0"/>
                      <w:sz w:val="21"/>
                      <w:szCs w:val="21"/>
                      <w:highlight w:val="none"/>
                    </w:rPr>
                  </w:pPr>
                  <w:r>
                    <w:rPr>
                      <w:rFonts w:hint="default" w:ascii="Times New Roman" w:hAnsi="Times New Roman" w:eastAsia="宋体" w:cs="Times New Roman"/>
                      <w:color w:val="auto"/>
                      <w:sz w:val="21"/>
                      <w:szCs w:val="21"/>
                      <w:highlight w:val="none"/>
                    </w:rPr>
                    <w:t>达标</w:t>
                  </w:r>
                </w:p>
              </w:tc>
            </w:tr>
            <w:tr w14:paraId="0245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1" w:type="dxa"/>
                  <w:noWrap w:val="0"/>
                  <w:vAlign w:val="center"/>
                </w:tcPr>
                <w:p w14:paraId="78AA50C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pacing w:val="0"/>
                      <w:sz w:val="21"/>
                      <w:szCs w:val="21"/>
                      <w:highlight w:val="none"/>
                    </w:rPr>
                  </w:pP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rPr>
                    <w:t>10</w:t>
                  </w:r>
                </w:p>
              </w:tc>
              <w:tc>
                <w:tcPr>
                  <w:tcW w:w="1310" w:type="dxa"/>
                  <w:noWrap w:val="0"/>
                  <w:vAlign w:val="center"/>
                </w:tcPr>
                <w:p w14:paraId="56297D5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sz w:val="21"/>
                      <w:szCs w:val="21"/>
                      <w:highlight w:val="none"/>
                    </w:rPr>
                  </w:pPr>
                  <w:r>
                    <w:rPr>
                      <w:rFonts w:hint="default" w:ascii="Times New Roman" w:hAnsi="Times New Roman" w:eastAsia="宋体" w:cs="Times New Roman"/>
                      <w:color w:val="auto"/>
                      <w:sz w:val="21"/>
                      <w:szCs w:val="21"/>
                      <w:highlight w:val="none"/>
                    </w:rPr>
                    <w:t>μg/m</w:t>
                  </w:r>
                  <w:r>
                    <w:rPr>
                      <w:rFonts w:hint="default" w:ascii="Times New Roman" w:hAnsi="Times New Roman" w:eastAsia="宋体" w:cs="Times New Roman"/>
                      <w:color w:val="auto"/>
                      <w:sz w:val="21"/>
                      <w:szCs w:val="21"/>
                      <w:highlight w:val="none"/>
                      <w:vertAlign w:val="superscript"/>
                    </w:rPr>
                    <w:t>3</w:t>
                  </w:r>
                </w:p>
              </w:tc>
              <w:tc>
                <w:tcPr>
                  <w:tcW w:w="1311" w:type="dxa"/>
                  <w:noWrap w:val="0"/>
                  <w:vAlign w:val="center"/>
                </w:tcPr>
                <w:p w14:paraId="19FA834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77</w:t>
                  </w:r>
                </w:p>
              </w:tc>
              <w:tc>
                <w:tcPr>
                  <w:tcW w:w="1311" w:type="dxa"/>
                  <w:noWrap w:val="0"/>
                  <w:vAlign w:val="center"/>
                </w:tcPr>
                <w:p w14:paraId="67DA8C4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70</w:t>
                  </w:r>
                </w:p>
              </w:tc>
              <w:tc>
                <w:tcPr>
                  <w:tcW w:w="1311" w:type="dxa"/>
                  <w:noWrap w:val="0"/>
                  <w:vAlign w:val="center"/>
                </w:tcPr>
                <w:p w14:paraId="2F0EA4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110.00</w:t>
                  </w:r>
                </w:p>
              </w:tc>
              <w:tc>
                <w:tcPr>
                  <w:tcW w:w="1307" w:type="dxa"/>
                  <w:noWrap w:val="0"/>
                  <w:vAlign w:val="center"/>
                </w:tcPr>
                <w:p w14:paraId="50AFE57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pacing w:val="0"/>
                      <w:sz w:val="21"/>
                      <w:szCs w:val="21"/>
                      <w:highlight w:val="none"/>
                    </w:rPr>
                  </w:pPr>
                  <w:r>
                    <w:rPr>
                      <w:rFonts w:hint="default" w:ascii="Times New Roman" w:hAnsi="Times New Roman" w:eastAsia="宋体" w:cs="Times New Roman"/>
                      <w:color w:val="auto"/>
                      <w:sz w:val="21"/>
                      <w:szCs w:val="21"/>
                      <w:highlight w:val="none"/>
                    </w:rPr>
                    <w:t>不达标</w:t>
                  </w:r>
                </w:p>
              </w:tc>
            </w:tr>
            <w:tr w14:paraId="590E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1" w:type="dxa"/>
                  <w:noWrap w:val="0"/>
                  <w:vAlign w:val="center"/>
                </w:tcPr>
                <w:p w14:paraId="67FEEBF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pacing w:val="0"/>
                      <w:sz w:val="21"/>
                      <w:szCs w:val="21"/>
                      <w:highlight w:val="none"/>
                    </w:rPr>
                  </w:pP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rPr>
                    <w:t>2.5</w:t>
                  </w:r>
                </w:p>
              </w:tc>
              <w:tc>
                <w:tcPr>
                  <w:tcW w:w="1310" w:type="dxa"/>
                  <w:noWrap w:val="0"/>
                  <w:vAlign w:val="center"/>
                </w:tcPr>
                <w:p w14:paraId="1BD9687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sz w:val="21"/>
                      <w:szCs w:val="21"/>
                      <w:highlight w:val="none"/>
                    </w:rPr>
                  </w:pPr>
                  <w:r>
                    <w:rPr>
                      <w:rFonts w:hint="default" w:ascii="Times New Roman" w:hAnsi="Times New Roman" w:eastAsia="宋体" w:cs="Times New Roman"/>
                      <w:color w:val="auto"/>
                      <w:sz w:val="21"/>
                      <w:szCs w:val="21"/>
                      <w:highlight w:val="none"/>
                    </w:rPr>
                    <w:t>μg/m</w:t>
                  </w:r>
                  <w:r>
                    <w:rPr>
                      <w:rFonts w:hint="default" w:ascii="Times New Roman" w:hAnsi="Times New Roman" w:eastAsia="宋体" w:cs="Times New Roman"/>
                      <w:color w:val="auto"/>
                      <w:sz w:val="21"/>
                      <w:szCs w:val="21"/>
                      <w:highlight w:val="none"/>
                      <w:vertAlign w:val="superscript"/>
                    </w:rPr>
                    <w:t>3</w:t>
                  </w:r>
                </w:p>
              </w:tc>
              <w:tc>
                <w:tcPr>
                  <w:tcW w:w="1311" w:type="dxa"/>
                  <w:noWrap w:val="0"/>
                  <w:vAlign w:val="center"/>
                </w:tcPr>
                <w:p w14:paraId="53609A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46</w:t>
                  </w:r>
                </w:p>
              </w:tc>
              <w:tc>
                <w:tcPr>
                  <w:tcW w:w="1311" w:type="dxa"/>
                  <w:noWrap w:val="0"/>
                  <w:vAlign w:val="center"/>
                </w:tcPr>
                <w:p w14:paraId="40F9386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35</w:t>
                  </w:r>
                </w:p>
              </w:tc>
              <w:tc>
                <w:tcPr>
                  <w:tcW w:w="1311" w:type="dxa"/>
                  <w:noWrap w:val="0"/>
                  <w:vAlign w:val="center"/>
                </w:tcPr>
                <w:p w14:paraId="7425AB2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131.43</w:t>
                  </w:r>
                </w:p>
              </w:tc>
              <w:tc>
                <w:tcPr>
                  <w:tcW w:w="1307" w:type="dxa"/>
                  <w:noWrap w:val="0"/>
                  <w:vAlign w:val="center"/>
                </w:tcPr>
                <w:p w14:paraId="0D73554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pacing w:val="0"/>
                      <w:sz w:val="21"/>
                      <w:szCs w:val="21"/>
                      <w:highlight w:val="none"/>
                    </w:rPr>
                  </w:pPr>
                  <w:r>
                    <w:rPr>
                      <w:rFonts w:hint="default" w:ascii="Times New Roman" w:hAnsi="Times New Roman" w:eastAsia="宋体" w:cs="Times New Roman"/>
                      <w:color w:val="auto"/>
                      <w:sz w:val="21"/>
                      <w:szCs w:val="21"/>
                      <w:highlight w:val="none"/>
                    </w:rPr>
                    <w:t>不达标</w:t>
                  </w:r>
                </w:p>
              </w:tc>
            </w:tr>
            <w:tr w14:paraId="4C6E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1" w:type="dxa"/>
                  <w:noWrap w:val="0"/>
                  <w:vAlign w:val="center"/>
                </w:tcPr>
                <w:p w14:paraId="66B8EF1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O</w:t>
                  </w:r>
                  <w:r>
                    <w:rPr>
                      <w:rFonts w:hint="default" w:ascii="Times New Roman" w:hAnsi="Times New Roman" w:eastAsia="宋体" w:cs="Times New Roman"/>
                      <w:color w:val="auto"/>
                      <w:sz w:val="21"/>
                      <w:szCs w:val="21"/>
                      <w:highlight w:val="none"/>
                      <w:vertAlign w:val="subscript"/>
                    </w:rPr>
                    <w:t>3</w:t>
                  </w:r>
                  <w:r>
                    <w:rPr>
                      <w:rFonts w:hint="default" w:ascii="Times New Roman" w:hAnsi="Times New Roman" w:eastAsia="宋体" w:cs="Times New Roman"/>
                      <w:color w:val="auto"/>
                      <w:sz w:val="21"/>
                      <w:szCs w:val="21"/>
                      <w:highlight w:val="none"/>
                    </w:rPr>
                    <w:t>-8H-90per</w:t>
                  </w:r>
                </w:p>
              </w:tc>
              <w:tc>
                <w:tcPr>
                  <w:tcW w:w="1310" w:type="dxa"/>
                  <w:noWrap w:val="0"/>
                  <w:vAlign w:val="center"/>
                </w:tcPr>
                <w:p w14:paraId="6591967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sz w:val="21"/>
                      <w:szCs w:val="21"/>
                      <w:highlight w:val="none"/>
                    </w:rPr>
                  </w:pPr>
                  <w:r>
                    <w:rPr>
                      <w:rFonts w:hint="default" w:ascii="Times New Roman" w:hAnsi="Times New Roman" w:eastAsia="宋体" w:cs="Times New Roman"/>
                      <w:color w:val="auto"/>
                      <w:sz w:val="21"/>
                      <w:szCs w:val="21"/>
                      <w:highlight w:val="none"/>
                    </w:rPr>
                    <w:t>μg/m</w:t>
                  </w:r>
                  <w:r>
                    <w:rPr>
                      <w:rFonts w:hint="default" w:ascii="Times New Roman" w:hAnsi="Times New Roman" w:eastAsia="宋体" w:cs="Times New Roman"/>
                      <w:color w:val="auto"/>
                      <w:sz w:val="21"/>
                      <w:szCs w:val="21"/>
                      <w:highlight w:val="none"/>
                      <w:vertAlign w:val="superscript"/>
                    </w:rPr>
                    <w:t>3</w:t>
                  </w:r>
                </w:p>
              </w:tc>
              <w:tc>
                <w:tcPr>
                  <w:tcW w:w="1311" w:type="dxa"/>
                  <w:noWrap w:val="0"/>
                  <w:vAlign w:val="center"/>
                </w:tcPr>
                <w:p w14:paraId="57474C6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141</w:t>
                  </w:r>
                </w:p>
              </w:tc>
              <w:tc>
                <w:tcPr>
                  <w:tcW w:w="1311" w:type="dxa"/>
                  <w:noWrap w:val="0"/>
                  <w:vAlign w:val="center"/>
                </w:tcPr>
                <w:p w14:paraId="176D73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160</w:t>
                  </w:r>
                </w:p>
              </w:tc>
              <w:tc>
                <w:tcPr>
                  <w:tcW w:w="1311" w:type="dxa"/>
                  <w:noWrap w:val="0"/>
                  <w:vAlign w:val="center"/>
                </w:tcPr>
                <w:p w14:paraId="017AC72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88.13</w:t>
                  </w:r>
                </w:p>
              </w:tc>
              <w:tc>
                <w:tcPr>
                  <w:tcW w:w="1307" w:type="dxa"/>
                  <w:noWrap w:val="0"/>
                  <w:vAlign w:val="center"/>
                </w:tcPr>
                <w:p w14:paraId="306390E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pacing w:val="0"/>
                      <w:sz w:val="21"/>
                      <w:szCs w:val="21"/>
                      <w:highlight w:val="none"/>
                    </w:rPr>
                  </w:pPr>
                  <w:r>
                    <w:rPr>
                      <w:rFonts w:hint="default" w:ascii="Times New Roman" w:hAnsi="Times New Roman" w:eastAsia="宋体" w:cs="Times New Roman"/>
                      <w:color w:val="auto"/>
                      <w:sz w:val="21"/>
                      <w:szCs w:val="21"/>
                      <w:highlight w:val="none"/>
                    </w:rPr>
                    <w:t>达标</w:t>
                  </w:r>
                </w:p>
              </w:tc>
            </w:tr>
            <w:tr w14:paraId="55ED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1" w:type="dxa"/>
                  <w:noWrap w:val="0"/>
                  <w:vAlign w:val="center"/>
                </w:tcPr>
                <w:p w14:paraId="0725BB6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CO-95per</w:t>
                  </w:r>
                </w:p>
              </w:tc>
              <w:tc>
                <w:tcPr>
                  <w:tcW w:w="1310" w:type="dxa"/>
                  <w:noWrap w:val="0"/>
                  <w:vAlign w:val="center"/>
                </w:tcPr>
                <w:p w14:paraId="66677E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sz w:val="21"/>
                      <w:szCs w:val="21"/>
                      <w:highlight w:val="none"/>
                    </w:rPr>
                  </w:pP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p>
              </w:tc>
              <w:tc>
                <w:tcPr>
                  <w:tcW w:w="1311" w:type="dxa"/>
                  <w:noWrap w:val="0"/>
                  <w:vAlign w:val="center"/>
                </w:tcPr>
                <w:p w14:paraId="5201D6B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1.2</w:t>
                  </w:r>
                </w:p>
              </w:tc>
              <w:tc>
                <w:tcPr>
                  <w:tcW w:w="1311" w:type="dxa"/>
                  <w:noWrap w:val="0"/>
                  <w:vAlign w:val="center"/>
                </w:tcPr>
                <w:p w14:paraId="6F1FA9A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4</w:t>
                  </w:r>
                </w:p>
              </w:tc>
              <w:tc>
                <w:tcPr>
                  <w:tcW w:w="1311" w:type="dxa"/>
                  <w:noWrap w:val="0"/>
                  <w:vAlign w:val="center"/>
                </w:tcPr>
                <w:p w14:paraId="202AFA2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30.00</w:t>
                  </w:r>
                </w:p>
              </w:tc>
              <w:tc>
                <w:tcPr>
                  <w:tcW w:w="1307" w:type="dxa"/>
                  <w:noWrap w:val="0"/>
                  <w:vAlign w:val="center"/>
                </w:tcPr>
                <w:p w14:paraId="7CFAA92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pacing w:val="0"/>
                      <w:sz w:val="21"/>
                      <w:szCs w:val="21"/>
                      <w:highlight w:val="none"/>
                    </w:rPr>
                  </w:pPr>
                  <w:r>
                    <w:rPr>
                      <w:rFonts w:hint="default" w:ascii="Times New Roman" w:hAnsi="Times New Roman" w:eastAsia="宋体" w:cs="Times New Roman"/>
                      <w:color w:val="auto"/>
                      <w:sz w:val="21"/>
                      <w:szCs w:val="21"/>
                      <w:highlight w:val="none"/>
                    </w:rPr>
                    <w:t>达标</w:t>
                  </w:r>
                </w:p>
              </w:tc>
            </w:tr>
          </w:tbl>
          <w:p w14:paraId="5AABA3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新宋体" w:cs="Times New Roman"/>
                <w:color w:val="auto"/>
                <w:sz w:val="24"/>
                <w:highlight w:val="none"/>
              </w:rPr>
            </w:pPr>
            <w:r>
              <w:rPr>
                <w:rFonts w:hint="default" w:ascii="Times New Roman" w:hAnsi="Times New Roman" w:eastAsia="宋体" w:cs="Times New Roman"/>
                <w:color w:val="auto"/>
                <w:sz w:val="24"/>
                <w:highlight w:val="none"/>
              </w:rPr>
              <w:t>根据评价结果，</w:t>
            </w:r>
            <w:r>
              <w:rPr>
                <w:rFonts w:hint="default" w:ascii="Times New Roman" w:hAnsi="Times New Roman" w:eastAsia="宋体" w:cs="Times New Roman"/>
                <w:color w:val="auto"/>
                <w:sz w:val="24"/>
                <w:highlight w:val="none"/>
                <w:lang w:val="en-US" w:eastAsia="zh-CN"/>
              </w:rPr>
              <w:t>嘉祥县2023年</w:t>
            </w:r>
            <w:r>
              <w:rPr>
                <w:rFonts w:hint="default" w:ascii="Times New Roman" w:hAnsi="Times New Roman" w:eastAsia="宋体" w:cs="Times New Roman"/>
                <w:color w:val="auto"/>
                <w:sz w:val="24"/>
                <w:highlight w:val="none"/>
              </w:rPr>
              <w:t>PM</w:t>
            </w:r>
            <w:r>
              <w:rPr>
                <w:rFonts w:hint="default" w:ascii="Times New Roman" w:hAnsi="Times New Roman" w:eastAsia="宋体" w:cs="Times New Roman"/>
                <w:color w:val="auto"/>
                <w:sz w:val="24"/>
                <w:highlight w:val="none"/>
                <w:vertAlign w:val="subscript"/>
              </w:rPr>
              <w:t>10</w:t>
            </w:r>
            <w:r>
              <w:rPr>
                <w:rFonts w:hint="default" w:ascii="Times New Roman" w:hAnsi="Times New Roman" w:eastAsia="宋体" w:cs="Times New Roman"/>
                <w:color w:val="auto"/>
                <w:sz w:val="24"/>
                <w:highlight w:val="none"/>
              </w:rPr>
              <w:t>、PM</w:t>
            </w:r>
            <w:r>
              <w:rPr>
                <w:rFonts w:hint="default" w:ascii="Times New Roman" w:hAnsi="Times New Roman" w:eastAsia="宋体" w:cs="Times New Roman"/>
                <w:color w:val="auto"/>
                <w:sz w:val="24"/>
                <w:highlight w:val="none"/>
                <w:vertAlign w:val="subscript"/>
              </w:rPr>
              <w:t>2.5</w:t>
            </w:r>
            <w:r>
              <w:rPr>
                <w:rFonts w:hint="default" w:ascii="Times New Roman" w:hAnsi="Times New Roman" w:eastAsia="宋体" w:cs="Times New Roman"/>
                <w:color w:val="auto"/>
                <w:sz w:val="24"/>
                <w:highlight w:val="none"/>
              </w:rPr>
              <w:t>年均浓度超</w:t>
            </w:r>
            <w:r>
              <w:rPr>
                <w:rFonts w:hint="default" w:ascii="Times New Roman" w:hAnsi="Times New Roman" w:eastAsia="宋体" w:cs="Times New Roman"/>
                <w:color w:val="auto"/>
                <w:sz w:val="24"/>
                <w:highlight w:val="none"/>
                <w:lang w:val="en-US" w:eastAsia="zh-CN"/>
              </w:rPr>
              <w:t>过</w:t>
            </w:r>
            <w:r>
              <w:rPr>
                <w:rFonts w:hint="default" w:ascii="Times New Roman" w:hAnsi="Times New Roman" w:eastAsia="宋体" w:cs="Times New Roman"/>
                <w:color w:val="auto"/>
                <w:sz w:val="24"/>
                <w:highlight w:val="none"/>
              </w:rPr>
              <w:t>《环境空气质量标准》（GB3095-2012）二级标准，根据HJ663-2013判定，项目所在区域为不达标区，可吸入颗粒物、细颗粒物为影响该区域空气质量的首要污染物。</w:t>
            </w:r>
          </w:p>
          <w:p w14:paraId="61B2F1CD">
            <w:pPr>
              <w:pStyle w:val="14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pacing w:val="0"/>
                <w:sz w:val="24"/>
                <w:szCs w:val="24"/>
                <w:highlight w:val="none"/>
              </w:rPr>
            </w:pPr>
            <w:r>
              <w:rPr>
                <w:rFonts w:hint="default" w:ascii="Times New Roman" w:hAnsi="Times New Roman" w:eastAsia="新宋体" w:cs="Times New Roman"/>
                <w:color w:val="auto"/>
                <w:sz w:val="24"/>
                <w:highlight w:val="none"/>
              </w:rPr>
              <w:t>目前嘉祥县人民政府正积极落实</w:t>
            </w:r>
            <w:r>
              <w:rPr>
                <w:rFonts w:hint="default" w:ascii="Times New Roman" w:hAnsi="Times New Roman" w:eastAsia="新宋体" w:cs="Times New Roman"/>
                <w:color w:val="auto"/>
                <w:sz w:val="24"/>
                <w:highlight w:val="none"/>
                <w:lang w:val="en-US" w:eastAsia="zh-CN"/>
              </w:rPr>
              <w:t>《山东省深入打好蓝天保卫战行动计划》</w:t>
            </w:r>
            <w:r>
              <w:rPr>
                <w:rFonts w:hint="eastAsia" w:ascii="Times New Roman" w:hAnsi="Times New Roman" w:eastAsia="新宋体" w:cs="Times New Roman"/>
                <w:color w:val="auto"/>
                <w:sz w:val="24"/>
                <w:highlight w:val="none"/>
                <w:lang w:val="en-US" w:eastAsia="zh-CN"/>
              </w:rPr>
              <w:t>（</w:t>
            </w:r>
            <w:r>
              <w:rPr>
                <w:rFonts w:hint="default" w:ascii="Times New Roman" w:hAnsi="Times New Roman" w:eastAsia="新宋体" w:cs="Times New Roman"/>
                <w:color w:val="auto"/>
                <w:sz w:val="24"/>
                <w:highlight w:val="none"/>
                <w:lang w:val="en-US" w:eastAsia="zh-CN"/>
              </w:rPr>
              <w:t>2021-2025年</w:t>
            </w:r>
            <w:r>
              <w:rPr>
                <w:rFonts w:hint="eastAsia" w:ascii="Times New Roman" w:hAnsi="Times New Roman" w:eastAsia="新宋体" w:cs="Times New Roman"/>
                <w:color w:val="auto"/>
                <w:sz w:val="24"/>
                <w:highlight w:val="none"/>
                <w:lang w:val="en-US" w:eastAsia="zh-CN"/>
              </w:rPr>
              <w:t>）</w:t>
            </w:r>
            <w:r>
              <w:rPr>
                <w:rFonts w:hint="default" w:ascii="Times New Roman" w:hAnsi="Times New Roman" w:eastAsia="新宋体" w:cs="Times New Roman"/>
                <w:color w:val="auto"/>
                <w:sz w:val="24"/>
                <w:highlight w:val="none"/>
              </w:rPr>
              <w:t>、《山东省生态环境厅关于印发山东省建设项目主要大气污染物排放总量替代指标核算及管理办法的通知》等文件要求，通过实行大气污染物排放总量指标2倍削减替代，优化产业结构与布局，减少煤炭消费，推进工业污染源提标改造，强化工业企业无组织排放控制管理，加强V</w:t>
            </w:r>
            <w:r>
              <w:rPr>
                <w:rFonts w:hint="default" w:ascii="Times New Roman" w:hAnsi="Times New Roman" w:eastAsia="新宋体" w:cs="Times New Roman"/>
                <w:color w:val="auto"/>
                <w:sz w:val="24"/>
                <w:highlight w:val="none"/>
                <w:lang w:val="en-US" w:eastAsia="zh-CN"/>
              </w:rPr>
              <w:t>O</w:t>
            </w:r>
            <w:r>
              <w:rPr>
                <w:rFonts w:hint="default" w:ascii="Times New Roman" w:hAnsi="Times New Roman" w:eastAsia="新宋体" w:cs="Times New Roman"/>
                <w:color w:val="auto"/>
                <w:sz w:val="24"/>
                <w:highlight w:val="none"/>
              </w:rPr>
              <w:t>Cs专项整治，控制机动车污染，实施秋冬季重点行业错峰生产等方面的行动，加快以细颗粒物为重点的大气污染治理，</w:t>
            </w:r>
            <w:r>
              <w:rPr>
                <w:rFonts w:hint="eastAsia" w:cs="Times New Roman"/>
                <w:color w:val="auto"/>
                <w:szCs w:val="21"/>
                <w:highlight w:val="none"/>
              </w:rPr>
              <w:t>项目所在区域大气环境质量将会逐步得到改善</w:t>
            </w:r>
            <w:r>
              <w:rPr>
                <w:color w:val="auto"/>
                <w:spacing w:val="0"/>
                <w:sz w:val="24"/>
                <w:szCs w:val="24"/>
                <w:highlight w:val="none"/>
              </w:rPr>
              <w:t>。</w:t>
            </w:r>
          </w:p>
          <w:p w14:paraId="5C9CAF9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default" w:ascii="Times New Roman" w:hAnsi="Times New Roman" w:eastAsia="宋体" w:cs="Times New Roman"/>
                <w:b/>
                <w:color w:val="auto"/>
                <w:spacing w:val="0"/>
                <w:sz w:val="24"/>
                <w:szCs w:val="24"/>
                <w:highlight w:val="none"/>
              </w:rPr>
            </w:pPr>
            <w:r>
              <w:rPr>
                <w:rFonts w:hint="default" w:ascii="Times New Roman" w:hAnsi="Times New Roman" w:eastAsia="宋体" w:cs="Times New Roman"/>
                <w:b/>
                <w:color w:val="auto"/>
                <w:spacing w:val="0"/>
                <w:sz w:val="24"/>
                <w:szCs w:val="24"/>
                <w:highlight w:val="none"/>
              </w:rPr>
              <w:t>2、地表水环境</w:t>
            </w:r>
          </w:p>
          <w:p w14:paraId="38FCE7E1">
            <w:pPr>
              <w:pStyle w:val="14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auto"/>
                <w:spacing w:val="0"/>
                <w:sz w:val="24"/>
                <w:szCs w:val="24"/>
                <w:highlight w:val="none"/>
              </w:rPr>
            </w:pPr>
            <w:r>
              <w:rPr>
                <w:rFonts w:hint="eastAsia" w:ascii="Times New Roman" w:hAnsi="Times New Roman" w:eastAsia="宋体" w:cs="Times New Roman"/>
                <w:color w:val="auto"/>
                <w:spacing w:val="0"/>
                <w:sz w:val="24"/>
                <w:szCs w:val="24"/>
                <w:highlight w:val="none"/>
                <w:lang w:val="en-US" w:eastAsia="zh-CN"/>
              </w:rPr>
              <w:t>本</w:t>
            </w:r>
            <w:r>
              <w:rPr>
                <w:rFonts w:ascii="Times New Roman" w:hAnsi="Times New Roman" w:eastAsia="宋体" w:cs="Times New Roman"/>
                <w:color w:val="auto"/>
                <w:spacing w:val="0"/>
                <w:sz w:val="24"/>
                <w:szCs w:val="24"/>
                <w:highlight w:val="none"/>
              </w:rPr>
              <w:t>项目所在地表水环境质量功能区属Ⅲ类区，执行《地表水环境质量标准》（GB3838-2002）Ⅲ类标准。依据山东省省控地表水水质状况发布的“省控地表水水质状况”（http://dbsfb.sdem.org.cn:8003/waterpublic/），</w:t>
            </w:r>
            <w:r>
              <w:rPr>
                <w:rFonts w:hint="default" w:ascii="Times New Roman" w:hAnsi="Times New Roman" w:eastAsia="宋体" w:cs="Times New Roman"/>
                <w:color w:val="auto"/>
                <w:spacing w:val="0"/>
                <w:sz w:val="24"/>
                <w:szCs w:val="24"/>
                <w:highlight w:val="none"/>
                <w:lang w:val="en-US" w:eastAsia="zh-CN"/>
              </w:rPr>
              <w:t>新赵王河杨庄闸断面</w:t>
            </w:r>
            <w:r>
              <w:rPr>
                <w:rFonts w:hint="default" w:ascii="Times New Roman" w:hAnsi="Times New Roman" w:eastAsia="宋体" w:cs="Times New Roman"/>
                <w:color w:val="auto"/>
                <w:spacing w:val="0"/>
                <w:sz w:val="24"/>
                <w:szCs w:val="24"/>
                <w:highlight w:val="none"/>
              </w:rPr>
              <w:t>水</w:t>
            </w:r>
            <w:r>
              <w:rPr>
                <w:rFonts w:ascii="Times New Roman" w:hAnsi="Times New Roman" w:eastAsia="宋体" w:cs="Times New Roman"/>
                <w:color w:val="auto"/>
                <w:spacing w:val="0"/>
                <w:sz w:val="24"/>
                <w:szCs w:val="24"/>
                <w:highlight w:val="none"/>
              </w:rPr>
              <w:t>质</w:t>
            </w:r>
            <w:r>
              <w:rPr>
                <w:rFonts w:hint="eastAsia" w:cs="Times New Roman"/>
                <w:color w:val="auto"/>
                <w:spacing w:val="0"/>
                <w:sz w:val="24"/>
                <w:szCs w:val="24"/>
                <w:highlight w:val="none"/>
                <w:lang w:val="en-US" w:eastAsia="zh-CN"/>
              </w:rPr>
              <w:t>类别</w:t>
            </w:r>
            <w:r>
              <w:rPr>
                <w:rFonts w:ascii="Times New Roman" w:hAnsi="Times New Roman" w:eastAsia="宋体" w:cs="Times New Roman"/>
                <w:color w:val="auto"/>
                <w:spacing w:val="0"/>
                <w:sz w:val="24"/>
                <w:szCs w:val="24"/>
                <w:highlight w:val="none"/>
              </w:rPr>
              <w:t>为Ⅲ类，满足《地表水环境质量标准》（GB3838-2002）中Ⅲ类标准。</w:t>
            </w:r>
          </w:p>
          <w:p w14:paraId="1D2479AB">
            <w:pPr>
              <w:pStyle w:val="14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color w:val="auto"/>
                <w:spacing w:val="0"/>
                <w:sz w:val="24"/>
                <w:szCs w:val="24"/>
                <w:highlight w:val="none"/>
                <w:lang w:val="en-US" w:eastAsia="zh-CN"/>
              </w:rPr>
            </w:pPr>
            <w:r>
              <w:rPr>
                <w:color w:val="auto"/>
              </w:rPr>
              <w:drawing>
                <wp:inline distT="0" distB="0" distL="114300" distR="114300">
                  <wp:extent cx="5014595" cy="1094105"/>
                  <wp:effectExtent l="0" t="0" r="14605" b="317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2"/>
                          <a:stretch>
                            <a:fillRect/>
                          </a:stretch>
                        </pic:blipFill>
                        <pic:spPr>
                          <a:xfrm>
                            <a:off x="0" y="0"/>
                            <a:ext cx="5014595" cy="1094105"/>
                          </a:xfrm>
                          <a:prstGeom prst="rect">
                            <a:avLst/>
                          </a:prstGeom>
                          <a:noFill/>
                          <a:ln>
                            <a:noFill/>
                          </a:ln>
                        </pic:spPr>
                      </pic:pic>
                    </a:graphicData>
                  </a:graphic>
                </wp:inline>
              </w:drawing>
            </w:r>
          </w:p>
          <w:p w14:paraId="7E3F14D1">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default" w:ascii="Times New Roman" w:hAnsi="Times New Roman" w:eastAsia="宋体" w:cs="Times New Roman"/>
                <w:b/>
                <w:color w:val="auto"/>
                <w:spacing w:val="0"/>
                <w:sz w:val="24"/>
                <w:szCs w:val="24"/>
                <w:highlight w:val="none"/>
              </w:rPr>
            </w:pPr>
            <w:r>
              <w:rPr>
                <w:rFonts w:hint="default" w:ascii="Times New Roman" w:hAnsi="Times New Roman" w:eastAsia="宋体" w:cs="Times New Roman"/>
                <w:b/>
                <w:color w:val="auto"/>
                <w:spacing w:val="0"/>
                <w:sz w:val="24"/>
                <w:szCs w:val="24"/>
                <w:highlight w:val="none"/>
              </w:rPr>
              <w:t>3、声环境</w:t>
            </w:r>
          </w:p>
          <w:p w14:paraId="3F2D9EA0">
            <w:pPr>
              <w:pStyle w:val="14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auto"/>
                <w:spacing w:val="0"/>
                <w:sz w:val="24"/>
                <w:szCs w:val="24"/>
                <w:highlight w:val="none"/>
              </w:rPr>
            </w:pPr>
            <w:r>
              <w:rPr>
                <w:rFonts w:ascii="Times New Roman" w:hAnsi="Times New Roman" w:eastAsia="宋体" w:cs="Times New Roman"/>
                <w:color w:val="auto"/>
                <w:spacing w:val="0"/>
                <w:sz w:val="24"/>
                <w:szCs w:val="24"/>
                <w:highlight w:val="none"/>
              </w:rPr>
              <w:t>本项目厂界外50m范围内无声环境保护目标，不进行现状</w:t>
            </w:r>
            <w:r>
              <w:rPr>
                <w:rFonts w:hint="eastAsia" w:ascii="Times New Roman" w:hAnsi="Times New Roman" w:eastAsia="宋体" w:cs="Times New Roman"/>
                <w:color w:val="auto"/>
                <w:spacing w:val="0"/>
                <w:sz w:val="24"/>
                <w:szCs w:val="24"/>
                <w:highlight w:val="none"/>
                <w:lang w:val="en-US" w:eastAsia="zh-CN"/>
              </w:rPr>
              <w:t>监测</w:t>
            </w:r>
            <w:r>
              <w:rPr>
                <w:rFonts w:ascii="Times New Roman" w:hAnsi="Times New Roman" w:eastAsia="宋体" w:cs="Times New Roman"/>
                <w:color w:val="auto"/>
                <w:spacing w:val="0"/>
                <w:sz w:val="24"/>
                <w:szCs w:val="24"/>
                <w:highlight w:val="none"/>
              </w:rPr>
              <w:t>。</w:t>
            </w:r>
          </w:p>
          <w:p w14:paraId="2DE4AD8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default" w:ascii="Times New Roman" w:hAnsi="Times New Roman" w:eastAsia="宋体" w:cs="Times New Roman"/>
                <w:b/>
                <w:color w:val="auto"/>
                <w:spacing w:val="0"/>
                <w:sz w:val="24"/>
                <w:szCs w:val="24"/>
                <w:highlight w:val="none"/>
              </w:rPr>
            </w:pPr>
            <w:r>
              <w:rPr>
                <w:rFonts w:hint="default" w:ascii="Times New Roman" w:hAnsi="Times New Roman" w:eastAsia="宋体" w:cs="Times New Roman"/>
                <w:b/>
                <w:color w:val="auto"/>
                <w:spacing w:val="0"/>
                <w:sz w:val="24"/>
                <w:szCs w:val="24"/>
                <w:highlight w:val="none"/>
              </w:rPr>
              <w:t>4、生态环境</w:t>
            </w:r>
          </w:p>
          <w:p w14:paraId="71A8F5A4">
            <w:pPr>
              <w:pStyle w:val="14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auto"/>
                <w:spacing w:val="0"/>
                <w:sz w:val="24"/>
                <w:szCs w:val="24"/>
                <w:highlight w:val="none"/>
              </w:rPr>
            </w:pPr>
            <w:r>
              <w:rPr>
                <w:rFonts w:ascii="Times New Roman" w:hAnsi="Times New Roman" w:eastAsia="宋体" w:cs="Times New Roman"/>
                <w:color w:val="auto"/>
                <w:spacing w:val="0"/>
                <w:sz w:val="24"/>
                <w:szCs w:val="24"/>
                <w:highlight w:val="none"/>
              </w:rPr>
              <w:t>本项目用地范围内无生态环境保护目标，不进行现状调查。</w:t>
            </w:r>
          </w:p>
          <w:p w14:paraId="7531BE22">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default" w:ascii="Times New Roman" w:hAnsi="Times New Roman" w:eastAsia="宋体" w:cs="Times New Roman"/>
                <w:b/>
                <w:color w:val="auto"/>
                <w:spacing w:val="0"/>
                <w:sz w:val="24"/>
                <w:szCs w:val="24"/>
                <w:highlight w:val="none"/>
              </w:rPr>
            </w:pPr>
            <w:r>
              <w:rPr>
                <w:rFonts w:hint="default" w:ascii="Times New Roman" w:hAnsi="Times New Roman" w:eastAsia="宋体" w:cs="Times New Roman"/>
                <w:b/>
                <w:color w:val="auto"/>
                <w:spacing w:val="0"/>
                <w:sz w:val="24"/>
                <w:szCs w:val="24"/>
                <w:highlight w:val="none"/>
              </w:rPr>
              <w:t>5、电磁辐射</w:t>
            </w:r>
          </w:p>
          <w:p w14:paraId="7F6FF15C">
            <w:pPr>
              <w:pStyle w:val="14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auto"/>
                <w:spacing w:val="0"/>
                <w:sz w:val="24"/>
                <w:szCs w:val="24"/>
                <w:highlight w:val="none"/>
              </w:rPr>
            </w:pPr>
            <w:r>
              <w:rPr>
                <w:rFonts w:ascii="Times New Roman" w:hAnsi="Times New Roman" w:eastAsia="宋体" w:cs="Times New Roman"/>
                <w:color w:val="auto"/>
                <w:spacing w:val="0"/>
                <w:sz w:val="24"/>
                <w:szCs w:val="24"/>
                <w:highlight w:val="none"/>
              </w:rPr>
              <w:t>本项目不涉及。</w:t>
            </w:r>
          </w:p>
          <w:p w14:paraId="15892783">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default" w:ascii="Times New Roman" w:hAnsi="Times New Roman" w:eastAsia="宋体" w:cs="Times New Roman"/>
                <w:b/>
                <w:color w:val="auto"/>
                <w:spacing w:val="0"/>
                <w:sz w:val="24"/>
                <w:szCs w:val="24"/>
                <w:highlight w:val="none"/>
              </w:rPr>
            </w:pPr>
            <w:r>
              <w:rPr>
                <w:rFonts w:hint="default" w:ascii="Times New Roman" w:hAnsi="Times New Roman" w:eastAsia="宋体" w:cs="Times New Roman"/>
                <w:b/>
                <w:color w:val="auto"/>
                <w:spacing w:val="0"/>
                <w:sz w:val="24"/>
                <w:szCs w:val="24"/>
                <w:highlight w:val="none"/>
              </w:rPr>
              <w:t>6、地下水、土壤环境</w:t>
            </w:r>
          </w:p>
          <w:p w14:paraId="305A7223">
            <w:pPr>
              <w:pStyle w:val="14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0"/>
                <w:sz w:val="24"/>
                <w:szCs w:val="24"/>
              </w:rPr>
            </w:pPr>
            <w:r>
              <w:rPr>
                <w:rStyle w:val="107"/>
                <w:rFonts w:hint="default" w:ascii="Times New Roman" w:hAnsi="Times New Roman" w:eastAsia="宋体" w:cs="Times New Roman"/>
                <w:color w:val="auto"/>
                <w:spacing w:val="0"/>
                <w:sz w:val="24"/>
                <w:szCs w:val="24"/>
                <w:highlight w:val="none"/>
                <w:lang w:val="en-US" w:eastAsia="zh-CN"/>
              </w:rPr>
              <w:t>根据《建设项目环境影响报告表编制技术指南（污染影响类）（试行）》要求，无需开展</w:t>
            </w:r>
            <w:r>
              <w:rPr>
                <w:rStyle w:val="107"/>
                <w:rFonts w:hint="eastAsia" w:ascii="Times New Roman" w:hAnsi="Times New Roman" w:eastAsia="宋体" w:cs="Times New Roman"/>
                <w:color w:val="auto"/>
                <w:spacing w:val="0"/>
                <w:sz w:val="24"/>
                <w:szCs w:val="24"/>
                <w:highlight w:val="none"/>
                <w:lang w:val="en-US" w:eastAsia="zh-CN"/>
              </w:rPr>
              <w:t>地下水和</w:t>
            </w:r>
            <w:r>
              <w:rPr>
                <w:rStyle w:val="107"/>
                <w:rFonts w:hint="default" w:ascii="Times New Roman" w:hAnsi="Times New Roman" w:eastAsia="宋体" w:cs="Times New Roman"/>
                <w:color w:val="auto"/>
                <w:spacing w:val="0"/>
                <w:sz w:val="24"/>
                <w:szCs w:val="24"/>
                <w:highlight w:val="none"/>
                <w:lang w:val="en-US" w:eastAsia="zh-CN"/>
              </w:rPr>
              <w:t>土壤环境质量现状调查。</w:t>
            </w:r>
          </w:p>
        </w:tc>
      </w:tr>
      <w:tr w14:paraId="7C2C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4" w:type="pct"/>
            <w:tcBorders>
              <w:tl2br w:val="nil"/>
              <w:tr2bl w:val="nil"/>
            </w:tcBorders>
            <w:noWrap w:val="0"/>
            <w:vAlign w:val="center"/>
          </w:tcPr>
          <w:p w14:paraId="51CDA3DD">
            <w:pPr>
              <w:adjustRightInd w:val="0"/>
              <w:snapToGrid w:val="0"/>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环境</w:t>
            </w:r>
          </w:p>
          <w:p w14:paraId="3B4E321B">
            <w:pPr>
              <w:adjustRightInd w:val="0"/>
              <w:snapToGrid w:val="0"/>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保护</w:t>
            </w:r>
          </w:p>
          <w:p w14:paraId="1DD00BDD">
            <w:pPr>
              <w:adjustRightInd w:val="0"/>
              <w:snapToGrid w:val="0"/>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目标</w:t>
            </w:r>
          </w:p>
        </w:tc>
        <w:tc>
          <w:tcPr>
            <w:tcW w:w="4795" w:type="pct"/>
            <w:tcBorders>
              <w:tl2br w:val="nil"/>
              <w:tr2bl w:val="nil"/>
            </w:tcBorders>
            <w:noWrap w:val="0"/>
            <w:vAlign w:val="center"/>
          </w:tcPr>
          <w:p w14:paraId="4FFBA929">
            <w:pPr>
              <w:adjustRightInd w:val="0"/>
              <w:snapToGrid w:val="0"/>
              <w:spacing w:line="360" w:lineRule="auto"/>
              <w:ind w:firstLine="480" w:firstLineChars="200"/>
              <w:rPr>
                <w:rFonts w:hint="default" w:ascii="Times New Roman" w:hAnsi="Times New Roman" w:eastAsia="宋体" w:cs="Times New Roman"/>
                <w:color w:val="auto"/>
                <w:spacing w:val="0"/>
                <w:sz w:val="24"/>
                <w:szCs w:val="24"/>
                <w:highlight w:val="none"/>
                <w:lang w:val="en-US" w:eastAsia="zh-CN"/>
              </w:rPr>
            </w:pPr>
            <w:r>
              <w:rPr>
                <w:rFonts w:hint="default" w:ascii="Times New Roman" w:hAnsi="Times New Roman" w:eastAsia="宋体" w:cs="Times New Roman"/>
                <w:color w:val="auto"/>
                <w:spacing w:val="0"/>
                <w:sz w:val="24"/>
                <w:szCs w:val="24"/>
                <w:highlight w:val="none"/>
                <w:lang w:val="en-US" w:eastAsia="zh-CN"/>
              </w:rPr>
              <w:t>1.大气环境：厂界外500m范围内的自然保护区、风景名胜区、居住区、文化区和农村地区中人群较集中的区域等保护目标。</w:t>
            </w:r>
          </w:p>
          <w:p w14:paraId="3652B0E3">
            <w:pPr>
              <w:adjustRightInd w:val="0"/>
              <w:snapToGrid w:val="0"/>
              <w:spacing w:line="360" w:lineRule="auto"/>
              <w:ind w:firstLine="480" w:firstLineChars="200"/>
              <w:rPr>
                <w:rFonts w:hint="default" w:ascii="Times New Roman" w:hAnsi="Times New Roman" w:eastAsia="宋体" w:cs="Times New Roman"/>
                <w:color w:val="auto"/>
                <w:spacing w:val="0"/>
                <w:sz w:val="24"/>
                <w:szCs w:val="24"/>
                <w:highlight w:val="none"/>
                <w:lang w:val="en-US" w:eastAsia="zh-CN"/>
              </w:rPr>
            </w:pPr>
            <w:r>
              <w:rPr>
                <w:rFonts w:hint="default" w:ascii="Times New Roman" w:hAnsi="Times New Roman" w:eastAsia="宋体" w:cs="Times New Roman"/>
                <w:color w:val="auto"/>
                <w:spacing w:val="0"/>
                <w:sz w:val="24"/>
                <w:szCs w:val="24"/>
                <w:highlight w:val="none"/>
                <w:lang w:val="en-US" w:eastAsia="zh-CN"/>
              </w:rPr>
              <w:t>2.声环境：厂界外50m范围内的声环境保护目标。</w:t>
            </w:r>
          </w:p>
          <w:p w14:paraId="3FD87D45">
            <w:pPr>
              <w:adjustRightInd w:val="0"/>
              <w:snapToGrid w:val="0"/>
              <w:spacing w:line="360" w:lineRule="auto"/>
              <w:ind w:firstLine="480" w:firstLineChars="200"/>
              <w:rPr>
                <w:rFonts w:hint="default" w:ascii="Times New Roman" w:hAnsi="Times New Roman" w:eastAsia="宋体" w:cs="Times New Roman"/>
                <w:color w:val="auto"/>
                <w:spacing w:val="0"/>
                <w:sz w:val="24"/>
                <w:szCs w:val="24"/>
                <w:highlight w:val="none"/>
                <w:lang w:val="en-US" w:eastAsia="zh-CN"/>
              </w:rPr>
            </w:pPr>
            <w:r>
              <w:rPr>
                <w:rFonts w:hint="default" w:ascii="Times New Roman" w:hAnsi="Times New Roman" w:eastAsia="宋体" w:cs="Times New Roman"/>
                <w:color w:val="auto"/>
                <w:spacing w:val="0"/>
                <w:sz w:val="24"/>
                <w:szCs w:val="24"/>
                <w:highlight w:val="none"/>
                <w:lang w:val="en-US" w:eastAsia="zh-CN"/>
              </w:rPr>
              <w:t>3.地下水环境：厂界外500m范围内的地下水集中式饮用水水源和热水、矿泉水、温泉等特殊地下水资源。</w:t>
            </w:r>
          </w:p>
          <w:p w14:paraId="4756311E">
            <w:pPr>
              <w:adjustRightInd w:val="0"/>
              <w:snapToGrid w:val="0"/>
              <w:spacing w:line="360" w:lineRule="auto"/>
              <w:ind w:firstLine="480" w:firstLineChars="200"/>
              <w:rPr>
                <w:rFonts w:hint="default" w:ascii="Times New Roman" w:hAnsi="Times New Roman" w:eastAsia="宋体" w:cs="Times New Roman"/>
                <w:color w:val="auto"/>
                <w:spacing w:val="0"/>
                <w:sz w:val="24"/>
                <w:szCs w:val="24"/>
                <w:highlight w:val="none"/>
                <w:lang w:val="en-US" w:eastAsia="zh-CN"/>
              </w:rPr>
            </w:pPr>
            <w:r>
              <w:rPr>
                <w:rFonts w:hint="default" w:ascii="Times New Roman" w:hAnsi="Times New Roman" w:eastAsia="宋体" w:cs="Times New Roman"/>
                <w:color w:val="auto"/>
                <w:spacing w:val="0"/>
                <w:sz w:val="24"/>
                <w:szCs w:val="24"/>
                <w:highlight w:val="none"/>
                <w:lang w:val="en-US" w:eastAsia="zh-CN"/>
              </w:rPr>
              <w:t>4.生态环境：占地范围内的生态环境保护目标。</w:t>
            </w:r>
          </w:p>
          <w:p w14:paraId="280AC83A">
            <w:pPr>
              <w:adjustRightInd w:val="0"/>
              <w:snapToGrid w:val="0"/>
              <w:spacing w:line="360" w:lineRule="auto"/>
              <w:ind w:firstLine="480" w:firstLineChars="200"/>
              <w:rPr>
                <w:rFonts w:hint="default" w:ascii="Times New Roman" w:hAnsi="Times New Roman" w:eastAsia="宋体" w:cs="Times New Roman"/>
                <w:color w:val="auto"/>
                <w:spacing w:val="0"/>
                <w:sz w:val="24"/>
                <w:szCs w:val="24"/>
                <w:highlight w:val="none"/>
                <w:lang w:val="en-US" w:eastAsia="zh-CN"/>
              </w:rPr>
            </w:pPr>
            <w:r>
              <w:rPr>
                <w:rFonts w:hint="default" w:ascii="Times New Roman" w:hAnsi="Times New Roman" w:eastAsia="宋体" w:cs="Times New Roman"/>
                <w:color w:val="auto"/>
                <w:spacing w:val="0"/>
                <w:sz w:val="24"/>
                <w:szCs w:val="24"/>
                <w:highlight w:val="none"/>
                <w:lang w:val="en-US" w:eastAsia="zh-CN"/>
              </w:rPr>
              <w:t>周边环境保护目标见下表及附图3。</w:t>
            </w:r>
          </w:p>
          <w:p w14:paraId="41D3D0BD">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kern w:val="0"/>
                <w:sz w:val="24"/>
                <w:szCs w:val="24"/>
                <w:highlight w:val="none"/>
                <w:lang w:val="en-US" w:eastAsia="zh-CN"/>
              </w:rPr>
            </w:pPr>
            <w:r>
              <w:rPr>
                <w:rFonts w:hint="default" w:ascii="Times New Roman" w:hAnsi="Times New Roman" w:eastAsia="宋体" w:cs="Times New Roman"/>
                <w:b/>
                <w:bCs/>
                <w:color w:val="auto"/>
                <w:spacing w:val="0"/>
                <w:kern w:val="0"/>
                <w:sz w:val="24"/>
                <w:szCs w:val="24"/>
                <w:highlight w:val="none"/>
                <w:lang w:val="en-US" w:eastAsia="zh-CN"/>
              </w:rPr>
              <w:t>环境</w:t>
            </w:r>
            <w:r>
              <w:rPr>
                <w:rFonts w:hint="eastAsia" w:ascii="Times New Roman" w:hAnsi="Times New Roman" w:eastAsia="宋体" w:cs="Times New Roman"/>
                <w:b/>
                <w:bCs/>
                <w:color w:val="auto"/>
                <w:spacing w:val="0"/>
                <w:kern w:val="0"/>
                <w:sz w:val="24"/>
                <w:szCs w:val="24"/>
                <w:highlight w:val="none"/>
                <w:lang w:val="en-US" w:eastAsia="zh-CN"/>
              </w:rPr>
              <w:t>保护</w:t>
            </w:r>
            <w:r>
              <w:rPr>
                <w:rFonts w:hint="default" w:ascii="Times New Roman" w:hAnsi="Times New Roman" w:eastAsia="宋体" w:cs="Times New Roman"/>
                <w:b/>
                <w:bCs/>
                <w:color w:val="auto"/>
                <w:spacing w:val="0"/>
                <w:kern w:val="0"/>
                <w:sz w:val="24"/>
                <w:szCs w:val="24"/>
                <w:highlight w:val="none"/>
                <w:lang w:val="en-US" w:eastAsia="zh-CN"/>
              </w:rPr>
              <w:t>目标一览表</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441"/>
              <w:gridCol w:w="1110"/>
              <w:gridCol w:w="1579"/>
              <w:gridCol w:w="2477"/>
            </w:tblGrid>
            <w:tr w14:paraId="3FDD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pct"/>
                  <w:noWrap w:val="0"/>
                  <w:vAlign w:val="center"/>
                </w:tcPr>
                <w:p w14:paraId="02768D5E">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环境要素</w:t>
                  </w:r>
                </w:p>
              </w:tc>
              <w:tc>
                <w:tcPr>
                  <w:tcW w:w="919" w:type="pct"/>
                  <w:noWrap w:val="0"/>
                  <w:vAlign w:val="center"/>
                </w:tcPr>
                <w:p w14:paraId="724710C6">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保护目标</w:t>
                  </w:r>
                </w:p>
              </w:tc>
              <w:tc>
                <w:tcPr>
                  <w:tcW w:w="708" w:type="pct"/>
                  <w:noWrap w:val="0"/>
                  <w:vAlign w:val="center"/>
                </w:tcPr>
                <w:p w14:paraId="33D0137F">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相对位置</w:t>
                  </w:r>
                </w:p>
              </w:tc>
              <w:tc>
                <w:tcPr>
                  <w:tcW w:w="1007" w:type="pct"/>
                  <w:noWrap w:val="0"/>
                  <w:vAlign w:val="center"/>
                </w:tcPr>
                <w:p w14:paraId="41876C54">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与厂界距离</w:t>
                  </w:r>
                  <w:r>
                    <w:rPr>
                      <w:rFonts w:hint="eastAsia" w:cs="Times New Roman"/>
                      <w:b w:val="0"/>
                      <w:bCs w:val="0"/>
                      <w:color w:val="auto"/>
                      <w:spacing w:val="0"/>
                      <w:kern w:val="0"/>
                      <w:sz w:val="21"/>
                      <w:szCs w:val="21"/>
                      <w:highlight w:val="none"/>
                      <w:vertAlign w:val="baseline"/>
                      <w:lang w:val="en-US" w:eastAsia="zh-CN"/>
                    </w:rPr>
                    <w:t>/</w:t>
                  </w:r>
                  <w:r>
                    <w:rPr>
                      <w:rFonts w:hint="default" w:ascii="Times New Roman" w:hAnsi="Times New Roman" w:eastAsia="宋体" w:cs="Times New Roman"/>
                      <w:b w:val="0"/>
                      <w:bCs w:val="0"/>
                      <w:color w:val="auto"/>
                      <w:spacing w:val="0"/>
                      <w:kern w:val="0"/>
                      <w:sz w:val="21"/>
                      <w:szCs w:val="21"/>
                      <w:highlight w:val="none"/>
                      <w:vertAlign w:val="baseline"/>
                      <w:lang w:val="en-US" w:eastAsia="zh-CN"/>
                    </w:rPr>
                    <w:t>m</w:t>
                  </w:r>
                </w:p>
              </w:tc>
              <w:tc>
                <w:tcPr>
                  <w:tcW w:w="1578" w:type="pct"/>
                  <w:noWrap w:val="0"/>
                  <w:vAlign w:val="center"/>
                </w:tcPr>
                <w:p w14:paraId="2E614304">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保护级别</w:t>
                  </w:r>
                </w:p>
              </w:tc>
            </w:tr>
            <w:tr w14:paraId="67E5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pct"/>
                  <w:vMerge w:val="restart"/>
                  <w:noWrap w:val="0"/>
                  <w:vAlign w:val="center"/>
                </w:tcPr>
                <w:p w14:paraId="6430649E">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大气环境</w:t>
                  </w:r>
                </w:p>
              </w:tc>
              <w:tc>
                <w:tcPr>
                  <w:tcW w:w="919" w:type="pct"/>
                  <w:noWrap w:val="0"/>
                  <w:vAlign w:val="center"/>
                </w:tcPr>
                <w:p w14:paraId="038ED7EB">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河南刘村</w:t>
                  </w:r>
                </w:p>
              </w:tc>
              <w:tc>
                <w:tcPr>
                  <w:tcW w:w="708" w:type="pct"/>
                  <w:noWrap w:val="0"/>
                  <w:vAlign w:val="center"/>
                </w:tcPr>
                <w:p w14:paraId="46373A48">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eastAsia" w:cs="Times New Roman"/>
                      <w:b w:val="0"/>
                      <w:bCs w:val="0"/>
                      <w:color w:val="auto"/>
                      <w:spacing w:val="0"/>
                      <w:kern w:val="0"/>
                      <w:sz w:val="21"/>
                      <w:szCs w:val="21"/>
                      <w:highlight w:val="none"/>
                      <w:vertAlign w:val="baseline"/>
                      <w:lang w:val="en-US" w:eastAsia="zh-CN"/>
                    </w:rPr>
                    <w:t>N</w:t>
                  </w:r>
                </w:p>
              </w:tc>
              <w:tc>
                <w:tcPr>
                  <w:tcW w:w="1007" w:type="pct"/>
                  <w:noWrap w:val="0"/>
                  <w:vAlign w:val="center"/>
                </w:tcPr>
                <w:p w14:paraId="68D53263">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eastAsia" w:cs="Times New Roman"/>
                      <w:b w:val="0"/>
                      <w:bCs w:val="0"/>
                      <w:color w:val="auto"/>
                      <w:spacing w:val="0"/>
                      <w:kern w:val="0"/>
                      <w:sz w:val="21"/>
                      <w:szCs w:val="21"/>
                      <w:highlight w:val="none"/>
                      <w:vertAlign w:val="baseline"/>
                      <w:lang w:val="en-US" w:eastAsia="zh-CN"/>
                    </w:rPr>
                    <w:t>200</w:t>
                  </w:r>
                </w:p>
              </w:tc>
              <w:tc>
                <w:tcPr>
                  <w:tcW w:w="1578" w:type="pct"/>
                  <w:vMerge w:val="restart"/>
                  <w:noWrap w:val="0"/>
                  <w:vAlign w:val="center"/>
                </w:tcPr>
                <w:p w14:paraId="3E5B67AE">
                  <w:pPr>
                    <w:spacing w:line="240" w:lineRule="atLeast"/>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color w:val="auto"/>
                      <w:spacing w:val="0"/>
                      <w:sz w:val="21"/>
                      <w:szCs w:val="21"/>
                      <w:highlight w:val="none"/>
                    </w:rPr>
                    <w:t>（GB3095-2012）二类</w:t>
                  </w:r>
                </w:p>
              </w:tc>
            </w:tr>
            <w:tr w14:paraId="590B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pct"/>
                  <w:vMerge w:val="continue"/>
                  <w:noWrap w:val="0"/>
                  <w:vAlign w:val="center"/>
                </w:tcPr>
                <w:p w14:paraId="2A87F43D">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p>
              </w:tc>
              <w:tc>
                <w:tcPr>
                  <w:tcW w:w="919" w:type="pct"/>
                  <w:noWrap w:val="0"/>
                  <w:vAlign w:val="center"/>
                </w:tcPr>
                <w:p w14:paraId="60356160">
                  <w:pPr>
                    <w:adjustRightInd w:val="0"/>
                    <w:snapToGrid w:val="0"/>
                    <w:jc w:val="center"/>
                    <w:rPr>
                      <w:rFonts w:hint="default" w:cs="Times New Roman"/>
                      <w:b w:val="0"/>
                      <w:bCs w:val="0"/>
                      <w:color w:val="auto"/>
                      <w:spacing w:val="0"/>
                      <w:kern w:val="0"/>
                      <w:sz w:val="21"/>
                      <w:szCs w:val="21"/>
                      <w:highlight w:val="none"/>
                      <w:vertAlign w:val="baseline"/>
                      <w:lang w:val="en-US" w:eastAsia="zh-CN"/>
                    </w:rPr>
                  </w:pPr>
                  <w:r>
                    <w:rPr>
                      <w:rFonts w:hint="default" w:cs="Times New Roman"/>
                      <w:b w:val="0"/>
                      <w:bCs w:val="0"/>
                      <w:color w:val="auto"/>
                      <w:spacing w:val="0"/>
                      <w:kern w:val="0"/>
                      <w:sz w:val="21"/>
                      <w:szCs w:val="21"/>
                      <w:highlight w:val="none"/>
                      <w:vertAlign w:val="baseline"/>
                      <w:lang w:val="en-US" w:eastAsia="zh-CN"/>
                    </w:rPr>
                    <w:t>河南刘村</w:t>
                  </w:r>
                  <w:r>
                    <w:rPr>
                      <w:rFonts w:hint="eastAsia" w:cs="Times New Roman"/>
                      <w:b w:val="0"/>
                      <w:bCs w:val="0"/>
                      <w:color w:val="auto"/>
                      <w:spacing w:val="0"/>
                      <w:kern w:val="0"/>
                      <w:sz w:val="21"/>
                      <w:szCs w:val="21"/>
                      <w:highlight w:val="none"/>
                      <w:vertAlign w:val="baseline"/>
                      <w:lang w:val="en-US" w:eastAsia="zh-CN"/>
                    </w:rPr>
                    <w:t>卫生所</w:t>
                  </w:r>
                </w:p>
              </w:tc>
              <w:tc>
                <w:tcPr>
                  <w:tcW w:w="708" w:type="pct"/>
                  <w:noWrap w:val="0"/>
                  <w:vAlign w:val="center"/>
                </w:tcPr>
                <w:p w14:paraId="4F21A1C7">
                  <w:pPr>
                    <w:adjustRightInd w:val="0"/>
                    <w:snapToGrid w:val="0"/>
                    <w:jc w:val="center"/>
                    <w:rPr>
                      <w:rFonts w:hint="default" w:cs="Times New Roman"/>
                      <w:b w:val="0"/>
                      <w:bCs w:val="0"/>
                      <w:color w:val="auto"/>
                      <w:spacing w:val="0"/>
                      <w:kern w:val="0"/>
                      <w:sz w:val="21"/>
                      <w:szCs w:val="21"/>
                      <w:highlight w:val="none"/>
                      <w:vertAlign w:val="baseline"/>
                      <w:lang w:val="en-US" w:eastAsia="zh-CN"/>
                    </w:rPr>
                  </w:pPr>
                  <w:r>
                    <w:rPr>
                      <w:rFonts w:hint="eastAsia" w:cs="Times New Roman"/>
                      <w:b w:val="0"/>
                      <w:bCs w:val="0"/>
                      <w:color w:val="auto"/>
                      <w:spacing w:val="0"/>
                      <w:kern w:val="0"/>
                      <w:sz w:val="21"/>
                      <w:szCs w:val="21"/>
                      <w:highlight w:val="none"/>
                      <w:vertAlign w:val="baseline"/>
                      <w:lang w:val="en-US" w:eastAsia="zh-CN"/>
                    </w:rPr>
                    <w:t>N</w:t>
                  </w:r>
                </w:p>
              </w:tc>
              <w:tc>
                <w:tcPr>
                  <w:tcW w:w="1007" w:type="pct"/>
                  <w:noWrap w:val="0"/>
                  <w:vAlign w:val="center"/>
                </w:tcPr>
                <w:p w14:paraId="2D71C098">
                  <w:pPr>
                    <w:adjustRightInd w:val="0"/>
                    <w:snapToGrid w:val="0"/>
                    <w:jc w:val="center"/>
                    <w:rPr>
                      <w:rFonts w:hint="default" w:cs="Times New Roman"/>
                      <w:b w:val="0"/>
                      <w:bCs w:val="0"/>
                      <w:color w:val="auto"/>
                      <w:spacing w:val="0"/>
                      <w:kern w:val="0"/>
                      <w:sz w:val="21"/>
                      <w:szCs w:val="21"/>
                      <w:highlight w:val="none"/>
                      <w:vertAlign w:val="baseline"/>
                      <w:lang w:val="en-US" w:eastAsia="zh-CN"/>
                    </w:rPr>
                  </w:pPr>
                  <w:r>
                    <w:rPr>
                      <w:rFonts w:hint="eastAsia" w:cs="Times New Roman"/>
                      <w:b w:val="0"/>
                      <w:bCs w:val="0"/>
                      <w:color w:val="auto"/>
                      <w:spacing w:val="0"/>
                      <w:kern w:val="0"/>
                      <w:sz w:val="21"/>
                      <w:szCs w:val="21"/>
                      <w:highlight w:val="none"/>
                      <w:vertAlign w:val="baseline"/>
                      <w:lang w:val="en-US" w:eastAsia="zh-CN"/>
                    </w:rPr>
                    <w:t>270</w:t>
                  </w:r>
                </w:p>
              </w:tc>
              <w:tc>
                <w:tcPr>
                  <w:tcW w:w="1578" w:type="pct"/>
                  <w:vMerge w:val="continue"/>
                  <w:noWrap w:val="0"/>
                  <w:vAlign w:val="center"/>
                </w:tcPr>
                <w:p w14:paraId="27DF99A0">
                  <w:pPr>
                    <w:spacing w:line="240" w:lineRule="atLeast"/>
                    <w:jc w:val="center"/>
                    <w:rPr>
                      <w:rFonts w:hint="default" w:ascii="Times New Roman" w:hAnsi="Times New Roman" w:eastAsia="宋体" w:cs="Times New Roman"/>
                      <w:color w:val="auto"/>
                      <w:spacing w:val="0"/>
                      <w:sz w:val="21"/>
                      <w:szCs w:val="21"/>
                      <w:highlight w:val="none"/>
                    </w:rPr>
                  </w:pPr>
                </w:p>
              </w:tc>
            </w:tr>
            <w:tr w14:paraId="22B1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pct"/>
                  <w:noWrap w:val="0"/>
                  <w:vAlign w:val="center"/>
                </w:tcPr>
                <w:p w14:paraId="1B600C81">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声环境</w:t>
                  </w:r>
                </w:p>
              </w:tc>
              <w:tc>
                <w:tcPr>
                  <w:tcW w:w="919" w:type="pct"/>
                  <w:noWrap w:val="0"/>
                  <w:vAlign w:val="center"/>
                </w:tcPr>
                <w:p w14:paraId="07ADC5D2">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厂界外50m</w:t>
                  </w:r>
                  <w:r>
                    <w:rPr>
                      <w:rFonts w:hint="eastAsia" w:ascii="Times New Roman" w:hAnsi="Times New Roman" w:eastAsia="宋体" w:cs="Times New Roman"/>
                      <w:b w:val="0"/>
                      <w:bCs w:val="0"/>
                      <w:color w:val="auto"/>
                      <w:spacing w:val="0"/>
                      <w:kern w:val="0"/>
                      <w:sz w:val="21"/>
                      <w:szCs w:val="21"/>
                      <w:highlight w:val="none"/>
                      <w:vertAlign w:val="baseline"/>
                      <w:lang w:val="en-US" w:eastAsia="zh-CN"/>
                    </w:rPr>
                    <w:t>范围内无保护目标</w:t>
                  </w:r>
                </w:p>
              </w:tc>
              <w:tc>
                <w:tcPr>
                  <w:tcW w:w="708" w:type="pct"/>
                  <w:noWrap w:val="0"/>
                  <w:vAlign w:val="center"/>
                </w:tcPr>
                <w:p w14:paraId="2ED4CF4A">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w:t>
                  </w:r>
                </w:p>
              </w:tc>
              <w:tc>
                <w:tcPr>
                  <w:tcW w:w="1007" w:type="pct"/>
                  <w:noWrap w:val="0"/>
                  <w:vAlign w:val="center"/>
                </w:tcPr>
                <w:p w14:paraId="5C48DE33">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w:t>
                  </w:r>
                </w:p>
              </w:tc>
              <w:tc>
                <w:tcPr>
                  <w:tcW w:w="1578" w:type="pct"/>
                  <w:noWrap w:val="0"/>
                  <w:vAlign w:val="center"/>
                </w:tcPr>
                <w:p w14:paraId="08C0063B">
                  <w:pPr>
                    <w:spacing w:line="240" w:lineRule="atLeast"/>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color w:val="auto"/>
                      <w:spacing w:val="0"/>
                      <w:sz w:val="21"/>
                      <w:szCs w:val="21"/>
                      <w:highlight w:val="none"/>
                    </w:rPr>
                    <w:t>（GB3096-20082）</w:t>
                  </w:r>
                  <w:r>
                    <w:rPr>
                      <w:rFonts w:hint="eastAsia" w:ascii="Times New Roman" w:hAnsi="Times New Roman" w:eastAsia="宋体" w:cs="Times New Roman"/>
                      <w:color w:val="auto"/>
                      <w:spacing w:val="0"/>
                      <w:sz w:val="21"/>
                      <w:szCs w:val="21"/>
                      <w:highlight w:val="none"/>
                      <w:lang w:val="en-US" w:eastAsia="zh-CN"/>
                    </w:rPr>
                    <w:t>2</w:t>
                  </w:r>
                  <w:r>
                    <w:rPr>
                      <w:rFonts w:hint="default" w:ascii="Times New Roman" w:hAnsi="Times New Roman" w:eastAsia="宋体" w:cs="Times New Roman"/>
                      <w:color w:val="auto"/>
                      <w:spacing w:val="0"/>
                      <w:sz w:val="21"/>
                      <w:szCs w:val="21"/>
                      <w:highlight w:val="none"/>
                    </w:rPr>
                    <w:t>类</w:t>
                  </w:r>
                </w:p>
              </w:tc>
            </w:tr>
            <w:tr w14:paraId="4E66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pct"/>
                  <w:noWrap w:val="0"/>
                  <w:vAlign w:val="center"/>
                </w:tcPr>
                <w:p w14:paraId="22564C64">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地下水</w:t>
                  </w:r>
                </w:p>
              </w:tc>
              <w:tc>
                <w:tcPr>
                  <w:tcW w:w="919" w:type="pct"/>
                  <w:noWrap w:val="0"/>
                  <w:vAlign w:val="center"/>
                </w:tcPr>
                <w:p w14:paraId="17FAE3DC">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w:t>
                  </w:r>
                </w:p>
              </w:tc>
              <w:tc>
                <w:tcPr>
                  <w:tcW w:w="708" w:type="pct"/>
                  <w:noWrap w:val="0"/>
                  <w:vAlign w:val="center"/>
                </w:tcPr>
                <w:p w14:paraId="3EEFCE90">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w:t>
                  </w:r>
                </w:p>
              </w:tc>
              <w:tc>
                <w:tcPr>
                  <w:tcW w:w="1007" w:type="pct"/>
                  <w:noWrap w:val="0"/>
                  <w:vAlign w:val="center"/>
                </w:tcPr>
                <w:p w14:paraId="65FE2C77">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w:t>
                  </w:r>
                </w:p>
              </w:tc>
              <w:tc>
                <w:tcPr>
                  <w:tcW w:w="1578" w:type="pct"/>
                  <w:noWrap w:val="0"/>
                  <w:vAlign w:val="center"/>
                </w:tcPr>
                <w:p w14:paraId="68331EA4">
                  <w:pPr>
                    <w:spacing w:line="240" w:lineRule="atLeast"/>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color w:val="auto"/>
                      <w:spacing w:val="0"/>
                      <w:sz w:val="21"/>
                      <w:szCs w:val="21"/>
                      <w:highlight w:val="none"/>
                    </w:rPr>
                    <w:t>（GB/T14848-2017）Ⅲ类</w:t>
                  </w:r>
                </w:p>
              </w:tc>
            </w:tr>
            <w:tr w14:paraId="6D54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pct"/>
                  <w:noWrap w:val="0"/>
                  <w:vAlign w:val="center"/>
                </w:tcPr>
                <w:p w14:paraId="79E5DBA2">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生态环境</w:t>
                  </w:r>
                </w:p>
              </w:tc>
              <w:tc>
                <w:tcPr>
                  <w:tcW w:w="4213" w:type="pct"/>
                  <w:gridSpan w:val="4"/>
                  <w:noWrap w:val="0"/>
                  <w:vAlign w:val="center"/>
                </w:tcPr>
                <w:p w14:paraId="1D5E749C">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占地范围内无生态环境保护目标</w:t>
                  </w:r>
                </w:p>
              </w:tc>
            </w:tr>
          </w:tbl>
          <w:p w14:paraId="27754ACB">
            <w:pPr>
              <w:pStyle w:val="23"/>
              <w:ind w:left="0" w:firstLine="0"/>
              <w:rPr>
                <w:rFonts w:hint="default" w:ascii="Times New Roman" w:hAnsi="Times New Roman" w:eastAsia="宋体" w:cs="Times New Roman"/>
                <w:color w:val="auto"/>
                <w:spacing w:val="0"/>
              </w:rPr>
            </w:pPr>
          </w:p>
        </w:tc>
      </w:tr>
      <w:tr w14:paraId="47B6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4" w:type="pct"/>
            <w:tcBorders>
              <w:tl2br w:val="nil"/>
              <w:tr2bl w:val="nil"/>
            </w:tcBorders>
            <w:noWrap w:val="0"/>
            <w:tcMar>
              <w:left w:w="28" w:type="dxa"/>
              <w:right w:w="28" w:type="dxa"/>
            </w:tcMar>
            <w:vAlign w:val="center"/>
          </w:tcPr>
          <w:p w14:paraId="26F4C270">
            <w:pPr>
              <w:adjustRightInd w:val="0"/>
              <w:snapToGrid w:val="0"/>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污染</w:t>
            </w:r>
          </w:p>
          <w:p w14:paraId="3638FF2D">
            <w:pPr>
              <w:adjustRightInd w:val="0"/>
              <w:snapToGrid w:val="0"/>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物排</w:t>
            </w:r>
          </w:p>
          <w:p w14:paraId="21246F4D">
            <w:pPr>
              <w:adjustRightInd w:val="0"/>
              <w:snapToGrid w:val="0"/>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放控</w:t>
            </w:r>
          </w:p>
          <w:p w14:paraId="1C88AD9D">
            <w:pPr>
              <w:adjustRightInd w:val="0"/>
              <w:snapToGrid w:val="0"/>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制标</w:t>
            </w:r>
          </w:p>
          <w:p w14:paraId="0AD80DE7">
            <w:pPr>
              <w:adjustRightInd w:val="0"/>
              <w:snapToGrid w:val="0"/>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准</w:t>
            </w:r>
          </w:p>
        </w:tc>
        <w:tc>
          <w:tcPr>
            <w:tcW w:w="4795" w:type="pct"/>
            <w:tcBorders>
              <w:tl2br w:val="nil"/>
              <w:tr2bl w:val="nil"/>
            </w:tcBorders>
            <w:noWrap w:val="0"/>
            <w:vAlign w:val="center"/>
          </w:tcPr>
          <w:p w14:paraId="6E6D5553">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right="0" w:firstLine="482" w:firstLineChars="200"/>
              <w:jc w:val="both"/>
              <w:textAlignment w:val="auto"/>
              <w:rPr>
                <w:rFonts w:hint="default" w:ascii="Times New Roman" w:hAnsi="Times New Roman" w:eastAsia="宋体" w:cs="Times New Roman"/>
                <w:color w:val="auto"/>
                <w:spacing w:val="0"/>
                <w:sz w:val="24"/>
                <w:szCs w:val="22"/>
                <w:lang w:val="en-US" w:eastAsia="zh-CN"/>
              </w:rPr>
            </w:pPr>
            <w:r>
              <w:rPr>
                <w:rFonts w:hint="default" w:ascii="Times New Roman" w:hAnsi="Times New Roman" w:eastAsia="宋体" w:cs="Times New Roman"/>
                <w:b/>
                <w:bCs/>
                <w:color w:val="auto"/>
                <w:spacing w:val="0"/>
                <w:sz w:val="24"/>
                <w:szCs w:val="22"/>
                <w:lang w:val="en-US" w:eastAsia="zh-CN"/>
              </w:rPr>
              <w:t>废水：</w:t>
            </w:r>
            <w:r>
              <w:rPr>
                <w:rFonts w:hint="eastAsia" w:cs="Times New Roman"/>
                <w:b w:val="0"/>
                <w:bCs w:val="0"/>
                <w:color w:val="auto"/>
                <w:spacing w:val="0"/>
                <w:sz w:val="24"/>
                <w:szCs w:val="22"/>
                <w:lang w:val="en-US" w:eastAsia="zh-CN"/>
              </w:rPr>
              <w:t>本</w:t>
            </w:r>
            <w:r>
              <w:rPr>
                <w:rFonts w:hint="default" w:ascii="Times New Roman" w:hAnsi="Times New Roman" w:eastAsia="宋体" w:cs="Times New Roman"/>
                <w:b w:val="0"/>
                <w:bCs w:val="0"/>
                <w:color w:val="auto"/>
                <w:spacing w:val="0"/>
                <w:sz w:val="24"/>
                <w:szCs w:val="22"/>
                <w:lang w:val="en-US" w:eastAsia="zh-CN"/>
              </w:rPr>
              <w:t>项目</w:t>
            </w:r>
            <w:r>
              <w:rPr>
                <w:rFonts w:hint="default" w:ascii="Times New Roman" w:hAnsi="Times New Roman" w:eastAsia="宋体" w:cs="Times New Roman"/>
                <w:color w:val="auto"/>
                <w:spacing w:val="0"/>
                <w:sz w:val="24"/>
                <w:szCs w:val="22"/>
                <w:lang w:val="en-US" w:eastAsia="zh-CN"/>
              </w:rPr>
              <w:t>无废水外排。</w:t>
            </w:r>
          </w:p>
          <w:p w14:paraId="0D27056A">
            <w:pPr>
              <w:keepNext w:val="0"/>
              <w:keepLines w:val="0"/>
              <w:widowControl/>
              <w:suppressLineNumbers w:val="0"/>
              <w:spacing w:line="360" w:lineRule="auto"/>
              <w:ind w:left="0" w:leftChars="0" w:firstLine="482" w:firstLineChars="200"/>
              <w:jc w:val="both"/>
              <w:rPr>
                <w:rFonts w:hint="default" w:ascii="Times New Roman" w:hAnsi="Times New Roman" w:eastAsia="宋体" w:cs="Times New Roman"/>
                <w:color w:val="auto"/>
                <w:spacing w:val="0"/>
                <w:sz w:val="24"/>
                <w:szCs w:val="22"/>
                <w:lang w:val="en-US" w:eastAsia="zh-CN"/>
              </w:rPr>
            </w:pPr>
            <w:r>
              <w:rPr>
                <w:rFonts w:hint="default" w:ascii="Times New Roman" w:hAnsi="Times New Roman" w:eastAsia="宋体" w:cs="Times New Roman"/>
                <w:b/>
                <w:bCs/>
                <w:color w:val="auto"/>
                <w:spacing w:val="0"/>
                <w:sz w:val="24"/>
                <w:szCs w:val="22"/>
              </w:rPr>
              <w:t>废气：</w:t>
            </w:r>
            <w:r>
              <w:rPr>
                <w:rFonts w:hint="default" w:ascii="Times New Roman" w:hAnsi="Times New Roman" w:eastAsia="宋体" w:cs="Times New Roman"/>
                <w:color w:val="auto"/>
                <w:spacing w:val="0"/>
                <w:sz w:val="24"/>
                <w:szCs w:val="22"/>
                <w:lang w:val="en-US" w:eastAsia="zh-CN"/>
              </w:rPr>
              <w:t>有组织颗粒物排放浓度执行</w:t>
            </w:r>
            <w:r>
              <w:rPr>
                <w:rFonts w:hint="default" w:ascii="Times New Roman" w:hAnsi="Times New Roman" w:eastAsia="宋体" w:cs="Times New Roman"/>
                <w:color w:val="auto"/>
                <w:spacing w:val="0"/>
                <w:kern w:val="0"/>
                <w:sz w:val="24"/>
                <w:szCs w:val="24"/>
                <w:lang w:val="en-US" w:eastAsia="zh-CN" w:bidi="ar"/>
              </w:rPr>
              <w:t>《建材工业大气污染物排放标准》（DB37/2373-2018）表2重点控制区</w:t>
            </w:r>
            <w:r>
              <w:rPr>
                <w:rFonts w:hint="eastAsia" w:cs="Times New Roman"/>
                <w:color w:val="auto"/>
                <w:spacing w:val="0"/>
                <w:kern w:val="0"/>
                <w:sz w:val="24"/>
                <w:szCs w:val="24"/>
                <w:lang w:val="en-US" w:eastAsia="zh-CN" w:bidi="ar"/>
              </w:rPr>
              <w:t>标准要求，</w:t>
            </w:r>
            <w:r>
              <w:rPr>
                <w:rFonts w:hint="default" w:ascii="Times New Roman" w:hAnsi="Times New Roman" w:eastAsia="宋体" w:cs="Times New Roman"/>
                <w:color w:val="auto"/>
                <w:spacing w:val="0"/>
                <w:kern w:val="0"/>
                <w:sz w:val="24"/>
                <w:szCs w:val="24"/>
                <w:lang w:val="en-US" w:eastAsia="zh-CN" w:bidi="ar"/>
              </w:rPr>
              <w:t>排放速率执行《大气污染物综合排放标准》(GB16297-1996)表2二级标准要求；</w:t>
            </w:r>
            <w:r>
              <w:rPr>
                <w:rFonts w:hint="default" w:ascii="Times New Roman" w:hAnsi="Times New Roman" w:eastAsia="宋体" w:cs="Times New Roman"/>
                <w:color w:val="auto"/>
                <w:spacing w:val="0"/>
                <w:sz w:val="24"/>
                <w:szCs w:val="22"/>
                <w:lang w:val="en-US" w:eastAsia="zh-CN"/>
              </w:rPr>
              <w:t>无组织颗粒物排放浓度执行《建材工业大气污染物排放标准》（DB37/2373-2018）表3无组织排放限值</w:t>
            </w:r>
            <w:r>
              <w:rPr>
                <w:rFonts w:hint="eastAsia" w:cs="Times New Roman"/>
                <w:color w:val="auto"/>
                <w:spacing w:val="0"/>
                <w:sz w:val="24"/>
                <w:szCs w:val="22"/>
                <w:lang w:val="en-US" w:eastAsia="zh-CN"/>
              </w:rPr>
              <w:t>要求（水泥行业）</w:t>
            </w:r>
            <w:r>
              <w:rPr>
                <w:rFonts w:hint="default" w:ascii="Times New Roman" w:hAnsi="Times New Roman" w:eastAsia="宋体" w:cs="Times New Roman"/>
                <w:color w:val="auto"/>
                <w:spacing w:val="0"/>
                <w:sz w:val="24"/>
                <w:szCs w:val="22"/>
                <w:lang w:val="en-US" w:eastAsia="zh-CN"/>
              </w:rPr>
              <w:t>。</w:t>
            </w:r>
          </w:p>
          <w:p w14:paraId="520796DD">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snapToGrid w:val="0"/>
                <w:color w:val="auto"/>
                <w:spacing w:val="0"/>
                <w:kern w:val="0"/>
                <w:sz w:val="24"/>
                <w:lang w:val="en-US" w:eastAsia="zh-CN"/>
              </w:rPr>
            </w:pPr>
            <w:r>
              <w:rPr>
                <w:rFonts w:hint="default" w:ascii="Times New Roman" w:hAnsi="Times New Roman" w:eastAsia="宋体" w:cs="Times New Roman"/>
                <w:b/>
                <w:bCs/>
                <w:snapToGrid w:val="0"/>
                <w:color w:val="auto"/>
                <w:spacing w:val="0"/>
                <w:kern w:val="0"/>
                <w:sz w:val="24"/>
                <w:lang w:val="en-US" w:eastAsia="en-US"/>
              </w:rPr>
              <w:t>大气污染物排放标准</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904"/>
              <w:gridCol w:w="1567"/>
              <w:gridCol w:w="1488"/>
              <w:gridCol w:w="1747"/>
            </w:tblGrid>
            <w:tr w14:paraId="2D2E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3" w:type="pct"/>
                  <w:vMerge w:val="restart"/>
                  <w:tcBorders>
                    <w:tl2br w:val="nil"/>
                    <w:tr2bl w:val="nil"/>
                  </w:tcBorders>
                  <w:noWrap w:val="0"/>
                  <w:vAlign w:val="center"/>
                </w:tcPr>
                <w:p w14:paraId="6A3503C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pacing w:val="0"/>
                      <w:sz w:val="21"/>
                      <w:szCs w:val="21"/>
                      <w:highlight w:val="none"/>
                      <w:lang w:val="en-US"/>
                    </w:rPr>
                  </w:pPr>
                  <w:r>
                    <w:rPr>
                      <w:rFonts w:hint="default" w:ascii="Times New Roman" w:hAnsi="Times New Roman" w:eastAsia="宋体" w:cs="Times New Roman"/>
                      <w:b/>
                      <w:bCs/>
                      <w:color w:val="auto"/>
                      <w:spacing w:val="0"/>
                      <w:kern w:val="2"/>
                      <w:sz w:val="21"/>
                      <w:szCs w:val="21"/>
                      <w:highlight w:val="none"/>
                      <w:lang w:val="en-US" w:eastAsia="zh-CN" w:bidi="ar"/>
                    </w:rPr>
                    <w:t>污染物</w:t>
                  </w:r>
                </w:p>
              </w:tc>
              <w:tc>
                <w:tcPr>
                  <w:tcW w:w="3162" w:type="pct"/>
                  <w:gridSpan w:val="3"/>
                  <w:tcBorders>
                    <w:tl2br w:val="nil"/>
                    <w:tr2bl w:val="nil"/>
                  </w:tcBorders>
                  <w:noWrap w:val="0"/>
                  <w:vAlign w:val="center"/>
                </w:tcPr>
                <w:p w14:paraId="06D71DA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pacing w:val="0"/>
                      <w:sz w:val="21"/>
                      <w:szCs w:val="21"/>
                      <w:highlight w:val="none"/>
                      <w:lang w:val="en-US"/>
                    </w:rPr>
                  </w:pPr>
                  <w:r>
                    <w:rPr>
                      <w:rFonts w:hint="eastAsia" w:cs="Times New Roman"/>
                      <w:b/>
                      <w:bCs/>
                      <w:color w:val="auto"/>
                      <w:spacing w:val="0"/>
                      <w:kern w:val="2"/>
                      <w:sz w:val="21"/>
                      <w:szCs w:val="21"/>
                      <w:highlight w:val="none"/>
                      <w:lang w:val="en-US" w:eastAsia="zh-CN" w:bidi="ar"/>
                    </w:rPr>
                    <w:t>有组织</w:t>
                  </w:r>
                </w:p>
              </w:tc>
              <w:tc>
                <w:tcPr>
                  <w:tcW w:w="1114" w:type="pct"/>
                  <w:tcBorders>
                    <w:tl2br w:val="nil"/>
                    <w:tr2bl w:val="nil"/>
                  </w:tcBorders>
                  <w:noWrap w:val="0"/>
                  <w:vAlign w:val="center"/>
                </w:tcPr>
                <w:p w14:paraId="7CB23A6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pacing w:val="0"/>
                      <w:sz w:val="21"/>
                      <w:szCs w:val="21"/>
                      <w:highlight w:val="none"/>
                      <w:lang w:val="en-US"/>
                    </w:rPr>
                  </w:pPr>
                  <w:r>
                    <w:rPr>
                      <w:rFonts w:hint="default" w:ascii="Times New Roman" w:hAnsi="Times New Roman" w:eastAsia="宋体" w:cs="Times New Roman"/>
                      <w:b/>
                      <w:bCs/>
                      <w:color w:val="auto"/>
                      <w:spacing w:val="0"/>
                      <w:kern w:val="2"/>
                      <w:sz w:val="21"/>
                      <w:szCs w:val="21"/>
                      <w:highlight w:val="none"/>
                      <w:lang w:val="en-US" w:eastAsia="zh-CN" w:bidi="ar"/>
                    </w:rPr>
                    <w:t>无组织</w:t>
                  </w:r>
                </w:p>
              </w:tc>
            </w:tr>
            <w:tr w14:paraId="07ED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3" w:type="pct"/>
                  <w:vMerge w:val="continue"/>
                  <w:tcBorders>
                    <w:tl2br w:val="nil"/>
                    <w:tr2bl w:val="nil"/>
                  </w:tcBorders>
                  <w:noWrap w:val="0"/>
                  <w:vAlign w:val="center"/>
                </w:tcPr>
                <w:p w14:paraId="6271BCE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0"/>
                      <w:kern w:val="2"/>
                      <w:sz w:val="21"/>
                      <w:szCs w:val="21"/>
                      <w:highlight w:val="none"/>
                    </w:rPr>
                  </w:pPr>
                </w:p>
              </w:tc>
              <w:tc>
                <w:tcPr>
                  <w:tcW w:w="1214" w:type="pct"/>
                  <w:tcBorders>
                    <w:tl2br w:val="nil"/>
                    <w:tr2bl w:val="nil"/>
                  </w:tcBorders>
                  <w:noWrap w:val="0"/>
                  <w:vAlign w:val="center"/>
                </w:tcPr>
                <w:p w14:paraId="42F509E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pacing w:val="0"/>
                      <w:sz w:val="21"/>
                      <w:szCs w:val="21"/>
                      <w:highlight w:val="none"/>
                      <w:lang w:val="en-US"/>
                    </w:rPr>
                  </w:pPr>
                  <w:r>
                    <w:rPr>
                      <w:rFonts w:hint="default" w:ascii="Times New Roman" w:hAnsi="Times New Roman" w:eastAsia="宋体" w:cs="Times New Roman"/>
                      <w:b/>
                      <w:bCs/>
                      <w:color w:val="auto"/>
                      <w:spacing w:val="0"/>
                      <w:kern w:val="2"/>
                      <w:sz w:val="21"/>
                      <w:szCs w:val="21"/>
                      <w:highlight w:val="none"/>
                      <w:lang w:val="en-US" w:eastAsia="zh-CN" w:bidi="ar"/>
                    </w:rPr>
                    <w:t>排气筒高度(m)</w:t>
                  </w:r>
                </w:p>
              </w:tc>
              <w:tc>
                <w:tcPr>
                  <w:tcW w:w="999" w:type="pct"/>
                  <w:tcBorders>
                    <w:top w:val="single" w:color="000000" w:sz="4" w:space="0"/>
                    <w:tl2br w:val="nil"/>
                    <w:tr2bl w:val="nil"/>
                  </w:tcBorders>
                  <w:noWrap w:val="0"/>
                  <w:vAlign w:val="center"/>
                </w:tcPr>
                <w:p w14:paraId="265E90A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pacing w:val="0"/>
                      <w:sz w:val="21"/>
                      <w:szCs w:val="21"/>
                      <w:highlight w:val="none"/>
                      <w:lang w:val="en-US"/>
                    </w:rPr>
                  </w:pPr>
                  <w:r>
                    <w:rPr>
                      <w:rFonts w:hint="default" w:ascii="Times New Roman" w:hAnsi="Times New Roman" w:eastAsia="宋体" w:cs="Times New Roman"/>
                      <w:b/>
                      <w:bCs/>
                      <w:color w:val="auto"/>
                      <w:spacing w:val="0"/>
                      <w:kern w:val="2"/>
                      <w:sz w:val="21"/>
                      <w:szCs w:val="21"/>
                      <w:highlight w:val="none"/>
                      <w:lang w:val="en-US" w:eastAsia="zh-CN" w:bidi="ar"/>
                    </w:rPr>
                    <w:t>速率</w:t>
                  </w:r>
                  <w:r>
                    <w:rPr>
                      <w:rFonts w:hint="eastAsia" w:cs="Times New Roman"/>
                      <w:b/>
                      <w:bCs/>
                      <w:color w:val="auto"/>
                      <w:spacing w:val="0"/>
                      <w:kern w:val="2"/>
                      <w:sz w:val="21"/>
                      <w:szCs w:val="21"/>
                      <w:highlight w:val="none"/>
                      <w:lang w:val="en-US" w:eastAsia="zh-CN" w:bidi="ar"/>
                    </w:rPr>
                    <w:t>（kg/h）</w:t>
                  </w:r>
                </w:p>
              </w:tc>
              <w:tc>
                <w:tcPr>
                  <w:tcW w:w="948" w:type="pct"/>
                  <w:tcBorders>
                    <w:top w:val="single" w:color="000000" w:sz="4" w:space="0"/>
                    <w:tl2br w:val="nil"/>
                    <w:tr2bl w:val="nil"/>
                  </w:tcBorders>
                  <w:noWrap w:val="0"/>
                  <w:vAlign w:val="center"/>
                </w:tcPr>
                <w:p w14:paraId="71657A8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pacing w:val="0"/>
                      <w:kern w:val="2"/>
                      <w:sz w:val="21"/>
                      <w:szCs w:val="21"/>
                      <w:highlight w:val="none"/>
                    </w:rPr>
                  </w:pPr>
                  <w:r>
                    <w:rPr>
                      <w:rFonts w:hint="default" w:ascii="Times New Roman" w:hAnsi="Times New Roman" w:eastAsia="宋体" w:cs="Times New Roman"/>
                      <w:b/>
                      <w:bCs/>
                      <w:color w:val="auto"/>
                      <w:spacing w:val="0"/>
                      <w:kern w:val="2"/>
                      <w:sz w:val="21"/>
                      <w:szCs w:val="21"/>
                      <w:highlight w:val="none"/>
                      <w:lang w:val="en-US" w:eastAsia="zh-CN" w:bidi="ar"/>
                    </w:rPr>
                    <w:t>浓度mg/m</w:t>
                  </w:r>
                  <w:r>
                    <w:rPr>
                      <w:rFonts w:hint="default" w:ascii="Times New Roman" w:hAnsi="Times New Roman" w:eastAsia="宋体" w:cs="Times New Roman"/>
                      <w:b/>
                      <w:bCs/>
                      <w:color w:val="auto"/>
                      <w:spacing w:val="0"/>
                      <w:kern w:val="2"/>
                      <w:sz w:val="21"/>
                      <w:szCs w:val="21"/>
                      <w:highlight w:val="none"/>
                      <w:vertAlign w:val="superscript"/>
                      <w:lang w:val="en-US" w:eastAsia="zh-CN" w:bidi="ar"/>
                    </w:rPr>
                    <w:t>3</w:t>
                  </w:r>
                </w:p>
              </w:tc>
              <w:tc>
                <w:tcPr>
                  <w:tcW w:w="1114" w:type="pct"/>
                  <w:tcBorders>
                    <w:top w:val="single" w:color="000000" w:sz="4" w:space="0"/>
                    <w:tl2br w:val="nil"/>
                    <w:tr2bl w:val="nil"/>
                  </w:tcBorders>
                  <w:noWrap w:val="0"/>
                  <w:vAlign w:val="center"/>
                </w:tcPr>
                <w:p w14:paraId="6084289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0"/>
                      <w:kern w:val="2"/>
                      <w:sz w:val="21"/>
                      <w:szCs w:val="21"/>
                      <w:highlight w:val="none"/>
                    </w:rPr>
                  </w:pPr>
                  <w:r>
                    <w:rPr>
                      <w:rFonts w:hint="eastAsia" w:ascii="Times New Roman" w:hAnsi="Times New Roman" w:eastAsia="宋体" w:cs="Times New Roman"/>
                      <w:b/>
                      <w:bCs/>
                      <w:color w:val="auto"/>
                      <w:spacing w:val="0"/>
                      <w:kern w:val="2"/>
                      <w:sz w:val="21"/>
                      <w:szCs w:val="21"/>
                      <w:highlight w:val="none"/>
                      <w:lang w:val="en-US" w:eastAsia="zh-CN" w:bidi="ar"/>
                    </w:rPr>
                    <w:t>厂界</w:t>
                  </w:r>
                  <w:r>
                    <w:rPr>
                      <w:rFonts w:hint="default" w:ascii="Times New Roman" w:hAnsi="Times New Roman" w:eastAsia="宋体" w:cs="Times New Roman"/>
                      <w:b/>
                      <w:bCs/>
                      <w:color w:val="auto"/>
                      <w:spacing w:val="0"/>
                      <w:kern w:val="2"/>
                      <w:sz w:val="21"/>
                      <w:szCs w:val="21"/>
                      <w:highlight w:val="none"/>
                      <w:lang w:val="en-US" w:eastAsia="zh-CN" w:bidi="ar"/>
                    </w:rPr>
                    <w:t>浓度mg/m</w:t>
                  </w:r>
                  <w:r>
                    <w:rPr>
                      <w:rFonts w:hint="default" w:ascii="Times New Roman" w:hAnsi="Times New Roman" w:eastAsia="宋体" w:cs="Times New Roman"/>
                      <w:b/>
                      <w:bCs/>
                      <w:color w:val="auto"/>
                      <w:spacing w:val="0"/>
                      <w:kern w:val="2"/>
                      <w:sz w:val="21"/>
                      <w:szCs w:val="21"/>
                      <w:highlight w:val="none"/>
                      <w:vertAlign w:val="superscript"/>
                      <w:lang w:val="en-US" w:eastAsia="zh-CN" w:bidi="ar"/>
                    </w:rPr>
                    <w:t>3</w:t>
                  </w:r>
                </w:p>
              </w:tc>
            </w:tr>
            <w:tr w14:paraId="19D5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3" w:type="pct"/>
                  <w:tcBorders>
                    <w:tl2br w:val="nil"/>
                    <w:tr2bl w:val="nil"/>
                  </w:tcBorders>
                  <w:noWrap w:val="0"/>
                  <w:vAlign w:val="center"/>
                </w:tcPr>
                <w:p w14:paraId="6811608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
                    </w:rPr>
                  </w:pPr>
                  <w:r>
                    <w:rPr>
                      <w:rFonts w:hint="default" w:ascii="Times New Roman" w:hAnsi="Times New Roman" w:eastAsia="宋体" w:cs="Times New Roman"/>
                      <w:color w:val="auto"/>
                      <w:spacing w:val="0"/>
                      <w:kern w:val="2"/>
                      <w:sz w:val="21"/>
                      <w:szCs w:val="21"/>
                      <w:highlight w:val="none"/>
                      <w:lang w:val="en-US" w:eastAsia="zh-CN" w:bidi="ar"/>
                    </w:rPr>
                    <w:t>颗粒物</w:t>
                  </w:r>
                </w:p>
              </w:tc>
              <w:tc>
                <w:tcPr>
                  <w:tcW w:w="1214" w:type="pct"/>
                  <w:tcBorders>
                    <w:tl2br w:val="nil"/>
                    <w:tr2bl w:val="nil"/>
                  </w:tcBorders>
                  <w:noWrap w:val="0"/>
                  <w:vAlign w:val="center"/>
                </w:tcPr>
                <w:p w14:paraId="173ED599">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kern w:val="2"/>
                      <w:sz w:val="21"/>
                      <w:szCs w:val="21"/>
                      <w:lang w:val="en-US" w:eastAsia="zh-CN" w:bidi="ar-SA"/>
                    </w:rPr>
                    <w:t>15</w:t>
                  </w:r>
                </w:p>
              </w:tc>
              <w:tc>
                <w:tcPr>
                  <w:tcW w:w="999" w:type="pct"/>
                  <w:tcBorders>
                    <w:tl2br w:val="nil"/>
                    <w:tr2bl w:val="nil"/>
                  </w:tcBorders>
                  <w:noWrap w:val="0"/>
                  <w:vAlign w:val="center"/>
                </w:tcPr>
                <w:p w14:paraId="51FACE12">
                  <w:pPr>
                    <w:keepNext w:val="0"/>
                    <w:keepLines w:val="0"/>
                    <w:pageBreakBefore w:val="0"/>
                    <w:widowControl w:val="0"/>
                    <w:kinsoku/>
                    <w:wordWrap/>
                    <w:overflowPunct/>
                    <w:topLinePunct w:val="0"/>
                    <w:autoSpaceDE/>
                    <w:autoSpaceDN/>
                    <w:bidi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kern w:val="2"/>
                      <w:sz w:val="21"/>
                      <w:szCs w:val="21"/>
                      <w:lang w:val="en-US" w:eastAsia="zh-CN" w:bidi="ar-SA"/>
                    </w:rPr>
                    <w:t>3.5</w:t>
                  </w:r>
                </w:p>
              </w:tc>
              <w:tc>
                <w:tcPr>
                  <w:tcW w:w="948" w:type="pct"/>
                  <w:tcBorders>
                    <w:tl2br w:val="nil"/>
                    <w:tr2bl w:val="nil"/>
                  </w:tcBorders>
                  <w:noWrap w:val="0"/>
                  <w:vAlign w:val="center"/>
                </w:tcPr>
                <w:p w14:paraId="5D23ED17">
                  <w:pPr>
                    <w:keepNext w:val="0"/>
                    <w:keepLines w:val="0"/>
                    <w:pageBreakBefore w:val="0"/>
                    <w:widowControl w:val="0"/>
                    <w:kinsoku/>
                    <w:wordWrap/>
                    <w:overflowPunct/>
                    <w:topLinePunct w:val="0"/>
                    <w:autoSpaceDE/>
                    <w:autoSpaceDN/>
                    <w:bidi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kern w:val="2"/>
                      <w:sz w:val="21"/>
                      <w:szCs w:val="21"/>
                      <w:lang w:val="en-US" w:eastAsia="zh-CN" w:bidi="ar-SA"/>
                    </w:rPr>
                    <w:t>10</w:t>
                  </w:r>
                </w:p>
              </w:tc>
              <w:tc>
                <w:tcPr>
                  <w:tcW w:w="1114" w:type="pct"/>
                  <w:tcBorders>
                    <w:tl2br w:val="nil"/>
                    <w:tr2bl w:val="nil"/>
                  </w:tcBorders>
                  <w:noWrap w:val="0"/>
                  <w:vAlign w:val="center"/>
                </w:tcPr>
                <w:p w14:paraId="214A146F">
                  <w:pPr>
                    <w:keepNext w:val="0"/>
                    <w:keepLines w:val="0"/>
                    <w:pageBreakBefore w:val="0"/>
                    <w:widowControl w:val="0"/>
                    <w:kinsoku/>
                    <w:wordWrap/>
                    <w:overflowPunct/>
                    <w:topLinePunct w:val="0"/>
                    <w:autoSpaceDE/>
                    <w:autoSpaceDN/>
                    <w:bidi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color w:val="auto"/>
                      <w:spacing w:val="0"/>
                      <w:kern w:val="2"/>
                      <w:sz w:val="21"/>
                      <w:szCs w:val="21"/>
                      <w:lang w:val="en-US" w:eastAsia="zh-CN" w:bidi="ar-SA"/>
                    </w:rPr>
                    <w:t>0.5</w:t>
                  </w:r>
                </w:p>
              </w:tc>
            </w:tr>
          </w:tbl>
          <w:p w14:paraId="0908EE11">
            <w:pPr>
              <w:spacing w:line="360" w:lineRule="auto"/>
              <w:ind w:firstLine="482" w:firstLineChars="200"/>
              <w:rPr>
                <w:rFonts w:hint="default" w:ascii="Times New Roman" w:hAnsi="Times New Roman" w:eastAsia="宋体" w:cs="Times New Roman"/>
                <w:color w:val="auto"/>
                <w:spacing w:val="0"/>
                <w:sz w:val="24"/>
                <w:szCs w:val="22"/>
              </w:rPr>
            </w:pPr>
            <w:r>
              <w:rPr>
                <w:rFonts w:hint="default" w:ascii="Times New Roman" w:hAnsi="Times New Roman" w:eastAsia="宋体" w:cs="Times New Roman"/>
                <w:b/>
                <w:bCs/>
                <w:color w:val="auto"/>
                <w:spacing w:val="0"/>
                <w:sz w:val="24"/>
                <w:szCs w:val="22"/>
              </w:rPr>
              <w:t>噪声：</w:t>
            </w:r>
            <w:r>
              <w:rPr>
                <w:rFonts w:hint="default" w:ascii="Times New Roman" w:hAnsi="Times New Roman" w:eastAsia="宋体" w:cs="Times New Roman"/>
                <w:b w:val="0"/>
                <w:bCs w:val="0"/>
                <w:color w:val="auto"/>
                <w:spacing w:val="0"/>
                <w:sz w:val="24"/>
                <w:szCs w:val="22"/>
              </w:rPr>
              <w:t>营运</w:t>
            </w:r>
            <w:r>
              <w:rPr>
                <w:rFonts w:hint="default" w:ascii="Times New Roman" w:hAnsi="Times New Roman" w:eastAsia="宋体" w:cs="Times New Roman"/>
                <w:color w:val="auto"/>
                <w:spacing w:val="0"/>
                <w:sz w:val="24"/>
                <w:szCs w:val="22"/>
              </w:rPr>
              <w:t>期噪声执行</w:t>
            </w:r>
            <w:r>
              <w:rPr>
                <w:rFonts w:hint="eastAsia" w:cs="Times New Roman"/>
                <w:color w:val="auto"/>
                <w:spacing w:val="0"/>
                <w:sz w:val="24"/>
                <w:szCs w:val="22"/>
                <w:lang w:val="en-US" w:eastAsia="zh-CN"/>
              </w:rPr>
              <w:t>标准见下表</w:t>
            </w:r>
            <w:r>
              <w:rPr>
                <w:rFonts w:hint="default" w:ascii="Times New Roman" w:hAnsi="Times New Roman" w:eastAsia="宋体" w:cs="Times New Roman"/>
                <w:color w:val="auto"/>
                <w:spacing w:val="0"/>
                <w:sz w:val="24"/>
                <w:szCs w:val="22"/>
              </w:rPr>
              <w:t>。</w:t>
            </w:r>
          </w:p>
          <w:p w14:paraId="61686B24">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snapToGrid w:val="0"/>
                <w:color w:val="auto"/>
                <w:spacing w:val="0"/>
                <w:kern w:val="0"/>
                <w:sz w:val="24"/>
                <w:lang w:val="en-US" w:eastAsia="en-US"/>
              </w:rPr>
            </w:pPr>
            <w:r>
              <w:rPr>
                <w:rFonts w:hint="default" w:ascii="Times New Roman" w:hAnsi="Times New Roman" w:eastAsia="宋体" w:cs="Times New Roman"/>
                <w:b/>
                <w:bCs/>
                <w:snapToGrid w:val="0"/>
                <w:color w:val="auto"/>
                <w:spacing w:val="0"/>
                <w:kern w:val="0"/>
                <w:sz w:val="24"/>
                <w:lang w:val="en-US" w:eastAsia="en-US"/>
              </w:rPr>
              <w:t>噪声排放标准</w:t>
            </w:r>
          </w:p>
          <w:tbl>
            <w:tblPr>
              <w:tblStyle w:val="36"/>
              <w:tblW w:w="4994" w:type="pct"/>
              <w:jc w:val="center"/>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86"/>
              <w:gridCol w:w="3969"/>
              <w:gridCol w:w="1374"/>
              <w:gridCol w:w="1300"/>
            </w:tblGrid>
            <w:tr w14:paraId="29E7098A">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7" w:type="pct"/>
                  <w:vAlign w:val="center"/>
                </w:tcPr>
                <w:p w14:paraId="1392F354">
                  <w:pPr>
                    <w:snapToGrid w:val="0"/>
                    <w:jc w:val="center"/>
                    <w:rPr>
                      <w:rFonts w:hint="eastAsia" w:ascii="Times New Roman" w:hAnsi="Times New Roman" w:eastAsia="宋体" w:cs="Times New Roman"/>
                      <w:b w:val="0"/>
                      <w:bCs w:val="0"/>
                      <w:color w:val="auto"/>
                      <w:spacing w:val="0"/>
                      <w:sz w:val="21"/>
                      <w:szCs w:val="21"/>
                      <w:highlight w:val="none"/>
                      <w:lang w:val="en-US" w:eastAsia="zh-CN"/>
                    </w:rPr>
                  </w:pPr>
                  <w:r>
                    <w:rPr>
                      <w:rFonts w:hint="eastAsia" w:cs="Times New Roman"/>
                      <w:b w:val="0"/>
                      <w:bCs w:val="0"/>
                      <w:color w:val="auto"/>
                      <w:spacing w:val="0"/>
                      <w:sz w:val="21"/>
                      <w:szCs w:val="21"/>
                      <w:highlight w:val="none"/>
                      <w:lang w:val="en-US" w:eastAsia="zh-CN"/>
                    </w:rPr>
                    <w:t>阶段</w:t>
                  </w:r>
                </w:p>
              </w:tc>
              <w:tc>
                <w:tcPr>
                  <w:tcW w:w="2534" w:type="pct"/>
                  <w:vAlign w:val="center"/>
                </w:tcPr>
                <w:p w14:paraId="639E349A">
                  <w:pPr>
                    <w:snapToGrid w:val="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cs="Times New Roman"/>
                      <w:b w:val="0"/>
                      <w:bCs w:val="0"/>
                      <w:color w:val="auto"/>
                      <w:spacing w:val="0"/>
                      <w:sz w:val="21"/>
                      <w:szCs w:val="21"/>
                      <w:highlight w:val="none"/>
                      <w:lang w:val="en-US" w:eastAsia="zh-CN"/>
                    </w:rPr>
                    <w:t>执行标准</w:t>
                  </w:r>
                </w:p>
              </w:tc>
              <w:tc>
                <w:tcPr>
                  <w:tcW w:w="877" w:type="pct"/>
                  <w:vAlign w:val="center"/>
                </w:tcPr>
                <w:p w14:paraId="31C0EC6A">
                  <w:pPr>
                    <w:snapToGrid w:val="0"/>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昼间</w:t>
                  </w:r>
                </w:p>
              </w:tc>
              <w:tc>
                <w:tcPr>
                  <w:tcW w:w="830" w:type="pct"/>
                  <w:vAlign w:val="center"/>
                </w:tcPr>
                <w:p w14:paraId="3286BB76">
                  <w:pPr>
                    <w:snapToGrid w:val="0"/>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夜间</w:t>
                  </w:r>
                </w:p>
              </w:tc>
            </w:tr>
            <w:tr w14:paraId="4458E2A9">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7" w:type="pct"/>
                  <w:vAlign w:val="center"/>
                </w:tcPr>
                <w:p w14:paraId="285132EC">
                  <w:pPr>
                    <w:snapToGrid w:val="0"/>
                    <w:jc w:val="center"/>
                    <w:rPr>
                      <w:rFonts w:hint="default" w:cs="Times New Roman"/>
                      <w:b w:val="0"/>
                      <w:bCs w:val="0"/>
                      <w:color w:val="auto"/>
                      <w:spacing w:val="0"/>
                      <w:sz w:val="21"/>
                      <w:szCs w:val="21"/>
                      <w:highlight w:val="none"/>
                      <w:lang w:val="en-US" w:eastAsia="zh-CN"/>
                    </w:rPr>
                  </w:pPr>
                  <w:r>
                    <w:rPr>
                      <w:rFonts w:hint="eastAsia" w:cs="Times New Roman"/>
                      <w:b w:val="0"/>
                      <w:bCs w:val="0"/>
                      <w:color w:val="auto"/>
                      <w:spacing w:val="0"/>
                      <w:sz w:val="21"/>
                      <w:szCs w:val="21"/>
                      <w:highlight w:val="none"/>
                      <w:lang w:val="en-US" w:eastAsia="zh-CN"/>
                    </w:rPr>
                    <w:t>营运期</w:t>
                  </w:r>
                </w:p>
              </w:tc>
              <w:tc>
                <w:tcPr>
                  <w:tcW w:w="2534" w:type="pct"/>
                  <w:shd w:val="clear" w:color="auto" w:fill="auto"/>
                  <w:vAlign w:val="center"/>
                </w:tcPr>
                <w:p w14:paraId="3E300F4C">
                  <w:pPr>
                    <w:snapToGrid w:val="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sz w:val="21"/>
                      <w:szCs w:val="21"/>
                      <w:highlight w:val="none"/>
                    </w:rPr>
                    <w:t>《工业企业厂界环境噪声排放标准》（GB12348-2008）</w:t>
                  </w:r>
                  <w:r>
                    <w:rPr>
                      <w:rFonts w:hint="eastAsia" w:cs="Times New Roman"/>
                      <w:b w:val="0"/>
                      <w:bCs w:val="0"/>
                      <w:color w:val="auto"/>
                      <w:spacing w:val="0"/>
                      <w:sz w:val="21"/>
                      <w:szCs w:val="21"/>
                      <w:highlight w:val="none"/>
                      <w:lang w:val="en-US" w:eastAsia="zh-CN"/>
                    </w:rPr>
                    <w:t>2</w:t>
                  </w:r>
                  <w:r>
                    <w:rPr>
                      <w:rFonts w:hint="default" w:ascii="Times New Roman" w:hAnsi="Times New Roman" w:eastAsia="宋体" w:cs="Times New Roman"/>
                      <w:b w:val="0"/>
                      <w:bCs w:val="0"/>
                      <w:color w:val="auto"/>
                      <w:spacing w:val="0"/>
                      <w:sz w:val="21"/>
                      <w:szCs w:val="21"/>
                      <w:highlight w:val="none"/>
                    </w:rPr>
                    <w:t>类标准</w:t>
                  </w:r>
                </w:p>
              </w:tc>
              <w:tc>
                <w:tcPr>
                  <w:tcW w:w="877" w:type="pct"/>
                  <w:shd w:val="clear" w:color="auto" w:fill="auto"/>
                  <w:vAlign w:val="center"/>
                </w:tcPr>
                <w:p w14:paraId="7A020DD8">
                  <w:pPr>
                    <w:snapToGrid w:val="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sz w:val="21"/>
                      <w:szCs w:val="21"/>
                      <w:highlight w:val="none"/>
                    </w:rPr>
                    <w:t>≤6</w:t>
                  </w:r>
                  <w:r>
                    <w:rPr>
                      <w:rFonts w:hint="eastAsia" w:cs="Times New Roman"/>
                      <w:b w:val="0"/>
                      <w:bCs w:val="0"/>
                      <w:color w:val="auto"/>
                      <w:spacing w:val="0"/>
                      <w:sz w:val="21"/>
                      <w:szCs w:val="21"/>
                      <w:highlight w:val="none"/>
                      <w:lang w:val="en-US" w:eastAsia="zh-CN"/>
                    </w:rPr>
                    <w:t>0</w:t>
                  </w:r>
                  <w:r>
                    <w:rPr>
                      <w:rFonts w:hint="default" w:ascii="Times New Roman" w:hAnsi="Times New Roman" w:eastAsia="宋体" w:cs="Times New Roman"/>
                      <w:b w:val="0"/>
                      <w:bCs w:val="0"/>
                      <w:color w:val="auto"/>
                      <w:spacing w:val="0"/>
                      <w:sz w:val="21"/>
                      <w:szCs w:val="21"/>
                      <w:highlight w:val="none"/>
                    </w:rPr>
                    <w:t>dB（A）</w:t>
                  </w:r>
                </w:p>
              </w:tc>
              <w:tc>
                <w:tcPr>
                  <w:tcW w:w="830" w:type="pct"/>
                  <w:shd w:val="clear" w:color="auto" w:fill="auto"/>
                  <w:vAlign w:val="center"/>
                </w:tcPr>
                <w:p w14:paraId="093DF02E">
                  <w:pPr>
                    <w:snapToGrid w:val="0"/>
                    <w:jc w:val="center"/>
                    <w:rPr>
                      <w:rFonts w:hint="eastAsia"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sz w:val="21"/>
                      <w:szCs w:val="21"/>
                      <w:highlight w:val="none"/>
                      <w:lang w:val="en-US" w:eastAsia="zh-CN"/>
                    </w:rPr>
                    <w:t>/（夜间不生产）</w:t>
                  </w:r>
                </w:p>
              </w:tc>
            </w:tr>
          </w:tbl>
          <w:p w14:paraId="0A18511F">
            <w:pPr>
              <w:spacing w:line="360" w:lineRule="auto"/>
              <w:ind w:firstLine="482" w:firstLineChars="200"/>
              <w:rPr>
                <w:rFonts w:hint="default" w:ascii="Times New Roman" w:hAnsi="Times New Roman" w:eastAsia="宋体" w:cs="Times New Roman"/>
                <w:color w:val="auto"/>
                <w:spacing w:val="0"/>
                <w:sz w:val="24"/>
                <w:szCs w:val="22"/>
              </w:rPr>
            </w:pPr>
            <w:r>
              <w:rPr>
                <w:rFonts w:hint="default" w:ascii="Times New Roman" w:hAnsi="Times New Roman" w:eastAsia="宋体" w:cs="Times New Roman"/>
                <w:b/>
                <w:bCs/>
                <w:color w:val="auto"/>
                <w:spacing w:val="0"/>
                <w:sz w:val="24"/>
                <w:szCs w:val="22"/>
              </w:rPr>
              <w:t>固体废物：</w:t>
            </w:r>
            <w:r>
              <w:rPr>
                <w:rFonts w:hint="default" w:ascii="Times New Roman" w:hAnsi="Times New Roman" w:eastAsia="宋体" w:cs="Times New Roman"/>
                <w:color w:val="auto"/>
                <w:spacing w:val="0"/>
                <w:sz w:val="24"/>
                <w:szCs w:val="22"/>
              </w:rPr>
              <w:t>一般工业固体废物</w:t>
            </w:r>
            <w:r>
              <w:rPr>
                <w:rFonts w:hint="eastAsia" w:ascii="Times New Roman" w:hAnsi="Times New Roman" w:eastAsia="宋体" w:cs="Times New Roman"/>
                <w:color w:val="auto"/>
                <w:spacing w:val="0"/>
                <w:sz w:val="24"/>
                <w:szCs w:val="22"/>
                <w:lang w:val="en-US" w:eastAsia="zh-CN"/>
              </w:rPr>
              <w:t>执行</w:t>
            </w:r>
            <w:r>
              <w:rPr>
                <w:rFonts w:hint="default" w:ascii="Times New Roman" w:hAnsi="Times New Roman" w:eastAsia="宋体" w:cs="Times New Roman"/>
                <w:color w:val="auto"/>
                <w:spacing w:val="0"/>
                <w:sz w:val="24"/>
                <w:szCs w:val="22"/>
              </w:rPr>
              <w:t>《中华人民共和国固体废物污染环境防治法》的相关要求</w:t>
            </w:r>
            <w:r>
              <w:rPr>
                <w:rFonts w:hint="eastAsia" w:ascii="Times New Roman" w:hAnsi="Times New Roman" w:eastAsia="宋体" w:cs="Times New Roman"/>
                <w:color w:val="auto"/>
                <w:spacing w:val="0"/>
                <w:sz w:val="24"/>
                <w:szCs w:val="22"/>
                <w:lang w:val="en-US" w:eastAsia="zh-CN"/>
              </w:rPr>
              <w:t>并</w:t>
            </w:r>
            <w:r>
              <w:rPr>
                <w:rFonts w:hint="default" w:ascii="Times New Roman" w:hAnsi="Times New Roman" w:eastAsia="宋体" w:cs="Times New Roman"/>
                <w:color w:val="auto"/>
                <w:spacing w:val="0"/>
                <w:sz w:val="24"/>
                <w:szCs w:val="22"/>
              </w:rPr>
              <w:t>参照执行《一般工业固体废物贮存和填埋污染控制标准》（GB18599-2020），危险废物执行《危险废物贮存污染控制标准》（GB18597-2023）。</w:t>
            </w:r>
          </w:p>
        </w:tc>
      </w:tr>
      <w:tr w14:paraId="6CCD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204" w:type="pct"/>
            <w:tcBorders>
              <w:tl2br w:val="nil"/>
              <w:tr2bl w:val="nil"/>
            </w:tcBorders>
            <w:noWrap w:val="0"/>
            <w:vAlign w:val="center"/>
          </w:tcPr>
          <w:p w14:paraId="4E61D98B">
            <w:pPr>
              <w:adjustRightInd w:val="0"/>
              <w:snapToGrid w:val="0"/>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总量</w:t>
            </w:r>
          </w:p>
          <w:p w14:paraId="00996932">
            <w:pPr>
              <w:adjustRightInd w:val="0"/>
              <w:snapToGrid w:val="0"/>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控制</w:t>
            </w:r>
          </w:p>
          <w:p w14:paraId="21519119">
            <w:pPr>
              <w:adjustRightInd w:val="0"/>
              <w:snapToGrid w:val="0"/>
              <w:jc w:val="center"/>
              <w:rPr>
                <w:rFonts w:hint="default" w:ascii="Times New Roman" w:hAnsi="Times New Roman" w:eastAsia="宋体" w:cs="Times New Roman"/>
                <w:color w:val="auto"/>
                <w:spacing w:val="0"/>
                <w:kern w:val="0"/>
                <w:szCs w:val="21"/>
              </w:rPr>
            </w:pPr>
            <w:r>
              <w:rPr>
                <w:rFonts w:hint="default" w:ascii="Times New Roman" w:hAnsi="Times New Roman" w:eastAsia="宋体" w:cs="Times New Roman"/>
                <w:color w:val="auto"/>
                <w:spacing w:val="0"/>
                <w:kern w:val="0"/>
                <w:sz w:val="24"/>
                <w:szCs w:val="24"/>
              </w:rPr>
              <w:t>指标</w:t>
            </w:r>
          </w:p>
        </w:tc>
        <w:tc>
          <w:tcPr>
            <w:tcW w:w="4795" w:type="pct"/>
            <w:tcBorders>
              <w:tl2br w:val="nil"/>
              <w:tr2bl w:val="nil"/>
            </w:tcBorders>
            <w:noWrap w:val="0"/>
            <w:vAlign w:val="center"/>
          </w:tcPr>
          <w:p w14:paraId="68BD3EB9">
            <w:pPr>
              <w:spacing w:line="360" w:lineRule="auto"/>
              <w:ind w:firstLine="480" w:firstLineChars="200"/>
              <w:rPr>
                <w:rFonts w:hint="default" w:ascii="Times New Roman" w:hAnsi="Times New Roman" w:eastAsia="宋体" w:cs="Times New Roman"/>
                <w:color w:val="auto"/>
                <w:spacing w:val="0"/>
                <w:sz w:val="24"/>
                <w:szCs w:val="22"/>
              </w:rPr>
            </w:pPr>
            <w:r>
              <w:rPr>
                <w:rFonts w:hint="default" w:ascii="Times New Roman" w:hAnsi="Times New Roman" w:eastAsia="宋体" w:cs="Times New Roman"/>
                <w:color w:val="auto"/>
                <w:spacing w:val="0"/>
                <w:sz w:val="24"/>
                <w:szCs w:val="22"/>
              </w:rPr>
              <w:t>本项目无废水排放，无需申请水污染物总量控制指标。</w:t>
            </w:r>
          </w:p>
          <w:p w14:paraId="4EEACE24">
            <w:pPr>
              <w:spacing w:line="360" w:lineRule="auto"/>
              <w:ind w:firstLine="480" w:firstLineChars="200"/>
              <w:rPr>
                <w:rFonts w:hint="default" w:ascii="Times New Roman" w:hAnsi="Times New Roman" w:eastAsia="宋体" w:cs="Times New Roman"/>
                <w:color w:val="auto"/>
                <w:spacing w:val="0"/>
                <w:kern w:val="0"/>
                <w:szCs w:val="21"/>
              </w:rPr>
            </w:pPr>
            <w:r>
              <w:rPr>
                <w:rFonts w:hint="default" w:ascii="Times New Roman" w:hAnsi="Times New Roman" w:eastAsia="宋体" w:cs="Times New Roman"/>
                <w:color w:val="auto"/>
                <w:spacing w:val="0"/>
                <w:sz w:val="24"/>
                <w:szCs w:val="22"/>
              </w:rPr>
              <w:t>本项目有组织颗粒物排放量为</w:t>
            </w:r>
            <w:r>
              <w:rPr>
                <w:rFonts w:hint="eastAsia" w:cs="Times New Roman"/>
                <w:color w:val="auto"/>
                <w:spacing w:val="0"/>
                <w:sz w:val="24"/>
                <w:szCs w:val="22"/>
                <w:lang w:eastAsia="zh-CN"/>
              </w:rPr>
              <w:t>0.184</w:t>
            </w:r>
            <w:r>
              <w:rPr>
                <w:rFonts w:hint="default" w:ascii="Times New Roman" w:hAnsi="Times New Roman" w:eastAsia="宋体" w:cs="Times New Roman"/>
                <w:color w:val="auto"/>
                <w:spacing w:val="0"/>
                <w:sz w:val="24"/>
                <w:szCs w:val="22"/>
              </w:rPr>
              <w:t>t/a，根据《山东省生态环境厅关于印发山东省建设项目主要大气污染物排放总量替代指标核算及管理办法的通知》（鲁环发[2019]132号）中要求：上一年度细颗粒物年平均浓度超标的设区的市，实行二氧化硫、氮氧化物、烟粉尘、挥发性有机物四项污染物排放总量指标2倍削减替代。本项目位于不达标区，因此需要的2倍削减替代量为：颗粒物0.</w:t>
            </w:r>
            <w:r>
              <w:rPr>
                <w:rFonts w:hint="eastAsia" w:cs="Times New Roman"/>
                <w:color w:val="auto"/>
                <w:spacing w:val="0"/>
                <w:sz w:val="24"/>
                <w:szCs w:val="22"/>
                <w:lang w:val="en-US" w:eastAsia="zh-CN"/>
              </w:rPr>
              <w:t>368</w:t>
            </w:r>
            <w:r>
              <w:rPr>
                <w:rFonts w:hint="default" w:ascii="Times New Roman" w:hAnsi="Times New Roman" w:eastAsia="宋体" w:cs="Times New Roman"/>
                <w:color w:val="auto"/>
                <w:spacing w:val="0"/>
                <w:sz w:val="24"/>
                <w:szCs w:val="22"/>
              </w:rPr>
              <w:t>t/a。</w:t>
            </w:r>
          </w:p>
        </w:tc>
      </w:tr>
    </w:tbl>
    <w:p w14:paraId="269D5EBF">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outlineLvl w:val="0"/>
        <w:rPr>
          <w:rFonts w:hint="default" w:ascii="Times New Roman" w:hAnsi="Times New Roman" w:eastAsia="宋体" w:cs="Times New Roman"/>
          <w:snapToGrid w:val="0"/>
          <w:color w:val="auto"/>
          <w:spacing w:val="0"/>
          <w:sz w:val="30"/>
          <w:szCs w:val="30"/>
        </w:rPr>
      </w:pPr>
      <w:r>
        <w:rPr>
          <w:rFonts w:hint="default" w:ascii="Times New Roman" w:hAnsi="Times New Roman" w:eastAsia="宋体" w:cs="Times New Roman"/>
          <w:snapToGrid w:val="0"/>
          <w:color w:val="auto"/>
          <w:spacing w:val="0"/>
          <w:sz w:val="36"/>
          <w:szCs w:val="36"/>
        </w:rPr>
        <w:br w:type="page"/>
      </w:r>
      <w:bookmarkStart w:id="8" w:name="_Toc16419"/>
      <w:r>
        <w:rPr>
          <w:rFonts w:hint="default" w:ascii="Times New Roman" w:hAnsi="Times New Roman" w:eastAsia="宋体" w:cs="Times New Roman"/>
          <w:b/>
          <w:bCs/>
          <w:snapToGrid w:val="0"/>
          <w:color w:val="auto"/>
          <w:spacing w:val="0"/>
          <w:sz w:val="30"/>
          <w:szCs w:val="30"/>
        </w:rPr>
        <w:t>四、主要环境影响和保护措施</w:t>
      </w:r>
      <w:bookmarkEnd w:id="8"/>
    </w:p>
    <w:tbl>
      <w:tblPr>
        <w:tblStyle w:val="3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
        <w:gridCol w:w="8082"/>
      </w:tblGrid>
      <w:tr w14:paraId="469A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3" w:type="pct"/>
            <w:tcBorders>
              <w:tl2br w:val="nil"/>
              <w:tr2bl w:val="nil"/>
            </w:tcBorders>
            <w:noWrap w:val="0"/>
            <w:tcMar>
              <w:left w:w="28" w:type="dxa"/>
              <w:right w:w="28" w:type="dxa"/>
            </w:tcMar>
            <w:vAlign w:val="center"/>
          </w:tcPr>
          <w:p w14:paraId="2E1F9A92">
            <w:pPr>
              <w:pStyle w:val="32"/>
              <w:adjustRightInd w:val="0"/>
              <w:snapToGrid w:val="0"/>
              <w:spacing w:before="0" w:beforeAutospacing="0" w:after="0" w:afterAutospacing="0"/>
              <w:jc w:val="center"/>
              <w:rPr>
                <w:rFonts w:hint="default" w:ascii="Times New Roman" w:hAnsi="Times New Roman" w:eastAsia="宋体" w:cs="Times New Roman"/>
                <w:color w:val="auto"/>
                <w:spacing w:val="0"/>
                <w:kern w:val="2"/>
                <w:sz w:val="24"/>
                <w:szCs w:val="24"/>
                <w:highlight w:val="none"/>
                <w:lang w:val="en-US" w:eastAsia="zh-CN"/>
              </w:rPr>
            </w:pPr>
            <w:r>
              <w:rPr>
                <w:rFonts w:hint="default" w:ascii="Times New Roman" w:hAnsi="Times New Roman" w:eastAsia="宋体" w:cs="Times New Roman"/>
                <w:color w:val="auto"/>
                <w:spacing w:val="0"/>
                <w:kern w:val="2"/>
                <w:sz w:val="24"/>
                <w:szCs w:val="24"/>
                <w:highlight w:val="none"/>
                <w:lang w:val="en-US" w:eastAsia="zh-CN"/>
              </w:rPr>
              <w:t>施工</w:t>
            </w:r>
          </w:p>
          <w:p w14:paraId="60BD303A">
            <w:pPr>
              <w:pStyle w:val="32"/>
              <w:adjustRightInd w:val="0"/>
              <w:snapToGrid w:val="0"/>
              <w:spacing w:before="0" w:beforeAutospacing="0" w:after="0" w:afterAutospacing="0"/>
              <w:jc w:val="center"/>
              <w:rPr>
                <w:rFonts w:hint="default" w:ascii="Times New Roman" w:hAnsi="Times New Roman" w:eastAsia="宋体" w:cs="Times New Roman"/>
                <w:color w:val="auto"/>
                <w:spacing w:val="0"/>
                <w:kern w:val="2"/>
                <w:sz w:val="24"/>
                <w:szCs w:val="24"/>
                <w:highlight w:val="none"/>
                <w:lang w:val="en-US" w:eastAsia="zh-CN"/>
              </w:rPr>
            </w:pPr>
            <w:r>
              <w:rPr>
                <w:rFonts w:hint="default" w:ascii="Times New Roman" w:hAnsi="Times New Roman" w:eastAsia="宋体" w:cs="Times New Roman"/>
                <w:color w:val="auto"/>
                <w:spacing w:val="0"/>
                <w:kern w:val="2"/>
                <w:sz w:val="24"/>
                <w:szCs w:val="24"/>
                <w:highlight w:val="none"/>
                <w:lang w:val="en-US" w:eastAsia="zh-CN"/>
              </w:rPr>
              <w:t>期环</w:t>
            </w:r>
          </w:p>
          <w:p w14:paraId="4A60DABE">
            <w:pPr>
              <w:pStyle w:val="32"/>
              <w:adjustRightInd w:val="0"/>
              <w:snapToGrid w:val="0"/>
              <w:spacing w:before="0" w:beforeAutospacing="0" w:after="0" w:afterAutospacing="0"/>
              <w:jc w:val="center"/>
              <w:rPr>
                <w:rFonts w:hint="default" w:ascii="Times New Roman" w:hAnsi="Times New Roman" w:eastAsia="宋体" w:cs="Times New Roman"/>
                <w:color w:val="auto"/>
                <w:spacing w:val="0"/>
                <w:kern w:val="2"/>
                <w:sz w:val="24"/>
                <w:szCs w:val="24"/>
                <w:highlight w:val="none"/>
                <w:lang w:val="en-US" w:eastAsia="zh-CN"/>
              </w:rPr>
            </w:pPr>
            <w:r>
              <w:rPr>
                <w:rFonts w:hint="default" w:ascii="Times New Roman" w:hAnsi="Times New Roman" w:eastAsia="宋体" w:cs="Times New Roman"/>
                <w:color w:val="auto"/>
                <w:spacing w:val="0"/>
                <w:kern w:val="2"/>
                <w:sz w:val="24"/>
                <w:szCs w:val="24"/>
                <w:highlight w:val="none"/>
                <w:lang w:val="en-US" w:eastAsia="zh-CN"/>
              </w:rPr>
              <w:t>境保</w:t>
            </w:r>
          </w:p>
          <w:p w14:paraId="69152D48">
            <w:pPr>
              <w:pStyle w:val="32"/>
              <w:adjustRightInd w:val="0"/>
              <w:snapToGrid w:val="0"/>
              <w:spacing w:before="0" w:beforeAutospacing="0" w:after="0" w:afterAutospacing="0"/>
              <w:jc w:val="center"/>
              <w:rPr>
                <w:rFonts w:hint="default" w:ascii="Times New Roman" w:hAnsi="Times New Roman" w:eastAsia="宋体" w:cs="Times New Roman"/>
                <w:color w:val="auto"/>
                <w:spacing w:val="0"/>
                <w:kern w:val="2"/>
                <w:sz w:val="24"/>
                <w:szCs w:val="24"/>
                <w:highlight w:val="none"/>
                <w:lang w:val="en-US" w:eastAsia="zh-CN"/>
              </w:rPr>
            </w:pPr>
            <w:r>
              <w:rPr>
                <w:rFonts w:hint="default" w:ascii="Times New Roman" w:hAnsi="Times New Roman" w:eastAsia="宋体" w:cs="Times New Roman"/>
                <w:color w:val="auto"/>
                <w:spacing w:val="0"/>
                <w:kern w:val="2"/>
                <w:sz w:val="24"/>
                <w:szCs w:val="24"/>
                <w:highlight w:val="none"/>
                <w:lang w:val="en-US" w:eastAsia="zh-CN"/>
              </w:rPr>
              <w:t>护措</w:t>
            </w:r>
          </w:p>
          <w:p w14:paraId="6E2BCE72">
            <w:pPr>
              <w:pStyle w:val="32"/>
              <w:adjustRightInd w:val="0"/>
              <w:snapToGrid w:val="0"/>
              <w:spacing w:before="0" w:beforeAutospacing="0" w:after="0" w:afterAutospacing="0"/>
              <w:jc w:val="center"/>
              <w:rPr>
                <w:rFonts w:hint="default" w:ascii="Times New Roman" w:hAnsi="Times New Roman" w:eastAsia="宋体" w:cs="Times New Roman"/>
                <w:bCs/>
                <w:color w:val="auto"/>
                <w:spacing w:val="0"/>
                <w:kern w:val="2"/>
                <w:sz w:val="24"/>
                <w:szCs w:val="24"/>
                <w:lang w:val="en-US" w:eastAsia="zh-CN"/>
              </w:rPr>
            </w:pPr>
            <w:r>
              <w:rPr>
                <w:rFonts w:hint="default" w:ascii="Times New Roman" w:hAnsi="Times New Roman" w:eastAsia="宋体" w:cs="Times New Roman"/>
                <w:color w:val="auto"/>
                <w:spacing w:val="0"/>
                <w:kern w:val="2"/>
                <w:sz w:val="24"/>
                <w:szCs w:val="24"/>
                <w:highlight w:val="none"/>
                <w:lang w:val="en-US" w:eastAsia="zh-CN"/>
              </w:rPr>
              <w:t>施</w:t>
            </w:r>
          </w:p>
        </w:tc>
        <w:tc>
          <w:tcPr>
            <w:tcW w:w="4786" w:type="pct"/>
            <w:tcBorders>
              <w:tl2br w:val="nil"/>
              <w:tr2bl w:val="nil"/>
            </w:tcBorders>
            <w:noWrap w:val="0"/>
            <w:vAlign w:val="center"/>
          </w:tcPr>
          <w:p w14:paraId="39C44A51">
            <w:pPr>
              <w:pStyle w:val="2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宋体" w:cs="Times New Roman"/>
                <w:color w:val="auto"/>
                <w:spacing w:val="0"/>
                <w:lang w:val="en-US" w:eastAsia="zh-CN"/>
              </w:rPr>
            </w:pPr>
            <w:r>
              <w:rPr>
                <w:rFonts w:hint="eastAsia" w:ascii="Times New Roman" w:cs="Times New Roman"/>
                <w:color w:val="auto"/>
                <w:spacing w:val="0"/>
                <w:lang w:val="en-US" w:eastAsia="zh-CN"/>
              </w:rPr>
              <w:t>本项目利用现有车间建设，无土建工程，施工期主要为设备安装调试，影响很小，不再分析。</w:t>
            </w:r>
          </w:p>
        </w:tc>
      </w:tr>
      <w:tr w14:paraId="3E68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3" w:type="pct"/>
            <w:tcBorders>
              <w:tl2br w:val="nil"/>
              <w:tr2bl w:val="nil"/>
            </w:tcBorders>
            <w:noWrap w:val="0"/>
            <w:tcMar>
              <w:left w:w="28" w:type="dxa"/>
              <w:right w:w="28" w:type="dxa"/>
            </w:tcMar>
            <w:vAlign w:val="center"/>
          </w:tcPr>
          <w:p w14:paraId="5B52EC5B">
            <w:pPr>
              <w:adjustRightInd w:val="0"/>
              <w:snapToGrid w:val="0"/>
              <w:jc w:val="center"/>
              <w:rPr>
                <w:rFonts w:hint="default" w:ascii="Times New Roman" w:hAnsi="Times New Roman" w:eastAsia="宋体" w:cs="Times New Roman"/>
                <w:color w:val="auto"/>
                <w:spacing w:val="0"/>
                <w:sz w:val="24"/>
                <w:szCs w:val="21"/>
              </w:rPr>
            </w:pPr>
            <w:r>
              <w:rPr>
                <w:rFonts w:hint="default" w:ascii="Times New Roman" w:hAnsi="Times New Roman" w:eastAsia="宋体" w:cs="Times New Roman"/>
                <w:color w:val="auto"/>
                <w:spacing w:val="0"/>
                <w:sz w:val="24"/>
                <w:szCs w:val="21"/>
              </w:rPr>
              <w:t>运营</w:t>
            </w:r>
          </w:p>
          <w:p w14:paraId="47D95B78">
            <w:pPr>
              <w:adjustRightInd w:val="0"/>
              <w:snapToGrid w:val="0"/>
              <w:jc w:val="center"/>
              <w:rPr>
                <w:rFonts w:hint="default" w:ascii="Times New Roman" w:hAnsi="Times New Roman" w:eastAsia="宋体" w:cs="Times New Roman"/>
                <w:color w:val="auto"/>
                <w:spacing w:val="0"/>
                <w:sz w:val="24"/>
                <w:szCs w:val="21"/>
              </w:rPr>
            </w:pPr>
            <w:r>
              <w:rPr>
                <w:rFonts w:hint="default" w:ascii="Times New Roman" w:hAnsi="Times New Roman" w:eastAsia="宋体" w:cs="Times New Roman"/>
                <w:color w:val="auto"/>
                <w:spacing w:val="0"/>
                <w:sz w:val="24"/>
                <w:szCs w:val="21"/>
              </w:rPr>
              <w:t>期环</w:t>
            </w:r>
          </w:p>
          <w:p w14:paraId="3E0B2BE2">
            <w:pPr>
              <w:adjustRightInd w:val="0"/>
              <w:snapToGrid w:val="0"/>
              <w:jc w:val="center"/>
              <w:rPr>
                <w:rFonts w:hint="default" w:ascii="Times New Roman" w:hAnsi="Times New Roman" w:eastAsia="宋体" w:cs="Times New Roman"/>
                <w:color w:val="auto"/>
                <w:spacing w:val="0"/>
                <w:sz w:val="24"/>
                <w:szCs w:val="21"/>
              </w:rPr>
            </w:pPr>
            <w:r>
              <w:rPr>
                <w:rFonts w:hint="default" w:ascii="Times New Roman" w:hAnsi="Times New Roman" w:eastAsia="宋体" w:cs="Times New Roman"/>
                <w:color w:val="auto"/>
                <w:spacing w:val="0"/>
                <w:sz w:val="24"/>
                <w:szCs w:val="21"/>
              </w:rPr>
              <w:t>境影</w:t>
            </w:r>
          </w:p>
          <w:p w14:paraId="1C07CF35">
            <w:pPr>
              <w:adjustRightInd w:val="0"/>
              <w:snapToGrid w:val="0"/>
              <w:jc w:val="center"/>
              <w:rPr>
                <w:rFonts w:hint="default" w:ascii="Times New Roman" w:hAnsi="Times New Roman" w:eastAsia="宋体" w:cs="Times New Roman"/>
                <w:color w:val="auto"/>
                <w:spacing w:val="0"/>
                <w:sz w:val="24"/>
                <w:szCs w:val="21"/>
              </w:rPr>
            </w:pPr>
            <w:r>
              <w:rPr>
                <w:rFonts w:hint="default" w:ascii="Times New Roman" w:hAnsi="Times New Roman" w:eastAsia="宋体" w:cs="Times New Roman"/>
                <w:color w:val="auto"/>
                <w:spacing w:val="0"/>
                <w:sz w:val="24"/>
                <w:szCs w:val="21"/>
              </w:rPr>
              <w:t>响和</w:t>
            </w:r>
          </w:p>
          <w:p w14:paraId="716A0B07">
            <w:pPr>
              <w:adjustRightInd w:val="0"/>
              <w:snapToGrid w:val="0"/>
              <w:jc w:val="center"/>
              <w:rPr>
                <w:rFonts w:hint="default" w:ascii="Times New Roman" w:hAnsi="Times New Roman" w:eastAsia="宋体" w:cs="Times New Roman"/>
                <w:color w:val="auto"/>
                <w:spacing w:val="0"/>
                <w:sz w:val="24"/>
                <w:szCs w:val="21"/>
              </w:rPr>
            </w:pPr>
            <w:r>
              <w:rPr>
                <w:rFonts w:hint="default" w:ascii="Times New Roman" w:hAnsi="Times New Roman" w:eastAsia="宋体" w:cs="Times New Roman"/>
                <w:color w:val="auto"/>
                <w:spacing w:val="0"/>
                <w:sz w:val="24"/>
                <w:szCs w:val="21"/>
              </w:rPr>
              <w:t>保护</w:t>
            </w:r>
          </w:p>
          <w:p w14:paraId="76A59BCB">
            <w:pPr>
              <w:adjustRightInd w:val="0"/>
              <w:snapToGrid w:val="0"/>
              <w:jc w:val="center"/>
              <w:rPr>
                <w:rFonts w:hint="default" w:ascii="Times New Roman" w:hAnsi="Times New Roman" w:eastAsia="宋体" w:cs="Times New Roman"/>
                <w:bCs/>
                <w:color w:val="auto"/>
                <w:spacing w:val="0"/>
                <w:sz w:val="24"/>
                <w:szCs w:val="24"/>
              </w:rPr>
            </w:pPr>
            <w:r>
              <w:rPr>
                <w:rFonts w:hint="default" w:ascii="Times New Roman" w:hAnsi="Times New Roman" w:eastAsia="宋体" w:cs="Times New Roman"/>
                <w:color w:val="auto"/>
                <w:spacing w:val="0"/>
                <w:sz w:val="24"/>
                <w:szCs w:val="21"/>
              </w:rPr>
              <w:t>措施</w:t>
            </w:r>
          </w:p>
        </w:tc>
        <w:tc>
          <w:tcPr>
            <w:tcW w:w="4786" w:type="pct"/>
            <w:tcBorders>
              <w:tl2br w:val="nil"/>
              <w:tr2bl w:val="nil"/>
            </w:tcBorders>
            <w:noWrap w:val="0"/>
            <w:vAlign w:val="center"/>
          </w:tcPr>
          <w:p w14:paraId="1AC30748">
            <w:pPr>
              <w:keepNext w:val="0"/>
              <w:keepLines w:val="0"/>
              <w:pageBreakBefore w:val="0"/>
              <w:kinsoku/>
              <w:wordWrap/>
              <w:overflowPunct/>
              <w:topLinePunct w:val="0"/>
              <w:autoSpaceDE w:val="0"/>
              <w:autoSpaceDN w:val="0"/>
              <w:bidi w:val="0"/>
              <w:adjustRightInd/>
              <w:snapToGrid/>
              <w:spacing w:line="360" w:lineRule="auto"/>
              <w:ind w:firstLine="482" w:firstLineChars="200"/>
              <w:jc w:val="both"/>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b/>
                <w:bCs/>
                <w:color w:val="auto"/>
                <w:spacing w:val="0"/>
                <w:kern w:val="0"/>
                <w:sz w:val="24"/>
                <w:szCs w:val="24"/>
              </w:rPr>
              <w:t>一、废气</w:t>
            </w:r>
          </w:p>
          <w:p w14:paraId="5A0FCC55">
            <w:pPr>
              <w:keepNext w:val="0"/>
              <w:keepLines w:val="0"/>
              <w:pageBreakBefore w:val="0"/>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b/>
                <w:color w:val="auto"/>
                <w:spacing w:val="0"/>
                <w:sz w:val="24"/>
                <w:szCs w:val="24"/>
                <w:lang w:val="en-US" w:eastAsia="zh-CN"/>
              </w:rPr>
            </w:pPr>
            <w:r>
              <w:rPr>
                <w:rFonts w:hint="default" w:ascii="Times New Roman" w:hAnsi="Times New Roman" w:eastAsia="宋体" w:cs="Times New Roman"/>
                <w:b/>
                <w:color w:val="auto"/>
                <w:spacing w:val="0"/>
                <w:sz w:val="24"/>
                <w:szCs w:val="24"/>
                <w:lang w:val="en-US" w:eastAsia="zh-CN"/>
              </w:rPr>
              <w:t>1、</w:t>
            </w:r>
            <w:r>
              <w:rPr>
                <w:rFonts w:hint="default" w:ascii="Times New Roman" w:hAnsi="Times New Roman" w:eastAsia="宋体" w:cs="Times New Roman"/>
                <w:b/>
                <w:color w:val="auto"/>
                <w:spacing w:val="0"/>
                <w:sz w:val="24"/>
                <w:szCs w:val="24"/>
              </w:rPr>
              <w:t>源强核算</w:t>
            </w:r>
          </w:p>
          <w:p w14:paraId="4971D5E3">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本项目产生的废气包括</w:t>
            </w:r>
            <w:r>
              <w:rPr>
                <w:rFonts w:hint="default" w:ascii="Times New Roman" w:hAnsi="Times New Roman" w:eastAsia="宋体" w:cs="Times New Roman"/>
                <w:color w:val="auto"/>
                <w:spacing w:val="0"/>
                <w:sz w:val="24"/>
                <w:szCs w:val="24"/>
                <w:lang w:val="en-US" w:eastAsia="zh-CN"/>
              </w:rPr>
              <w:t>水泥</w:t>
            </w:r>
            <w:r>
              <w:rPr>
                <w:rFonts w:hint="eastAsia" w:cs="Times New Roman"/>
                <w:color w:val="auto"/>
                <w:spacing w:val="0"/>
                <w:sz w:val="24"/>
                <w:szCs w:val="24"/>
                <w:lang w:val="en-US" w:eastAsia="zh-CN"/>
              </w:rPr>
              <w:t>仓卸料</w:t>
            </w:r>
            <w:r>
              <w:rPr>
                <w:rFonts w:hint="default" w:ascii="Times New Roman" w:hAnsi="Times New Roman" w:eastAsia="宋体" w:cs="Times New Roman"/>
                <w:color w:val="auto"/>
                <w:spacing w:val="0"/>
                <w:sz w:val="24"/>
                <w:szCs w:val="24"/>
              </w:rPr>
              <w:t>废气</w:t>
            </w:r>
            <w:r>
              <w:rPr>
                <w:rFonts w:hint="default" w:ascii="Times New Roman" w:hAnsi="Times New Roman" w:eastAsia="宋体" w:cs="Times New Roman"/>
                <w:color w:val="auto"/>
                <w:spacing w:val="0"/>
                <w:sz w:val="24"/>
                <w:szCs w:val="24"/>
                <w:lang w:eastAsia="zh-CN"/>
              </w:rPr>
              <w:t>，</w:t>
            </w:r>
            <w:r>
              <w:rPr>
                <w:rFonts w:hint="eastAsia" w:cs="Times New Roman"/>
                <w:color w:val="auto"/>
                <w:spacing w:val="0"/>
                <w:sz w:val="24"/>
                <w:szCs w:val="24"/>
                <w:lang w:val="en-US" w:eastAsia="zh-CN"/>
              </w:rPr>
              <w:t>沙子、石子、水泥</w:t>
            </w:r>
            <w:r>
              <w:rPr>
                <w:rFonts w:hint="default" w:ascii="Times New Roman" w:hAnsi="Times New Roman" w:eastAsia="宋体" w:cs="Times New Roman"/>
                <w:color w:val="auto"/>
                <w:spacing w:val="0"/>
                <w:sz w:val="24"/>
                <w:szCs w:val="24"/>
                <w:lang w:val="en-US" w:eastAsia="zh-CN"/>
              </w:rPr>
              <w:t>投料</w:t>
            </w:r>
            <w:r>
              <w:rPr>
                <w:rFonts w:hint="default" w:ascii="Times New Roman" w:hAnsi="Times New Roman" w:eastAsia="宋体" w:cs="Times New Roman"/>
                <w:color w:val="auto"/>
                <w:spacing w:val="0"/>
                <w:sz w:val="24"/>
                <w:szCs w:val="24"/>
              </w:rPr>
              <w:t>废气</w:t>
            </w:r>
            <w:r>
              <w:rPr>
                <w:rFonts w:hint="default" w:ascii="Times New Roman" w:hAnsi="Times New Roman" w:eastAsia="宋体" w:cs="Times New Roman"/>
                <w:color w:val="auto"/>
                <w:spacing w:val="0"/>
                <w:sz w:val="24"/>
                <w:szCs w:val="24"/>
                <w:lang w:eastAsia="zh-CN"/>
              </w:rPr>
              <w:t>，</w:t>
            </w:r>
            <w:r>
              <w:rPr>
                <w:rFonts w:hint="default" w:ascii="Times New Roman" w:hAnsi="Times New Roman" w:eastAsia="宋体" w:cs="Times New Roman"/>
                <w:color w:val="auto"/>
                <w:spacing w:val="0"/>
                <w:sz w:val="24"/>
                <w:szCs w:val="24"/>
              </w:rPr>
              <w:t>搅拌废气</w:t>
            </w:r>
            <w:r>
              <w:rPr>
                <w:rFonts w:hint="default" w:ascii="Times New Roman" w:hAnsi="Times New Roman" w:eastAsia="宋体" w:cs="Times New Roman"/>
                <w:color w:val="auto"/>
                <w:spacing w:val="0"/>
                <w:sz w:val="24"/>
                <w:szCs w:val="24"/>
                <w:lang w:eastAsia="zh-CN"/>
              </w:rPr>
              <w:t>，</w:t>
            </w:r>
            <w:r>
              <w:rPr>
                <w:rFonts w:hint="eastAsia" w:cs="Times New Roman"/>
                <w:color w:val="auto"/>
                <w:spacing w:val="0"/>
                <w:sz w:val="24"/>
                <w:szCs w:val="24"/>
                <w:lang w:val="en-US" w:eastAsia="zh-CN"/>
              </w:rPr>
              <w:t>沙子和石子</w:t>
            </w:r>
            <w:r>
              <w:rPr>
                <w:rFonts w:hint="default" w:ascii="Times New Roman" w:hAnsi="Times New Roman" w:eastAsia="宋体" w:cs="Times New Roman"/>
                <w:color w:val="auto"/>
                <w:spacing w:val="0"/>
                <w:sz w:val="24"/>
                <w:szCs w:val="24"/>
              </w:rPr>
              <w:t>装卸废气</w:t>
            </w:r>
            <w:r>
              <w:rPr>
                <w:rFonts w:hint="default" w:ascii="Times New Roman" w:hAnsi="Times New Roman" w:eastAsia="宋体" w:cs="Times New Roman"/>
                <w:color w:val="auto"/>
                <w:spacing w:val="0"/>
                <w:sz w:val="24"/>
                <w:szCs w:val="24"/>
                <w:lang w:eastAsia="zh-CN"/>
              </w:rPr>
              <w:t>，</w:t>
            </w:r>
            <w:r>
              <w:rPr>
                <w:rFonts w:hint="default" w:ascii="Times New Roman" w:hAnsi="Times New Roman" w:eastAsia="宋体" w:cs="Times New Roman"/>
                <w:color w:val="auto"/>
                <w:spacing w:val="0"/>
                <w:sz w:val="24"/>
                <w:szCs w:val="24"/>
              </w:rPr>
              <w:t>车辆运输扬尘等。</w:t>
            </w:r>
          </w:p>
          <w:p w14:paraId="6D6165FD">
            <w:pPr>
              <w:keepNext w:val="0"/>
              <w:keepLines w:val="0"/>
              <w:pageBreakBefore w:val="0"/>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b/>
                <w:bCs/>
                <w:color w:val="auto"/>
                <w:spacing w:val="0"/>
                <w:sz w:val="24"/>
                <w:szCs w:val="24"/>
                <w:lang w:val="en-US" w:eastAsia="zh-CN"/>
              </w:rPr>
            </w:pPr>
            <w:r>
              <w:rPr>
                <w:rFonts w:hint="default" w:ascii="Times New Roman" w:hAnsi="Times New Roman" w:eastAsia="宋体" w:cs="Times New Roman"/>
                <w:b/>
                <w:bCs/>
                <w:color w:val="auto"/>
                <w:spacing w:val="0"/>
                <w:sz w:val="24"/>
                <w:szCs w:val="24"/>
                <w:lang w:eastAsia="zh-CN"/>
              </w:rPr>
              <w:t>（</w:t>
            </w:r>
            <w:r>
              <w:rPr>
                <w:rFonts w:hint="default" w:ascii="Times New Roman" w:hAnsi="Times New Roman" w:eastAsia="宋体" w:cs="Times New Roman"/>
                <w:b/>
                <w:bCs/>
                <w:color w:val="auto"/>
                <w:spacing w:val="0"/>
                <w:sz w:val="24"/>
                <w:szCs w:val="24"/>
                <w:lang w:val="en-US" w:eastAsia="zh-CN"/>
              </w:rPr>
              <w:t>1</w:t>
            </w:r>
            <w:r>
              <w:rPr>
                <w:rFonts w:hint="default" w:ascii="Times New Roman" w:hAnsi="Times New Roman" w:eastAsia="宋体" w:cs="Times New Roman"/>
                <w:b/>
                <w:bCs/>
                <w:color w:val="auto"/>
                <w:spacing w:val="0"/>
                <w:sz w:val="24"/>
                <w:szCs w:val="24"/>
                <w:lang w:eastAsia="zh-CN"/>
              </w:rPr>
              <w:t>）</w:t>
            </w:r>
            <w:r>
              <w:rPr>
                <w:rFonts w:hint="default" w:ascii="Times New Roman" w:hAnsi="Times New Roman" w:eastAsia="宋体" w:cs="Times New Roman"/>
                <w:b/>
                <w:bCs/>
                <w:color w:val="auto"/>
                <w:spacing w:val="0"/>
                <w:sz w:val="24"/>
                <w:szCs w:val="24"/>
                <w:lang w:val="en-US" w:eastAsia="zh-CN"/>
              </w:rPr>
              <w:t>水泥</w:t>
            </w:r>
            <w:r>
              <w:rPr>
                <w:rFonts w:hint="eastAsia" w:ascii="Times New Roman" w:hAnsi="Times New Roman" w:eastAsia="宋体" w:cs="Times New Roman"/>
                <w:b/>
                <w:bCs/>
                <w:color w:val="auto"/>
                <w:spacing w:val="0"/>
                <w:sz w:val="24"/>
                <w:szCs w:val="24"/>
                <w:lang w:val="en-US" w:eastAsia="zh-CN"/>
              </w:rPr>
              <w:t>仓</w:t>
            </w:r>
            <w:r>
              <w:rPr>
                <w:rFonts w:hint="default" w:ascii="Times New Roman" w:hAnsi="Times New Roman" w:eastAsia="宋体" w:cs="Times New Roman"/>
                <w:b/>
                <w:bCs/>
                <w:color w:val="auto"/>
                <w:spacing w:val="0"/>
                <w:sz w:val="24"/>
                <w:szCs w:val="24"/>
                <w:lang w:val="en-US" w:eastAsia="zh-CN"/>
              </w:rPr>
              <w:t>废气</w:t>
            </w:r>
          </w:p>
          <w:p w14:paraId="13B3A114">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sz w:val="24"/>
                <w:szCs w:val="24"/>
                <w:lang w:val="en-US" w:eastAsia="zh-CN"/>
              </w:rPr>
            </w:pPr>
            <w:r>
              <w:rPr>
                <w:rFonts w:hint="default" w:ascii="Times New Roman" w:hAnsi="Times New Roman" w:eastAsia="宋体" w:cs="Times New Roman"/>
                <w:color w:val="auto"/>
                <w:spacing w:val="0"/>
                <w:kern w:val="2"/>
                <w:sz w:val="24"/>
                <w:szCs w:val="24"/>
                <w:lang w:val="en-US" w:eastAsia="zh-CN" w:bidi="ar-SA"/>
              </w:rPr>
              <w:t>水泥</w:t>
            </w:r>
            <w:r>
              <w:rPr>
                <w:rFonts w:hint="default" w:ascii="Times New Roman" w:hAnsi="Times New Roman" w:eastAsia="宋体" w:cs="Times New Roman"/>
                <w:color w:val="auto"/>
                <w:spacing w:val="0"/>
                <w:kern w:val="0"/>
                <w:sz w:val="24"/>
                <w:szCs w:val="24"/>
                <w:lang w:val="en-US" w:eastAsia="zh-CN" w:bidi="ar"/>
              </w:rPr>
              <w:t>通过运输粉罐车自带的气力输送装置将物料输送进筒仓。筒仓顶部呼吸口会溢出一定量的粉尘，形成筒仓呼吸粉尘。</w:t>
            </w:r>
            <w:r>
              <w:rPr>
                <w:rFonts w:hint="default" w:ascii="Times New Roman" w:hAnsi="Times New Roman" w:eastAsia="宋体" w:cs="Times New Roman"/>
                <w:color w:val="auto"/>
                <w:spacing w:val="0"/>
                <w:sz w:val="24"/>
                <w:szCs w:val="24"/>
                <w:lang w:val="en-US" w:eastAsia="zh-CN"/>
              </w:rPr>
              <w:t>根据《排放源统计调查产排污核算方法和系数手册》3021水泥制品制造（含3022砼结构构件、3029其他水泥类似制品制造）</w:t>
            </w:r>
            <w:r>
              <w:rPr>
                <w:rFonts w:hint="eastAsia" w:ascii="Times New Roman" w:hAnsi="Times New Roman" w:eastAsia="宋体" w:cs="Times New Roman"/>
                <w:color w:val="auto"/>
                <w:spacing w:val="0"/>
                <w:sz w:val="24"/>
                <w:szCs w:val="24"/>
                <w:lang w:val="en-US" w:eastAsia="zh-CN"/>
              </w:rPr>
              <w:t>，</w:t>
            </w:r>
            <w:r>
              <w:rPr>
                <w:rFonts w:hint="default" w:ascii="Times New Roman" w:hAnsi="Times New Roman" w:eastAsia="宋体" w:cs="Times New Roman"/>
                <w:color w:val="auto"/>
                <w:spacing w:val="0"/>
                <w:sz w:val="24"/>
                <w:szCs w:val="24"/>
                <w:lang w:val="en-US" w:eastAsia="zh-CN"/>
              </w:rPr>
              <w:t>颗粒物产污系数为0.19千克/吨-产品，本项目水泥使用量为</w:t>
            </w:r>
            <w:r>
              <w:rPr>
                <w:rFonts w:hint="eastAsia" w:cs="Times New Roman"/>
                <w:color w:val="auto"/>
                <w:spacing w:val="0"/>
                <w:sz w:val="24"/>
                <w:szCs w:val="24"/>
                <w:lang w:val="en-US" w:eastAsia="zh-CN"/>
              </w:rPr>
              <w:t>6</w:t>
            </w:r>
            <w:r>
              <w:rPr>
                <w:rFonts w:hint="eastAsia" w:ascii="Times New Roman" w:hAnsi="Times New Roman" w:eastAsia="宋体" w:cs="Times New Roman"/>
                <w:color w:val="auto"/>
                <w:spacing w:val="0"/>
                <w:sz w:val="24"/>
                <w:szCs w:val="24"/>
                <w:lang w:val="en-US" w:eastAsia="zh-CN"/>
              </w:rPr>
              <w:t>000</w:t>
            </w:r>
            <w:r>
              <w:rPr>
                <w:rFonts w:hint="default" w:ascii="Times New Roman" w:hAnsi="Times New Roman" w:eastAsia="宋体" w:cs="Times New Roman"/>
                <w:color w:val="auto"/>
                <w:spacing w:val="0"/>
                <w:sz w:val="24"/>
                <w:szCs w:val="24"/>
                <w:lang w:val="en-US" w:eastAsia="zh-CN"/>
              </w:rPr>
              <w:t>t/a，则颗粒物产生量为</w:t>
            </w:r>
            <w:r>
              <w:rPr>
                <w:rFonts w:hint="eastAsia" w:ascii="Times New Roman" w:hAnsi="Times New Roman" w:eastAsia="宋体" w:cs="Times New Roman"/>
                <w:color w:val="auto"/>
                <w:spacing w:val="0"/>
                <w:sz w:val="24"/>
                <w:szCs w:val="24"/>
                <w:lang w:val="en-US" w:eastAsia="zh-CN"/>
              </w:rPr>
              <w:t>1.</w:t>
            </w:r>
            <w:r>
              <w:rPr>
                <w:rFonts w:hint="eastAsia" w:cs="Times New Roman"/>
                <w:color w:val="auto"/>
                <w:spacing w:val="0"/>
                <w:sz w:val="24"/>
                <w:szCs w:val="24"/>
                <w:lang w:val="en-US" w:eastAsia="zh-CN"/>
              </w:rPr>
              <w:t>14</w:t>
            </w:r>
            <w:r>
              <w:rPr>
                <w:rFonts w:hint="default" w:ascii="Times New Roman" w:hAnsi="Times New Roman" w:eastAsia="宋体" w:cs="Times New Roman"/>
                <w:color w:val="auto"/>
                <w:spacing w:val="0"/>
                <w:sz w:val="24"/>
                <w:szCs w:val="24"/>
                <w:lang w:val="en-US" w:eastAsia="zh-CN"/>
              </w:rPr>
              <w:t>t/a，</w:t>
            </w:r>
            <w:r>
              <w:rPr>
                <w:rFonts w:hint="default" w:ascii="Times New Roman" w:hAnsi="Times New Roman" w:eastAsia="宋体" w:cs="Times New Roman"/>
                <w:color w:val="auto"/>
                <w:spacing w:val="0"/>
                <w:kern w:val="0"/>
                <w:sz w:val="24"/>
                <w:szCs w:val="24"/>
                <w:lang w:val="en-US" w:eastAsia="zh-CN" w:bidi="ar"/>
              </w:rPr>
              <w:t>筒仓为全密闭式，输送工作时全封闭运行，</w:t>
            </w:r>
            <w:r>
              <w:rPr>
                <w:rFonts w:hint="eastAsia" w:ascii="Times New Roman" w:hAnsi="Times New Roman" w:eastAsia="宋体" w:cs="Times New Roman"/>
                <w:color w:val="auto"/>
                <w:spacing w:val="0"/>
                <w:kern w:val="0"/>
                <w:sz w:val="24"/>
                <w:szCs w:val="24"/>
                <w:lang w:val="en-US" w:eastAsia="zh-CN" w:bidi="ar"/>
              </w:rPr>
              <w:t>废气全部进入处理设施</w:t>
            </w:r>
            <w:r>
              <w:rPr>
                <w:rFonts w:hint="eastAsia" w:cs="Times New Roman"/>
                <w:color w:val="auto"/>
                <w:spacing w:val="0"/>
                <w:kern w:val="0"/>
                <w:sz w:val="24"/>
                <w:szCs w:val="24"/>
                <w:lang w:val="en-US" w:eastAsia="zh-CN" w:bidi="ar"/>
              </w:rPr>
              <w:t>，水泥仓卸料时间为600h/a，颗粒物产生速率为1.9kg/h</w:t>
            </w:r>
            <w:r>
              <w:rPr>
                <w:rFonts w:hint="default" w:ascii="Times New Roman" w:hAnsi="Times New Roman" w:eastAsia="宋体" w:cs="Times New Roman"/>
                <w:color w:val="auto"/>
                <w:spacing w:val="0"/>
                <w:sz w:val="24"/>
                <w:szCs w:val="24"/>
                <w:lang w:val="en-US" w:eastAsia="zh-CN"/>
              </w:rPr>
              <w:t>。</w:t>
            </w:r>
          </w:p>
          <w:p w14:paraId="313C5D1E">
            <w:pPr>
              <w:keepNext w:val="0"/>
              <w:keepLines w:val="0"/>
              <w:pageBreakBefore w:val="0"/>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b/>
                <w:bCs/>
                <w:color w:val="auto"/>
                <w:spacing w:val="0"/>
                <w:sz w:val="24"/>
                <w:szCs w:val="24"/>
              </w:rPr>
            </w:pPr>
            <w:r>
              <w:rPr>
                <w:rFonts w:hint="eastAsia" w:cs="Times New Roman"/>
                <w:b/>
                <w:bCs/>
                <w:color w:val="auto"/>
                <w:spacing w:val="0"/>
                <w:sz w:val="24"/>
                <w:szCs w:val="24"/>
                <w:lang w:eastAsia="zh-CN"/>
              </w:rPr>
              <w:t>（</w:t>
            </w:r>
            <w:r>
              <w:rPr>
                <w:rFonts w:hint="eastAsia" w:cs="Times New Roman"/>
                <w:b/>
                <w:bCs/>
                <w:color w:val="auto"/>
                <w:spacing w:val="0"/>
                <w:sz w:val="24"/>
                <w:szCs w:val="24"/>
                <w:lang w:val="en-US" w:eastAsia="zh-CN"/>
              </w:rPr>
              <w:t>2</w:t>
            </w:r>
            <w:r>
              <w:rPr>
                <w:rFonts w:hint="eastAsia" w:cs="Times New Roman"/>
                <w:b/>
                <w:bCs/>
                <w:color w:val="auto"/>
                <w:spacing w:val="0"/>
                <w:sz w:val="24"/>
                <w:szCs w:val="24"/>
                <w:lang w:eastAsia="zh-CN"/>
              </w:rPr>
              <w:t>）</w:t>
            </w:r>
            <w:r>
              <w:rPr>
                <w:rFonts w:hint="eastAsia" w:cs="Times New Roman"/>
                <w:b/>
                <w:bCs/>
                <w:color w:val="auto"/>
                <w:spacing w:val="0"/>
                <w:sz w:val="24"/>
                <w:szCs w:val="24"/>
                <w:lang w:val="en-US" w:eastAsia="zh-CN"/>
              </w:rPr>
              <w:t>沙子、石子</w:t>
            </w:r>
            <w:r>
              <w:rPr>
                <w:rFonts w:hint="eastAsia" w:cs="Times New Roman"/>
                <w:b/>
                <w:bCs/>
                <w:color w:val="auto"/>
                <w:spacing w:val="0"/>
                <w:sz w:val="24"/>
                <w:szCs w:val="24"/>
                <w:lang w:eastAsia="zh-CN"/>
              </w:rPr>
              <w:t>、</w:t>
            </w:r>
            <w:r>
              <w:rPr>
                <w:rFonts w:hint="eastAsia" w:cs="Times New Roman"/>
                <w:b/>
                <w:bCs/>
                <w:color w:val="auto"/>
                <w:spacing w:val="0"/>
                <w:sz w:val="24"/>
                <w:szCs w:val="24"/>
                <w:lang w:val="en-US" w:eastAsia="zh-CN"/>
              </w:rPr>
              <w:t>水泥投料</w:t>
            </w:r>
            <w:r>
              <w:rPr>
                <w:rFonts w:hint="eastAsia" w:cs="Times New Roman"/>
                <w:b/>
                <w:bCs/>
                <w:color w:val="auto"/>
                <w:spacing w:val="0"/>
                <w:sz w:val="24"/>
                <w:szCs w:val="24"/>
                <w:lang w:eastAsia="zh-CN"/>
              </w:rPr>
              <w:t>废</w:t>
            </w:r>
            <w:r>
              <w:rPr>
                <w:rFonts w:hint="default" w:ascii="Times New Roman" w:hAnsi="Times New Roman" w:eastAsia="宋体" w:cs="Times New Roman"/>
                <w:b/>
                <w:bCs/>
                <w:color w:val="auto"/>
                <w:spacing w:val="0"/>
                <w:sz w:val="24"/>
                <w:szCs w:val="24"/>
              </w:rPr>
              <w:t>气</w:t>
            </w:r>
          </w:p>
          <w:p w14:paraId="0D215FE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kern w:val="0"/>
                <w:sz w:val="24"/>
                <w:szCs w:val="24"/>
                <w:lang w:val="en-US" w:eastAsia="zh-CN" w:bidi="ar"/>
              </w:rPr>
            </w:pPr>
            <w:r>
              <w:rPr>
                <w:rFonts w:hint="default" w:ascii="Times New Roman" w:hAnsi="Times New Roman" w:eastAsia="宋体" w:cs="Times New Roman"/>
                <w:color w:val="auto"/>
                <w:spacing w:val="0"/>
                <w:kern w:val="0"/>
                <w:sz w:val="24"/>
                <w:szCs w:val="24"/>
                <w:lang w:val="en-US" w:eastAsia="zh-CN" w:bidi="ar"/>
              </w:rPr>
              <w:t>本项目石子、沙子、水泥投料过程有粉尘产生。参考《排放源统计调查产排污核算方法和系数手册》中《3021水泥制品制造（含3022砼结构构件制造、3029其他水泥类似制品制造）行业系数手册》，颗粒物产污系数为0.19kg/t。本项目石子、沙子、水泥年用量为</w:t>
            </w:r>
            <w:r>
              <w:rPr>
                <w:rFonts w:hint="eastAsia" w:cs="Times New Roman"/>
                <w:color w:val="auto"/>
                <w:spacing w:val="0"/>
                <w:kern w:val="0"/>
                <w:sz w:val="24"/>
                <w:szCs w:val="24"/>
                <w:lang w:val="en-US" w:eastAsia="zh-CN" w:bidi="ar"/>
              </w:rPr>
              <w:t>240</w:t>
            </w:r>
            <w:r>
              <w:rPr>
                <w:rFonts w:hint="default" w:ascii="Times New Roman" w:hAnsi="Times New Roman" w:eastAsia="宋体" w:cs="Times New Roman"/>
                <w:color w:val="auto"/>
                <w:spacing w:val="0"/>
                <w:kern w:val="0"/>
                <w:sz w:val="24"/>
                <w:szCs w:val="24"/>
                <w:lang w:val="en-US" w:eastAsia="zh-CN" w:bidi="ar"/>
              </w:rPr>
              <w:t>00t/a，则石子、沙子、水泥投料粉尘产生量为</w:t>
            </w:r>
            <w:r>
              <w:rPr>
                <w:rFonts w:hint="eastAsia" w:cs="Times New Roman"/>
                <w:color w:val="auto"/>
                <w:spacing w:val="0"/>
                <w:kern w:val="0"/>
                <w:sz w:val="24"/>
                <w:szCs w:val="24"/>
                <w:lang w:val="en-US" w:eastAsia="zh-CN" w:bidi="ar"/>
              </w:rPr>
              <w:t>4.56</w:t>
            </w:r>
            <w:r>
              <w:rPr>
                <w:rFonts w:hint="default" w:ascii="Times New Roman" w:hAnsi="Times New Roman" w:eastAsia="宋体" w:cs="Times New Roman"/>
                <w:color w:val="auto"/>
                <w:spacing w:val="0"/>
                <w:kern w:val="0"/>
                <w:sz w:val="24"/>
                <w:szCs w:val="24"/>
                <w:lang w:val="en-US" w:eastAsia="zh-CN" w:bidi="ar"/>
              </w:rPr>
              <w:t>t/a。投料口设置喷淋降尘装置及半密闭式集气罩（进料口设置透明围挡）以收集投料粉尘，收集效率按95%计算，则有组织颗粒物产生量为</w:t>
            </w:r>
            <w:r>
              <w:rPr>
                <w:rFonts w:hint="eastAsia" w:cs="Times New Roman"/>
                <w:color w:val="auto"/>
                <w:spacing w:val="0"/>
                <w:kern w:val="0"/>
                <w:sz w:val="24"/>
                <w:szCs w:val="24"/>
                <w:lang w:val="en-US" w:eastAsia="zh-CN" w:bidi="ar"/>
              </w:rPr>
              <w:t>4.332</w:t>
            </w:r>
            <w:r>
              <w:rPr>
                <w:rFonts w:hint="default" w:ascii="Times New Roman" w:hAnsi="Times New Roman" w:eastAsia="宋体" w:cs="Times New Roman"/>
                <w:color w:val="auto"/>
                <w:spacing w:val="0"/>
                <w:kern w:val="0"/>
                <w:sz w:val="24"/>
                <w:szCs w:val="24"/>
                <w:lang w:val="en-US" w:eastAsia="zh-CN" w:bidi="ar"/>
              </w:rPr>
              <w:t>t/a，工作时间为2400h/a，</w:t>
            </w:r>
            <w:r>
              <w:rPr>
                <w:rFonts w:hint="eastAsia" w:cs="Times New Roman"/>
                <w:color w:val="auto"/>
                <w:spacing w:val="0"/>
                <w:kern w:val="0"/>
                <w:sz w:val="24"/>
                <w:szCs w:val="24"/>
                <w:lang w:val="en-US" w:eastAsia="zh-CN" w:bidi="ar"/>
              </w:rPr>
              <w:t>产生速率为1.805</w:t>
            </w:r>
            <w:r>
              <w:rPr>
                <w:rFonts w:hint="default" w:ascii="Times New Roman" w:hAnsi="Times New Roman" w:eastAsia="宋体" w:cs="Times New Roman"/>
                <w:color w:val="auto"/>
                <w:spacing w:val="0"/>
                <w:kern w:val="0"/>
                <w:sz w:val="24"/>
                <w:szCs w:val="24"/>
                <w:lang w:val="en-US" w:eastAsia="zh-CN" w:bidi="ar"/>
              </w:rPr>
              <w:t>kg/h。</w:t>
            </w:r>
          </w:p>
          <w:p w14:paraId="40FF8E0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kern w:val="0"/>
                <w:sz w:val="24"/>
                <w:szCs w:val="24"/>
                <w:lang w:val="en-US" w:eastAsia="zh-CN" w:bidi="ar"/>
              </w:rPr>
            </w:pPr>
            <w:r>
              <w:rPr>
                <w:rFonts w:hint="default" w:ascii="Times New Roman" w:hAnsi="Times New Roman" w:eastAsia="宋体" w:cs="Times New Roman"/>
                <w:color w:val="auto"/>
                <w:spacing w:val="0"/>
                <w:kern w:val="0"/>
                <w:sz w:val="24"/>
                <w:szCs w:val="24"/>
                <w:lang w:val="en-US" w:eastAsia="zh-CN" w:bidi="ar"/>
              </w:rPr>
              <w:t>未收集的粉尘以无组织形式排放，无组织粉尘产生量为0.</w:t>
            </w:r>
            <w:r>
              <w:rPr>
                <w:rFonts w:hint="eastAsia" w:cs="Times New Roman"/>
                <w:color w:val="auto"/>
                <w:spacing w:val="0"/>
                <w:kern w:val="0"/>
                <w:sz w:val="24"/>
                <w:szCs w:val="24"/>
                <w:lang w:val="en-US" w:eastAsia="zh-CN" w:bidi="ar"/>
              </w:rPr>
              <w:t>228</w:t>
            </w:r>
            <w:r>
              <w:rPr>
                <w:rFonts w:hint="default" w:ascii="Times New Roman" w:hAnsi="Times New Roman" w:eastAsia="宋体" w:cs="Times New Roman"/>
                <w:color w:val="auto"/>
                <w:spacing w:val="0"/>
                <w:kern w:val="0"/>
                <w:sz w:val="24"/>
                <w:szCs w:val="24"/>
                <w:lang w:val="en-US" w:eastAsia="zh-CN" w:bidi="ar"/>
              </w:rPr>
              <w:t>t/a。无组织粉尘通过车间封闭、定期喷淋洒水来抑制其产生，约85%的粉尘能够沉降于厂内，则无组织粉尘排放量为0.0</w:t>
            </w:r>
            <w:r>
              <w:rPr>
                <w:rFonts w:hint="eastAsia" w:cs="Times New Roman"/>
                <w:color w:val="auto"/>
                <w:spacing w:val="0"/>
                <w:kern w:val="0"/>
                <w:sz w:val="24"/>
                <w:szCs w:val="24"/>
                <w:lang w:val="en-US" w:eastAsia="zh-CN" w:bidi="ar"/>
              </w:rPr>
              <w:t>34</w:t>
            </w:r>
            <w:r>
              <w:rPr>
                <w:rFonts w:hint="default" w:ascii="Times New Roman" w:hAnsi="Times New Roman" w:eastAsia="宋体" w:cs="Times New Roman"/>
                <w:color w:val="auto"/>
                <w:spacing w:val="0"/>
                <w:kern w:val="0"/>
                <w:sz w:val="24"/>
                <w:szCs w:val="24"/>
                <w:lang w:val="en-US" w:eastAsia="zh-CN" w:bidi="ar"/>
              </w:rPr>
              <w:t>t/a。</w:t>
            </w:r>
          </w:p>
          <w:p w14:paraId="031A7AC6">
            <w:pPr>
              <w:keepNext w:val="0"/>
              <w:keepLines w:val="0"/>
              <w:pageBreakBefore w:val="0"/>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b/>
                <w:bCs/>
                <w:color w:val="auto"/>
                <w:spacing w:val="0"/>
                <w:sz w:val="24"/>
                <w:szCs w:val="24"/>
              </w:rPr>
            </w:pPr>
            <w:r>
              <w:rPr>
                <w:rFonts w:hint="eastAsia" w:cs="Times New Roman"/>
                <w:b/>
                <w:bCs/>
                <w:color w:val="auto"/>
                <w:spacing w:val="0"/>
                <w:sz w:val="24"/>
                <w:szCs w:val="24"/>
                <w:lang w:eastAsia="zh-CN"/>
              </w:rPr>
              <w:t>（</w:t>
            </w:r>
            <w:r>
              <w:rPr>
                <w:rFonts w:hint="eastAsia" w:cs="Times New Roman"/>
                <w:b/>
                <w:bCs/>
                <w:color w:val="auto"/>
                <w:spacing w:val="0"/>
                <w:sz w:val="24"/>
                <w:szCs w:val="24"/>
                <w:lang w:val="en-US" w:eastAsia="zh-CN"/>
              </w:rPr>
              <w:t>3</w:t>
            </w:r>
            <w:r>
              <w:rPr>
                <w:rFonts w:hint="eastAsia" w:cs="Times New Roman"/>
                <w:b/>
                <w:bCs/>
                <w:color w:val="auto"/>
                <w:spacing w:val="0"/>
                <w:sz w:val="24"/>
                <w:szCs w:val="24"/>
                <w:lang w:eastAsia="zh-CN"/>
              </w:rPr>
              <w:t>）</w:t>
            </w:r>
            <w:r>
              <w:rPr>
                <w:rFonts w:hint="default" w:ascii="Times New Roman" w:hAnsi="Times New Roman" w:eastAsia="宋体" w:cs="Times New Roman"/>
                <w:b/>
                <w:bCs/>
                <w:color w:val="auto"/>
                <w:spacing w:val="0"/>
                <w:sz w:val="24"/>
                <w:szCs w:val="24"/>
              </w:rPr>
              <w:t>搅拌废气</w:t>
            </w:r>
          </w:p>
          <w:p w14:paraId="7929D7E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kern w:val="0"/>
                <w:sz w:val="24"/>
                <w:szCs w:val="24"/>
                <w:lang w:val="en-US" w:eastAsia="zh-CN" w:bidi="ar"/>
              </w:rPr>
            </w:pPr>
            <w:r>
              <w:rPr>
                <w:rFonts w:hint="default" w:ascii="Times New Roman" w:hAnsi="Times New Roman" w:eastAsia="宋体" w:cs="Times New Roman"/>
                <w:color w:val="auto"/>
                <w:spacing w:val="0"/>
                <w:kern w:val="0"/>
                <w:sz w:val="24"/>
                <w:szCs w:val="24"/>
                <w:lang w:val="en-US" w:eastAsia="zh-CN" w:bidi="ar"/>
              </w:rPr>
              <w:t>本项目</w:t>
            </w:r>
            <w:r>
              <w:rPr>
                <w:rFonts w:hint="default" w:ascii="Times New Roman" w:hAnsi="Times New Roman" w:eastAsia="宋体" w:cs="Times New Roman"/>
                <w:color w:val="auto"/>
                <w:spacing w:val="0"/>
                <w:kern w:val="2"/>
                <w:sz w:val="24"/>
                <w:szCs w:val="24"/>
                <w:lang w:val="en-US" w:eastAsia="zh-CN" w:bidi="ar-SA"/>
              </w:rPr>
              <w:t>各种原料混合搅拌</w:t>
            </w:r>
            <w:r>
              <w:rPr>
                <w:rFonts w:hint="default" w:ascii="Times New Roman" w:hAnsi="Times New Roman" w:eastAsia="宋体" w:cs="Times New Roman"/>
                <w:color w:val="auto"/>
                <w:spacing w:val="0"/>
                <w:kern w:val="0"/>
                <w:sz w:val="24"/>
                <w:szCs w:val="24"/>
                <w:lang w:val="en-US" w:eastAsia="zh-CN" w:bidi="ar"/>
              </w:rPr>
              <w:t>过程有粉尘产生。</w:t>
            </w:r>
            <w:r>
              <w:rPr>
                <w:rFonts w:hint="default" w:ascii="Times New Roman" w:hAnsi="Times New Roman" w:eastAsia="宋体" w:cs="Times New Roman"/>
                <w:color w:val="auto"/>
                <w:spacing w:val="0"/>
                <w:sz w:val="24"/>
                <w:szCs w:val="24"/>
                <w:lang w:val="en-US" w:eastAsia="zh-CN"/>
              </w:rPr>
              <w:t>根据《排放源统计调查产排污核算方法和系数手册》3021水泥制品制造（含3022砼结构构件、3029其他水泥类似制品制造）</w:t>
            </w:r>
            <w:r>
              <w:rPr>
                <w:rFonts w:hint="default" w:ascii="Times New Roman" w:hAnsi="Times New Roman" w:eastAsia="宋体" w:cs="Times New Roman"/>
                <w:color w:val="auto"/>
                <w:spacing w:val="0"/>
                <w:kern w:val="2"/>
                <w:sz w:val="24"/>
                <w:szCs w:val="24"/>
                <w:lang w:val="en-US" w:eastAsia="zh-CN" w:bidi="ar-SA"/>
              </w:rPr>
              <w:t>，水泥制品物料混合搅拌过程中产污系数为0.523kg/t-产品，产品产量约为</w:t>
            </w:r>
            <w:r>
              <w:rPr>
                <w:rFonts w:hint="eastAsia" w:cs="Times New Roman"/>
                <w:color w:val="auto"/>
                <w:spacing w:val="0"/>
                <w:kern w:val="2"/>
                <w:sz w:val="24"/>
                <w:szCs w:val="24"/>
                <w:lang w:val="en-US" w:eastAsia="zh-CN" w:bidi="ar-SA"/>
              </w:rPr>
              <w:t>26</w:t>
            </w:r>
            <w:r>
              <w:rPr>
                <w:rFonts w:hint="default" w:ascii="Times New Roman" w:hAnsi="Times New Roman" w:eastAsia="宋体" w:cs="Times New Roman"/>
                <w:color w:val="auto"/>
                <w:spacing w:val="0"/>
                <w:kern w:val="2"/>
                <w:sz w:val="24"/>
                <w:szCs w:val="24"/>
                <w:lang w:val="en-US" w:eastAsia="zh-CN" w:bidi="ar-SA"/>
              </w:rPr>
              <w:t>000t/a，则混合搅拌</w:t>
            </w:r>
            <w:r>
              <w:rPr>
                <w:rFonts w:hint="eastAsia" w:cs="Times New Roman"/>
                <w:color w:val="auto"/>
                <w:spacing w:val="0"/>
                <w:kern w:val="2"/>
                <w:sz w:val="24"/>
                <w:szCs w:val="24"/>
                <w:lang w:val="en-US" w:eastAsia="zh-CN" w:bidi="ar-SA"/>
              </w:rPr>
              <w:t>产生的颗粒物约为</w:t>
            </w:r>
            <w:r>
              <w:rPr>
                <w:rFonts w:hint="default" w:ascii="Times New Roman" w:hAnsi="Times New Roman" w:eastAsia="宋体" w:cs="Times New Roman"/>
                <w:color w:val="auto"/>
                <w:spacing w:val="0"/>
                <w:kern w:val="2"/>
                <w:sz w:val="24"/>
                <w:szCs w:val="24"/>
                <w:lang w:val="en-US" w:eastAsia="zh-CN" w:bidi="ar-SA"/>
              </w:rPr>
              <w:t>13.598t/a。</w:t>
            </w:r>
            <w:r>
              <w:rPr>
                <w:rFonts w:hint="default" w:ascii="Times New Roman" w:hAnsi="Times New Roman" w:eastAsia="宋体" w:cs="Times New Roman"/>
                <w:color w:val="auto"/>
                <w:spacing w:val="0"/>
                <w:kern w:val="0"/>
                <w:sz w:val="24"/>
                <w:szCs w:val="24"/>
                <w:lang w:val="en-US" w:eastAsia="zh-CN" w:bidi="ar"/>
              </w:rPr>
              <w:t>搅拌站为密闭式，收集效率95%，则有组织废气产生量为</w:t>
            </w:r>
            <w:r>
              <w:rPr>
                <w:rFonts w:hint="eastAsia" w:cs="Times New Roman"/>
                <w:color w:val="auto"/>
                <w:spacing w:val="0"/>
                <w:kern w:val="0"/>
                <w:sz w:val="24"/>
                <w:szCs w:val="24"/>
                <w:lang w:val="en-US" w:eastAsia="zh-CN" w:bidi="ar"/>
              </w:rPr>
              <w:t>12.918</w:t>
            </w:r>
            <w:r>
              <w:rPr>
                <w:rFonts w:hint="default" w:ascii="Times New Roman" w:hAnsi="Times New Roman" w:eastAsia="宋体" w:cs="Times New Roman"/>
                <w:color w:val="auto"/>
                <w:spacing w:val="0"/>
                <w:kern w:val="0"/>
                <w:sz w:val="24"/>
                <w:szCs w:val="24"/>
                <w:lang w:val="en-US" w:eastAsia="zh-CN" w:bidi="ar"/>
              </w:rPr>
              <w:t>t/a</w:t>
            </w:r>
            <w:r>
              <w:rPr>
                <w:rFonts w:hint="eastAsia" w:cs="Times New Roman"/>
                <w:color w:val="auto"/>
                <w:spacing w:val="0"/>
                <w:kern w:val="0"/>
                <w:sz w:val="24"/>
                <w:szCs w:val="24"/>
                <w:lang w:val="en-US" w:eastAsia="zh-CN" w:bidi="ar"/>
              </w:rPr>
              <w:t>，</w:t>
            </w:r>
            <w:r>
              <w:rPr>
                <w:rFonts w:hint="default" w:ascii="Times New Roman" w:hAnsi="Times New Roman" w:eastAsia="宋体" w:cs="Times New Roman"/>
                <w:color w:val="auto"/>
                <w:spacing w:val="0"/>
                <w:kern w:val="0"/>
                <w:sz w:val="24"/>
                <w:szCs w:val="24"/>
                <w:lang w:val="en-US" w:eastAsia="zh-CN" w:bidi="ar"/>
              </w:rPr>
              <w:t>工作时间为2400h/a，</w:t>
            </w:r>
            <w:r>
              <w:rPr>
                <w:rFonts w:hint="eastAsia" w:cs="Times New Roman"/>
                <w:color w:val="auto"/>
                <w:spacing w:val="0"/>
                <w:kern w:val="0"/>
                <w:sz w:val="24"/>
                <w:szCs w:val="24"/>
                <w:lang w:val="en-US" w:eastAsia="zh-CN" w:bidi="ar"/>
              </w:rPr>
              <w:t>产生速率为5.383</w:t>
            </w:r>
            <w:r>
              <w:rPr>
                <w:rFonts w:hint="default" w:ascii="Times New Roman" w:hAnsi="Times New Roman" w:eastAsia="宋体" w:cs="Times New Roman"/>
                <w:color w:val="auto"/>
                <w:spacing w:val="0"/>
                <w:kern w:val="0"/>
                <w:sz w:val="24"/>
                <w:szCs w:val="24"/>
                <w:lang w:val="en-US" w:eastAsia="zh-CN" w:bidi="ar"/>
              </w:rPr>
              <w:t>kg/h。</w:t>
            </w:r>
          </w:p>
          <w:p w14:paraId="625C22B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kern w:val="0"/>
                <w:sz w:val="24"/>
                <w:szCs w:val="24"/>
                <w:lang w:val="en-US" w:eastAsia="zh-CN" w:bidi="ar"/>
              </w:rPr>
            </w:pPr>
            <w:r>
              <w:rPr>
                <w:rFonts w:hint="default" w:ascii="Times New Roman" w:hAnsi="Times New Roman" w:eastAsia="宋体" w:cs="Times New Roman"/>
                <w:color w:val="auto"/>
                <w:spacing w:val="0"/>
                <w:kern w:val="0"/>
                <w:sz w:val="24"/>
                <w:szCs w:val="24"/>
                <w:lang w:val="en-US" w:eastAsia="zh-CN" w:bidi="ar"/>
              </w:rPr>
              <w:t>未收集的粉尘以无组织形式排放，无组织粉尘产生量为</w:t>
            </w:r>
            <w:r>
              <w:rPr>
                <w:rFonts w:hint="eastAsia" w:cs="Times New Roman"/>
                <w:color w:val="auto"/>
                <w:spacing w:val="0"/>
                <w:kern w:val="0"/>
                <w:sz w:val="24"/>
                <w:szCs w:val="24"/>
                <w:lang w:val="en-US" w:eastAsia="zh-CN" w:bidi="ar"/>
              </w:rPr>
              <w:t>0.6</w:t>
            </w:r>
            <w:r>
              <w:rPr>
                <w:rFonts w:hint="eastAsia" w:ascii="Times New Roman" w:hAnsi="Times New Roman" w:eastAsia="宋体" w:cs="Times New Roman"/>
                <w:color w:val="auto"/>
                <w:spacing w:val="0"/>
                <w:kern w:val="0"/>
                <w:sz w:val="24"/>
                <w:szCs w:val="24"/>
                <w:lang w:val="en-US" w:eastAsia="zh-CN" w:bidi="ar"/>
              </w:rPr>
              <w:t>8</w:t>
            </w:r>
            <w:r>
              <w:rPr>
                <w:rFonts w:hint="default" w:ascii="Times New Roman" w:hAnsi="Times New Roman" w:eastAsia="宋体" w:cs="Times New Roman"/>
                <w:color w:val="auto"/>
                <w:spacing w:val="0"/>
                <w:kern w:val="0"/>
                <w:sz w:val="24"/>
                <w:szCs w:val="24"/>
                <w:lang w:val="en-US" w:eastAsia="zh-CN" w:bidi="ar"/>
              </w:rPr>
              <w:t>t/a。</w:t>
            </w:r>
            <w:r>
              <w:rPr>
                <w:rFonts w:hint="eastAsia" w:cs="Times New Roman"/>
                <w:color w:val="auto"/>
                <w:spacing w:val="0"/>
                <w:kern w:val="0"/>
                <w:sz w:val="24"/>
                <w:szCs w:val="24"/>
                <w:lang w:val="en-US" w:eastAsia="zh-CN" w:bidi="ar"/>
              </w:rPr>
              <w:t>经密闭车间阻隔和</w:t>
            </w:r>
            <w:r>
              <w:rPr>
                <w:rFonts w:hint="default" w:ascii="Times New Roman" w:hAnsi="Times New Roman" w:eastAsia="宋体" w:cs="Times New Roman"/>
                <w:color w:val="auto"/>
                <w:spacing w:val="0"/>
                <w:kern w:val="0"/>
                <w:sz w:val="24"/>
                <w:szCs w:val="24"/>
                <w:lang w:val="en-US" w:eastAsia="zh-CN" w:bidi="ar"/>
              </w:rPr>
              <w:t>喷淋洒水，约8</w:t>
            </w:r>
            <w:r>
              <w:rPr>
                <w:rFonts w:hint="eastAsia" w:cs="Times New Roman"/>
                <w:color w:val="auto"/>
                <w:spacing w:val="0"/>
                <w:kern w:val="0"/>
                <w:sz w:val="24"/>
                <w:szCs w:val="24"/>
                <w:lang w:val="en-US" w:eastAsia="zh-CN" w:bidi="ar"/>
              </w:rPr>
              <w:t>5</w:t>
            </w:r>
            <w:r>
              <w:rPr>
                <w:rFonts w:hint="default" w:ascii="Times New Roman" w:hAnsi="Times New Roman" w:eastAsia="宋体" w:cs="Times New Roman"/>
                <w:color w:val="auto"/>
                <w:spacing w:val="0"/>
                <w:kern w:val="0"/>
                <w:sz w:val="24"/>
                <w:szCs w:val="24"/>
                <w:lang w:val="en-US" w:eastAsia="zh-CN" w:bidi="ar"/>
              </w:rPr>
              <w:t>%的粉尘能够沉降</w:t>
            </w:r>
            <w:r>
              <w:rPr>
                <w:rFonts w:hint="eastAsia" w:cs="Times New Roman"/>
                <w:color w:val="auto"/>
                <w:spacing w:val="0"/>
                <w:kern w:val="0"/>
                <w:sz w:val="24"/>
                <w:szCs w:val="24"/>
                <w:lang w:val="en-US" w:eastAsia="zh-CN" w:bidi="ar"/>
              </w:rPr>
              <w:t>在车间地面</w:t>
            </w:r>
            <w:r>
              <w:rPr>
                <w:rFonts w:hint="default" w:ascii="Times New Roman" w:hAnsi="Times New Roman" w:eastAsia="宋体" w:cs="Times New Roman"/>
                <w:color w:val="auto"/>
                <w:spacing w:val="0"/>
                <w:kern w:val="0"/>
                <w:sz w:val="24"/>
                <w:szCs w:val="24"/>
                <w:lang w:val="en-US" w:eastAsia="zh-CN" w:bidi="ar"/>
              </w:rPr>
              <w:t>，则无组织粉尘排放量为0.</w:t>
            </w:r>
            <w:r>
              <w:rPr>
                <w:rFonts w:hint="eastAsia" w:cs="Times New Roman"/>
                <w:color w:val="auto"/>
                <w:spacing w:val="0"/>
                <w:kern w:val="0"/>
                <w:sz w:val="24"/>
                <w:szCs w:val="24"/>
                <w:lang w:val="en-US" w:eastAsia="zh-CN" w:bidi="ar"/>
              </w:rPr>
              <w:t>10</w:t>
            </w:r>
            <w:r>
              <w:rPr>
                <w:rFonts w:hint="eastAsia" w:ascii="Times New Roman" w:hAnsi="Times New Roman" w:eastAsia="宋体" w:cs="Times New Roman"/>
                <w:color w:val="auto"/>
                <w:spacing w:val="0"/>
                <w:kern w:val="0"/>
                <w:sz w:val="24"/>
                <w:szCs w:val="24"/>
                <w:lang w:val="en-US" w:eastAsia="zh-CN" w:bidi="ar"/>
              </w:rPr>
              <w:t>2</w:t>
            </w:r>
            <w:r>
              <w:rPr>
                <w:rFonts w:hint="default" w:ascii="Times New Roman" w:hAnsi="Times New Roman" w:eastAsia="宋体" w:cs="Times New Roman"/>
                <w:color w:val="auto"/>
                <w:spacing w:val="0"/>
                <w:kern w:val="0"/>
                <w:sz w:val="24"/>
                <w:szCs w:val="24"/>
                <w:lang w:val="en-US" w:eastAsia="zh-CN" w:bidi="ar"/>
              </w:rPr>
              <w:t>t/a。</w:t>
            </w:r>
          </w:p>
          <w:p w14:paraId="2FA02EDC">
            <w:pPr>
              <w:widowControl w:val="0"/>
              <w:autoSpaceDE w:val="0"/>
              <w:autoSpaceDN w:val="0"/>
              <w:adjustRightInd w:val="0"/>
              <w:snapToGrid w:val="0"/>
              <w:spacing w:line="360" w:lineRule="auto"/>
              <w:ind w:firstLine="480" w:firstLineChars="200"/>
              <w:jc w:val="both"/>
              <w:rPr>
                <w:rFonts w:hint="default" w:ascii="Times New Roman" w:hAnsi="Times New Roman" w:eastAsia="宋体" w:cs="Times New Roman"/>
                <w:caps w:val="0"/>
                <w:color w:val="auto"/>
                <w:spacing w:val="0"/>
                <w:kern w:val="0"/>
                <w:sz w:val="24"/>
                <w:szCs w:val="24"/>
                <w:lang w:val="en-US" w:eastAsia="zh-CN" w:bidi="ar-SA"/>
              </w:rPr>
            </w:pPr>
            <w:r>
              <w:rPr>
                <w:rFonts w:hint="eastAsia" w:ascii="Times New Roman" w:hAnsi="Times New Roman" w:eastAsia="宋体" w:cs="Times New Roman"/>
                <w:caps w:val="0"/>
                <w:color w:val="auto"/>
                <w:spacing w:val="0"/>
                <w:kern w:val="0"/>
                <w:sz w:val="24"/>
                <w:szCs w:val="24"/>
                <w:lang w:val="en-US" w:eastAsia="zh-CN" w:bidi="ar-SA"/>
              </w:rPr>
              <w:t>有组织排放情况：</w:t>
            </w:r>
          </w:p>
          <w:p w14:paraId="5A3B615C">
            <w:pPr>
              <w:adjustRightInd w:val="0"/>
              <w:snapToGrid w:val="0"/>
              <w:spacing w:line="360" w:lineRule="auto"/>
              <w:ind w:firstLine="480" w:firstLineChars="200"/>
              <w:rPr>
                <w:rFonts w:hint="default" w:ascii="Times New Roman" w:hAnsi="Times New Roman" w:eastAsia="宋体" w:cs="Times New Roman"/>
                <w:caps w:val="0"/>
                <w:color w:val="auto"/>
                <w:spacing w:val="0"/>
                <w:kern w:val="0"/>
                <w:sz w:val="24"/>
                <w:szCs w:val="24"/>
                <w:lang w:val="en-US" w:eastAsia="zh-CN" w:bidi="ar"/>
              </w:rPr>
            </w:pPr>
            <w:r>
              <w:rPr>
                <w:rFonts w:hint="default" w:ascii="Times New Roman" w:hAnsi="Times New Roman" w:eastAsia="宋体" w:cs="Times New Roman"/>
                <w:caps w:val="0"/>
                <w:color w:val="auto"/>
                <w:spacing w:val="0"/>
                <w:kern w:val="0"/>
                <w:sz w:val="24"/>
                <w:lang w:val="en-US" w:eastAsia="zh-CN"/>
              </w:rPr>
              <w:t>由上述计算</w:t>
            </w:r>
            <w:r>
              <w:rPr>
                <w:rFonts w:hint="eastAsia" w:ascii="Times New Roman" w:hAnsi="Times New Roman" w:eastAsia="宋体" w:cs="Times New Roman"/>
                <w:caps w:val="0"/>
                <w:color w:val="auto"/>
                <w:spacing w:val="0"/>
                <w:kern w:val="0"/>
                <w:sz w:val="24"/>
                <w:lang w:val="en-US" w:eastAsia="zh-CN"/>
              </w:rPr>
              <w:t>可知</w:t>
            </w:r>
            <w:r>
              <w:rPr>
                <w:rFonts w:hint="default" w:ascii="Times New Roman" w:hAnsi="Times New Roman" w:eastAsia="宋体" w:cs="Times New Roman"/>
                <w:caps w:val="0"/>
                <w:color w:val="auto"/>
                <w:spacing w:val="0"/>
                <w:kern w:val="0"/>
                <w:sz w:val="24"/>
                <w:lang w:val="en-US" w:eastAsia="zh-CN"/>
              </w:rPr>
              <w:t>，</w:t>
            </w:r>
            <w:r>
              <w:rPr>
                <w:rFonts w:hint="default" w:ascii="Times New Roman" w:hAnsi="Times New Roman" w:eastAsia="宋体" w:cs="Times New Roman"/>
                <w:caps w:val="0"/>
                <w:color w:val="auto"/>
                <w:spacing w:val="0"/>
                <w:kern w:val="0"/>
                <w:sz w:val="24"/>
                <w:szCs w:val="24"/>
                <w:lang w:val="en-US" w:eastAsia="zh-CN" w:bidi="ar"/>
              </w:rPr>
              <w:t>有组织</w:t>
            </w:r>
            <w:r>
              <w:rPr>
                <w:rFonts w:hint="eastAsia" w:ascii="Times New Roman" w:hAnsi="Times New Roman" w:eastAsia="宋体" w:cs="Times New Roman"/>
                <w:caps w:val="0"/>
                <w:color w:val="auto"/>
                <w:spacing w:val="0"/>
                <w:kern w:val="0"/>
                <w:sz w:val="24"/>
                <w:szCs w:val="24"/>
                <w:lang w:val="en-US" w:eastAsia="zh-CN" w:bidi="ar"/>
              </w:rPr>
              <w:t>颗粒物</w:t>
            </w:r>
            <w:r>
              <w:rPr>
                <w:rFonts w:hint="default" w:ascii="Times New Roman" w:hAnsi="Times New Roman" w:eastAsia="宋体" w:cs="Times New Roman"/>
                <w:caps w:val="0"/>
                <w:color w:val="auto"/>
                <w:spacing w:val="0"/>
                <w:kern w:val="0"/>
                <w:sz w:val="24"/>
                <w:szCs w:val="24"/>
                <w:lang w:val="en-US" w:eastAsia="zh-CN" w:bidi="ar"/>
              </w:rPr>
              <w:t>产生量为</w:t>
            </w:r>
            <w:r>
              <w:rPr>
                <w:rFonts w:hint="eastAsia" w:ascii="Times New Roman" w:hAnsi="Times New Roman" w:eastAsia="宋体" w:cs="Times New Roman"/>
                <w:caps w:val="0"/>
                <w:color w:val="auto"/>
                <w:spacing w:val="0"/>
                <w:kern w:val="0"/>
                <w:sz w:val="24"/>
                <w:szCs w:val="24"/>
                <w:lang w:val="en-US" w:eastAsia="zh-CN" w:bidi="ar"/>
              </w:rPr>
              <w:t>18.39</w:t>
            </w:r>
            <w:r>
              <w:rPr>
                <w:rFonts w:hint="default" w:ascii="Times New Roman" w:hAnsi="Times New Roman" w:eastAsia="宋体" w:cs="Times New Roman"/>
                <w:caps w:val="0"/>
                <w:color w:val="auto"/>
                <w:spacing w:val="0"/>
                <w:kern w:val="0"/>
                <w:sz w:val="24"/>
                <w:szCs w:val="24"/>
                <w:lang w:val="en-US" w:eastAsia="zh-CN" w:bidi="ar"/>
              </w:rPr>
              <w:t>t/a，除尘器的风机风量为10000m</w:t>
            </w:r>
            <w:r>
              <w:rPr>
                <w:rFonts w:hint="default" w:ascii="Times New Roman" w:hAnsi="Times New Roman" w:eastAsia="宋体" w:cs="Times New Roman"/>
                <w:caps w:val="0"/>
                <w:color w:val="auto"/>
                <w:spacing w:val="0"/>
                <w:kern w:val="0"/>
                <w:sz w:val="24"/>
                <w:szCs w:val="24"/>
                <w:vertAlign w:val="superscript"/>
                <w:lang w:val="en-US" w:eastAsia="zh-CN" w:bidi="ar"/>
              </w:rPr>
              <w:t>3</w:t>
            </w:r>
            <w:r>
              <w:rPr>
                <w:rFonts w:hint="default" w:ascii="Times New Roman" w:hAnsi="Times New Roman" w:eastAsia="宋体" w:cs="Times New Roman"/>
                <w:caps w:val="0"/>
                <w:color w:val="auto"/>
                <w:spacing w:val="0"/>
                <w:kern w:val="0"/>
                <w:sz w:val="24"/>
                <w:szCs w:val="24"/>
                <w:lang w:val="en-US" w:eastAsia="zh-CN" w:bidi="ar"/>
              </w:rPr>
              <w:t>/h，</w:t>
            </w:r>
            <w:r>
              <w:rPr>
                <w:rFonts w:hint="default" w:ascii="Times New Roman" w:hAnsi="Times New Roman" w:eastAsia="宋体" w:cs="Times New Roman"/>
                <w:caps w:val="0"/>
                <w:color w:val="auto"/>
                <w:spacing w:val="0"/>
                <w:kern w:val="0"/>
                <w:sz w:val="24"/>
                <w:szCs w:val="24"/>
                <w:highlight w:val="none"/>
                <w:lang w:val="en-US" w:eastAsia="zh-CN" w:bidi="ar"/>
              </w:rPr>
              <w:t>生产线工作时间为2400h/a，水泥仓卸料时间为</w:t>
            </w:r>
            <w:r>
              <w:rPr>
                <w:rFonts w:hint="eastAsia" w:ascii="Times New Roman" w:hAnsi="Times New Roman" w:eastAsia="宋体" w:cs="Times New Roman"/>
                <w:caps w:val="0"/>
                <w:color w:val="auto"/>
                <w:spacing w:val="0"/>
                <w:kern w:val="0"/>
                <w:sz w:val="24"/>
                <w:szCs w:val="24"/>
                <w:highlight w:val="none"/>
                <w:lang w:val="en-US" w:eastAsia="zh-CN" w:bidi="ar"/>
              </w:rPr>
              <w:t>6</w:t>
            </w:r>
            <w:r>
              <w:rPr>
                <w:rFonts w:hint="default" w:ascii="Times New Roman" w:hAnsi="Times New Roman" w:eastAsia="宋体" w:cs="Times New Roman"/>
                <w:caps w:val="0"/>
                <w:color w:val="auto"/>
                <w:spacing w:val="0"/>
                <w:kern w:val="0"/>
                <w:sz w:val="24"/>
                <w:szCs w:val="24"/>
                <w:highlight w:val="none"/>
                <w:lang w:val="en-US" w:eastAsia="zh-CN" w:bidi="ar"/>
              </w:rPr>
              <w:t>00h/a，则最大产生速率为</w:t>
            </w:r>
            <w:r>
              <w:rPr>
                <w:rFonts w:hint="eastAsia" w:ascii="Times New Roman" w:hAnsi="Times New Roman" w:eastAsia="宋体" w:cs="Times New Roman"/>
                <w:caps w:val="0"/>
                <w:color w:val="auto"/>
                <w:spacing w:val="0"/>
                <w:kern w:val="0"/>
                <w:sz w:val="24"/>
                <w:szCs w:val="24"/>
                <w:highlight w:val="none"/>
                <w:lang w:val="en-US" w:eastAsia="zh-CN" w:bidi="ar"/>
              </w:rPr>
              <w:t>9.088</w:t>
            </w:r>
            <w:r>
              <w:rPr>
                <w:rFonts w:hint="default" w:ascii="Times New Roman" w:hAnsi="Times New Roman" w:eastAsia="宋体" w:cs="Times New Roman"/>
                <w:caps w:val="0"/>
                <w:color w:val="auto"/>
                <w:spacing w:val="0"/>
                <w:kern w:val="0"/>
                <w:sz w:val="24"/>
                <w:szCs w:val="24"/>
                <w:highlight w:val="none"/>
                <w:lang w:val="en-US" w:eastAsia="zh-CN" w:bidi="ar"/>
              </w:rPr>
              <w:t>kg/h，产生浓度为</w:t>
            </w:r>
            <w:r>
              <w:rPr>
                <w:rFonts w:hint="eastAsia" w:ascii="Times New Roman" w:hAnsi="Times New Roman" w:eastAsia="宋体" w:cs="Times New Roman"/>
                <w:caps w:val="0"/>
                <w:color w:val="auto"/>
                <w:spacing w:val="0"/>
                <w:kern w:val="0"/>
                <w:sz w:val="24"/>
                <w:szCs w:val="24"/>
                <w:highlight w:val="none"/>
                <w:lang w:val="en-US" w:eastAsia="zh-CN" w:bidi="ar"/>
              </w:rPr>
              <w:t>908.8</w:t>
            </w:r>
            <w:r>
              <w:rPr>
                <w:rFonts w:hint="default" w:ascii="Times New Roman" w:hAnsi="Times New Roman" w:eastAsia="宋体" w:cs="Times New Roman"/>
                <w:caps w:val="0"/>
                <w:color w:val="auto"/>
                <w:spacing w:val="0"/>
                <w:kern w:val="0"/>
                <w:sz w:val="24"/>
                <w:szCs w:val="24"/>
                <w:highlight w:val="none"/>
                <w:lang w:val="en-US" w:eastAsia="zh-CN" w:bidi="ar"/>
              </w:rPr>
              <w:t>mg/m</w:t>
            </w:r>
            <w:r>
              <w:rPr>
                <w:rFonts w:hint="default" w:ascii="Times New Roman" w:hAnsi="Times New Roman" w:eastAsia="宋体" w:cs="Times New Roman"/>
                <w:caps w:val="0"/>
                <w:color w:val="auto"/>
                <w:spacing w:val="0"/>
                <w:kern w:val="0"/>
                <w:sz w:val="24"/>
                <w:szCs w:val="24"/>
                <w:highlight w:val="none"/>
                <w:vertAlign w:val="superscript"/>
                <w:lang w:val="en-US" w:eastAsia="zh-CN" w:bidi="ar"/>
              </w:rPr>
              <w:t>3</w:t>
            </w:r>
            <w:r>
              <w:rPr>
                <w:rFonts w:hint="default" w:ascii="Times New Roman" w:hAnsi="Times New Roman" w:eastAsia="宋体" w:cs="Times New Roman"/>
                <w:caps w:val="0"/>
                <w:color w:val="auto"/>
                <w:spacing w:val="0"/>
                <w:kern w:val="0"/>
                <w:sz w:val="24"/>
                <w:szCs w:val="24"/>
                <w:highlight w:val="none"/>
                <w:lang w:val="en-US" w:eastAsia="zh-CN" w:bidi="ar"/>
              </w:rPr>
              <w:t>。布袋除尘器的除尘效率按99%计算，则有组织废气颗粒物排放量为0.</w:t>
            </w:r>
            <w:r>
              <w:rPr>
                <w:rFonts w:hint="eastAsia" w:ascii="Times New Roman" w:hAnsi="Times New Roman" w:eastAsia="宋体" w:cs="Times New Roman"/>
                <w:caps w:val="0"/>
                <w:color w:val="auto"/>
                <w:spacing w:val="0"/>
                <w:kern w:val="0"/>
                <w:sz w:val="24"/>
                <w:szCs w:val="24"/>
                <w:highlight w:val="none"/>
                <w:lang w:val="en-US" w:eastAsia="zh-CN" w:bidi="ar"/>
              </w:rPr>
              <w:t>184</w:t>
            </w:r>
            <w:r>
              <w:rPr>
                <w:rFonts w:hint="default" w:ascii="Times New Roman" w:hAnsi="Times New Roman" w:eastAsia="宋体" w:cs="Times New Roman"/>
                <w:caps w:val="0"/>
                <w:color w:val="auto"/>
                <w:spacing w:val="0"/>
                <w:kern w:val="0"/>
                <w:sz w:val="24"/>
                <w:szCs w:val="24"/>
                <w:highlight w:val="none"/>
                <w:lang w:val="en-US" w:eastAsia="zh-CN" w:bidi="ar"/>
              </w:rPr>
              <w:t>t/a，排放速率为0.</w:t>
            </w:r>
            <w:r>
              <w:rPr>
                <w:rFonts w:hint="eastAsia" w:ascii="Times New Roman" w:hAnsi="Times New Roman" w:eastAsia="宋体" w:cs="Times New Roman"/>
                <w:caps w:val="0"/>
                <w:color w:val="auto"/>
                <w:spacing w:val="0"/>
                <w:kern w:val="0"/>
                <w:sz w:val="24"/>
                <w:szCs w:val="24"/>
                <w:highlight w:val="none"/>
                <w:lang w:val="en-US" w:eastAsia="zh-CN" w:bidi="ar"/>
              </w:rPr>
              <w:t>091</w:t>
            </w:r>
            <w:r>
              <w:rPr>
                <w:rFonts w:hint="default" w:ascii="Times New Roman" w:hAnsi="Times New Roman" w:eastAsia="宋体" w:cs="Times New Roman"/>
                <w:caps w:val="0"/>
                <w:color w:val="auto"/>
                <w:spacing w:val="0"/>
                <w:kern w:val="0"/>
                <w:sz w:val="24"/>
                <w:szCs w:val="24"/>
                <w:highlight w:val="none"/>
                <w:lang w:val="en-US" w:eastAsia="zh-CN" w:bidi="ar"/>
              </w:rPr>
              <w:t>kg/h，排放浓度为</w:t>
            </w:r>
            <w:r>
              <w:rPr>
                <w:rFonts w:hint="eastAsia" w:ascii="Times New Roman" w:hAnsi="Times New Roman" w:eastAsia="宋体" w:cs="Times New Roman"/>
                <w:caps w:val="0"/>
                <w:color w:val="auto"/>
                <w:spacing w:val="0"/>
                <w:kern w:val="0"/>
                <w:sz w:val="24"/>
                <w:szCs w:val="24"/>
                <w:highlight w:val="none"/>
                <w:lang w:val="en-US" w:eastAsia="zh-CN" w:bidi="ar"/>
              </w:rPr>
              <w:t>9.088</w:t>
            </w:r>
            <w:r>
              <w:rPr>
                <w:rFonts w:hint="default" w:ascii="Times New Roman" w:hAnsi="Times New Roman" w:eastAsia="宋体" w:cs="Times New Roman"/>
                <w:caps w:val="0"/>
                <w:color w:val="auto"/>
                <w:spacing w:val="0"/>
                <w:kern w:val="0"/>
                <w:sz w:val="24"/>
                <w:szCs w:val="24"/>
                <w:highlight w:val="none"/>
                <w:lang w:val="en-US" w:eastAsia="zh-CN" w:bidi="ar"/>
              </w:rPr>
              <w:t>mg/m</w:t>
            </w:r>
            <w:r>
              <w:rPr>
                <w:rFonts w:hint="default" w:ascii="Times New Roman" w:hAnsi="Times New Roman" w:eastAsia="宋体" w:cs="Times New Roman"/>
                <w:caps w:val="0"/>
                <w:color w:val="auto"/>
                <w:spacing w:val="0"/>
                <w:kern w:val="0"/>
                <w:sz w:val="24"/>
                <w:szCs w:val="24"/>
                <w:highlight w:val="none"/>
                <w:vertAlign w:val="superscript"/>
                <w:lang w:val="en-US" w:eastAsia="zh-CN" w:bidi="ar"/>
              </w:rPr>
              <w:t>3</w:t>
            </w:r>
            <w:r>
              <w:rPr>
                <w:rFonts w:hint="default" w:ascii="Times New Roman" w:hAnsi="Times New Roman" w:eastAsia="宋体" w:cs="Times New Roman"/>
                <w:caps w:val="0"/>
                <w:color w:val="auto"/>
                <w:spacing w:val="0"/>
                <w:kern w:val="0"/>
                <w:sz w:val="24"/>
                <w:szCs w:val="24"/>
                <w:highlight w:val="none"/>
                <w:lang w:val="en-US" w:eastAsia="zh-CN" w:bidi="ar"/>
              </w:rPr>
              <w:t>。</w:t>
            </w:r>
          </w:p>
          <w:p w14:paraId="5935BAEB">
            <w:pPr>
              <w:keepNext w:val="0"/>
              <w:keepLines w:val="0"/>
              <w:pageBreakBefore w:val="0"/>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b/>
                <w:bCs w:val="0"/>
                <w:color w:val="auto"/>
                <w:spacing w:val="0"/>
                <w:sz w:val="24"/>
                <w:szCs w:val="24"/>
              </w:rPr>
            </w:pPr>
            <w:r>
              <w:rPr>
                <w:rFonts w:hint="default" w:ascii="Times New Roman" w:hAnsi="Times New Roman" w:eastAsia="宋体" w:cs="Times New Roman"/>
                <w:b/>
                <w:bCs w:val="0"/>
                <w:color w:val="auto"/>
                <w:spacing w:val="0"/>
                <w:sz w:val="24"/>
                <w:szCs w:val="24"/>
                <w:lang w:eastAsia="zh-CN"/>
              </w:rPr>
              <w:t>（</w:t>
            </w:r>
            <w:r>
              <w:rPr>
                <w:rFonts w:hint="eastAsia" w:cs="Times New Roman"/>
                <w:b/>
                <w:bCs w:val="0"/>
                <w:color w:val="auto"/>
                <w:spacing w:val="0"/>
                <w:sz w:val="24"/>
                <w:szCs w:val="24"/>
                <w:lang w:val="en-US" w:eastAsia="zh-CN"/>
              </w:rPr>
              <w:t>4</w:t>
            </w:r>
            <w:r>
              <w:rPr>
                <w:rFonts w:hint="default" w:ascii="Times New Roman" w:hAnsi="Times New Roman" w:eastAsia="宋体" w:cs="Times New Roman"/>
                <w:b/>
                <w:bCs w:val="0"/>
                <w:color w:val="auto"/>
                <w:spacing w:val="0"/>
                <w:sz w:val="24"/>
                <w:szCs w:val="24"/>
                <w:lang w:eastAsia="zh-CN"/>
              </w:rPr>
              <w:t>）</w:t>
            </w:r>
            <w:r>
              <w:rPr>
                <w:rFonts w:hint="eastAsia" w:cs="Times New Roman"/>
                <w:b/>
                <w:bCs w:val="0"/>
                <w:color w:val="auto"/>
                <w:spacing w:val="0"/>
                <w:sz w:val="24"/>
                <w:szCs w:val="24"/>
                <w:lang w:val="en-US" w:eastAsia="zh-CN"/>
              </w:rPr>
              <w:t>沙子和石子</w:t>
            </w:r>
            <w:r>
              <w:rPr>
                <w:rFonts w:hint="default" w:ascii="Times New Roman" w:hAnsi="Times New Roman" w:eastAsia="宋体" w:cs="Times New Roman"/>
                <w:b/>
                <w:bCs w:val="0"/>
                <w:color w:val="auto"/>
                <w:spacing w:val="0"/>
                <w:sz w:val="24"/>
                <w:szCs w:val="24"/>
              </w:rPr>
              <w:t>装卸废气</w:t>
            </w:r>
          </w:p>
          <w:p w14:paraId="0260930F">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本项目</w:t>
            </w:r>
            <w:r>
              <w:rPr>
                <w:rFonts w:hint="default" w:ascii="Times New Roman" w:hAnsi="Times New Roman" w:eastAsia="宋体" w:cs="Times New Roman"/>
                <w:color w:val="auto"/>
                <w:spacing w:val="0"/>
                <w:sz w:val="24"/>
                <w:szCs w:val="24"/>
                <w:lang w:val="en-US" w:eastAsia="zh-CN"/>
              </w:rPr>
              <w:t>石子、</w:t>
            </w:r>
            <w:r>
              <w:rPr>
                <w:rFonts w:hint="eastAsia" w:cs="Times New Roman"/>
                <w:color w:val="auto"/>
                <w:spacing w:val="0"/>
                <w:sz w:val="24"/>
                <w:szCs w:val="24"/>
                <w:lang w:val="en-US" w:eastAsia="zh-CN"/>
              </w:rPr>
              <w:t>沙子</w:t>
            </w:r>
            <w:r>
              <w:rPr>
                <w:rFonts w:hint="default" w:ascii="Times New Roman" w:hAnsi="Times New Roman" w:eastAsia="宋体" w:cs="Times New Roman"/>
                <w:color w:val="auto"/>
                <w:spacing w:val="0"/>
                <w:sz w:val="24"/>
                <w:szCs w:val="24"/>
              </w:rPr>
              <w:t>装卸过程会产生少量粉尘。根据《逸散性工业粉尘控制技术》（运输工具：卡车、卸料方法：自动卸料）</w:t>
            </w:r>
            <w:r>
              <w:rPr>
                <w:rFonts w:hint="eastAsia" w:cs="Times New Roman"/>
                <w:color w:val="auto"/>
                <w:spacing w:val="0"/>
                <w:sz w:val="24"/>
                <w:szCs w:val="24"/>
                <w:lang w:eastAsia="zh-CN"/>
              </w:rPr>
              <w:t>，</w:t>
            </w:r>
            <w:r>
              <w:rPr>
                <w:rFonts w:hint="default" w:ascii="Times New Roman" w:hAnsi="Times New Roman" w:eastAsia="宋体" w:cs="Times New Roman"/>
                <w:color w:val="auto"/>
                <w:spacing w:val="0"/>
                <w:sz w:val="24"/>
                <w:szCs w:val="24"/>
              </w:rPr>
              <w:t>产尘系数以0.01kg/t原料计，本项目</w:t>
            </w:r>
            <w:r>
              <w:rPr>
                <w:rFonts w:hint="default" w:ascii="Times New Roman" w:hAnsi="Times New Roman" w:eastAsia="宋体" w:cs="Times New Roman"/>
                <w:color w:val="auto"/>
                <w:spacing w:val="0"/>
                <w:sz w:val="24"/>
                <w:szCs w:val="24"/>
                <w:lang w:val="en-US" w:eastAsia="zh-CN"/>
              </w:rPr>
              <w:t>石子、</w:t>
            </w:r>
            <w:r>
              <w:rPr>
                <w:rFonts w:hint="eastAsia" w:cs="Times New Roman"/>
                <w:color w:val="auto"/>
                <w:spacing w:val="0"/>
                <w:sz w:val="24"/>
                <w:szCs w:val="24"/>
                <w:lang w:val="en-US" w:eastAsia="zh-CN"/>
              </w:rPr>
              <w:t>沙子</w:t>
            </w:r>
            <w:r>
              <w:rPr>
                <w:rFonts w:hint="default" w:ascii="Times New Roman" w:hAnsi="Times New Roman" w:eastAsia="宋体" w:cs="Times New Roman"/>
                <w:color w:val="auto"/>
                <w:spacing w:val="0"/>
                <w:sz w:val="24"/>
                <w:szCs w:val="24"/>
              </w:rPr>
              <w:t>等物料总用量约为</w:t>
            </w:r>
            <w:r>
              <w:rPr>
                <w:rFonts w:hint="eastAsia" w:cs="Times New Roman"/>
                <w:color w:val="auto"/>
                <w:spacing w:val="0"/>
                <w:sz w:val="24"/>
                <w:szCs w:val="24"/>
                <w:lang w:val="en-US" w:eastAsia="zh-CN"/>
              </w:rPr>
              <w:t>18000t/a</w:t>
            </w:r>
            <w:r>
              <w:rPr>
                <w:rFonts w:hint="default" w:ascii="Times New Roman" w:hAnsi="Times New Roman" w:eastAsia="宋体" w:cs="Times New Roman"/>
                <w:color w:val="auto"/>
                <w:spacing w:val="0"/>
                <w:sz w:val="24"/>
                <w:szCs w:val="24"/>
              </w:rPr>
              <w:t>，则装卸过程粉尘产生量为</w:t>
            </w:r>
            <w:r>
              <w:rPr>
                <w:rFonts w:hint="default" w:ascii="Times New Roman" w:hAnsi="Times New Roman" w:eastAsia="宋体" w:cs="Times New Roman"/>
                <w:color w:val="auto"/>
                <w:spacing w:val="0"/>
                <w:sz w:val="24"/>
                <w:szCs w:val="24"/>
                <w:lang w:val="en-US" w:eastAsia="zh-CN"/>
              </w:rPr>
              <w:t>0.</w:t>
            </w:r>
            <w:r>
              <w:rPr>
                <w:rFonts w:hint="eastAsia" w:cs="Times New Roman"/>
                <w:color w:val="auto"/>
                <w:spacing w:val="0"/>
                <w:sz w:val="24"/>
                <w:szCs w:val="24"/>
                <w:lang w:val="en-US" w:eastAsia="zh-CN"/>
              </w:rPr>
              <w:t>18</w:t>
            </w:r>
            <w:r>
              <w:rPr>
                <w:rFonts w:hint="default" w:ascii="Times New Roman" w:hAnsi="Times New Roman" w:eastAsia="宋体" w:cs="Times New Roman"/>
                <w:color w:val="auto"/>
                <w:spacing w:val="0"/>
                <w:sz w:val="24"/>
                <w:szCs w:val="24"/>
              </w:rPr>
              <w:t>t/a。装卸过程位于封闭式仓库内，车间顶部设置水喷雾装置降尘，并降低装卸高度，</w:t>
            </w:r>
            <w:r>
              <w:rPr>
                <w:rFonts w:hint="eastAsia" w:cs="Times New Roman"/>
                <w:color w:val="auto"/>
                <w:spacing w:val="0"/>
                <w:kern w:val="0"/>
                <w:sz w:val="24"/>
                <w:szCs w:val="24"/>
                <w:lang w:val="en-US" w:eastAsia="zh-CN" w:bidi="ar"/>
              </w:rPr>
              <w:t>经密闭车间阻隔和</w:t>
            </w:r>
            <w:r>
              <w:rPr>
                <w:rFonts w:hint="default" w:ascii="Times New Roman" w:hAnsi="Times New Roman" w:eastAsia="宋体" w:cs="Times New Roman"/>
                <w:color w:val="auto"/>
                <w:spacing w:val="0"/>
                <w:kern w:val="0"/>
                <w:sz w:val="24"/>
                <w:szCs w:val="24"/>
                <w:lang w:val="en-US" w:eastAsia="zh-CN" w:bidi="ar"/>
              </w:rPr>
              <w:t>喷淋洒水，约8</w:t>
            </w:r>
            <w:r>
              <w:rPr>
                <w:rFonts w:hint="eastAsia" w:cs="Times New Roman"/>
                <w:color w:val="auto"/>
                <w:spacing w:val="0"/>
                <w:kern w:val="0"/>
                <w:sz w:val="24"/>
                <w:szCs w:val="24"/>
                <w:lang w:val="en-US" w:eastAsia="zh-CN" w:bidi="ar"/>
              </w:rPr>
              <w:t>5</w:t>
            </w:r>
            <w:r>
              <w:rPr>
                <w:rFonts w:hint="default" w:ascii="Times New Roman" w:hAnsi="Times New Roman" w:eastAsia="宋体" w:cs="Times New Roman"/>
                <w:color w:val="auto"/>
                <w:spacing w:val="0"/>
                <w:kern w:val="0"/>
                <w:sz w:val="24"/>
                <w:szCs w:val="24"/>
                <w:lang w:val="en-US" w:eastAsia="zh-CN" w:bidi="ar"/>
              </w:rPr>
              <w:t>%的粉尘能够沉降</w:t>
            </w:r>
            <w:r>
              <w:rPr>
                <w:rFonts w:hint="eastAsia" w:cs="Times New Roman"/>
                <w:color w:val="auto"/>
                <w:spacing w:val="0"/>
                <w:kern w:val="0"/>
                <w:sz w:val="24"/>
                <w:szCs w:val="24"/>
                <w:lang w:val="en-US" w:eastAsia="zh-CN" w:bidi="ar"/>
              </w:rPr>
              <w:t>在车间地面</w:t>
            </w:r>
            <w:r>
              <w:rPr>
                <w:rFonts w:hint="default" w:ascii="Times New Roman" w:hAnsi="Times New Roman" w:eastAsia="宋体" w:cs="Times New Roman"/>
                <w:color w:val="auto"/>
                <w:spacing w:val="0"/>
                <w:kern w:val="0"/>
                <w:sz w:val="24"/>
                <w:szCs w:val="24"/>
                <w:lang w:val="en-US" w:eastAsia="zh-CN" w:bidi="ar"/>
              </w:rPr>
              <w:t>，则无组织粉尘排放量为0.0</w:t>
            </w:r>
            <w:r>
              <w:rPr>
                <w:rFonts w:hint="eastAsia" w:cs="Times New Roman"/>
                <w:color w:val="auto"/>
                <w:spacing w:val="0"/>
                <w:kern w:val="0"/>
                <w:sz w:val="24"/>
                <w:szCs w:val="24"/>
                <w:lang w:val="en-US" w:eastAsia="zh-CN" w:bidi="ar"/>
              </w:rPr>
              <w:t>27</w:t>
            </w:r>
            <w:r>
              <w:rPr>
                <w:rFonts w:hint="default" w:ascii="Times New Roman" w:hAnsi="Times New Roman" w:eastAsia="宋体" w:cs="Times New Roman"/>
                <w:color w:val="auto"/>
                <w:spacing w:val="0"/>
                <w:kern w:val="0"/>
                <w:sz w:val="24"/>
                <w:szCs w:val="24"/>
                <w:lang w:val="en-US" w:eastAsia="zh-CN" w:bidi="ar"/>
              </w:rPr>
              <w:t>t/a</w:t>
            </w:r>
            <w:r>
              <w:rPr>
                <w:rFonts w:hint="default" w:ascii="Times New Roman" w:hAnsi="Times New Roman" w:eastAsia="宋体" w:cs="Times New Roman"/>
                <w:color w:val="auto"/>
                <w:spacing w:val="0"/>
                <w:sz w:val="24"/>
                <w:szCs w:val="24"/>
              </w:rPr>
              <w:t>。</w:t>
            </w:r>
          </w:p>
          <w:p w14:paraId="3D8267F5">
            <w:pPr>
              <w:keepNext w:val="0"/>
              <w:keepLines w:val="0"/>
              <w:pageBreakBefore w:val="0"/>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b/>
                <w:bCs w:val="0"/>
                <w:color w:val="auto"/>
                <w:spacing w:val="0"/>
                <w:sz w:val="24"/>
                <w:szCs w:val="24"/>
              </w:rPr>
            </w:pPr>
            <w:r>
              <w:rPr>
                <w:rFonts w:hint="default" w:ascii="Times New Roman" w:hAnsi="Times New Roman" w:eastAsia="宋体" w:cs="Times New Roman"/>
                <w:b/>
                <w:bCs w:val="0"/>
                <w:color w:val="auto"/>
                <w:spacing w:val="0"/>
                <w:sz w:val="24"/>
                <w:szCs w:val="24"/>
              </w:rPr>
              <w:t>（</w:t>
            </w:r>
            <w:r>
              <w:rPr>
                <w:rFonts w:hint="eastAsia" w:cs="Times New Roman"/>
                <w:b/>
                <w:bCs w:val="0"/>
                <w:color w:val="auto"/>
                <w:spacing w:val="0"/>
                <w:sz w:val="24"/>
                <w:szCs w:val="24"/>
                <w:lang w:val="en-US" w:eastAsia="zh-CN"/>
              </w:rPr>
              <w:t>5</w:t>
            </w:r>
            <w:r>
              <w:rPr>
                <w:rFonts w:hint="default" w:ascii="Times New Roman" w:hAnsi="Times New Roman" w:eastAsia="宋体" w:cs="Times New Roman"/>
                <w:b/>
                <w:bCs w:val="0"/>
                <w:color w:val="auto"/>
                <w:spacing w:val="0"/>
                <w:sz w:val="24"/>
                <w:szCs w:val="24"/>
              </w:rPr>
              <w:t>）车辆运输扬尘</w:t>
            </w:r>
          </w:p>
          <w:p w14:paraId="32744030">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Cs/>
                <w:color w:val="auto"/>
                <w:spacing w:val="0"/>
                <w:sz w:val="24"/>
                <w:szCs w:val="24"/>
              </w:rPr>
            </w:pPr>
            <w:r>
              <w:rPr>
                <w:rFonts w:hint="default" w:ascii="Times New Roman" w:hAnsi="Times New Roman" w:eastAsia="宋体" w:cs="Times New Roman"/>
                <w:bCs/>
                <w:color w:val="auto"/>
                <w:spacing w:val="0"/>
                <w:sz w:val="24"/>
                <w:szCs w:val="24"/>
              </w:rPr>
              <w:t>车辆行驶产生的扬尘，在道路完全干燥的情况下，可按下列经验公式计算：Q=0.123(V/5)(W/6.8)</w:t>
            </w:r>
            <w:r>
              <w:rPr>
                <w:rFonts w:hint="default" w:ascii="Times New Roman" w:hAnsi="Times New Roman" w:eastAsia="宋体" w:cs="Times New Roman"/>
                <w:bCs/>
                <w:color w:val="auto"/>
                <w:spacing w:val="0"/>
                <w:sz w:val="24"/>
                <w:szCs w:val="24"/>
                <w:vertAlign w:val="superscript"/>
              </w:rPr>
              <w:t>0.65</w:t>
            </w:r>
            <w:r>
              <w:rPr>
                <w:rFonts w:hint="default" w:ascii="Times New Roman" w:hAnsi="Times New Roman" w:eastAsia="宋体" w:cs="Times New Roman"/>
                <w:bCs/>
                <w:color w:val="auto"/>
                <w:spacing w:val="0"/>
                <w:sz w:val="24"/>
                <w:szCs w:val="24"/>
              </w:rPr>
              <w:t>(P/0.05)</w:t>
            </w:r>
            <w:r>
              <w:rPr>
                <w:rFonts w:hint="default" w:ascii="Times New Roman" w:hAnsi="Times New Roman" w:eastAsia="宋体" w:cs="Times New Roman"/>
                <w:bCs/>
                <w:color w:val="auto"/>
                <w:spacing w:val="0"/>
                <w:sz w:val="24"/>
                <w:szCs w:val="24"/>
                <w:vertAlign w:val="superscript"/>
              </w:rPr>
              <w:t>0.72</w:t>
            </w:r>
          </w:p>
          <w:p w14:paraId="74A839FE">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式中：</w:t>
            </w:r>
          </w:p>
          <w:p w14:paraId="615C036E">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Q：汽车行驶时的扬尘，kg/km﹒辆；</w:t>
            </w:r>
          </w:p>
          <w:p w14:paraId="5ABC2C68">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V：汽车速度，km/h；</w:t>
            </w:r>
            <w:r>
              <w:rPr>
                <w:rFonts w:hint="default" w:ascii="Times New Roman" w:hAnsi="Times New Roman" w:eastAsia="宋体" w:cs="Times New Roman"/>
                <w:color w:val="auto"/>
                <w:spacing w:val="0"/>
                <w:sz w:val="24"/>
                <w:szCs w:val="24"/>
                <w:highlight w:val="none"/>
                <w:lang w:val="en-US" w:eastAsia="zh-CN"/>
              </w:rPr>
              <w:t>厂区内行驶速度为5km/h</w:t>
            </w:r>
            <w:r>
              <w:rPr>
                <w:rFonts w:hint="eastAsia" w:ascii="Times New Roman" w:hAnsi="Times New Roman" w:eastAsia="宋体" w:cs="Times New Roman"/>
                <w:color w:val="auto"/>
                <w:spacing w:val="0"/>
                <w:sz w:val="24"/>
                <w:szCs w:val="24"/>
                <w:highlight w:val="none"/>
                <w:lang w:val="en-US" w:eastAsia="zh-CN"/>
              </w:rPr>
              <w:t>。</w:t>
            </w:r>
          </w:p>
          <w:p w14:paraId="6AA709A7">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W：汽车载重量，吨；</w:t>
            </w:r>
            <w:r>
              <w:rPr>
                <w:rFonts w:hint="default" w:ascii="Times New Roman" w:hAnsi="Times New Roman" w:eastAsia="宋体" w:cs="Times New Roman"/>
                <w:b w:val="0"/>
                <w:bCs w:val="0"/>
                <w:color w:val="auto"/>
                <w:spacing w:val="0"/>
                <w:sz w:val="24"/>
                <w:szCs w:val="24"/>
                <w:highlight w:val="none"/>
                <w:lang w:val="en-US" w:eastAsia="zh-CN"/>
              </w:rPr>
              <w:t>空车重约10t，</w:t>
            </w:r>
            <w:r>
              <w:rPr>
                <w:rFonts w:hint="eastAsia" w:ascii="Times New Roman" w:hAnsi="Times New Roman" w:eastAsia="宋体" w:cs="Times New Roman"/>
                <w:b w:val="0"/>
                <w:bCs w:val="0"/>
                <w:color w:val="auto"/>
                <w:spacing w:val="0"/>
                <w:sz w:val="24"/>
                <w:szCs w:val="24"/>
                <w:highlight w:val="none"/>
                <w:lang w:val="en-US" w:eastAsia="zh-CN"/>
              </w:rPr>
              <w:t>满载</w:t>
            </w:r>
            <w:r>
              <w:rPr>
                <w:rFonts w:hint="default" w:ascii="Times New Roman" w:hAnsi="Times New Roman" w:eastAsia="宋体" w:cs="Times New Roman"/>
                <w:b w:val="0"/>
                <w:bCs w:val="0"/>
                <w:color w:val="auto"/>
                <w:spacing w:val="0"/>
                <w:sz w:val="24"/>
                <w:szCs w:val="24"/>
                <w:highlight w:val="none"/>
                <w:lang w:val="en-US" w:eastAsia="zh-CN"/>
              </w:rPr>
              <w:t>车重约40t</w:t>
            </w:r>
            <w:r>
              <w:rPr>
                <w:rFonts w:hint="eastAsia" w:ascii="Times New Roman" w:hAnsi="Times New Roman" w:eastAsia="宋体" w:cs="Times New Roman"/>
                <w:b w:val="0"/>
                <w:bCs w:val="0"/>
                <w:color w:val="auto"/>
                <w:spacing w:val="0"/>
                <w:sz w:val="24"/>
                <w:szCs w:val="24"/>
                <w:highlight w:val="none"/>
                <w:lang w:val="en-US" w:eastAsia="zh-CN"/>
              </w:rPr>
              <w:t>。</w:t>
            </w:r>
          </w:p>
          <w:p w14:paraId="50D57820">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P：道路表面粉尘量，kg/m</w:t>
            </w:r>
            <w:r>
              <w:rPr>
                <w:rFonts w:hint="default" w:ascii="Times New Roman" w:hAnsi="Times New Roman" w:eastAsia="宋体" w:cs="Times New Roman"/>
                <w:color w:val="auto"/>
                <w:spacing w:val="0"/>
                <w:sz w:val="24"/>
                <w:szCs w:val="24"/>
                <w:vertAlign w:val="superscript"/>
              </w:rPr>
              <w:t>2</w:t>
            </w:r>
            <w:r>
              <w:rPr>
                <w:rFonts w:hint="eastAsia" w:cs="Times New Roman"/>
                <w:color w:val="auto"/>
                <w:spacing w:val="0"/>
                <w:sz w:val="24"/>
                <w:szCs w:val="24"/>
                <w:vertAlign w:val="baseline"/>
                <w:lang w:eastAsia="zh-CN"/>
              </w:rPr>
              <w:t>，</w:t>
            </w:r>
            <w:r>
              <w:rPr>
                <w:rFonts w:hint="default" w:ascii="Times New Roman" w:hAnsi="Times New Roman" w:eastAsia="宋体" w:cs="Times New Roman"/>
                <w:color w:val="auto"/>
                <w:spacing w:val="0"/>
                <w:sz w:val="24"/>
                <w:szCs w:val="24"/>
                <w:highlight w:val="none"/>
                <w:lang w:val="en-US" w:eastAsia="zh-CN"/>
              </w:rPr>
              <w:t>以0.1kg/m</w:t>
            </w:r>
            <w:r>
              <w:rPr>
                <w:rFonts w:hint="default" w:ascii="Times New Roman" w:hAnsi="Times New Roman" w:eastAsia="宋体" w:cs="Times New Roman"/>
                <w:color w:val="auto"/>
                <w:spacing w:val="0"/>
                <w:sz w:val="24"/>
                <w:szCs w:val="24"/>
                <w:highlight w:val="none"/>
                <w:vertAlign w:val="superscript"/>
                <w:lang w:val="en-US" w:eastAsia="zh-CN"/>
              </w:rPr>
              <w:t>2</w:t>
            </w:r>
            <w:r>
              <w:rPr>
                <w:rFonts w:hint="default" w:ascii="Times New Roman" w:hAnsi="Times New Roman" w:eastAsia="宋体" w:cs="Times New Roman"/>
                <w:color w:val="auto"/>
                <w:spacing w:val="0"/>
                <w:sz w:val="24"/>
                <w:szCs w:val="24"/>
                <w:highlight w:val="none"/>
                <w:lang w:val="en-US" w:eastAsia="zh-CN"/>
              </w:rPr>
              <w:t>计</w:t>
            </w:r>
            <w:r>
              <w:rPr>
                <w:rFonts w:hint="default" w:ascii="Times New Roman" w:hAnsi="Times New Roman" w:eastAsia="宋体" w:cs="Times New Roman"/>
                <w:color w:val="auto"/>
                <w:spacing w:val="0"/>
                <w:sz w:val="24"/>
                <w:szCs w:val="24"/>
              </w:rPr>
              <w:t>。</w:t>
            </w:r>
          </w:p>
          <w:p w14:paraId="52F4D3B9">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color w:val="auto"/>
                <w:spacing w:val="0"/>
                <w:sz w:val="24"/>
                <w:szCs w:val="24"/>
                <w:highlight w:val="none"/>
                <w:lang w:val="en-US" w:eastAsia="zh-CN"/>
              </w:rPr>
            </w:pPr>
            <w:r>
              <w:rPr>
                <w:rFonts w:hint="eastAsia" w:ascii="Times New Roman" w:hAnsi="Times New Roman" w:eastAsia="宋体" w:cs="Times New Roman"/>
                <w:color w:val="auto"/>
                <w:spacing w:val="0"/>
                <w:sz w:val="24"/>
                <w:szCs w:val="24"/>
                <w:highlight w:val="none"/>
                <w:lang w:val="en-US" w:eastAsia="zh-CN"/>
              </w:rPr>
              <w:t>经计算，Q</w:t>
            </w:r>
            <w:r>
              <w:rPr>
                <w:rFonts w:hint="eastAsia" w:ascii="Times New Roman" w:hAnsi="Times New Roman" w:eastAsia="宋体" w:cs="Times New Roman"/>
                <w:color w:val="auto"/>
                <w:spacing w:val="0"/>
                <w:sz w:val="24"/>
                <w:szCs w:val="24"/>
                <w:highlight w:val="none"/>
                <w:vertAlign w:val="subscript"/>
                <w:lang w:val="en-US" w:eastAsia="zh-CN"/>
              </w:rPr>
              <w:t>空车</w:t>
            </w:r>
            <w:r>
              <w:rPr>
                <w:rFonts w:hint="eastAsia" w:ascii="Times New Roman" w:hAnsi="Times New Roman" w:eastAsia="宋体" w:cs="Times New Roman"/>
                <w:color w:val="auto"/>
                <w:spacing w:val="0"/>
                <w:sz w:val="24"/>
                <w:szCs w:val="24"/>
                <w:highlight w:val="none"/>
                <w:lang w:val="en-US" w:eastAsia="zh-CN"/>
              </w:rPr>
              <w:t>=0.26</w:t>
            </w:r>
            <w:r>
              <w:rPr>
                <w:rFonts w:hint="default" w:ascii="Times New Roman" w:hAnsi="Times New Roman" w:eastAsia="宋体" w:cs="Times New Roman"/>
                <w:color w:val="auto"/>
                <w:spacing w:val="0"/>
                <w:sz w:val="24"/>
                <w:szCs w:val="24"/>
              </w:rPr>
              <w:t>kg/km﹒辆</w:t>
            </w:r>
            <w:r>
              <w:rPr>
                <w:rFonts w:hint="eastAsia" w:ascii="Times New Roman" w:hAnsi="Times New Roman" w:eastAsia="宋体" w:cs="Times New Roman"/>
                <w:color w:val="auto"/>
                <w:spacing w:val="0"/>
                <w:sz w:val="24"/>
                <w:szCs w:val="24"/>
                <w:lang w:eastAsia="zh-CN"/>
              </w:rPr>
              <w:t>，</w:t>
            </w:r>
            <w:r>
              <w:rPr>
                <w:rFonts w:hint="eastAsia" w:ascii="Times New Roman" w:hAnsi="Times New Roman" w:eastAsia="宋体" w:cs="Times New Roman"/>
                <w:color w:val="auto"/>
                <w:spacing w:val="0"/>
                <w:sz w:val="24"/>
                <w:szCs w:val="24"/>
                <w:highlight w:val="none"/>
                <w:lang w:val="en-US" w:eastAsia="zh-CN"/>
              </w:rPr>
              <w:t>Q</w:t>
            </w:r>
            <w:r>
              <w:rPr>
                <w:rFonts w:hint="eastAsia" w:ascii="Times New Roman" w:hAnsi="Times New Roman" w:eastAsia="宋体" w:cs="Times New Roman"/>
                <w:color w:val="auto"/>
                <w:spacing w:val="0"/>
                <w:sz w:val="24"/>
                <w:szCs w:val="24"/>
                <w:highlight w:val="none"/>
                <w:vertAlign w:val="subscript"/>
                <w:lang w:val="en-US" w:eastAsia="zh-CN"/>
              </w:rPr>
              <w:t>满载</w:t>
            </w:r>
            <w:r>
              <w:rPr>
                <w:rFonts w:hint="eastAsia" w:ascii="Times New Roman" w:hAnsi="Times New Roman" w:eastAsia="宋体" w:cs="Times New Roman"/>
                <w:color w:val="auto"/>
                <w:spacing w:val="0"/>
                <w:sz w:val="24"/>
                <w:szCs w:val="24"/>
                <w:highlight w:val="none"/>
                <w:lang w:val="en-US" w:eastAsia="zh-CN"/>
              </w:rPr>
              <w:t>=0.641</w:t>
            </w:r>
            <w:r>
              <w:rPr>
                <w:rFonts w:hint="default" w:ascii="Times New Roman" w:hAnsi="Times New Roman" w:eastAsia="宋体" w:cs="Times New Roman"/>
                <w:color w:val="auto"/>
                <w:spacing w:val="0"/>
                <w:sz w:val="24"/>
                <w:szCs w:val="24"/>
              </w:rPr>
              <w:t>kg/km﹒辆</w:t>
            </w:r>
            <w:r>
              <w:rPr>
                <w:rFonts w:hint="eastAsia" w:ascii="Times New Roman" w:hAnsi="Times New Roman" w:eastAsia="宋体" w:cs="Times New Roman"/>
                <w:color w:val="auto"/>
                <w:spacing w:val="0"/>
                <w:sz w:val="24"/>
                <w:szCs w:val="24"/>
                <w:lang w:eastAsia="zh-CN"/>
              </w:rPr>
              <w:t>。</w:t>
            </w:r>
          </w:p>
          <w:p w14:paraId="706F6EAF">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color w:val="auto"/>
                <w:spacing w:val="0"/>
                <w:sz w:val="24"/>
                <w:szCs w:val="24"/>
                <w:highlight w:val="none"/>
                <w:lang w:val="en-US" w:eastAsia="zh-CN"/>
              </w:rPr>
            </w:pPr>
            <w:r>
              <w:rPr>
                <w:rFonts w:hint="default" w:ascii="Times New Roman" w:hAnsi="Times New Roman" w:eastAsia="宋体" w:cs="Times New Roman"/>
                <w:color w:val="auto"/>
                <w:spacing w:val="0"/>
                <w:sz w:val="24"/>
                <w:szCs w:val="24"/>
                <w:highlight w:val="none"/>
                <w:lang w:val="en-US" w:eastAsia="zh-CN"/>
              </w:rPr>
              <w:t>厂区内</w:t>
            </w:r>
            <w:r>
              <w:rPr>
                <w:rFonts w:hint="eastAsia" w:ascii="Times New Roman" w:hAnsi="Times New Roman" w:eastAsia="宋体" w:cs="Times New Roman"/>
                <w:color w:val="auto"/>
                <w:spacing w:val="0"/>
                <w:sz w:val="24"/>
                <w:szCs w:val="24"/>
                <w:highlight w:val="none"/>
                <w:lang w:val="en-US" w:eastAsia="zh-CN"/>
              </w:rPr>
              <w:t>运输车辆</w:t>
            </w:r>
            <w:r>
              <w:rPr>
                <w:rFonts w:hint="default" w:ascii="Times New Roman" w:hAnsi="Times New Roman" w:eastAsia="宋体" w:cs="Times New Roman"/>
                <w:color w:val="auto"/>
                <w:spacing w:val="0"/>
                <w:sz w:val="24"/>
                <w:szCs w:val="24"/>
                <w:highlight w:val="none"/>
                <w:lang w:val="en-US" w:eastAsia="zh-CN"/>
              </w:rPr>
              <w:t>行驶距离按0.</w:t>
            </w:r>
            <w:r>
              <w:rPr>
                <w:rFonts w:hint="eastAsia" w:ascii="Times New Roman" w:hAnsi="Times New Roman" w:eastAsia="宋体" w:cs="Times New Roman"/>
                <w:color w:val="auto"/>
                <w:spacing w:val="0"/>
                <w:sz w:val="24"/>
                <w:szCs w:val="24"/>
                <w:highlight w:val="none"/>
                <w:lang w:val="en-US" w:eastAsia="zh-CN"/>
              </w:rPr>
              <w:t>2</w:t>
            </w:r>
            <w:r>
              <w:rPr>
                <w:rFonts w:hint="default" w:ascii="Times New Roman" w:hAnsi="Times New Roman" w:eastAsia="宋体" w:cs="Times New Roman"/>
                <w:color w:val="auto"/>
                <w:spacing w:val="0"/>
                <w:sz w:val="24"/>
                <w:szCs w:val="24"/>
                <w:highlight w:val="none"/>
                <w:lang w:val="en-US" w:eastAsia="zh-CN"/>
              </w:rPr>
              <w:t>km计</w:t>
            </w:r>
            <w:r>
              <w:rPr>
                <w:rFonts w:hint="eastAsia" w:ascii="Times New Roman" w:hAnsi="Times New Roman" w:eastAsia="宋体" w:cs="Times New Roman"/>
                <w:color w:val="auto"/>
                <w:spacing w:val="0"/>
                <w:sz w:val="24"/>
                <w:szCs w:val="24"/>
                <w:highlight w:val="none"/>
                <w:lang w:val="en-US" w:eastAsia="zh-CN"/>
              </w:rPr>
              <w:t>，满载车重约40t，其中载货30t，进出厂区的物料各约为</w:t>
            </w:r>
            <w:r>
              <w:rPr>
                <w:rFonts w:hint="eastAsia" w:cs="Times New Roman"/>
                <w:color w:val="auto"/>
                <w:spacing w:val="0"/>
                <w:sz w:val="24"/>
                <w:szCs w:val="24"/>
                <w:highlight w:val="none"/>
                <w:lang w:val="en-US" w:eastAsia="zh-CN"/>
              </w:rPr>
              <w:t>26</w:t>
            </w:r>
            <w:r>
              <w:rPr>
                <w:rFonts w:hint="eastAsia" w:ascii="Times New Roman" w:hAnsi="Times New Roman" w:eastAsia="宋体" w:cs="Times New Roman"/>
                <w:color w:val="auto"/>
                <w:spacing w:val="0"/>
                <w:sz w:val="24"/>
                <w:szCs w:val="24"/>
                <w:highlight w:val="none"/>
                <w:lang w:val="en-US" w:eastAsia="zh-CN"/>
              </w:rPr>
              <w:t>000t/a，则空车和满载车次各为</w:t>
            </w:r>
            <w:r>
              <w:rPr>
                <w:rFonts w:hint="eastAsia" w:cs="Times New Roman"/>
                <w:color w:val="auto"/>
                <w:spacing w:val="0"/>
                <w:sz w:val="24"/>
                <w:szCs w:val="24"/>
                <w:highlight w:val="none"/>
                <w:lang w:val="en-US" w:eastAsia="zh-CN"/>
              </w:rPr>
              <w:t>867</w:t>
            </w:r>
            <w:r>
              <w:rPr>
                <w:rFonts w:hint="eastAsia" w:ascii="Times New Roman" w:hAnsi="Times New Roman" w:eastAsia="宋体" w:cs="Times New Roman"/>
                <w:color w:val="auto"/>
                <w:spacing w:val="0"/>
                <w:sz w:val="24"/>
                <w:szCs w:val="24"/>
                <w:highlight w:val="none"/>
                <w:lang w:val="en-US" w:eastAsia="zh-CN"/>
              </w:rPr>
              <w:t>车次/a。</w:t>
            </w:r>
          </w:p>
          <w:p w14:paraId="019D98DF">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pacing w:val="0"/>
                <w:sz w:val="24"/>
                <w:szCs w:val="24"/>
                <w:highlight w:val="none"/>
                <w:lang w:val="en-US" w:eastAsia="zh-CN"/>
              </w:rPr>
            </w:pPr>
            <w:r>
              <w:rPr>
                <w:rFonts w:hint="default" w:ascii="Times New Roman" w:hAnsi="Times New Roman" w:eastAsia="宋体" w:cs="Times New Roman"/>
                <w:bCs/>
                <w:color w:val="auto"/>
                <w:spacing w:val="0"/>
                <w:sz w:val="24"/>
                <w:szCs w:val="24"/>
                <w:highlight w:val="none"/>
                <w:lang w:val="en-US" w:eastAsia="zh-CN"/>
              </w:rPr>
              <w:t>经计算，未加控制措施的情况下，车辆运输起尘量为0.</w:t>
            </w:r>
            <w:r>
              <w:rPr>
                <w:rFonts w:hint="eastAsia" w:cs="Times New Roman"/>
                <w:bCs/>
                <w:color w:val="auto"/>
                <w:spacing w:val="0"/>
                <w:sz w:val="24"/>
                <w:szCs w:val="24"/>
                <w:highlight w:val="none"/>
                <w:lang w:val="en-US" w:eastAsia="zh-CN"/>
              </w:rPr>
              <w:t>156t</w:t>
            </w:r>
            <w:r>
              <w:rPr>
                <w:rFonts w:hint="default" w:ascii="Times New Roman" w:hAnsi="Times New Roman" w:eastAsia="宋体" w:cs="Times New Roman"/>
                <w:bCs/>
                <w:color w:val="auto"/>
                <w:spacing w:val="0"/>
                <w:sz w:val="24"/>
                <w:szCs w:val="24"/>
                <w:highlight w:val="none"/>
                <w:lang w:val="en-US" w:eastAsia="zh-CN"/>
              </w:rPr>
              <w:t>/a。厂区门口建设洗车台，通过对进出车辆冲洗，并对厂区</w:t>
            </w:r>
            <w:r>
              <w:rPr>
                <w:rFonts w:hint="eastAsia" w:cs="Times New Roman"/>
                <w:bCs/>
                <w:color w:val="auto"/>
                <w:spacing w:val="0"/>
                <w:sz w:val="24"/>
                <w:szCs w:val="24"/>
                <w:highlight w:val="none"/>
                <w:lang w:val="en-US" w:eastAsia="zh-CN"/>
              </w:rPr>
              <w:t>路面</w:t>
            </w:r>
            <w:r>
              <w:rPr>
                <w:rFonts w:hint="default" w:ascii="Times New Roman" w:hAnsi="Times New Roman" w:eastAsia="宋体" w:cs="Times New Roman"/>
                <w:bCs/>
                <w:color w:val="auto"/>
                <w:spacing w:val="0"/>
                <w:sz w:val="24"/>
                <w:szCs w:val="24"/>
                <w:highlight w:val="none"/>
                <w:lang w:val="en-US" w:eastAsia="zh-CN"/>
              </w:rPr>
              <w:t>进行硬化</w:t>
            </w:r>
            <w:r>
              <w:rPr>
                <w:rFonts w:hint="eastAsia" w:cs="Times New Roman"/>
                <w:bCs/>
                <w:color w:val="auto"/>
                <w:spacing w:val="0"/>
                <w:sz w:val="24"/>
                <w:szCs w:val="24"/>
                <w:highlight w:val="none"/>
                <w:lang w:val="en-US" w:eastAsia="zh-CN"/>
              </w:rPr>
              <w:t>、</w:t>
            </w:r>
            <w:r>
              <w:rPr>
                <w:rFonts w:hint="default" w:ascii="Times New Roman" w:hAnsi="Times New Roman" w:eastAsia="宋体" w:cs="Times New Roman"/>
                <w:bCs/>
                <w:color w:val="auto"/>
                <w:spacing w:val="0"/>
                <w:sz w:val="24"/>
                <w:szCs w:val="24"/>
                <w:highlight w:val="none"/>
                <w:lang w:val="en-US" w:eastAsia="zh-CN"/>
              </w:rPr>
              <w:t>定时洒水，粉尘量可减少</w:t>
            </w:r>
            <w:r>
              <w:rPr>
                <w:rFonts w:hint="eastAsia" w:cs="Times New Roman"/>
                <w:bCs/>
                <w:color w:val="auto"/>
                <w:spacing w:val="0"/>
                <w:sz w:val="24"/>
                <w:szCs w:val="24"/>
                <w:highlight w:val="none"/>
                <w:lang w:val="en-US" w:eastAsia="zh-CN"/>
              </w:rPr>
              <w:t>85</w:t>
            </w:r>
            <w:r>
              <w:rPr>
                <w:rFonts w:hint="default" w:ascii="Times New Roman" w:hAnsi="Times New Roman" w:eastAsia="宋体" w:cs="Times New Roman"/>
                <w:bCs/>
                <w:color w:val="auto"/>
                <w:spacing w:val="0"/>
                <w:sz w:val="24"/>
                <w:szCs w:val="24"/>
                <w:highlight w:val="none"/>
                <w:lang w:val="en-US" w:eastAsia="zh-CN"/>
              </w:rPr>
              <w:t>%，</w:t>
            </w:r>
            <w:r>
              <w:rPr>
                <w:rFonts w:hint="eastAsia" w:cs="Times New Roman"/>
                <w:bCs/>
                <w:color w:val="auto"/>
                <w:spacing w:val="0"/>
                <w:sz w:val="24"/>
                <w:szCs w:val="24"/>
                <w:highlight w:val="none"/>
                <w:lang w:val="en-US" w:eastAsia="zh-CN"/>
              </w:rPr>
              <w:t>则无组织排放的</w:t>
            </w:r>
            <w:r>
              <w:rPr>
                <w:rFonts w:hint="default" w:ascii="Times New Roman" w:hAnsi="Times New Roman" w:eastAsia="宋体" w:cs="Times New Roman"/>
                <w:bCs/>
                <w:color w:val="auto"/>
                <w:spacing w:val="0"/>
                <w:sz w:val="24"/>
                <w:szCs w:val="24"/>
                <w:highlight w:val="none"/>
                <w:lang w:val="en-US" w:eastAsia="zh-CN"/>
              </w:rPr>
              <w:t>道路扬尘</w:t>
            </w:r>
            <w:r>
              <w:rPr>
                <w:rFonts w:hint="eastAsia" w:cs="Times New Roman"/>
                <w:bCs/>
                <w:color w:val="auto"/>
                <w:spacing w:val="0"/>
                <w:sz w:val="24"/>
                <w:szCs w:val="24"/>
                <w:highlight w:val="none"/>
                <w:lang w:val="en-US" w:eastAsia="zh-CN"/>
              </w:rPr>
              <w:t>约</w:t>
            </w:r>
            <w:r>
              <w:rPr>
                <w:rFonts w:hint="default" w:ascii="Times New Roman" w:hAnsi="Times New Roman" w:eastAsia="宋体" w:cs="Times New Roman"/>
                <w:bCs/>
                <w:color w:val="auto"/>
                <w:spacing w:val="0"/>
                <w:sz w:val="24"/>
                <w:szCs w:val="24"/>
                <w:highlight w:val="none"/>
                <w:lang w:val="en-US" w:eastAsia="zh-CN"/>
              </w:rPr>
              <w:t>为0.0</w:t>
            </w:r>
            <w:r>
              <w:rPr>
                <w:rFonts w:hint="eastAsia" w:cs="Times New Roman"/>
                <w:bCs/>
                <w:color w:val="auto"/>
                <w:spacing w:val="0"/>
                <w:sz w:val="24"/>
                <w:szCs w:val="24"/>
                <w:highlight w:val="none"/>
                <w:lang w:val="en-US" w:eastAsia="zh-CN"/>
              </w:rPr>
              <w:t>23</w:t>
            </w:r>
            <w:r>
              <w:rPr>
                <w:rFonts w:hint="default" w:ascii="Times New Roman" w:hAnsi="Times New Roman" w:eastAsia="宋体" w:cs="Times New Roman"/>
                <w:bCs/>
                <w:color w:val="auto"/>
                <w:spacing w:val="0"/>
                <w:sz w:val="24"/>
                <w:szCs w:val="24"/>
                <w:highlight w:val="none"/>
                <w:lang w:val="en-US" w:eastAsia="zh-CN"/>
              </w:rPr>
              <w:t>t/a</w:t>
            </w:r>
            <w:r>
              <w:rPr>
                <w:rFonts w:hint="default" w:ascii="Times New Roman" w:hAnsi="Times New Roman" w:eastAsia="宋体" w:cs="Times New Roman"/>
                <w:b w:val="0"/>
                <w:bCs w:val="0"/>
                <w:color w:val="auto"/>
                <w:spacing w:val="0"/>
                <w:sz w:val="24"/>
                <w:szCs w:val="24"/>
                <w:highlight w:val="none"/>
                <w:lang w:val="en-US" w:eastAsia="zh-CN"/>
              </w:rPr>
              <w:t>。</w:t>
            </w:r>
          </w:p>
          <w:p w14:paraId="0D643A90">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sz w:val="24"/>
              </w:rPr>
            </w:pPr>
            <w:r>
              <w:rPr>
                <w:rFonts w:hint="eastAsia" w:cs="Times New Roman"/>
                <w:b w:val="0"/>
                <w:bCs w:val="0"/>
                <w:color w:val="auto"/>
                <w:spacing w:val="0"/>
                <w:sz w:val="24"/>
                <w:szCs w:val="24"/>
                <w:highlight w:val="none"/>
                <w:lang w:val="en-US" w:eastAsia="zh-CN"/>
              </w:rPr>
              <w:t>综上，本项目有组织废气污染物产生及排放情况汇总见下表（按最大源强统计）。</w:t>
            </w:r>
          </w:p>
        </w:tc>
      </w:tr>
    </w:tbl>
    <w:p w14:paraId="57FCCD11">
      <w:pPr>
        <w:keepNext w:val="0"/>
        <w:keepLines w:val="0"/>
        <w:pageBreakBefore w:val="0"/>
        <w:kinsoku/>
        <w:wordWrap/>
        <w:overflowPunct/>
        <w:topLinePunct w:val="0"/>
        <w:bidi w:val="0"/>
        <w:adjustRightInd/>
        <w:snapToGrid/>
        <w:spacing w:line="360" w:lineRule="auto"/>
        <w:ind w:firstLine="420" w:firstLineChars="200"/>
        <w:jc w:val="both"/>
        <w:textAlignment w:val="auto"/>
        <w:rPr>
          <w:rFonts w:hint="default" w:ascii="Times New Roman" w:hAnsi="Times New Roman" w:eastAsia="宋体" w:cs="Times New Roman"/>
          <w:bCs/>
          <w:color w:val="auto"/>
          <w:spacing w:val="0"/>
          <w:szCs w:val="21"/>
        </w:rPr>
        <w:sectPr>
          <w:pgSz w:w="11907" w:h="16840"/>
          <w:pgMar w:top="1440" w:right="1800" w:bottom="1440" w:left="1800"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36"/>
        <w:tblW w:w="14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9"/>
      </w:tblGrid>
      <w:tr w14:paraId="1715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7" w:hRule="atLeast"/>
          <w:jc w:val="center"/>
        </w:trPr>
        <w:tc>
          <w:tcPr>
            <w:tcW w:w="14519" w:type="dxa"/>
            <w:tcBorders>
              <w:tl2br w:val="nil"/>
              <w:tr2bl w:val="nil"/>
            </w:tcBorders>
            <w:noWrap w:val="0"/>
            <w:tcMar>
              <w:left w:w="28" w:type="dxa"/>
              <w:right w:w="28" w:type="dxa"/>
            </w:tcMar>
            <w:vAlign w:val="center"/>
          </w:tcPr>
          <w:p w14:paraId="7A67B2C6">
            <w:pPr>
              <w:keepNext w:val="0"/>
              <w:keepLines w:val="0"/>
              <w:pageBreakBefore w:val="0"/>
              <w:widowControl w:val="0"/>
              <w:numPr>
                <w:ilvl w:val="0"/>
                <w:numId w:val="8"/>
              </w:numPr>
              <w:tabs>
                <w:tab w:val="center" w:pos="0"/>
              </w:tabs>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snapToGrid w:val="0"/>
                <w:color w:val="auto"/>
                <w:spacing w:val="0"/>
                <w:kern w:val="0"/>
                <w:sz w:val="24"/>
                <w:lang w:val="en-US" w:eastAsia="zh-CN"/>
              </w:rPr>
            </w:pPr>
            <w:bookmarkStart w:id="9" w:name="_Toc9911"/>
            <w:r>
              <w:rPr>
                <w:rFonts w:hint="eastAsia" w:cs="Times New Roman"/>
                <w:b/>
                <w:bCs/>
                <w:snapToGrid w:val="0"/>
                <w:color w:val="auto"/>
                <w:spacing w:val="0"/>
                <w:kern w:val="0"/>
                <w:sz w:val="24"/>
                <w:lang w:val="en-US" w:eastAsia="zh-CN"/>
              </w:rPr>
              <w:t>有组织</w:t>
            </w:r>
            <w:r>
              <w:rPr>
                <w:rFonts w:hint="default" w:ascii="Times New Roman" w:hAnsi="Times New Roman" w:eastAsia="宋体" w:cs="Times New Roman"/>
                <w:b/>
                <w:bCs/>
                <w:snapToGrid w:val="0"/>
                <w:color w:val="auto"/>
                <w:spacing w:val="0"/>
                <w:kern w:val="0"/>
                <w:sz w:val="24"/>
                <w:lang w:val="en-US" w:eastAsia="zh-CN"/>
              </w:rPr>
              <w:t>废气产生排放情况汇总表</w:t>
            </w:r>
          </w:p>
          <w:tbl>
            <w:tblPr>
              <w:tblStyle w:val="36"/>
              <w:tblW w:w="4995"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760"/>
              <w:gridCol w:w="1037"/>
              <w:gridCol w:w="1000"/>
              <w:gridCol w:w="1147"/>
              <w:gridCol w:w="1237"/>
              <w:gridCol w:w="1075"/>
              <w:gridCol w:w="1335"/>
              <w:gridCol w:w="815"/>
              <w:gridCol w:w="1295"/>
              <w:gridCol w:w="977"/>
              <w:gridCol w:w="1173"/>
              <w:gridCol w:w="1376"/>
              <w:gridCol w:w="1202"/>
            </w:tblGrid>
            <w:tr w14:paraId="6DAD2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263" w:type="pct"/>
                  <w:vMerge w:val="restart"/>
                  <w:tcBorders>
                    <w:tl2br w:val="nil"/>
                    <w:tr2bl w:val="nil"/>
                  </w:tcBorders>
                  <w:noWrap w:val="0"/>
                  <w:vAlign w:val="center"/>
                </w:tcPr>
                <w:p w14:paraId="58F5F6B2">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产污环节</w:t>
                  </w:r>
                </w:p>
              </w:tc>
              <w:tc>
                <w:tcPr>
                  <w:tcW w:w="359" w:type="pct"/>
                  <w:vMerge w:val="restart"/>
                  <w:tcBorders>
                    <w:tl2br w:val="nil"/>
                    <w:tr2bl w:val="nil"/>
                  </w:tcBorders>
                  <w:noWrap w:val="0"/>
                  <w:vAlign w:val="center"/>
                </w:tcPr>
                <w:p w14:paraId="5A90BF86">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污染物</w:t>
                  </w:r>
                </w:p>
              </w:tc>
              <w:tc>
                <w:tcPr>
                  <w:tcW w:w="346" w:type="pct"/>
                  <w:vMerge w:val="restart"/>
                  <w:tcBorders>
                    <w:tl2br w:val="nil"/>
                    <w:tr2bl w:val="nil"/>
                  </w:tcBorders>
                  <w:noWrap w:val="0"/>
                  <w:vAlign w:val="center"/>
                </w:tcPr>
                <w:p w14:paraId="0E7CF6E0">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产生量</w:t>
                  </w:r>
                </w:p>
                <w:p w14:paraId="363F227E">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r>
                    <w:rPr>
                      <w:rStyle w:val="127"/>
                      <w:rFonts w:hint="default" w:ascii="Times New Roman" w:hAnsi="Times New Roman" w:eastAsia="宋体" w:cs="Times New Roman"/>
                      <w:b w:val="0"/>
                      <w:bCs w:val="0"/>
                      <w:caps w:val="0"/>
                      <w:color w:val="auto"/>
                      <w:spacing w:val="0"/>
                      <w:kern w:val="0"/>
                      <w:position w:val="0"/>
                      <w:sz w:val="21"/>
                      <w:szCs w:val="21"/>
                      <w:highlight w:val="none"/>
                      <w:lang w:val="en-US" w:eastAsia="zh-CN" w:bidi="ar"/>
                    </w:rPr>
                    <w:t>t/a</w:t>
                  </w:r>
                </w:p>
              </w:tc>
              <w:tc>
                <w:tcPr>
                  <w:tcW w:w="397" w:type="pct"/>
                  <w:vMerge w:val="restart"/>
                  <w:tcBorders>
                    <w:tl2br w:val="nil"/>
                    <w:tr2bl w:val="nil"/>
                  </w:tcBorders>
                  <w:noWrap w:val="0"/>
                  <w:vAlign w:val="center"/>
                </w:tcPr>
                <w:p w14:paraId="438C5FA9">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产生速率</w:t>
                  </w:r>
                </w:p>
                <w:p w14:paraId="30DACC43">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r>
                    <w:rPr>
                      <w:rStyle w:val="127"/>
                      <w:rFonts w:hint="default" w:ascii="Times New Roman" w:hAnsi="Times New Roman" w:eastAsia="宋体" w:cs="Times New Roman"/>
                      <w:b w:val="0"/>
                      <w:bCs w:val="0"/>
                      <w:caps w:val="0"/>
                      <w:color w:val="auto"/>
                      <w:spacing w:val="0"/>
                      <w:kern w:val="0"/>
                      <w:position w:val="0"/>
                      <w:sz w:val="21"/>
                      <w:szCs w:val="21"/>
                      <w:highlight w:val="none"/>
                      <w:lang w:val="en-US" w:eastAsia="zh-CN" w:bidi="ar"/>
                    </w:rPr>
                    <w:t>kg/h</w:t>
                  </w:r>
                </w:p>
              </w:tc>
              <w:tc>
                <w:tcPr>
                  <w:tcW w:w="428" w:type="pct"/>
                  <w:vMerge w:val="restart"/>
                  <w:tcBorders>
                    <w:tl2br w:val="nil"/>
                    <w:tr2bl w:val="nil"/>
                  </w:tcBorders>
                  <w:noWrap w:val="0"/>
                  <w:vAlign w:val="center"/>
                </w:tcPr>
                <w:p w14:paraId="017A1868">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产生浓度</w:t>
                  </w:r>
                </w:p>
                <w:p w14:paraId="51E087FF">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r>
                    <w:rPr>
                      <w:rStyle w:val="127"/>
                      <w:rFonts w:hint="default" w:ascii="Times New Roman" w:hAnsi="Times New Roman" w:eastAsia="宋体" w:cs="Times New Roman"/>
                      <w:b w:val="0"/>
                      <w:bCs w:val="0"/>
                      <w:caps w:val="0"/>
                      <w:color w:val="auto"/>
                      <w:spacing w:val="0"/>
                      <w:kern w:val="0"/>
                      <w:position w:val="0"/>
                      <w:sz w:val="21"/>
                      <w:szCs w:val="21"/>
                      <w:highlight w:val="none"/>
                      <w:lang w:val="en-US" w:eastAsia="zh-CN" w:bidi="ar"/>
                    </w:rPr>
                    <w:t>mg/m</w:t>
                  </w:r>
                  <w:r>
                    <w:rPr>
                      <w:rStyle w:val="150"/>
                      <w:rFonts w:hint="default" w:ascii="Times New Roman" w:hAnsi="Times New Roman" w:eastAsia="宋体" w:cs="Times New Roman"/>
                      <w:b w:val="0"/>
                      <w:bCs w:val="0"/>
                      <w:caps w:val="0"/>
                      <w:color w:val="auto"/>
                      <w:spacing w:val="0"/>
                      <w:kern w:val="0"/>
                      <w:position w:val="0"/>
                      <w:sz w:val="21"/>
                      <w:szCs w:val="21"/>
                      <w:highlight w:val="none"/>
                      <w:vertAlign w:val="superscript"/>
                      <w:lang w:val="en-US" w:eastAsia="zh-CN" w:bidi="ar"/>
                    </w:rPr>
                    <w:t>3</w:t>
                  </w:r>
                </w:p>
              </w:tc>
              <w:tc>
                <w:tcPr>
                  <w:tcW w:w="372" w:type="pct"/>
                  <w:vMerge w:val="restart"/>
                  <w:tcBorders>
                    <w:tl2br w:val="nil"/>
                    <w:tr2bl w:val="nil"/>
                  </w:tcBorders>
                  <w:noWrap w:val="0"/>
                  <w:vAlign w:val="center"/>
                </w:tcPr>
                <w:p w14:paraId="52BAD718">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排放</w:t>
                  </w:r>
                </w:p>
                <w:p w14:paraId="2DBC2F1B">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形式</w:t>
                  </w:r>
                </w:p>
              </w:tc>
              <w:tc>
                <w:tcPr>
                  <w:tcW w:w="462" w:type="pct"/>
                  <w:vMerge w:val="restart"/>
                  <w:tcBorders>
                    <w:tl2br w:val="nil"/>
                    <w:tr2bl w:val="nil"/>
                  </w:tcBorders>
                  <w:noWrap w:val="0"/>
                  <w:vAlign w:val="center"/>
                </w:tcPr>
                <w:p w14:paraId="32F9B3A6">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治理措施</w:t>
                  </w:r>
                </w:p>
              </w:tc>
              <w:tc>
                <w:tcPr>
                  <w:tcW w:w="282" w:type="pct"/>
                  <w:vMerge w:val="restart"/>
                  <w:tcBorders>
                    <w:tl2br w:val="nil"/>
                    <w:tr2bl w:val="nil"/>
                  </w:tcBorders>
                  <w:noWrap w:val="0"/>
                  <w:vAlign w:val="center"/>
                </w:tcPr>
                <w:p w14:paraId="3EA96BB8">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r>
                    <w:rPr>
                      <w:rFonts w:hint="eastAsia"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处理</w:t>
                  </w: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效率</w:t>
                  </w:r>
                </w:p>
              </w:tc>
              <w:tc>
                <w:tcPr>
                  <w:tcW w:w="448" w:type="pct"/>
                  <w:vMerge w:val="restart"/>
                  <w:tcBorders>
                    <w:tl2br w:val="nil"/>
                    <w:tr2bl w:val="nil"/>
                  </w:tcBorders>
                  <w:noWrap w:val="0"/>
                  <w:vAlign w:val="center"/>
                </w:tcPr>
                <w:p w14:paraId="7A53B6DB">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处理能力</w:t>
                  </w:r>
                </w:p>
                <w:p w14:paraId="10F7E45B">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rPr>
                  </w:pPr>
                  <w:r>
                    <w:rPr>
                      <w:rFonts w:hint="default" w:ascii="Times New Roman" w:hAnsi="Times New Roman" w:eastAsia="宋体" w:cs="Times New Roman"/>
                      <w:b w:val="0"/>
                      <w:bCs w:val="0"/>
                      <w:caps w:val="0"/>
                      <w:color w:val="auto"/>
                      <w:spacing w:val="0"/>
                      <w:kern w:val="0"/>
                      <w:sz w:val="21"/>
                      <w:szCs w:val="21"/>
                      <w:highlight w:val="none"/>
                      <w:lang w:val="en-US" w:eastAsia="zh-CN"/>
                    </w:rPr>
                    <w:t>m</w:t>
                  </w:r>
                  <w:r>
                    <w:rPr>
                      <w:rFonts w:hint="default" w:ascii="Times New Roman" w:hAnsi="Times New Roman" w:eastAsia="宋体" w:cs="Times New Roman"/>
                      <w:b w:val="0"/>
                      <w:bCs w:val="0"/>
                      <w:caps w:val="0"/>
                      <w:color w:val="auto"/>
                      <w:spacing w:val="0"/>
                      <w:kern w:val="0"/>
                      <w:sz w:val="21"/>
                      <w:szCs w:val="21"/>
                      <w:highlight w:val="none"/>
                      <w:vertAlign w:val="superscript"/>
                      <w:lang w:val="en-US" w:eastAsia="zh-CN"/>
                    </w:rPr>
                    <w:t>3</w:t>
                  </w:r>
                  <w:r>
                    <w:rPr>
                      <w:rFonts w:hint="default" w:ascii="Times New Roman" w:hAnsi="Times New Roman" w:eastAsia="宋体" w:cs="Times New Roman"/>
                      <w:b w:val="0"/>
                      <w:bCs w:val="0"/>
                      <w:caps w:val="0"/>
                      <w:color w:val="auto"/>
                      <w:spacing w:val="0"/>
                      <w:kern w:val="0"/>
                      <w:sz w:val="21"/>
                      <w:szCs w:val="21"/>
                      <w:highlight w:val="none"/>
                      <w:lang w:val="en-US" w:eastAsia="zh-CN"/>
                    </w:rPr>
                    <w:t>/h</w:t>
                  </w:r>
                </w:p>
              </w:tc>
              <w:tc>
                <w:tcPr>
                  <w:tcW w:w="338" w:type="pct"/>
                  <w:vMerge w:val="restart"/>
                  <w:tcBorders>
                    <w:tl2br w:val="nil"/>
                    <w:tr2bl w:val="nil"/>
                  </w:tcBorders>
                  <w:noWrap w:val="0"/>
                  <w:vAlign w:val="center"/>
                </w:tcPr>
                <w:p w14:paraId="12AF9B6F">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排放量</w:t>
                  </w:r>
                </w:p>
                <w:p w14:paraId="67462D5F">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r>
                    <w:rPr>
                      <w:rStyle w:val="127"/>
                      <w:rFonts w:hint="default" w:ascii="Times New Roman" w:hAnsi="Times New Roman" w:eastAsia="宋体" w:cs="Times New Roman"/>
                      <w:b w:val="0"/>
                      <w:bCs w:val="0"/>
                      <w:caps w:val="0"/>
                      <w:color w:val="auto"/>
                      <w:spacing w:val="0"/>
                      <w:kern w:val="0"/>
                      <w:position w:val="0"/>
                      <w:sz w:val="21"/>
                      <w:szCs w:val="21"/>
                      <w:highlight w:val="none"/>
                      <w:lang w:val="en-US" w:eastAsia="zh-CN" w:bidi="ar"/>
                    </w:rPr>
                    <w:t>t/a</w:t>
                  </w:r>
                </w:p>
              </w:tc>
              <w:tc>
                <w:tcPr>
                  <w:tcW w:w="406" w:type="pct"/>
                  <w:vMerge w:val="restart"/>
                  <w:tcBorders>
                    <w:tl2br w:val="nil"/>
                    <w:tr2bl w:val="nil"/>
                  </w:tcBorders>
                  <w:noWrap w:val="0"/>
                  <w:vAlign w:val="center"/>
                </w:tcPr>
                <w:p w14:paraId="07C2400E">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排放速率</w:t>
                  </w:r>
                </w:p>
                <w:p w14:paraId="17341561">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r>
                    <w:rPr>
                      <w:rStyle w:val="127"/>
                      <w:rFonts w:hint="default" w:ascii="Times New Roman" w:hAnsi="Times New Roman" w:eastAsia="宋体" w:cs="Times New Roman"/>
                      <w:b w:val="0"/>
                      <w:bCs w:val="0"/>
                      <w:caps w:val="0"/>
                      <w:color w:val="auto"/>
                      <w:spacing w:val="0"/>
                      <w:kern w:val="0"/>
                      <w:position w:val="0"/>
                      <w:sz w:val="21"/>
                      <w:szCs w:val="21"/>
                      <w:highlight w:val="none"/>
                      <w:lang w:val="en-US" w:eastAsia="zh-CN" w:bidi="ar"/>
                    </w:rPr>
                    <w:t>kg/h</w:t>
                  </w:r>
                </w:p>
              </w:tc>
              <w:tc>
                <w:tcPr>
                  <w:tcW w:w="476" w:type="pct"/>
                  <w:vMerge w:val="restart"/>
                  <w:tcBorders>
                    <w:tl2br w:val="nil"/>
                    <w:tr2bl w:val="nil"/>
                  </w:tcBorders>
                  <w:noWrap w:val="0"/>
                  <w:vAlign w:val="center"/>
                </w:tcPr>
                <w:p w14:paraId="3B3C4BCA">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排放浓度</w:t>
                  </w:r>
                </w:p>
                <w:p w14:paraId="3C49FDDB">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r>
                    <w:rPr>
                      <w:rStyle w:val="127"/>
                      <w:rFonts w:hint="default" w:ascii="Times New Roman" w:hAnsi="Times New Roman" w:eastAsia="宋体" w:cs="Times New Roman"/>
                      <w:b w:val="0"/>
                      <w:bCs w:val="0"/>
                      <w:caps w:val="0"/>
                      <w:color w:val="auto"/>
                      <w:spacing w:val="0"/>
                      <w:kern w:val="0"/>
                      <w:position w:val="0"/>
                      <w:sz w:val="21"/>
                      <w:szCs w:val="21"/>
                      <w:highlight w:val="none"/>
                      <w:lang w:val="en-US" w:eastAsia="zh-CN" w:bidi="ar"/>
                    </w:rPr>
                    <w:t>mg/m</w:t>
                  </w:r>
                  <w:r>
                    <w:rPr>
                      <w:rStyle w:val="150"/>
                      <w:rFonts w:hint="default" w:ascii="Times New Roman" w:hAnsi="Times New Roman" w:eastAsia="宋体" w:cs="Times New Roman"/>
                      <w:b w:val="0"/>
                      <w:bCs w:val="0"/>
                      <w:caps w:val="0"/>
                      <w:color w:val="auto"/>
                      <w:spacing w:val="0"/>
                      <w:kern w:val="0"/>
                      <w:position w:val="0"/>
                      <w:sz w:val="21"/>
                      <w:szCs w:val="21"/>
                      <w:highlight w:val="none"/>
                      <w:vertAlign w:val="superscript"/>
                      <w:lang w:val="en-US" w:eastAsia="zh-CN" w:bidi="ar"/>
                    </w:rPr>
                    <w:t>3</w:t>
                  </w:r>
                </w:p>
              </w:tc>
              <w:tc>
                <w:tcPr>
                  <w:tcW w:w="416" w:type="pct"/>
                  <w:vMerge w:val="restart"/>
                  <w:tcBorders>
                    <w:tl2br w:val="nil"/>
                    <w:tr2bl w:val="nil"/>
                  </w:tcBorders>
                  <w:noWrap w:val="0"/>
                  <w:vAlign w:val="center"/>
                </w:tcPr>
                <w:p w14:paraId="7F9F9E18">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排放口名称</w:t>
                  </w:r>
                </w:p>
              </w:tc>
            </w:tr>
            <w:tr w14:paraId="60C03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263" w:type="pct"/>
                  <w:vMerge w:val="continue"/>
                  <w:tcBorders>
                    <w:tl2br w:val="nil"/>
                    <w:tr2bl w:val="nil"/>
                  </w:tcBorders>
                  <w:noWrap w:val="0"/>
                  <w:vAlign w:val="center"/>
                </w:tcPr>
                <w:p w14:paraId="51BFAD65">
                  <w:pPr>
                    <w:keepNext w:val="0"/>
                    <w:keepLines w:val="0"/>
                    <w:pageBreakBefore w:val="0"/>
                    <w:widowControl/>
                    <w:kinsoku/>
                    <w:wordWrap w:val="0"/>
                    <w:overflowPunct/>
                    <w:topLinePunct w:val="0"/>
                    <w:autoSpaceDE/>
                    <w:autoSpaceDN/>
                    <w:bidi w:val="0"/>
                    <w:adjustRightInd w:val="0"/>
                    <w:snapToGrid w:val="0"/>
                    <w:spacing w:line="240" w:lineRule="auto"/>
                    <w:ind w:left="0" w:leftChars="0" w:right="0" w:rightChars="0"/>
                    <w:jc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p>
              </w:tc>
              <w:tc>
                <w:tcPr>
                  <w:tcW w:w="359" w:type="pct"/>
                  <w:vMerge w:val="continue"/>
                  <w:tcBorders>
                    <w:tl2br w:val="nil"/>
                    <w:tr2bl w:val="nil"/>
                  </w:tcBorders>
                  <w:noWrap w:val="0"/>
                  <w:vAlign w:val="center"/>
                </w:tcPr>
                <w:p w14:paraId="18F32826">
                  <w:pPr>
                    <w:keepNext w:val="0"/>
                    <w:keepLines w:val="0"/>
                    <w:pageBreakBefore w:val="0"/>
                    <w:widowControl/>
                    <w:kinsoku/>
                    <w:wordWrap w:val="0"/>
                    <w:overflowPunct/>
                    <w:topLinePunct w:val="0"/>
                    <w:autoSpaceDE/>
                    <w:autoSpaceDN/>
                    <w:bidi w:val="0"/>
                    <w:adjustRightInd w:val="0"/>
                    <w:snapToGrid w:val="0"/>
                    <w:spacing w:line="240" w:lineRule="auto"/>
                    <w:ind w:left="0" w:leftChars="0" w:right="0" w:rightChars="0"/>
                    <w:jc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p>
              </w:tc>
              <w:tc>
                <w:tcPr>
                  <w:tcW w:w="346" w:type="pct"/>
                  <w:vMerge w:val="continue"/>
                  <w:tcBorders>
                    <w:tl2br w:val="nil"/>
                    <w:tr2bl w:val="nil"/>
                  </w:tcBorders>
                  <w:noWrap w:val="0"/>
                  <w:vAlign w:val="center"/>
                </w:tcPr>
                <w:p w14:paraId="73C5D0EE">
                  <w:pPr>
                    <w:keepNext w:val="0"/>
                    <w:keepLines w:val="0"/>
                    <w:pageBreakBefore w:val="0"/>
                    <w:widowControl/>
                    <w:kinsoku/>
                    <w:wordWrap w:val="0"/>
                    <w:overflowPunct/>
                    <w:topLinePunct w:val="0"/>
                    <w:autoSpaceDE/>
                    <w:autoSpaceDN/>
                    <w:bidi w:val="0"/>
                    <w:adjustRightInd w:val="0"/>
                    <w:snapToGrid w:val="0"/>
                    <w:spacing w:line="240" w:lineRule="auto"/>
                    <w:ind w:left="0" w:leftChars="0" w:right="0" w:rightChars="0"/>
                    <w:jc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p>
              </w:tc>
              <w:tc>
                <w:tcPr>
                  <w:tcW w:w="397" w:type="pct"/>
                  <w:vMerge w:val="continue"/>
                  <w:tcBorders>
                    <w:tl2br w:val="nil"/>
                    <w:tr2bl w:val="nil"/>
                  </w:tcBorders>
                  <w:noWrap w:val="0"/>
                  <w:vAlign w:val="center"/>
                </w:tcPr>
                <w:p w14:paraId="669B92B5">
                  <w:pPr>
                    <w:keepNext w:val="0"/>
                    <w:keepLines w:val="0"/>
                    <w:pageBreakBefore w:val="0"/>
                    <w:widowControl/>
                    <w:kinsoku/>
                    <w:wordWrap w:val="0"/>
                    <w:overflowPunct/>
                    <w:topLinePunct w:val="0"/>
                    <w:autoSpaceDE/>
                    <w:autoSpaceDN/>
                    <w:bidi w:val="0"/>
                    <w:adjustRightInd w:val="0"/>
                    <w:snapToGrid w:val="0"/>
                    <w:spacing w:line="240" w:lineRule="auto"/>
                    <w:ind w:left="0" w:leftChars="0" w:right="0" w:rightChars="0"/>
                    <w:jc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p>
              </w:tc>
              <w:tc>
                <w:tcPr>
                  <w:tcW w:w="428" w:type="pct"/>
                  <w:vMerge w:val="continue"/>
                  <w:tcBorders>
                    <w:tl2br w:val="nil"/>
                    <w:tr2bl w:val="nil"/>
                  </w:tcBorders>
                  <w:noWrap w:val="0"/>
                  <w:vAlign w:val="center"/>
                </w:tcPr>
                <w:p w14:paraId="281D92AA">
                  <w:pPr>
                    <w:keepNext w:val="0"/>
                    <w:keepLines w:val="0"/>
                    <w:pageBreakBefore w:val="0"/>
                    <w:widowControl/>
                    <w:kinsoku/>
                    <w:wordWrap w:val="0"/>
                    <w:overflowPunct/>
                    <w:topLinePunct w:val="0"/>
                    <w:autoSpaceDE/>
                    <w:autoSpaceDN/>
                    <w:bidi w:val="0"/>
                    <w:adjustRightInd w:val="0"/>
                    <w:snapToGrid w:val="0"/>
                    <w:spacing w:line="240" w:lineRule="auto"/>
                    <w:ind w:left="0" w:leftChars="0" w:right="0" w:rightChars="0"/>
                    <w:jc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p>
              </w:tc>
              <w:tc>
                <w:tcPr>
                  <w:tcW w:w="372" w:type="pct"/>
                  <w:vMerge w:val="continue"/>
                  <w:tcBorders>
                    <w:tl2br w:val="nil"/>
                    <w:tr2bl w:val="nil"/>
                  </w:tcBorders>
                  <w:noWrap w:val="0"/>
                  <w:vAlign w:val="center"/>
                </w:tcPr>
                <w:p w14:paraId="41C8BD67">
                  <w:pPr>
                    <w:keepNext w:val="0"/>
                    <w:keepLines w:val="0"/>
                    <w:pageBreakBefore w:val="0"/>
                    <w:widowControl/>
                    <w:kinsoku/>
                    <w:wordWrap w:val="0"/>
                    <w:overflowPunct/>
                    <w:topLinePunct w:val="0"/>
                    <w:autoSpaceDE/>
                    <w:autoSpaceDN/>
                    <w:bidi w:val="0"/>
                    <w:adjustRightInd w:val="0"/>
                    <w:snapToGrid w:val="0"/>
                    <w:spacing w:line="240" w:lineRule="auto"/>
                    <w:ind w:left="0" w:leftChars="0" w:right="0" w:rightChars="0"/>
                    <w:jc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p>
              </w:tc>
              <w:tc>
                <w:tcPr>
                  <w:tcW w:w="462" w:type="pct"/>
                  <w:vMerge w:val="continue"/>
                  <w:tcBorders>
                    <w:tl2br w:val="nil"/>
                    <w:tr2bl w:val="nil"/>
                  </w:tcBorders>
                  <w:noWrap w:val="0"/>
                  <w:vAlign w:val="center"/>
                </w:tcPr>
                <w:p w14:paraId="7E28C91B">
                  <w:pPr>
                    <w:keepNext w:val="0"/>
                    <w:keepLines w:val="0"/>
                    <w:pageBreakBefore w:val="0"/>
                    <w:widowControl/>
                    <w:kinsoku/>
                    <w:wordWrap w:val="0"/>
                    <w:overflowPunct/>
                    <w:topLinePunct w:val="0"/>
                    <w:autoSpaceDE/>
                    <w:autoSpaceDN/>
                    <w:bidi w:val="0"/>
                    <w:adjustRightInd w:val="0"/>
                    <w:snapToGrid w:val="0"/>
                    <w:spacing w:line="240" w:lineRule="auto"/>
                    <w:ind w:left="0" w:leftChars="0" w:right="0" w:rightChars="0"/>
                    <w:jc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p>
              </w:tc>
              <w:tc>
                <w:tcPr>
                  <w:tcW w:w="282" w:type="pct"/>
                  <w:vMerge w:val="continue"/>
                  <w:tcBorders>
                    <w:tl2br w:val="nil"/>
                    <w:tr2bl w:val="nil"/>
                  </w:tcBorders>
                  <w:noWrap w:val="0"/>
                  <w:vAlign w:val="center"/>
                </w:tcPr>
                <w:p w14:paraId="786FD8F8">
                  <w:pPr>
                    <w:keepNext w:val="0"/>
                    <w:keepLines w:val="0"/>
                    <w:pageBreakBefore w:val="0"/>
                    <w:widowControl/>
                    <w:kinsoku/>
                    <w:wordWrap w:val="0"/>
                    <w:overflowPunct/>
                    <w:topLinePunct w:val="0"/>
                    <w:autoSpaceDE/>
                    <w:autoSpaceDN/>
                    <w:bidi w:val="0"/>
                    <w:adjustRightInd w:val="0"/>
                    <w:snapToGrid w:val="0"/>
                    <w:spacing w:line="240" w:lineRule="auto"/>
                    <w:ind w:left="0" w:leftChars="0" w:right="0" w:rightChars="0"/>
                    <w:jc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p>
              </w:tc>
              <w:tc>
                <w:tcPr>
                  <w:tcW w:w="448" w:type="pct"/>
                  <w:vMerge w:val="continue"/>
                  <w:tcBorders>
                    <w:tl2br w:val="nil"/>
                    <w:tr2bl w:val="nil"/>
                  </w:tcBorders>
                  <w:noWrap w:val="0"/>
                  <w:vAlign w:val="center"/>
                </w:tcPr>
                <w:p w14:paraId="13C61019">
                  <w:pPr>
                    <w:keepNext w:val="0"/>
                    <w:keepLines w:val="0"/>
                    <w:pageBreakBefore w:val="0"/>
                    <w:widowControl/>
                    <w:kinsoku/>
                    <w:wordWrap w:val="0"/>
                    <w:overflowPunct/>
                    <w:topLinePunct w:val="0"/>
                    <w:autoSpaceDE/>
                    <w:autoSpaceDN/>
                    <w:bidi w:val="0"/>
                    <w:adjustRightInd w:val="0"/>
                    <w:snapToGrid w:val="0"/>
                    <w:spacing w:line="240" w:lineRule="auto"/>
                    <w:ind w:left="0" w:leftChars="0" w:right="0" w:rightChars="0"/>
                    <w:jc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p>
              </w:tc>
              <w:tc>
                <w:tcPr>
                  <w:tcW w:w="338" w:type="pct"/>
                  <w:vMerge w:val="continue"/>
                  <w:tcBorders>
                    <w:tl2br w:val="nil"/>
                    <w:tr2bl w:val="nil"/>
                  </w:tcBorders>
                  <w:noWrap w:val="0"/>
                  <w:vAlign w:val="center"/>
                </w:tcPr>
                <w:p w14:paraId="5B36DB40">
                  <w:pPr>
                    <w:keepNext w:val="0"/>
                    <w:keepLines w:val="0"/>
                    <w:pageBreakBefore w:val="0"/>
                    <w:widowControl/>
                    <w:kinsoku/>
                    <w:wordWrap w:val="0"/>
                    <w:overflowPunct/>
                    <w:topLinePunct w:val="0"/>
                    <w:autoSpaceDE/>
                    <w:autoSpaceDN/>
                    <w:bidi w:val="0"/>
                    <w:adjustRightInd w:val="0"/>
                    <w:snapToGrid w:val="0"/>
                    <w:spacing w:line="240" w:lineRule="auto"/>
                    <w:ind w:left="0" w:leftChars="0" w:right="0" w:rightChars="0"/>
                    <w:jc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p>
              </w:tc>
              <w:tc>
                <w:tcPr>
                  <w:tcW w:w="406" w:type="pct"/>
                  <w:vMerge w:val="continue"/>
                  <w:tcBorders>
                    <w:tl2br w:val="nil"/>
                    <w:tr2bl w:val="nil"/>
                  </w:tcBorders>
                  <w:noWrap w:val="0"/>
                  <w:vAlign w:val="center"/>
                </w:tcPr>
                <w:p w14:paraId="2E2BA27C">
                  <w:pPr>
                    <w:keepNext w:val="0"/>
                    <w:keepLines w:val="0"/>
                    <w:pageBreakBefore w:val="0"/>
                    <w:widowControl/>
                    <w:kinsoku/>
                    <w:wordWrap w:val="0"/>
                    <w:overflowPunct/>
                    <w:topLinePunct w:val="0"/>
                    <w:autoSpaceDE/>
                    <w:autoSpaceDN/>
                    <w:bidi w:val="0"/>
                    <w:adjustRightInd w:val="0"/>
                    <w:snapToGrid w:val="0"/>
                    <w:spacing w:line="240" w:lineRule="auto"/>
                    <w:ind w:left="0" w:leftChars="0" w:right="0" w:rightChars="0"/>
                    <w:jc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p>
              </w:tc>
              <w:tc>
                <w:tcPr>
                  <w:tcW w:w="476" w:type="pct"/>
                  <w:vMerge w:val="continue"/>
                  <w:tcBorders>
                    <w:tl2br w:val="nil"/>
                    <w:tr2bl w:val="nil"/>
                  </w:tcBorders>
                  <w:noWrap w:val="0"/>
                  <w:vAlign w:val="center"/>
                </w:tcPr>
                <w:p w14:paraId="6D20EEF8">
                  <w:pPr>
                    <w:keepNext w:val="0"/>
                    <w:keepLines w:val="0"/>
                    <w:pageBreakBefore w:val="0"/>
                    <w:widowControl/>
                    <w:kinsoku/>
                    <w:wordWrap w:val="0"/>
                    <w:overflowPunct/>
                    <w:topLinePunct w:val="0"/>
                    <w:autoSpaceDE/>
                    <w:autoSpaceDN/>
                    <w:bidi w:val="0"/>
                    <w:adjustRightInd w:val="0"/>
                    <w:snapToGrid w:val="0"/>
                    <w:spacing w:line="240" w:lineRule="auto"/>
                    <w:ind w:left="0" w:leftChars="0" w:right="0" w:rightChars="0"/>
                    <w:jc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p>
              </w:tc>
              <w:tc>
                <w:tcPr>
                  <w:tcW w:w="416" w:type="pct"/>
                  <w:vMerge w:val="continue"/>
                  <w:tcBorders>
                    <w:tl2br w:val="nil"/>
                    <w:tr2bl w:val="nil"/>
                  </w:tcBorders>
                  <w:noWrap w:val="0"/>
                  <w:vAlign w:val="center"/>
                </w:tcPr>
                <w:p w14:paraId="320B94FC">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p>
              </w:tc>
            </w:tr>
            <w:tr w14:paraId="423D01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263" w:type="pct"/>
                  <w:tcBorders>
                    <w:tl2br w:val="nil"/>
                    <w:tr2bl w:val="nil"/>
                  </w:tcBorders>
                  <w:noWrap w:val="0"/>
                  <w:vAlign w:val="center"/>
                </w:tcPr>
                <w:p w14:paraId="56003B5F">
                  <w:pPr>
                    <w:pStyle w:val="74"/>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hint="default" w:ascii="Times New Roman" w:hAnsi="Times New Roman" w:eastAsia="宋体" w:cs="Times New Roman"/>
                      <w:b w:val="0"/>
                      <w:bCs w:val="0"/>
                      <w:color w:val="auto"/>
                      <w:spacing w:val="0"/>
                      <w:sz w:val="21"/>
                      <w:szCs w:val="21"/>
                      <w:highlight w:val="none"/>
                      <w:lang w:val="en-US" w:eastAsia="zh-CN"/>
                    </w:rPr>
                  </w:pPr>
                  <w:r>
                    <w:rPr>
                      <w:rFonts w:hint="default" w:ascii="Times New Roman" w:hAnsi="Times New Roman" w:eastAsia="宋体" w:cs="Times New Roman"/>
                      <w:caps w:val="0"/>
                      <w:color w:val="auto"/>
                      <w:spacing w:val="0"/>
                      <w:kern w:val="0"/>
                      <w:sz w:val="21"/>
                      <w:szCs w:val="21"/>
                      <w:highlight w:val="none"/>
                      <w:lang w:val="en-US" w:eastAsia="zh-CN"/>
                    </w:rPr>
                    <w:t>上料、搅拌、水泥仓卸料</w:t>
                  </w:r>
                </w:p>
              </w:tc>
              <w:tc>
                <w:tcPr>
                  <w:tcW w:w="359" w:type="pct"/>
                  <w:tcBorders>
                    <w:tl2br w:val="nil"/>
                    <w:tr2bl w:val="nil"/>
                  </w:tcBorders>
                  <w:noWrap w:val="0"/>
                  <w:vAlign w:val="center"/>
                </w:tcPr>
                <w:p w14:paraId="52501D73">
                  <w:pPr>
                    <w:pStyle w:val="74"/>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颗粒物</w:t>
                  </w:r>
                </w:p>
              </w:tc>
              <w:tc>
                <w:tcPr>
                  <w:tcW w:w="346" w:type="pct"/>
                  <w:tcBorders>
                    <w:tl2br w:val="nil"/>
                    <w:tr2bl w:val="nil"/>
                  </w:tcBorders>
                  <w:noWrap w:val="0"/>
                  <w:vAlign w:val="center"/>
                </w:tcPr>
                <w:p w14:paraId="4FB37B90">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0"/>
                      <w:sz w:val="21"/>
                      <w:szCs w:val="21"/>
                      <w:highlight w:val="none"/>
                      <w:u w:val="none"/>
                      <w:lang w:val="en-US" w:eastAsia="zh-CN" w:bidi="ar"/>
                    </w:rPr>
                  </w:pPr>
                  <w:r>
                    <w:rPr>
                      <w:rFonts w:hint="eastAsia" w:cs="Times New Roman"/>
                      <w:i w:val="0"/>
                      <w:iCs w:val="0"/>
                      <w:color w:val="auto"/>
                      <w:spacing w:val="0"/>
                      <w:kern w:val="0"/>
                      <w:sz w:val="21"/>
                      <w:szCs w:val="21"/>
                      <w:u w:val="none"/>
                      <w:lang w:val="en-US" w:eastAsia="zh-CN" w:bidi="ar"/>
                    </w:rPr>
                    <w:t>18.39</w:t>
                  </w:r>
                </w:p>
              </w:tc>
              <w:tc>
                <w:tcPr>
                  <w:tcW w:w="397" w:type="pct"/>
                  <w:tcBorders>
                    <w:tl2br w:val="nil"/>
                    <w:tr2bl w:val="nil"/>
                  </w:tcBorders>
                  <w:noWrap w:val="0"/>
                  <w:vAlign w:val="center"/>
                </w:tcPr>
                <w:p w14:paraId="229B64B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0"/>
                      <w:sz w:val="21"/>
                      <w:szCs w:val="21"/>
                      <w:highlight w:val="none"/>
                      <w:u w:val="none"/>
                      <w:lang w:val="en-US" w:eastAsia="zh-CN" w:bidi="ar"/>
                    </w:rPr>
                  </w:pPr>
                  <w:r>
                    <w:rPr>
                      <w:rFonts w:hint="eastAsia" w:cs="Times New Roman"/>
                      <w:i w:val="0"/>
                      <w:iCs w:val="0"/>
                      <w:color w:val="auto"/>
                      <w:spacing w:val="0"/>
                      <w:kern w:val="0"/>
                      <w:sz w:val="21"/>
                      <w:szCs w:val="21"/>
                      <w:u w:val="none"/>
                      <w:lang w:val="en-US" w:eastAsia="zh-CN" w:bidi="ar"/>
                    </w:rPr>
                    <w:t>9.088</w:t>
                  </w:r>
                </w:p>
              </w:tc>
              <w:tc>
                <w:tcPr>
                  <w:tcW w:w="428" w:type="pct"/>
                  <w:tcBorders>
                    <w:tl2br w:val="nil"/>
                    <w:tr2bl w:val="nil"/>
                  </w:tcBorders>
                  <w:noWrap w:val="0"/>
                  <w:vAlign w:val="center"/>
                </w:tcPr>
                <w:p w14:paraId="3C05D71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0"/>
                      <w:sz w:val="21"/>
                      <w:szCs w:val="21"/>
                      <w:highlight w:val="none"/>
                      <w:u w:val="none"/>
                      <w:lang w:val="en-US" w:eastAsia="zh-CN" w:bidi="ar"/>
                    </w:rPr>
                  </w:pPr>
                  <w:r>
                    <w:rPr>
                      <w:rFonts w:hint="eastAsia" w:cs="Times New Roman"/>
                      <w:i w:val="0"/>
                      <w:iCs w:val="0"/>
                      <w:color w:val="auto"/>
                      <w:spacing w:val="0"/>
                      <w:kern w:val="0"/>
                      <w:sz w:val="21"/>
                      <w:szCs w:val="21"/>
                      <w:u w:val="none"/>
                      <w:lang w:val="en-US" w:eastAsia="zh-CN" w:bidi="ar"/>
                    </w:rPr>
                    <w:t>908.8</w:t>
                  </w:r>
                </w:p>
              </w:tc>
              <w:tc>
                <w:tcPr>
                  <w:tcW w:w="372" w:type="pct"/>
                  <w:tcBorders>
                    <w:tl2br w:val="nil"/>
                    <w:tr2bl w:val="nil"/>
                  </w:tcBorders>
                  <w:noWrap w:val="0"/>
                  <w:vAlign w:val="center"/>
                </w:tcPr>
                <w:p w14:paraId="38AD94E8">
                  <w:pPr>
                    <w:keepNext w:val="0"/>
                    <w:keepLines w:val="0"/>
                    <w:pageBreakBefore w:val="0"/>
                    <w:widowControl/>
                    <w:suppressLineNumbers w:val="0"/>
                    <w:kinsoku/>
                    <w:overflowPunct/>
                    <w:topLinePunct w:val="0"/>
                    <w:autoSpaceDE/>
                    <w:autoSpaceDN/>
                    <w:bidi w:val="0"/>
                    <w:adjustRightInd w:val="0"/>
                    <w:snapToGrid w:val="0"/>
                    <w:jc w:val="center"/>
                    <w:textAlignment w:val="center"/>
                    <w:rPr>
                      <w:rFonts w:hint="eastAsia" w:ascii="Times New Roman" w:hAnsi="Times New Roman" w:eastAsia="宋体" w:cs="Times New Roman"/>
                      <w:b w:val="0"/>
                      <w:bCs w:val="0"/>
                      <w:i w:val="0"/>
                      <w:iCs w:val="0"/>
                      <w:color w:val="auto"/>
                      <w:spacing w:val="0"/>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spacing w:val="0"/>
                      <w:kern w:val="0"/>
                      <w:sz w:val="21"/>
                      <w:szCs w:val="21"/>
                      <w:highlight w:val="none"/>
                      <w:u w:val="none"/>
                      <w:lang w:val="en-US" w:eastAsia="zh-CN" w:bidi="ar"/>
                    </w:rPr>
                    <w:t>有组织</w:t>
                  </w:r>
                </w:p>
              </w:tc>
              <w:tc>
                <w:tcPr>
                  <w:tcW w:w="462" w:type="pct"/>
                  <w:tcBorders>
                    <w:tl2br w:val="nil"/>
                    <w:tr2bl w:val="nil"/>
                  </w:tcBorders>
                  <w:noWrap w:val="0"/>
                  <w:vAlign w:val="center"/>
                </w:tcPr>
                <w:p w14:paraId="5BCED44F">
                  <w:pPr>
                    <w:keepNext w:val="0"/>
                    <w:keepLines w:val="0"/>
                    <w:pageBreakBefore w:val="0"/>
                    <w:widowControl/>
                    <w:suppressLineNumbers w:val="0"/>
                    <w:kinsoku/>
                    <w:overflowPunct/>
                    <w:topLinePunct w:val="0"/>
                    <w:autoSpaceDE/>
                    <w:autoSpaceDN/>
                    <w:bidi w:val="0"/>
                    <w:adjustRightInd w:val="0"/>
                    <w:snapToGrid w:val="0"/>
                    <w:jc w:val="center"/>
                    <w:textAlignment w:val="center"/>
                    <w:rPr>
                      <w:rFonts w:hint="default" w:ascii="Times New Roman" w:hAnsi="Times New Roman" w:eastAsia="宋体" w:cs="Times New Roman"/>
                      <w:b w:val="0"/>
                      <w:bCs w:val="0"/>
                      <w:i w:val="0"/>
                      <w:iCs w:val="0"/>
                      <w:color w:val="auto"/>
                      <w:spacing w:val="0"/>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spacing w:val="0"/>
                      <w:kern w:val="0"/>
                      <w:sz w:val="21"/>
                      <w:szCs w:val="21"/>
                      <w:highlight w:val="none"/>
                      <w:u w:val="none"/>
                      <w:lang w:val="en-US" w:eastAsia="zh-CN" w:bidi="ar"/>
                    </w:rPr>
                    <w:t>袋式除尘器</w:t>
                  </w:r>
                </w:p>
              </w:tc>
              <w:tc>
                <w:tcPr>
                  <w:tcW w:w="282" w:type="pct"/>
                  <w:tcBorders>
                    <w:tl2br w:val="nil"/>
                    <w:tr2bl w:val="nil"/>
                  </w:tcBorders>
                  <w:noWrap w:val="0"/>
                  <w:vAlign w:val="center"/>
                </w:tcPr>
                <w:p w14:paraId="780DAC9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0"/>
                      <w:sz w:val="21"/>
                      <w:szCs w:val="21"/>
                      <w:highlight w:val="none"/>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99%</w:t>
                  </w:r>
                </w:p>
              </w:tc>
              <w:tc>
                <w:tcPr>
                  <w:tcW w:w="448" w:type="pct"/>
                  <w:tcBorders>
                    <w:tl2br w:val="nil"/>
                    <w:tr2bl w:val="nil"/>
                  </w:tcBorders>
                  <w:noWrap w:val="0"/>
                  <w:vAlign w:val="center"/>
                </w:tcPr>
                <w:p w14:paraId="4AC70EB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0"/>
                      <w:sz w:val="21"/>
                      <w:szCs w:val="21"/>
                      <w:highlight w:val="none"/>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10000</w:t>
                  </w:r>
                </w:p>
              </w:tc>
              <w:tc>
                <w:tcPr>
                  <w:tcW w:w="338" w:type="pct"/>
                  <w:tcBorders>
                    <w:tl2br w:val="nil"/>
                    <w:tr2bl w:val="nil"/>
                  </w:tcBorders>
                  <w:noWrap w:val="0"/>
                  <w:vAlign w:val="center"/>
                </w:tcPr>
                <w:p w14:paraId="042B9D2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0"/>
                      <w:sz w:val="21"/>
                      <w:szCs w:val="21"/>
                      <w:highlight w:val="none"/>
                      <w:u w:val="none"/>
                      <w:lang w:val="en-US" w:eastAsia="zh-CN" w:bidi="ar"/>
                    </w:rPr>
                  </w:pPr>
                  <w:r>
                    <w:rPr>
                      <w:rFonts w:hint="eastAsia" w:cs="Times New Roman"/>
                      <w:i w:val="0"/>
                      <w:iCs w:val="0"/>
                      <w:color w:val="auto"/>
                      <w:spacing w:val="0"/>
                      <w:kern w:val="0"/>
                      <w:sz w:val="21"/>
                      <w:szCs w:val="21"/>
                      <w:u w:val="none"/>
                      <w:lang w:val="en-US" w:eastAsia="zh-CN" w:bidi="ar"/>
                    </w:rPr>
                    <w:t>0.184</w:t>
                  </w:r>
                </w:p>
              </w:tc>
              <w:tc>
                <w:tcPr>
                  <w:tcW w:w="406" w:type="pct"/>
                  <w:tcBorders>
                    <w:tl2br w:val="nil"/>
                    <w:tr2bl w:val="nil"/>
                  </w:tcBorders>
                  <w:noWrap w:val="0"/>
                  <w:vAlign w:val="center"/>
                </w:tcPr>
                <w:p w14:paraId="5C4738D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0"/>
                      <w:sz w:val="21"/>
                      <w:szCs w:val="21"/>
                      <w:highlight w:val="none"/>
                      <w:u w:val="none"/>
                      <w:lang w:val="en-US" w:eastAsia="zh-CN" w:bidi="ar"/>
                    </w:rPr>
                  </w:pPr>
                  <w:r>
                    <w:rPr>
                      <w:rFonts w:hint="eastAsia" w:cs="Times New Roman"/>
                      <w:i w:val="0"/>
                      <w:iCs w:val="0"/>
                      <w:color w:val="auto"/>
                      <w:spacing w:val="0"/>
                      <w:kern w:val="0"/>
                      <w:sz w:val="21"/>
                      <w:szCs w:val="21"/>
                      <w:u w:val="none"/>
                      <w:lang w:val="en-US" w:eastAsia="zh-CN" w:bidi="ar"/>
                    </w:rPr>
                    <w:t>0.091</w:t>
                  </w:r>
                </w:p>
              </w:tc>
              <w:tc>
                <w:tcPr>
                  <w:tcW w:w="476" w:type="pct"/>
                  <w:tcBorders>
                    <w:tl2br w:val="nil"/>
                    <w:tr2bl w:val="nil"/>
                  </w:tcBorders>
                  <w:noWrap w:val="0"/>
                  <w:vAlign w:val="center"/>
                </w:tcPr>
                <w:p w14:paraId="3638034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0"/>
                      <w:sz w:val="21"/>
                      <w:szCs w:val="21"/>
                      <w:highlight w:val="none"/>
                      <w:u w:val="none"/>
                      <w:lang w:val="en-US" w:eastAsia="zh-CN" w:bidi="ar"/>
                    </w:rPr>
                  </w:pPr>
                  <w:r>
                    <w:rPr>
                      <w:rFonts w:hint="eastAsia" w:cs="Times New Roman"/>
                      <w:i w:val="0"/>
                      <w:iCs w:val="0"/>
                      <w:color w:val="auto"/>
                      <w:spacing w:val="0"/>
                      <w:kern w:val="0"/>
                      <w:sz w:val="21"/>
                      <w:szCs w:val="21"/>
                      <w:u w:val="none"/>
                      <w:lang w:val="en-US" w:eastAsia="zh-CN" w:bidi="ar"/>
                    </w:rPr>
                    <w:t>9.088</w:t>
                  </w:r>
                </w:p>
              </w:tc>
              <w:tc>
                <w:tcPr>
                  <w:tcW w:w="416" w:type="pct"/>
                  <w:tcBorders>
                    <w:tl2br w:val="nil"/>
                    <w:tr2bl w:val="nil"/>
                  </w:tcBorders>
                  <w:noWrap/>
                  <w:vAlign w:val="center"/>
                </w:tcPr>
                <w:p w14:paraId="68B45296">
                  <w:pPr>
                    <w:keepNext w:val="0"/>
                    <w:keepLines w:val="0"/>
                    <w:widowControl/>
                    <w:suppressLineNumbers w:val="0"/>
                    <w:jc w:val="center"/>
                    <w:textAlignment w:val="center"/>
                    <w:rPr>
                      <w:rFonts w:hint="eastAsia" w:ascii="宋体" w:hAnsi="宋体" w:eastAsia="宋体" w:cs="宋体"/>
                      <w:b w:val="0"/>
                      <w:bCs w:val="0"/>
                      <w:i w:val="0"/>
                      <w:iCs w:val="0"/>
                      <w:color w:val="auto"/>
                      <w:spacing w:val="0"/>
                      <w:kern w:val="0"/>
                      <w:sz w:val="21"/>
                      <w:szCs w:val="21"/>
                      <w:highlight w:val="none"/>
                      <w:u w:val="none"/>
                      <w:lang w:val="en-US" w:eastAsia="zh-CN" w:bidi="ar"/>
                    </w:rPr>
                  </w:pPr>
                  <w:r>
                    <w:rPr>
                      <w:rFonts w:hint="eastAsia" w:ascii="宋体" w:hAnsi="宋体" w:eastAsia="宋体" w:cs="宋体"/>
                      <w:i w:val="0"/>
                      <w:iCs w:val="0"/>
                      <w:color w:val="auto"/>
                      <w:spacing w:val="0"/>
                      <w:kern w:val="0"/>
                      <w:sz w:val="21"/>
                      <w:szCs w:val="21"/>
                      <w:u w:val="none"/>
                      <w:lang w:val="en-US" w:eastAsia="zh-CN" w:bidi="ar"/>
                    </w:rPr>
                    <w:t>排气筒</w:t>
                  </w:r>
                  <w:r>
                    <w:rPr>
                      <w:rFonts w:hint="default" w:ascii="Times New Roman" w:hAnsi="Times New Roman" w:eastAsia="宋体" w:cs="Times New Roman"/>
                      <w:i w:val="0"/>
                      <w:iCs w:val="0"/>
                      <w:color w:val="auto"/>
                      <w:spacing w:val="0"/>
                      <w:kern w:val="0"/>
                      <w:sz w:val="21"/>
                      <w:szCs w:val="21"/>
                      <w:u w:val="none"/>
                      <w:lang w:val="en-US" w:eastAsia="zh-CN" w:bidi="ar"/>
                    </w:rPr>
                    <w:t>P1</w:t>
                  </w:r>
                </w:p>
              </w:tc>
            </w:tr>
          </w:tbl>
          <w:p w14:paraId="6A4BEA30">
            <w:pPr>
              <w:keepNext w:val="0"/>
              <w:keepLines w:val="0"/>
              <w:pageBreakBefore w:val="0"/>
              <w:widowControl w:val="0"/>
              <w:numPr>
                <w:ilvl w:val="0"/>
                <w:numId w:val="8"/>
              </w:numPr>
              <w:tabs>
                <w:tab w:val="center" w:pos="0"/>
              </w:tabs>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snapToGrid w:val="0"/>
                <w:color w:val="auto"/>
                <w:spacing w:val="0"/>
                <w:kern w:val="0"/>
                <w:sz w:val="24"/>
                <w:lang w:val="en-US" w:eastAsia="zh-CN"/>
              </w:rPr>
            </w:pPr>
            <w:r>
              <w:rPr>
                <w:rFonts w:hint="default" w:ascii="Times New Roman" w:hAnsi="Times New Roman" w:eastAsia="宋体" w:cs="Times New Roman"/>
                <w:b/>
                <w:bCs/>
                <w:snapToGrid w:val="0"/>
                <w:color w:val="auto"/>
                <w:spacing w:val="0"/>
                <w:kern w:val="0"/>
                <w:sz w:val="24"/>
                <w:lang w:val="en-US" w:eastAsia="zh-CN"/>
              </w:rPr>
              <w:t>废气排放口基本情况</w:t>
            </w:r>
          </w:p>
          <w:tbl>
            <w:tblPr>
              <w:tblStyle w:val="36"/>
              <w:tblW w:w="4995"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837"/>
              <w:gridCol w:w="1354"/>
              <w:gridCol w:w="857"/>
              <w:gridCol w:w="1046"/>
              <w:gridCol w:w="1011"/>
              <w:gridCol w:w="1300"/>
              <w:gridCol w:w="2195"/>
              <w:gridCol w:w="1976"/>
              <w:gridCol w:w="3853"/>
            </w:tblGrid>
            <w:tr w14:paraId="6C0EE1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290" w:type="pct"/>
                  <w:tcBorders>
                    <w:tl2br w:val="nil"/>
                    <w:tr2bl w:val="nil"/>
                  </w:tcBorders>
                  <w:noWrap w:val="0"/>
                  <w:vAlign w:val="center"/>
                </w:tcPr>
                <w:p w14:paraId="23BB1229">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SA"/>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编号</w:t>
                  </w:r>
                </w:p>
              </w:tc>
              <w:tc>
                <w:tcPr>
                  <w:tcW w:w="469" w:type="pct"/>
                  <w:tcBorders>
                    <w:tl2br w:val="nil"/>
                    <w:tr2bl w:val="nil"/>
                  </w:tcBorders>
                  <w:noWrap w:val="0"/>
                  <w:vAlign w:val="center"/>
                </w:tcPr>
                <w:p w14:paraId="1FE4FDCA">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SA"/>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名称</w:t>
                  </w:r>
                </w:p>
              </w:tc>
              <w:tc>
                <w:tcPr>
                  <w:tcW w:w="297" w:type="pct"/>
                  <w:tcBorders>
                    <w:tl2br w:val="nil"/>
                    <w:tr2bl w:val="nil"/>
                  </w:tcBorders>
                  <w:noWrap w:val="0"/>
                  <w:vAlign w:val="center"/>
                </w:tcPr>
                <w:p w14:paraId="47F4FAB4">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高度</w:t>
                  </w:r>
                  <w:r>
                    <w:rPr>
                      <w:rStyle w:val="127"/>
                      <w:rFonts w:hint="default" w:ascii="Times New Roman" w:hAnsi="Times New Roman" w:eastAsia="宋体" w:cs="Times New Roman"/>
                      <w:b w:val="0"/>
                      <w:bCs w:val="0"/>
                      <w:caps w:val="0"/>
                      <w:color w:val="auto"/>
                      <w:spacing w:val="0"/>
                      <w:kern w:val="0"/>
                      <w:position w:val="0"/>
                      <w:sz w:val="21"/>
                      <w:szCs w:val="21"/>
                      <w:highlight w:val="none"/>
                      <w:lang w:val="en-US" w:eastAsia="zh-CN" w:bidi="ar"/>
                    </w:rPr>
                    <w:t>m</w:t>
                  </w:r>
                </w:p>
              </w:tc>
              <w:tc>
                <w:tcPr>
                  <w:tcW w:w="362" w:type="pct"/>
                  <w:tcBorders>
                    <w:tl2br w:val="nil"/>
                    <w:tr2bl w:val="nil"/>
                  </w:tcBorders>
                  <w:noWrap w:val="0"/>
                  <w:vAlign w:val="center"/>
                </w:tcPr>
                <w:p w14:paraId="30EE5F83">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内径</w:t>
                  </w:r>
                  <w:r>
                    <w:rPr>
                      <w:rStyle w:val="127"/>
                      <w:rFonts w:hint="default" w:ascii="Times New Roman" w:hAnsi="Times New Roman" w:eastAsia="宋体" w:cs="Times New Roman"/>
                      <w:b w:val="0"/>
                      <w:bCs w:val="0"/>
                      <w:caps w:val="0"/>
                      <w:color w:val="auto"/>
                      <w:spacing w:val="0"/>
                      <w:kern w:val="0"/>
                      <w:position w:val="0"/>
                      <w:sz w:val="21"/>
                      <w:szCs w:val="21"/>
                      <w:highlight w:val="none"/>
                      <w:lang w:val="en-US" w:eastAsia="zh-CN" w:bidi="ar"/>
                    </w:rPr>
                    <w:t>m</w:t>
                  </w:r>
                </w:p>
              </w:tc>
              <w:tc>
                <w:tcPr>
                  <w:tcW w:w="350" w:type="pct"/>
                  <w:tcBorders>
                    <w:tl2br w:val="nil"/>
                    <w:tr2bl w:val="nil"/>
                  </w:tcBorders>
                  <w:noWrap w:val="0"/>
                  <w:vAlign w:val="center"/>
                </w:tcPr>
                <w:p w14:paraId="54D773A3">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烟温℃</w:t>
                  </w:r>
                </w:p>
              </w:tc>
              <w:tc>
                <w:tcPr>
                  <w:tcW w:w="450" w:type="pct"/>
                  <w:tcBorders>
                    <w:tl2br w:val="nil"/>
                    <w:tr2bl w:val="nil"/>
                  </w:tcBorders>
                  <w:noWrap w:val="0"/>
                  <w:vAlign w:val="center"/>
                </w:tcPr>
                <w:p w14:paraId="0D8405C9">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类型</w:t>
                  </w:r>
                </w:p>
              </w:tc>
              <w:tc>
                <w:tcPr>
                  <w:tcW w:w="760" w:type="pct"/>
                  <w:tcBorders>
                    <w:top w:val="single" w:color="auto" w:sz="4" w:space="0"/>
                    <w:tl2br w:val="nil"/>
                    <w:tr2bl w:val="nil"/>
                  </w:tcBorders>
                  <w:noWrap w:val="0"/>
                  <w:vAlign w:val="center"/>
                </w:tcPr>
                <w:p w14:paraId="4CA9B291">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地理坐标</w:t>
                  </w:r>
                </w:p>
              </w:tc>
              <w:tc>
                <w:tcPr>
                  <w:tcW w:w="684" w:type="pct"/>
                  <w:tcBorders>
                    <w:top w:val="single" w:color="auto" w:sz="4" w:space="0"/>
                    <w:tl2br w:val="nil"/>
                    <w:tr2bl w:val="nil"/>
                  </w:tcBorders>
                  <w:noWrap w:val="0"/>
                  <w:vAlign w:val="center"/>
                </w:tcPr>
                <w:p w14:paraId="1B9384E7">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eastAsia" w:eastAsia="宋体" w:cs="Times New Roman"/>
                      <w:b w:val="0"/>
                      <w:bCs w:val="0"/>
                      <w:i w:val="0"/>
                      <w:iCs w:val="0"/>
                      <w:caps w:val="0"/>
                      <w:color w:val="auto"/>
                      <w:spacing w:val="0"/>
                      <w:kern w:val="0"/>
                      <w:position w:val="0"/>
                      <w:sz w:val="21"/>
                      <w:szCs w:val="21"/>
                      <w:highlight w:val="none"/>
                      <w:u w:val="none"/>
                      <w:lang w:val="en-US" w:eastAsia="zh-CN" w:bidi="ar"/>
                    </w:rPr>
                    <w:t>污染因子</w:t>
                  </w:r>
                </w:p>
              </w:tc>
              <w:tc>
                <w:tcPr>
                  <w:tcW w:w="1334" w:type="pct"/>
                  <w:tcBorders>
                    <w:top w:val="single" w:color="auto" w:sz="4" w:space="0"/>
                    <w:tl2br w:val="nil"/>
                    <w:tr2bl w:val="nil"/>
                  </w:tcBorders>
                  <w:noWrap w:val="0"/>
                  <w:vAlign w:val="center"/>
                </w:tcPr>
                <w:p w14:paraId="0459013E">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排放标准</w:t>
                  </w:r>
                </w:p>
              </w:tc>
            </w:tr>
            <w:tr w14:paraId="4C8AA9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290" w:type="pct"/>
                  <w:tcBorders>
                    <w:tl2br w:val="nil"/>
                    <w:tr2bl w:val="nil"/>
                  </w:tcBorders>
                  <w:noWrap w:val="0"/>
                  <w:vAlign w:val="center"/>
                </w:tcPr>
                <w:p w14:paraId="72885A02">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eastAsia"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DA00</w:t>
                  </w:r>
                  <w:r>
                    <w:rPr>
                      <w:rFonts w:hint="eastAsia" w:cs="Times New Roman"/>
                      <w:b w:val="0"/>
                      <w:bCs w:val="0"/>
                      <w:i w:val="0"/>
                      <w:iCs w:val="0"/>
                      <w:caps w:val="0"/>
                      <w:color w:val="auto"/>
                      <w:spacing w:val="0"/>
                      <w:kern w:val="0"/>
                      <w:position w:val="0"/>
                      <w:sz w:val="21"/>
                      <w:szCs w:val="21"/>
                      <w:highlight w:val="none"/>
                      <w:u w:val="none"/>
                      <w:lang w:val="en-US" w:eastAsia="zh-CN" w:bidi="ar"/>
                    </w:rPr>
                    <w:t>1</w:t>
                  </w:r>
                </w:p>
              </w:tc>
              <w:tc>
                <w:tcPr>
                  <w:tcW w:w="469" w:type="pct"/>
                  <w:tcBorders>
                    <w:tl2br w:val="nil"/>
                    <w:tr2bl w:val="nil"/>
                  </w:tcBorders>
                  <w:noWrap w:val="0"/>
                  <w:vAlign w:val="center"/>
                </w:tcPr>
                <w:p w14:paraId="59C7F177">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eastAsia"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排气筒P</w:t>
                  </w:r>
                  <w:r>
                    <w:rPr>
                      <w:rFonts w:hint="eastAsia" w:cs="Times New Roman"/>
                      <w:b w:val="0"/>
                      <w:bCs w:val="0"/>
                      <w:i w:val="0"/>
                      <w:iCs w:val="0"/>
                      <w:caps w:val="0"/>
                      <w:color w:val="auto"/>
                      <w:spacing w:val="0"/>
                      <w:kern w:val="0"/>
                      <w:position w:val="0"/>
                      <w:sz w:val="21"/>
                      <w:szCs w:val="21"/>
                      <w:highlight w:val="none"/>
                      <w:u w:val="none"/>
                      <w:lang w:val="en-US" w:eastAsia="zh-CN" w:bidi="ar"/>
                    </w:rPr>
                    <w:t>1</w:t>
                  </w:r>
                </w:p>
              </w:tc>
              <w:tc>
                <w:tcPr>
                  <w:tcW w:w="297" w:type="pct"/>
                  <w:tcBorders>
                    <w:tl2br w:val="nil"/>
                    <w:tr2bl w:val="nil"/>
                  </w:tcBorders>
                  <w:noWrap w:val="0"/>
                  <w:vAlign w:val="center"/>
                </w:tcPr>
                <w:p w14:paraId="1DE4238F">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eastAsia"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15</w:t>
                  </w:r>
                </w:p>
              </w:tc>
              <w:tc>
                <w:tcPr>
                  <w:tcW w:w="362" w:type="pct"/>
                  <w:tcBorders>
                    <w:tl2br w:val="nil"/>
                    <w:tr2bl w:val="nil"/>
                  </w:tcBorders>
                  <w:noWrap w:val="0"/>
                  <w:vAlign w:val="center"/>
                </w:tcPr>
                <w:p w14:paraId="392B0A46">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eastAsia" w:cs="Times New Roman"/>
                      <w:b w:val="0"/>
                      <w:bCs w:val="0"/>
                      <w:i w:val="0"/>
                      <w:iCs w:val="0"/>
                      <w:caps w:val="0"/>
                      <w:color w:val="auto"/>
                      <w:spacing w:val="0"/>
                      <w:kern w:val="0"/>
                      <w:position w:val="0"/>
                      <w:sz w:val="21"/>
                      <w:szCs w:val="21"/>
                      <w:highlight w:val="none"/>
                      <w:u w:val="none"/>
                      <w:lang w:val="en-US" w:eastAsia="zh-CN" w:bidi="ar"/>
                    </w:rPr>
                    <w:t>0.5</w:t>
                  </w:r>
                </w:p>
              </w:tc>
              <w:tc>
                <w:tcPr>
                  <w:tcW w:w="350" w:type="pct"/>
                  <w:tcBorders>
                    <w:tl2br w:val="nil"/>
                    <w:tr2bl w:val="nil"/>
                  </w:tcBorders>
                  <w:noWrap w:val="0"/>
                  <w:vAlign w:val="center"/>
                </w:tcPr>
                <w:p w14:paraId="37E34BA1">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eastAsia"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常温</w:t>
                  </w:r>
                </w:p>
              </w:tc>
              <w:tc>
                <w:tcPr>
                  <w:tcW w:w="450" w:type="pct"/>
                  <w:tcBorders>
                    <w:tl2br w:val="nil"/>
                    <w:tr2bl w:val="nil"/>
                  </w:tcBorders>
                  <w:noWrap w:val="0"/>
                  <w:vAlign w:val="center"/>
                </w:tcPr>
                <w:p w14:paraId="465BFE96">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right="0" w:rightChars="0"/>
                    <w:jc w:val="center"/>
                    <w:textAlignment w:val="center"/>
                    <w:rPr>
                      <w:rFonts w:hint="eastAsia"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eastAsia"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一般排放口</w:t>
                  </w:r>
                </w:p>
              </w:tc>
              <w:tc>
                <w:tcPr>
                  <w:tcW w:w="760" w:type="pct"/>
                  <w:tcBorders>
                    <w:tl2br w:val="nil"/>
                    <w:tr2bl w:val="nil"/>
                  </w:tcBorders>
                  <w:noWrap/>
                  <w:vAlign w:val="center"/>
                </w:tcPr>
                <w:p w14:paraId="0213F600">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E116°</w:t>
                  </w:r>
                  <w:r>
                    <w:rPr>
                      <w:rFonts w:hint="eastAsia" w:cs="Times New Roman"/>
                      <w:b w:val="0"/>
                      <w:bCs w:val="0"/>
                      <w:i w:val="0"/>
                      <w:iCs w:val="0"/>
                      <w:caps w:val="0"/>
                      <w:color w:val="auto"/>
                      <w:spacing w:val="0"/>
                      <w:kern w:val="0"/>
                      <w:position w:val="0"/>
                      <w:sz w:val="21"/>
                      <w:szCs w:val="21"/>
                      <w:highlight w:val="none"/>
                      <w:u w:val="none"/>
                      <w:lang w:val="en-US" w:eastAsia="zh-CN" w:bidi="ar"/>
                    </w:rPr>
                    <w:t>16</w:t>
                  </w: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w:t>
                  </w:r>
                  <w:r>
                    <w:rPr>
                      <w:rFonts w:hint="eastAsia" w:cs="Times New Roman"/>
                      <w:b w:val="0"/>
                      <w:bCs w:val="0"/>
                      <w:i w:val="0"/>
                      <w:iCs w:val="0"/>
                      <w:caps w:val="0"/>
                      <w:color w:val="auto"/>
                      <w:spacing w:val="0"/>
                      <w:kern w:val="0"/>
                      <w:position w:val="0"/>
                      <w:sz w:val="21"/>
                      <w:szCs w:val="21"/>
                      <w:highlight w:val="none"/>
                      <w:u w:val="none"/>
                      <w:lang w:val="en-US" w:eastAsia="zh-CN" w:bidi="ar"/>
                    </w:rPr>
                    <w:t>48</w:t>
                  </w: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w:t>
                  </w:r>
                  <w:r>
                    <w:rPr>
                      <w:rFonts w:hint="eastAsia" w:cs="Times New Roman"/>
                      <w:b w:val="0"/>
                      <w:bCs w:val="0"/>
                      <w:i w:val="0"/>
                      <w:iCs w:val="0"/>
                      <w:caps w:val="0"/>
                      <w:color w:val="auto"/>
                      <w:spacing w:val="0"/>
                      <w:kern w:val="0"/>
                      <w:position w:val="0"/>
                      <w:sz w:val="21"/>
                      <w:szCs w:val="21"/>
                      <w:highlight w:val="none"/>
                      <w:u w:val="none"/>
                      <w:lang w:val="en-US" w:eastAsia="zh-CN" w:bidi="ar"/>
                    </w:rPr>
                    <w:t>621</w:t>
                  </w: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w:t>
                  </w:r>
                </w:p>
                <w:p w14:paraId="46643F95">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N35°</w:t>
                  </w:r>
                  <w:r>
                    <w:rPr>
                      <w:rFonts w:hint="eastAsia" w:cs="Times New Roman"/>
                      <w:b w:val="0"/>
                      <w:bCs w:val="0"/>
                      <w:i w:val="0"/>
                      <w:iCs w:val="0"/>
                      <w:caps w:val="0"/>
                      <w:color w:val="auto"/>
                      <w:spacing w:val="0"/>
                      <w:kern w:val="0"/>
                      <w:position w:val="0"/>
                      <w:sz w:val="21"/>
                      <w:szCs w:val="21"/>
                      <w:highlight w:val="none"/>
                      <w:u w:val="none"/>
                      <w:lang w:val="en-US" w:eastAsia="zh-CN" w:bidi="ar"/>
                    </w:rPr>
                    <w:t>28</w:t>
                  </w: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w:t>
                  </w:r>
                  <w:r>
                    <w:rPr>
                      <w:rFonts w:hint="eastAsia" w:cs="Times New Roman"/>
                      <w:b w:val="0"/>
                      <w:bCs w:val="0"/>
                      <w:i w:val="0"/>
                      <w:iCs w:val="0"/>
                      <w:caps w:val="0"/>
                      <w:color w:val="auto"/>
                      <w:spacing w:val="0"/>
                      <w:kern w:val="0"/>
                      <w:position w:val="0"/>
                      <w:sz w:val="21"/>
                      <w:szCs w:val="21"/>
                      <w:highlight w:val="none"/>
                      <w:u w:val="none"/>
                      <w:lang w:val="en-US" w:eastAsia="zh-CN" w:bidi="ar"/>
                    </w:rPr>
                    <w:t>59.331</w:t>
                  </w: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w:t>
                  </w:r>
                </w:p>
              </w:tc>
              <w:tc>
                <w:tcPr>
                  <w:tcW w:w="684" w:type="pct"/>
                  <w:tcBorders>
                    <w:bottom w:val="single" w:color="auto" w:sz="4" w:space="0"/>
                    <w:tl2br w:val="nil"/>
                    <w:tr2bl w:val="nil"/>
                  </w:tcBorders>
                  <w:noWrap/>
                  <w:vAlign w:val="center"/>
                </w:tcPr>
                <w:p w14:paraId="3743C5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SA"/>
                    </w:rPr>
                  </w:pPr>
                  <w:r>
                    <w:rPr>
                      <w:rFonts w:hint="eastAsia" w:ascii="Times New Roman" w:hAnsi="Times New Roman" w:eastAsia="宋体" w:cs="Times New Roman"/>
                      <w:b w:val="0"/>
                      <w:bCs w:val="0"/>
                      <w:color w:val="auto"/>
                      <w:spacing w:val="0"/>
                      <w:kern w:val="0"/>
                      <w:position w:val="0"/>
                      <w:sz w:val="21"/>
                      <w:szCs w:val="21"/>
                      <w:highlight w:val="none"/>
                      <w:lang w:val="en-US" w:eastAsia="zh-CN"/>
                    </w:rPr>
                    <w:t>颗粒物</w:t>
                  </w:r>
                </w:p>
              </w:tc>
              <w:tc>
                <w:tcPr>
                  <w:tcW w:w="1334" w:type="pct"/>
                  <w:tcBorders>
                    <w:bottom w:val="single" w:color="auto" w:sz="4" w:space="0"/>
                    <w:tl2br w:val="nil"/>
                    <w:tr2bl w:val="nil"/>
                  </w:tcBorders>
                  <w:noWrap/>
                  <w:vAlign w:val="center"/>
                </w:tcPr>
                <w:p w14:paraId="719EBAF7">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right="0" w:rightChars="0"/>
                    <w:jc w:val="center"/>
                    <w:textAlignment w:val="center"/>
                    <w:rPr>
                      <w:rFonts w:hint="eastAsia"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eastAsia" w:eastAsia="宋体" w:cs="Times New Roman"/>
                      <w:b w:val="0"/>
                      <w:bCs w:val="0"/>
                      <w:i w:val="0"/>
                      <w:iCs w:val="0"/>
                      <w:caps w:val="0"/>
                      <w:color w:val="auto"/>
                      <w:spacing w:val="0"/>
                      <w:kern w:val="0"/>
                      <w:position w:val="0"/>
                      <w:sz w:val="21"/>
                      <w:szCs w:val="21"/>
                      <w:highlight w:val="none"/>
                      <w:u w:val="none"/>
                      <w:lang w:val="en-US" w:eastAsia="zh-CN" w:bidi="ar"/>
                    </w:rPr>
                    <w:t>浓度：</w:t>
                  </w:r>
                  <w:r>
                    <w:rPr>
                      <w:rFonts w:hint="eastAsia" w:cs="Times New Roman"/>
                      <w:b w:val="0"/>
                      <w:bCs w:val="0"/>
                      <w:i w:val="0"/>
                      <w:iCs w:val="0"/>
                      <w:caps w:val="0"/>
                      <w:color w:val="auto"/>
                      <w:spacing w:val="0"/>
                      <w:kern w:val="0"/>
                      <w:position w:val="0"/>
                      <w:sz w:val="21"/>
                      <w:szCs w:val="21"/>
                      <w:highlight w:val="none"/>
                      <w:u w:val="none"/>
                      <w:lang w:val="en-US" w:eastAsia="zh-CN" w:bidi="ar"/>
                    </w:rPr>
                    <w:t>1</w:t>
                  </w: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0mg/m</w:t>
                  </w:r>
                  <w:r>
                    <w:rPr>
                      <w:rFonts w:hint="default" w:ascii="Times New Roman" w:hAnsi="Times New Roman" w:eastAsia="宋体" w:cs="Times New Roman"/>
                      <w:b w:val="0"/>
                      <w:bCs w:val="0"/>
                      <w:i w:val="0"/>
                      <w:iCs w:val="0"/>
                      <w:caps w:val="0"/>
                      <w:color w:val="auto"/>
                      <w:spacing w:val="0"/>
                      <w:kern w:val="0"/>
                      <w:position w:val="0"/>
                      <w:sz w:val="21"/>
                      <w:szCs w:val="21"/>
                      <w:highlight w:val="none"/>
                      <w:u w:val="none"/>
                      <w:vertAlign w:val="superscript"/>
                      <w:lang w:val="en-US" w:eastAsia="zh-CN" w:bidi="ar"/>
                    </w:rPr>
                    <w:t>3</w:t>
                  </w:r>
                  <w:r>
                    <w:rPr>
                      <w:rFonts w:hint="eastAsia" w:eastAsia="宋体" w:cs="Times New Roman"/>
                      <w:b w:val="0"/>
                      <w:bCs w:val="0"/>
                      <w:i w:val="0"/>
                      <w:iCs w:val="0"/>
                      <w:caps w:val="0"/>
                      <w:color w:val="auto"/>
                      <w:spacing w:val="0"/>
                      <w:kern w:val="0"/>
                      <w:position w:val="0"/>
                      <w:sz w:val="21"/>
                      <w:szCs w:val="21"/>
                      <w:highlight w:val="none"/>
                      <w:u w:val="none"/>
                      <w:lang w:val="en-US" w:eastAsia="zh-CN" w:bidi="ar"/>
                    </w:rPr>
                    <w:t>，速率：3.5</w:t>
                  </w: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kg/h</w:t>
                  </w:r>
                </w:p>
              </w:tc>
            </w:tr>
          </w:tbl>
          <w:p w14:paraId="207ACA8B">
            <w:pPr>
              <w:spacing w:line="360" w:lineRule="auto"/>
              <w:ind w:firstLine="480" w:firstLineChars="200"/>
              <w:rPr>
                <w:rFonts w:hint="default" w:ascii="Times New Roman" w:hAnsi="Times New Roman" w:eastAsia="宋体" w:cs="Times New Roman"/>
                <w:color w:val="auto"/>
                <w:spacing w:val="0"/>
                <w:sz w:val="24"/>
                <w:highlight w:val="none"/>
                <w:lang w:eastAsia="zh-CN"/>
              </w:rPr>
            </w:pPr>
          </w:p>
          <w:p w14:paraId="7739EB67">
            <w:pPr>
              <w:spacing w:line="360" w:lineRule="auto"/>
              <w:ind w:firstLine="480" w:firstLineChars="200"/>
              <w:rPr>
                <w:rFonts w:hint="default" w:ascii="Times New Roman" w:hAnsi="Times New Roman" w:eastAsia="宋体" w:cs="Times New Roman"/>
                <w:color w:val="auto"/>
                <w:spacing w:val="0"/>
                <w:sz w:val="24"/>
                <w:highlight w:val="none"/>
                <w:lang w:eastAsia="zh-CN"/>
              </w:rPr>
            </w:pPr>
          </w:p>
          <w:p w14:paraId="08C299B0">
            <w:pPr>
              <w:spacing w:line="360" w:lineRule="auto"/>
              <w:ind w:firstLine="480" w:firstLineChars="200"/>
              <w:rPr>
                <w:rFonts w:hint="default" w:ascii="Times New Roman" w:hAnsi="Times New Roman" w:eastAsia="宋体" w:cs="Times New Roman"/>
                <w:color w:val="auto"/>
                <w:spacing w:val="0"/>
                <w:sz w:val="24"/>
                <w:highlight w:val="none"/>
                <w:lang w:eastAsia="zh-CN"/>
              </w:rPr>
            </w:pPr>
          </w:p>
          <w:p w14:paraId="239CC2A0">
            <w:pPr>
              <w:spacing w:line="360" w:lineRule="auto"/>
              <w:ind w:firstLine="480" w:firstLineChars="200"/>
              <w:rPr>
                <w:rFonts w:hint="default" w:ascii="Times New Roman" w:hAnsi="Times New Roman" w:eastAsia="宋体" w:cs="Times New Roman"/>
                <w:color w:val="auto"/>
                <w:spacing w:val="0"/>
                <w:sz w:val="24"/>
                <w:highlight w:val="none"/>
                <w:lang w:eastAsia="zh-CN"/>
              </w:rPr>
            </w:pPr>
          </w:p>
          <w:p w14:paraId="3FED11CE">
            <w:pPr>
              <w:spacing w:line="360" w:lineRule="auto"/>
              <w:ind w:firstLine="480" w:firstLineChars="200"/>
              <w:rPr>
                <w:rFonts w:hint="default" w:ascii="Times New Roman" w:hAnsi="Times New Roman" w:eastAsia="宋体" w:cs="Times New Roman"/>
                <w:color w:val="auto"/>
                <w:spacing w:val="0"/>
                <w:sz w:val="24"/>
                <w:highlight w:val="none"/>
                <w:lang w:eastAsia="zh-CN"/>
              </w:rPr>
            </w:pPr>
          </w:p>
          <w:p w14:paraId="02D0DE6B">
            <w:pPr>
              <w:spacing w:line="360" w:lineRule="auto"/>
              <w:ind w:firstLine="480" w:firstLineChars="200"/>
              <w:rPr>
                <w:rFonts w:hint="default" w:ascii="Times New Roman" w:hAnsi="Times New Roman" w:eastAsia="宋体" w:cs="Times New Roman"/>
                <w:color w:val="auto"/>
                <w:spacing w:val="0"/>
                <w:sz w:val="24"/>
                <w:highlight w:val="none"/>
                <w:lang w:eastAsia="zh-CN"/>
              </w:rPr>
            </w:pPr>
          </w:p>
          <w:p w14:paraId="6BD04552">
            <w:pPr>
              <w:spacing w:line="360" w:lineRule="auto"/>
              <w:ind w:firstLine="480" w:firstLineChars="200"/>
              <w:rPr>
                <w:rFonts w:hint="default" w:ascii="Times New Roman" w:hAnsi="Times New Roman" w:eastAsia="宋体" w:cs="Times New Roman"/>
                <w:color w:val="auto"/>
                <w:spacing w:val="0"/>
                <w:sz w:val="24"/>
                <w:highlight w:val="none"/>
                <w:lang w:eastAsia="zh-CN"/>
              </w:rPr>
            </w:pPr>
          </w:p>
          <w:p w14:paraId="5FF158BE">
            <w:pPr>
              <w:spacing w:line="360" w:lineRule="auto"/>
              <w:ind w:firstLine="480" w:firstLineChars="200"/>
              <w:rPr>
                <w:rFonts w:hint="default" w:ascii="Times New Roman" w:hAnsi="Times New Roman" w:eastAsia="宋体" w:cs="Times New Roman"/>
                <w:color w:val="auto"/>
                <w:spacing w:val="0"/>
                <w:sz w:val="24"/>
                <w:highlight w:val="none"/>
                <w:lang w:eastAsia="zh-CN"/>
              </w:rPr>
            </w:pPr>
          </w:p>
          <w:p w14:paraId="2F27F11B">
            <w:pPr>
              <w:spacing w:line="360" w:lineRule="auto"/>
              <w:ind w:firstLine="480" w:firstLineChars="200"/>
              <w:rPr>
                <w:rFonts w:hint="default" w:ascii="Times New Roman" w:hAnsi="Times New Roman" w:eastAsia="宋体" w:cs="Times New Roman"/>
                <w:color w:val="auto"/>
                <w:spacing w:val="0"/>
                <w:sz w:val="24"/>
                <w:highlight w:val="none"/>
                <w:lang w:eastAsia="zh-CN"/>
              </w:rPr>
            </w:pPr>
          </w:p>
          <w:p w14:paraId="600B8893">
            <w:pPr>
              <w:spacing w:line="360" w:lineRule="auto"/>
              <w:ind w:firstLine="480" w:firstLineChars="200"/>
              <w:rPr>
                <w:rFonts w:hint="default" w:ascii="Times New Roman" w:hAnsi="Times New Roman" w:eastAsia="宋体" w:cs="Times New Roman"/>
                <w:color w:val="auto"/>
                <w:spacing w:val="0"/>
                <w:sz w:val="24"/>
                <w:highlight w:val="none"/>
                <w:lang w:eastAsia="zh-CN"/>
              </w:rPr>
            </w:pPr>
          </w:p>
          <w:p w14:paraId="09F2190B">
            <w:pPr>
              <w:spacing w:line="360" w:lineRule="auto"/>
              <w:ind w:firstLine="480" w:firstLineChars="200"/>
              <w:rPr>
                <w:rFonts w:hint="default" w:ascii="Times New Roman" w:hAnsi="Times New Roman" w:eastAsia="宋体" w:cs="Times New Roman"/>
                <w:color w:val="auto"/>
                <w:spacing w:val="0"/>
                <w:sz w:val="24"/>
                <w:highlight w:val="none"/>
                <w:lang w:eastAsia="zh-CN"/>
              </w:rPr>
            </w:pPr>
          </w:p>
          <w:p w14:paraId="1340850A">
            <w:pPr>
              <w:spacing w:line="360" w:lineRule="auto"/>
              <w:ind w:firstLine="480" w:firstLineChars="200"/>
              <w:rPr>
                <w:rFonts w:hint="default" w:ascii="Times New Roman" w:hAnsi="Times New Roman" w:eastAsia="宋体" w:cs="Times New Roman"/>
                <w:color w:val="auto"/>
                <w:spacing w:val="0"/>
                <w:sz w:val="24"/>
                <w:highlight w:val="none"/>
                <w:lang w:eastAsia="zh-CN"/>
              </w:rPr>
            </w:pPr>
          </w:p>
        </w:tc>
      </w:tr>
    </w:tbl>
    <w:p w14:paraId="67678F43">
      <w:pPr>
        <w:pStyle w:val="32"/>
        <w:jc w:val="center"/>
        <w:outlineLvl w:val="0"/>
        <w:rPr>
          <w:rFonts w:hint="default" w:ascii="Times New Roman" w:hAnsi="Times New Roman" w:eastAsia="宋体" w:cs="Times New Roman"/>
          <w:snapToGrid w:val="0"/>
          <w:color w:val="auto"/>
          <w:spacing w:val="0"/>
          <w:sz w:val="30"/>
          <w:szCs w:val="30"/>
        </w:rPr>
        <w:sectPr>
          <w:pgSz w:w="16838" w:h="11906" w:orient="landscape"/>
          <w:pgMar w:top="1440" w:right="1080" w:bottom="1440" w:left="1080"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36"/>
        <w:tblW w:w="50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095"/>
      </w:tblGrid>
      <w:tr w14:paraId="3114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1" w:hRule="atLeast"/>
          <w:jc w:val="center"/>
        </w:trPr>
        <w:tc>
          <w:tcPr>
            <w:tcW w:w="250" w:type="pct"/>
            <w:tcBorders>
              <w:tl2br w:val="nil"/>
              <w:tr2bl w:val="nil"/>
            </w:tcBorders>
            <w:noWrap w:val="0"/>
            <w:tcMar>
              <w:left w:w="28" w:type="dxa"/>
              <w:right w:w="28" w:type="dxa"/>
            </w:tcMar>
            <w:vAlign w:val="center"/>
          </w:tcPr>
          <w:p w14:paraId="77320BDE">
            <w:pPr>
              <w:adjustRightInd w:val="0"/>
              <w:snapToGrid w:val="0"/>
              <w:jc w:val="center"/>
              <w:rPr>
                <w:rFonts w:hint="default" w:ascii="Times New Roman" w:hAnsi="Times New Roman" w:eastAsia="宋体" w:cs="Times New Roman"/>
                <w:color w:val="auto"/>
                <w:spacing w:val="0"/>
                <w:sz w:val="24"/>
                <w:szCs w:val="21"/>
              </w:rPr>
            </w:pPr>
            <w:r>
              <w:rPr>
                <w:rFonts w:hint="default" w:ascii="Times New Roman" w:hAnsi="Times New Roman" w:eastAsia="宋体" w:cs="Times New Roman"/>
                <w:color w:val="auto"/>
                <w:spacing w:val="0"/>
                <w:sz w:val="24"/>
                <w:szCs w:val="21"/>
              </w:rPr>
              <w:t>运营</w:t>
            </w:r>
          </w:p>
          <w:p w14:paraId="797C20AF">
            <w:pPr>
              <w:adjustRightInd w:val="0"/>
              <w:snapToGrid w:val="0"/>
              <w:jc w:val="center"/>
              <w:rPr>
                <w:rFonts w:hint="default" w:ascii="Times New Roman" w:hAnsi="Times New Roman" w:eastAsia="宋体" w:cs="Times New Roman"/>
                <w:color w:val="auto"/>
                <w:spacing w:val="0"/>
                <w:sz w:val="24"/>
                <w:szCs w:val="21"/>
              </w:rPr>
            </w:pPr>
            <w:r>
              <w:rPr>
                <w:rFonts w:hint="default" w:ascii="Times New Roman" w:hAnsi="Times New Roman" w:eastAsia="宋体" w:cs="Times New Roman"/>
                <w:color w:val="auto"/>
                <w:spacing w:val="0"/>
                <w:sz w:val="24"/>
                <w:szCs w:val="21"/>
              </w:rPr>
              <w:t>期环</w:t>
            </w:r>
          </w:p>
          <w:p w14:paraId="56C2733E">
            <w:pPr>
              <w:adjustRightInd w:val="0"/>
              <w:snapToGrid w:val="0"/>
              <w:jc w:val="center"/>
              <w:rPr>
                <w:rFonts w:hint="default" w:ascii="Times New Roman" w:hAnsi="Times New Roman" w:eastAsia="宋体" w:cs="Times New Roman"/>
                <w:color w:val="auto"/>
                <w:spacing w:val="0"/>
                <w:sz w:val="24"/>
                <w:szCs w:val="21"/>
              </w:rPr>
            </w:pPr>
            <w:r>
              <w:rPr>
                <w:rFonts w:hint="default" w:ascii="Times New Roman" w:hAnsi="Times New Roman" w:eastAsia="宋体" w:cs="Times New Roman"/>
                <w:color w:val="auto"/>
                <w:spacing w:val="0"/>
                <w:sz w:val="24"/>
                <w:szCs w:val="21"/>
              </w:rPr>
              <w:t>境影</w:t>
            </w:r>
          </w:p>
          <w:p w14:paraId="6B16DEBD">
            <w:pPr>
              <w:adjustRightInd w:val="0"/>
              <w:snapToGrid w:val="0"/>
              <w:jc w:val="center"/>
              <w:rPr>
                <w:rFonts w:hint="default" w:ascii="Times New Roman" w:hAnsi="Times New Roman" w:eastAsia="宋体" w:cs="Times New Roman"/>
                <w:color w:val="auto"/>
                <w:spacing w:val="0"/>
                <w:sz w:val="24"/>
                <w:szCs w:val="21"/>
              </w:rPr>
            </w:pPr>
            <w:r>
              <w:rPr>
                <w:rFonts w:hint="default" w:ascii="Times New Roman" w:hAnsi="Times New Roman" w:eastAsia="宋体" w:cs="Times New Roman"/>
                <w:color w:val="auto"/>
                <w:spacing w:val="0"/>
                <w:sz w:val="24"/>
                <w:szCs w:val="21"/>
              </w:rPr>
              <w:t>响和</w:t>
            </w:r>
          </w:p>
          <w:p w14:paraId="53191709">
            <w:pPr>
              <w:adjustRightInd w:val="0"/>
              <w:snapToGrid w:val="0"/>
              <w:jc w:val="center"/>
              <w:rPr>
                <w:rFonts w:hint="default" w:ascii="Times New Roman" w:hAnsi="Times New Roman" w:eastAsia="宋体" w:cs="Times New Roman"/>
                <w:color w:val="auto"/>
                <w:spacing w:val="0"/>
                <w:sz w:val="24"/>
                <w:szCs w:val="21"/>
              </w:rPr>
            </w:pPr>
            <w:r>
              <w:rPr>
                <w:rFonts w:hint="default" w:ascii="Times New Roman" w:hAnsi="Times New Roman" w:eastAsia="宋体" w:cs="Times New Roman"/>
                <w:color w:val="auto"/>
                <w:spacing w:val="0"/>
                <w:sz w:val="24"/>
                <w:szCs w:val="21"/>
              </w:rPr>
              <w:t>保护</w:t>
            </w:r>
          </w:p>
          <w:p w14:paraId="6DA29725">
            <w:pPr>
              <w:adjustRightInd w:val="0"/>
              <w:snapToGrid w:val="0"/>
              <w:jc w:val="center"/>
              <w:rPr>
                <w:rFonts w:hint="default" w:ascii="Times New Roman" w:hAnsi="Times New Roman" w:eastAsia="宋体" w:cs="Times New Roman"/>
                <w:b/>
                <w:bCs/>
                <w:color w:val="auto"/>
                <w:spacing w:val="0"/>
                <w:sz w:val="24"/>
                <w:szCs w:val="21"/>
              </w:rPr>
            </w:pPr>
            <w:r>
              <w:rPr>
                <w:rFonts w:hint="default" w:ascii="Times New Roman" w:hAnsi="Times New Roman" w:eastAsia="宋体" w:cs="Times New Roman"/>
                <w:color w:val="auto"/>
                <w:spacing w:val="0"/>
                <w:sz w:val="24"/>
                <w:szCs w:val="21"/>
              </w:rPr>
              <w:t>措施</w:t>
            </w:r>
          </w:p>
        </w:tc>
        <w:tc>
          <w:tcPr>
            <w:tcW w:w="4749" w:type="pct"/>
            <w:tcBorders>
              <w:tl2br w:val="nil"/>
              <w:tr2bl w:val="nil"/>
            </w:tcBorders>
            <w:noWrap w:val="0"/>
            <w:vAlign w:val="center"/>
          </w:tcPr>
          <w:p w14:paraId="0F55F867">
            <w:pPr>
              <w:keepNext w:val="0"/>
              <w:keepLines w:val="0"/>
              <w:pageBreakBefore w:val="0"/>
              <w:widowControl/>
              <w:numPr>
                <w:ilvl w:val="0"/>
                <w:numId w:val="0"/>
              </w:numPr>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b/>
                <w:color w:val="auto"/>
                <w:spacing w:val="0"/>
                <w:sz w:val="24"/>
                <w:szCs w:val="24"/>
                <w:lang w:val="en-US" w:eastAsia="zh-CN"/>
              </w:rPr>
            </w:pPr>
            <w:r>
              <w:rPr>
                <w:rFonts w:hint="default" w:ascii="Times New Roman" w:hAnsi="Times New Roman" w:eastAsia="宋体" w:cs="Times New Roman"/>
                <w:b/>
                <w:color w:val="auto"/>
                <w:spacing w:val="0"/>
                <w:sz w:val="24"/>
                <w:szCs w:val="24"/>
                <w:lang w:val="en-US" w:eastAsia="zh-CN"/>
              </w:rPr>
              <w:t>2、达标分析</w:t>
            </w:r>
          </w:p>
          <w:p w14:paraId="36FF004A">
            <w:pPr>
              <w:pStyle w:val="35"/>
              <w:keepNext w:val="0"/>
              <w:keepLines w:val="0"/>
              <w:pageBreakBefore w:val="0"/>
              <w:kinsoku/>
              <w:wordWrap/>
              <w:overflowPunct/>
              <w:topLinePunct w:val="0"/>
              <w:bidi w:val="0"/>
              <w:adjustRightInd/>
              <w:snapToGrid/>
              <w:spacing w:before="0" w:after="0" w:line="360" w:lineRule="auto"/>
              <w:ind w:left="0" w:leftChars="0" w:firstLine="480" w:firstLineChars="200"/>
              <w:jc w:val="both"/>
              <w:textAlignment w:val="auto"/>
              <w:rPr>
                <w:rFonts w:hint="default" w:ascii="Times New Roman" w:hAnsi="Times New Roman" w:eastAsia="宋体" w:cs="Times New Roman"/>
                <w:color w:val="auto"/>
                <w:spacing w:val="0"/>
                <w:sz w:val="24"/>
                <w:szCs w:val="24"/>
                <w:lang w:val="en-US" w:eastAsia="zh-CN"/>
              </w:rPr>
            </w:pPr>
            <w:r>
              <w:rPr>
                <w:rFonts w:hint="default" w:ascii="Times New Roman" w:hAnsi="Times New Roman" w:eastAsia="宋体" w:cs="Times New Roman"/>
                <w:color w:val="auto"/>
                <w:spacing w:val="0"/>
                <w:sz w:val="24"/>
                <w:szCs w:val="24"/>
                <w:lang w:val="en-US" w:eastAsia="zh-CN"/>
              </w:rPr>
              <w:t>（1）有组织废气</w:t>
            </w:r>
          </w:p>
          <w:p w14:paraId="3E0EC94E">
            <w:pPr>
              <w:pStyle w:val="35"/>
              <w:keepNext w:val="0"/>
              <w:keepLines w:val="0"/>
              <w:pageBreakBefore w:val="0"/>
              <w:kinsoku/>
              <w:wordWrap/>
              <w:overflowPunct/>
              <w:topLinePunct w:val="0"/>
              <w:bidi w:val="0"/>
              <w:adjustRightInd/>
              <w:snapToGrid/>
              <w:spacing w:before="0" w:after="0" w:line="360" w:lineRule="auto"/>
              <w:ind w:left="0" w:leftChars="0" w:firstLine="480" w:firstLineChars="200"/>
              <w:jc w:val="both"/>
              <w:textAlignment w:val="auto"/>
              <w:rPr>
                <w:rFonts w:hint="eastAsia" w:ascii="Times New Roman" w:hAnsi="Times New Roman" w:eastAsia="宋体" w:cs="Times New Roman"/>
                <w:color w:val="auto"/>
                <w:spacing w:val="0"/>
                <w:sz w:val="24"/>
                <w:szCs w:val="24"/>
                <w:lang w:val="en-US" w:eastAsia="zh-CN"/>
              </w:rPr>
            </w:pPr>
            <w:r>
              <w:rPr>
                <w:rFonts w:hint="eastAsia" w:ascii="Times New Roman" w:hAnsi="Times New Roman" w:eastAsia="宋体" w:cs="Times New Roman"/>
                <w:color w:val="auto"/>
                <w:spacing w:val="0"/>
                <w:sz w:val="24"/>
                <w:szCs w:val="24"/>
                <w:lang w:val="en-US" w:eastAsia="zh-CN"/>
              </w:rPr>
              <w:t>颗粒物排放浓度满足《建材工业大气污染物排放标准》（DB37/2373-2018）表2重点控制区标准要求</w:t>
            </w:r>
            <w:r>
              <w:rPr>
                <w:rFonts w:hint="default" w:ascii="Times New Roman" w:hAnsi="Times New Roman" w:eastAsia="宋体" w:cs="Times New Roman"/>
                <w:color w:val="auto"/>
                <w:spacing w:val="0"/>
                <w:sz w:val="24"/>
                <w:szCs w:val="24"/>
                <w:lang w:val="en-US" w:eastAsia="zh-CN"/>
              </w:rPr>
              <w:t>，</w:t>
            </w:r>
            <w:r>
              <w:rPr>
                <w:rFonts w:hint="eastAsia" w:ascii="Times New Roman" w:hAnsi="Times New Roman" w:eastAsia="宋体" w:cs="Times New Roman"/>
                <w:color w:val="auto"/>
                <w:spacing w:val="0"/>
                <w:sz w:val="24"/>
                <w:szCs w:val="24"/>
                <w:lang w:val="en-US" w:eastAsia="zh-CN"/>
              </w:rPr>
              <w:t>排放速率满足</w:t>
            </w:r>
            <w:r>
              <w:rPr>
                <w:rFonts w:hint="default" w:ascii="Times New Roman" w:hAnsi="Times New Roman" w:eastAsia="宋体" w:cs="Times New Roman"/>
                <w:color w:val="auto"/>
                <w:spacing w:val="0"/>
                <w:sz w:val="24"/>
                <w:szCs w:val="24"/>
              </w:rPr>
              <w:t>《大气污染物综合排放标准》（GB16297-1996）表2</w:t>
            </w:r>
            <w:r>
              <w:rPr>
                <w:rFonts w:hint="eastAsia" w:ascii="Times New Roman" w:hAnsi="Times New Roman" w:eastAsia="宋体" w:cs="Times New Roman"/>
                <w:color w:val="auto"/>
                <w:spacing w:val="0"/>
                <w:sz w:val="24"/>
                <w:szCs w:val="24"/>
                <w:lang w:eastAsia="zh-CN"/>
              </w:rPr>
              <w:t>二级标准</w:t>
            </w:r>
            <w:r>
              <w:rPr>
                <w:rFonts w:hint="default" w:ascii="Times New Roman" w:hAnsi="Times New Roman" w:eastAsia="宋体" w:cs="Times New Roman"/>
                <w:color w:val="auto"/>
                <w:spacing w:val="0"/>
                <w:sz w:val="24"/>
                <w:szCs w:val="24"/>
              </w:rPr>
              <w:t>要求</w:t>
            </w:r>
            <w:r>
              <w:rPr>
                <w:rFonts w:hint="default" w:ascii="Times New Roman" w:hAnsi="Times New Roman" w:eastAsia="宋体" w:cs="Times New Roman"/>
                <w:color w:val="auto"/>
                <w:spacing w:val="0"/>
                <w:sz w:val="24"/>
                <w:szCs w:val="24"/>
                <w:lang w:val="en-US" w:eastAsia="zh-CN"/>
              </w:rPr>
              <w:t>。</w:t>
            </w:r>
          </w:p>
          <w:p w14:paraId="47C6C706">
            <w:pPr>
              <w:pStyle w:val="35"/>
              <w:keepNext w:val="0"/>
              <w:keepLines w:val="0"/>
              <w:pageBreakBefore w:val="0"/>
              <w:kinsoku/>
              <w:wordWrap/>
              <w:overflowPunct/>
              <w:topLinePunct w:val="0"/>
              <w:bidi w:val="0"/>
              <w:adjustRightInd/>
              <w:snapToGrid/>
              <w:spacing w:before="0" w:after="0" w:line="360" w:lineRule="auto"/>
              <w:ind w:left="0" w:leftChars="0" w:firstLine="480" w:firstLineChars="200"/>
              <w:jc w:val="both"/>
              <w:textAlignment w:val="auto"/>
              <w:rPr>
                <w:rFonts w:hint="default" w:ascii="Times New Roman" w:hAnsi="Times New Roman" w:eastAsia="宋体" w:cs="Times New Roman"/>
                <w:color w:val="auto"/>
                <w:spacing w:val="0"/>
                <w:sz w:val="24"/>
                <w:szCs w:val="24"/>
                <w:lang w:val="en-US" w:eastAsia="zh-CN"/>
              </w:rPr>
            </w:pPr>
            <w:r>
              <w:rPr>
                <w:rFonts w:hint="default" w:ascii="Times New Roman" w:hAnsi="Times New Roman" w:eastAsia="宋体" w:cs="Times New Roman"/>
                <w:color w:val="auto"/>
                <w:spacing w:val="0"/>
                <w:sz w:val="24"/>
                <w:szCs w:val="24"/>
                <w:lang w:val="en-US" w:eastAsia="zh-CN"/>
              </w:rPr>
              <w:t>（2）无组织废气</w:t>
            </w:r>
          </w:p>
          <w:p w14:paraId="311BEC43">
            <w:pPr>
              <w:pStyle w:val="35"/>
              <w:keepNext w:val="0"/>
              <w:keepLines w:val="0"/>
              <w:pageBreakBefore w:val="0"/>
              <w:kinsoku/>
              <w:wordWrap/>
              <w:overflowPunct/>
              <w:topLinePunct w:val="0"/>
              <w:bidi w:val="0"/>
              <w:adjustRightInd/>
              <w:snapToGrid/>
              <w:spacing w:before="0" w:after="0" w:line="360" w:lineRule="auto"/>
              <w:ind w:left="0" w:leftChars="0" w:firstLine="480" w:firstLineChars="200"/>
              <w:jc w:val="both"/>
              <w:textAlignment w:val="auto"/>
              <w:rPr>
                <w:rFonts w:hint="default" w:ascii="Times New Roman" w:hAnsi="Times New Roman" w:eastAsia="宋体" w:cs="Times New Roman"/>
                <w:color w:val="auto"/>
                <w:spacing w:val="0"/>
                <w:sz w:val="24"/>
                <w:szCs w:val="24"/>
                <w:lang w:val="en-US" w:eastAsia="zh-CN"/>
              </w:rPr>
            </w:pPr>
            <w:r>
              <w:rPr>
                <w:rFonts w:hint="eastAsia" w:ascii="Times New Roman" w:hAnsi="Times New Roman" w:eastAsia="宋体" w:cs="Times New Roman"/>
                <w:color w:val="auto"/>
                <w:spacing w:val="0"/>
                <w:sz w:val="24"/>
                <w:szCs w:val="24"/>
                <w:lang w:val="en-US" w:eastAsia="zh-CN"/>
              </w:rPr>
              <w:t>少量</w:t>
            </w:r>
            <w:r>
              <w:rPr>
                <w:rFonts w:hint="eastAsia" w:ascii="Times New Roman" w:hAnsi="Times New Roman" w:cs="Times New Roman"/>
                <w:color w:val="auto"/>
                <w:spacing w:val="0"/>
                <w:sz w:val="24"/>
                <w:szCs w:val="24"/>
                <w:lang w:val="en-US" w:eastAsia="zh-CN"/>
              </w:rPr>
              <w:t>粉尘</w:t>
            </w:r>
            <w:r>
              <w:rPr>
                <w:rFonts w:hint="eastAsia" w:ascii="Times New Roman" w:hAnsi="Times New Roman" w:eastAsia="宋体" w:cs="Times New Roman"/>
                <w:color w:val="auto"/>
                <w:spacing w:val="0"/>
                <w:sz w:val="24"/>
                <w:szCs w:val="24"/>
                <w:lang w:val="en-US" w:eastAsia="zh-CN"/>
              </w:rPr>
              <w:t>无组织排放</w:t>
            </w:r>
            <w:r>
              <w:rPr>
                <w:rFonts w:hint="default" w:ascii="Times New Roman" w:hAnsi="Times New Roman" w:eastAsia="宋体" w:cs="Times New Roman"/>
                <w:color w:val="auto"/>
                <w:spacing w:val="0"/>
                <w:sz w:val="24"/>
                <w:szCs w:val="24"/>
                <w:lang w:val="en-US" w:eastAsia="zh-CN"/>
              </w:rPr>
              <w:t>，经大气扩散，厂界颗粒物浓度满足</w:t>
            </w:r>
            <w:r>
              <w:rPr>
                <w:rFonts w:hint="default" w:ascii="Times New Roman" w:hAnsi="Times New Roman" w:eastAsia="宋体" w:cs="Times New Roman"/>
                <w:color w:val="auto"/>
                <w:spacing w:val="0"/>
                <w:sz w:val="24"/>
                <w:szCs w:val="22"/>
                <w:lang w:val="en-US" w:eastAsia="zh-CN"/>
              </w:rPr>
              <w:t>《建材工业大气污染物排放标准》（DB37/2373-2018）表3无组织排放限值</w:t>
            </w:r>
            <w:r>
              <w:rPr>
                <w:rFonts w:hint="eastAsia" w:cs="Times New Roman"/>
                <w:color w:val="auto"/>
                <w:spacing w:val="0"/>
                <w:sz w:val="24"/>
                <w:szCs w:val="22"/>
                <w:lang w:val="en-US" w:eastAsia="zh-CN"/>
              </w:rPr>
              <w:t>要求（水泥行业）</w:t>
            </w:r>
            <w:r>
              <w:rPr>
                <w:rFonts w:hint="default" w:ascii="Times New Roman" w:hAnsi="Times New Roman" w:eastAsia="宋体" w:cs="Times New Roman"/>
                <w:color w:val="auto"/>
                <w:spacing w:val="0"/>
                <w:sz w:val="24"/>
                <w:szCs w:val="24"/>
                <w:lang w:val="en-US" w:eastAsia="zh-CN"/>
              </w:rPr>
              <w:t>。</w:t>
            </w:r>
          </w:p>
          <w:p w14:paraId="68370F94">
            <w:pPr>
              <w:keepNext w:val="0"/>
              <w:keepLines w:val="0"/>
              <w:pageBreakBefore w:val="0"/>
              <w:widowControl/>
              <w:numPr>
                <w:ilvl w:val="0"/>
                <w:numId w:val="0"/>
              </w:numPr>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bCs/>
                <w:color w:val="auto"/>
                <w:spacing w:val="0"/>
                <w:sz w:val="24"/>
                <w:szCs w:val="24"/>
              </w:rPr>
            </w:pPr>
            <w:r>
              <w:rPr>
                <w:rFonts w:hint="eastAsia" w:cs="Times New Roman"/>
                <w:b/>
                <w:color w:val="auto"/>
                <w:spacing w:val="0"/>
                <w:sz w:val="24"/>
                <w:szCs w:val="24"/>
                <w:lang w:val="en-US" w:eastAsia="zh-CN"/>
              </w:rPr>
              <w:t>3</w:t>
            </w:r>
            <w:r>
              <w:rPr>
                <w:rFonts w:hint="default" w:ascii="Times New Roman" w:hAnsi="Times New Roman" w:eastAsia="宋体" w:cs="Times New Roman"/>
                <w:b/>
                <w:color w:val="auto"/>
                <w:spacing w:val="0"/>
                <w:sz w:val="24"/>
                <w:szCs w:val="24"/>
                <w:lang w:val="en-US" w:eastAsia="zh-CN"/>
              </w:rPr>
              <w:t>、</w:t>
            </w:r>
            <w:r>
              <w:rPr>
                <w:rFonts w:hint="default" w:ascii="Times New Roman" w:hAnsi="Times New Roman" w:eastAsia="宋体" w:cs="Times New Roman"/>
                <w:b/>
                <w:color w:val="auto"/>
                <w:spacing w:val="0"/>
                <w:sz w:val="24"/>
                <w:szCs w:val="24"/>
              </w:rPr>
              <w:t>治理措施的可行性分析</w:t>
            </w:r>
          </w:p>
          <w:p w14:paraId="63AAD23E">
            <w:pPr>
              <w:pStyle w:val="35"/>
              <w:keepNext w:val="0"/>
              <w:keepLines w:val="0"/>
              <w:pageBreakBefore w:val="0"/>
              <w:kinsoku/>
              <w:wordWrap/>
              <w:overflowPunct/>
              <w:topLinePunct w:val="0"/>
              <w:bidi w:val="0"/>
              <w:adjustRightInd/>
              <w:snapToGrid/>
              <w:spacing w:before="0" w:after="0" w:line="360" w:lineRule="auto"/>
              <w:ind w:left="0" w:leftChars="0" w:firstLine="480" w:firstLineChars="200"/>
              <w:jc w:val="both"/>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参考</w:t>
            </w:r>
            <w:r>
              <w:rPr>
                <w:rFonts w:hint="eastAsia" w:cs="Times New Roman"/>
                <w:color w:val="auto"/>
                <w:spacing w:val="0"/>
                <w:sz w:val="24"/>
                <w:szCs w:val="24"/>
                <w:lang w:eastAsia="zh-CN"/>
              </w:rPr>
              <w:t>《排污单位自行监测技术指南 砖瓦工业》（HJ1254-2022）</w:t>
            </w:r>
            <w:r>
              <w:rPr>
                <w:rFonts w:hint="default" w:ascii="Times New Roman" w:hAnsi="Times New Roman" w:eastAsia="宋体" w:cs="Times New Roman"/>
                <w:color w:val="auto"/>
                <w:spacing w:val="0"/>
                <w:sz w:val="24"/>
                <w:szCs w:val="24"/>
              </w:rPr>
              <w:t>，对于颗粒物污染物，可行的处理方式有袋式除尘器、电除尘器、电袋复合除尘器，所以本项目对颗粒物废气采用</w:t>
            </w:r>
            <w:r>
              <w:rPr>
                <w:rFonts w:hint="eastAsia" w:ascii="Times New Roman" w:hAnsi="Times New Roman" w:eastAsia="宋体" w:cs="Times New Roman"/>
                <w:color w:val="auto"/>
                <w:spacing w:val="0"/>
                <w:sz w:val="24"/>
                <w:szCs w:val="24"/>
                <w:lang w:eastAsia="zh-CN"/>
              </w:rPr>
              <w:t>袋式除尘器</w:t>
            </w:r>
            <w:r>
              <w:rPr>
                <w:rFonts w:hint="default" w:ascii="Times New Roman" w:hAnsi="Times New Roman" w:eastAsia="宋体" w:cs="Times New Roman"/>
                <w:color w:val="auto"/>
                <w:spacing w:val="0"/>
                <w:sz w:val="24"/>
                <w:szCs w:val="24"/>
              </w:rPr>
              <w:t>是合理可行的。</w:t>
            </w:r>
          </w:p>
          <w:p w14:paraId="5585B206">
            <w:pPr>
              <w:pStyle w:val="35"/>
              <w:keepNext w:val="0"/>
              <w:keepLines w:val="0"/>
              <w:pageBreakBefore w:val="0"/>
              <w:kinsoku/>
              <w:wordWrap/>
              <w:overflowPunct/>
              <w:topLinePunct w:val="0"/>
              <w:bidi w:val="0"/>
              <w:adjustRightInd/>
              <w:snapToGrid/>
              <w:spacing w:before="0" w:after="0" w:line="360" w:lineRule="auto"/>
              <w:ind w:left="0" w:leftChars="0" w:firstLine="482" w:firstLineChars="200"/>
              <w:jc w:val="both"/>
              <w:textAlignment w:val="auto"/>
              <w:rPr>
                <w:rFonts w:hint="default" w:ascii="Times New Roman" w:hAnsi="Times New Roman" w:eastAsia="宋体" w:cs="Times New Roman"/>
                <w:b/>
                <w:bCs/>
                <w:color w:val="auto"/>
                <w:spacing w:val="0"/>
                <w:sz w:val="24"/>
                <w:szCs w:val="24"/>
              </w:rPr>
            </w:pPr>
            <w:r>
              <w:rPr>
                <w:rFonts w:hint="default" w:ascii="Times New Roman" w:hAnsi="Times New Roman" w:eastAsia="宋体" w:cs="Times New Roman"/>
                <w:b/>
                <w:bCs/>
                <w:color w:val="auto"/>
                <w:spacing w:val="0"/>
                <w:sz w:val="24"/>
                <w:szCs w:val="24"/>
              </w:rPr>
              <w:t>4、非正常工况分析</w:t>
            </w:r>
          </w:p>
          <w:p w14:paraId="3D370C0A">
            <w:pPr>
              <w:pStyle w:val="35"/>
              <w:keepNext w:val="0"/>
              <w:keepLines w:val="0"/>
              <w:pageBreakBefore w:val="0"/>
              <w:kinsoku/>
              <w:wordWrap/>
              <w:overflowPunct/>
              <w:topLinePunct w:val="0"/>
              <w:bidi w:val="0"/>
              <w:adjustRightInd/>
              <w:snapToGrid/>
              <w:spacing w:before="0" w:after="0" w:line="360" w:lineRule="auto"/>
              <w:ind w:left="0" w:leftChars="0" w:firstLine="480" w:firstLineChars="200"/>
              <w:jc w:val="both"/>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非正常情况下，废气处理设施出现故障，废气不能及时处理而排</w:t>
            </w:r>
            <w:r>
              <w:rPr>
                <w:rFonts w:hint="eastAsia" w:ascii="Times New Roman" w:hAnsi="Times New Roman" w:eastAsia="宋体" w:cs="Times New Roman"/>
                <w:color w:val="auto"/>
                <w:spacing w:val="0"/>
                <w:sz w:val="24"/>
                <w:szCs w:val="24"/>
                <w:lang w:eastAsia="zh-CN"/>
              </w:rPr>
              <w:t>入大气环境</w:t>
            </w:r>
            <w:r>
              <w:rPr>
                <w:rFonts w:hint="default" w:ascii="Times New Roman" w:hAnsi="Times New Roman" w:eastAsia="宋体" w:cs="Times New Roman"/>
                <w:color w:val="auto"/>
                <w:spacing w:val="0"/>
                <w:sz w:val="24"/>
                <w:szCs w:val="24"/>
              </w:rPr>
              <w:t>。非正常工况下，</w:t>
            </w:r>
            <w:r>
              <w:rPr>
                <w:rFonts w:hint="default" w:ascii="Times New Roman" w:hAnsi="Times New Roman" w:eastAsia="宋体" w:cs="Times New Roman"/>
                <w:color w:val="auto"/>
                <w:spacing w:val="0"/>
                <w:sz w:val="24"/>
                <w:szCs w:val="24"/>
                <w:lang w:eastAsia="zh-CN"/>
              </w:rPr>
              <w:t>主要考虑</w:t>
            </w:r>
            <w:r>
              <w:rPr>
                <w:rFonts w:hint="eastAsia" w:ascii="Times New Roman" w:hAnsi="Times New Roman" w:eastAsia="宋体" w:cs="Times New Roman"/>
                <w:color w:val="auto"/>
                <w:spacing w:val="0"/>
                <w:sz w:val="24"/>
                <w:szCs w:val="24"/>
                <w:lang w:eastAsia="zh-CN"/>
              </w:rPr>
              <w:t>袋式除尘器</w:t>
            </w:r>
            <w:r>
              <w:rPr>
                <w:rFonts w:hint="eastAsia" w:ascii="Times New Roman" w:hAnsi="Times New Roman" w:eastAsia="宋体" w:cs="Times New Roman"/>
                <w:color w:val="auto"/>
                <w:spacing w:val="0"/>
                <w:sz w:val="24"/>
                <w:szCs w:val="24"/>
                <w:lang w:val="en-US" w:eastAsia="zh-CN"/>
              </w:rPr>
              <w:t>失效，</w:t>
            </w:r>
            <w:r>
              <w:rPr>
                <w:rFonts w:hint="default" w:ascii="Times New Roman" w:hAnsi="Times New Roman" w:eastAsia="宋体" w:cs="Times New Roman"/>
                <w:color w:val="auto"/>
                <w:spacing w:val="0"/>
                <w:sz w:val="24"/>
                <w:szCs w:val="24"/>
              </w:rPr>
              <w:t>处理效率为</w:t>
            </w:r>
            <w:r>
              <w:rPr>
                <w:rFonts w:hint="default" w:ascii="Times New Roman" w:hAnsi="Times New Roman" w:eastAsia="宋体" w:cs="Times New Roman"/>
                <w:color w:val="auto"/>
                <w:spacing w:val="0"/>
                <w:sz w:val="24"/>
                <w:szCs w:val="24"/>
                <w:lang w:val="en-US" w:eastAsia="zh-CN"/>
              </w:rPr>
              <w:t>0</w:t>
            </w:r>
            <w:r>
              <w:rPr>
                <w:rFonts w:hint="default" w:ascii="Times New Roman" w:hAnsi="Times New Roman" w:eastAsia="宋体" w:cs="Times New Roman"/>
                <w:color w:val="auto"/>
                <w:spacing w:val="0"/>
                <w:sz w:val="24"/>
                <w:szCs w:val="24"/>
              </w:rPr>
              <w:t>，发生频次按每年一次，废气排放情况见下表。</w:t>
            </w:r>
          </w:p>
          <w:p w14:paraId="47D44904">
            <w:pPr>
              <w:keepNext w:val="0"/>
              <w:keepLines w:val="0"/>
              <w:pageBreakBefore w:val="0"/>
              <w:widowControl w:val="0"/>
              <w:numPr>
                <w:ilvl w:val="0"/>
                <w:numId w:val="8"/>
              </w:numPr>
              <w:tabs>
                <w:tab w:val="center" w:pos="0"/>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b/>
                <w:bCs/>
                <w:snapToGrid w:val="0"/>
                <w:color w:val="auto"/>
                <w:spacing w:val="0"/>
                <w:kern w:val="0"/>
                <w:sz w:val="24"/>
                <w:szCs w:val="24"/>
                <w:highlight w:val="none"/>
                <w:lang w:val="en-US" w:eastAsia="zh-CN" w:bidi="ar-SA"/>
              </w:rPr>
            </w:pPr>
            <w:r>
              <w:rPr>
                <w:rFonts w:hint="eastAsia" w:ascii="Times New Roman" w:hAnsi="Times New Roman" w:cs="Times New Roman"/>
                <w:b/>
                <w:bCs/>
                <w:snapToGrid w:val="0"/>
                <w:color w:val="auto"/>
                <w:spacing w:val="0"/>
                <w:kern w:val="0"/>
                <w:sz w:val="24"/>
                <w:szCs w:val="24"/>
                <w:highlight w:val="none"/>
                <w:lang w:val="en-US" w:eastAsia="zh-CN" w:bidi="ar-SA"/>
              </w:rPr>
              <w:t>非正常工况</w:t>
            </w:r>
            <w:r>
              <w:rPr>
                <w:rFonts w:hint="default" w:ascii="Times New Roman" w:hAnsi="Times New Roman" w:cs="Times New Roman"/>
                <w:b/>
                <w:bCs/>
                <w:snapToGrid w:val="0"/>
                <w:color w:val="auto"/>
                <w:spacing w:val="0"/>
                <w:kern w:val="0"/>
                <w:sz w:val="24"/>
                <w:szCs w:val="24"/>
                <w:highlight w:val="none"/>
                <w:lang w:val="en-US" w:eastAsia="zh-CN" w:bidi="ar-SA"/>
              </w:rPr>
              <w:t>排放情况一览表</w:t>
            </w:r>
          </w:p>
          <w:tbl>
            <w:tblPr>
              <w:tblStyle w:val="3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864"/>
              <w:gridCol w:w="908"/>
              <w:gridCol w:w="933"/>
              <w:gridCol w:w="1228"/>
              <w:gridCol w:w="766"/>
              <w:gridCol w:w="902"/>
              <w:gridCol w:w="1379"/>
            </w:tblGrid>
            <w:tr w14:paraId="044D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1" w:type="pct"/>
                  <w:tcBorders>
                    <w:tl2br w:val="nil"/>
                    <w:tr2bl w:val="nil"/>
                  </w:tcBorders>
                  <w:noWrap w:val="0"/>
                  <w:vAlign w:val="center"/>
                </w:tcPr>
                <w:p w14:paraId="37862E6A">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排气筒编号</w:t>
                  </w:r>
                </w:p>
              </w:tc>
              <w:tc>
                <w:tcPr>
                  <w:tcW w:w="549" w:type="pct"/>
                  <w:tcBorders>
                    <w:tl2br w:val="nil"/>
                    <w:tr2bl w:val="nil"/>
                  </w:tcBorders>
                  <w:noWrap w:val="0"/>
                  <w:vAlign w:val="center"/>
                </w:tcPr>
                <w:p w14:paraId="02A9A93C">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排气筒名称</w:t>
                  </w:r>
                </w:p>
              </w:tc>
              <w:tc>
                <w:tcPr>
                  <w:tcW w:w="577" w:type="pct"/>
                  <w:tcBorders>
                    <w:tl2br w:val="nil"/>
                    <w:tr2bl w:val="nil"/>
                  </w:tcBorders>
                  <w:noWrap w:val="0"/>
                  <w:vAlign w:val="center"/>
                </w:tcPr>
                <w:p w14:paraId="7DA5EBED">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污染物</w:t>
                  </w:r>
                </w:p>
              </w:tc>
              <w:tc>
                <w:tcPr>
                  <w:tcW w:w="593" w:type="pct"/>
                  <w:tcBorders>
                    <w:tl2br w:val="nil"/>
                    <w:tr2bl w:val="nil"/>
                  </w:tcBorders>
                  <w:noWrap w:val="0"/>
                  <w:vAlign w:val="center"/>
                </w:tcPr>
                <w:p w14:paraId="3DF279A6">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产生频次</w:t>
                  </w:r>
                </w:p>
              </w:tc>
              <w:tc>
                <w:tcPr>
                  <w:tcW w:w="780" w:type="pct"/>
                  <w:tcBorders>
                    <w:tl2br w:val="nil"/>
                    <w:tr2bl w:val="nil"/>
                  </w:tcBorders>
                  <w:noWrap w:val="0"/>
                  <w:vAlign w:val="center"/>
                </w:tcPr>
                <w:p w14:paraId="63A1329E">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排放浓度</w:t>
                  </w:r>
                </w:p>
                <w:p w14:paraId="5EA6F87A">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mg/m</w:t>
                  </w:r>
                  <w:r>
                    <w:rPr>
                      <w:rFonts w:hint="default" w:ascii="Times New Roman" w:hAnsi="Times New Roman" w:eastAsia="宋体" w:cs="Times New Roman"/>
                      <w:b w:val="0"/>
                      <w:bCs w:val="0"/>
                      <w:caps w:val="0"/>
                      <w:color w:val="auto"/>
                      <w:spacing w:val="0"/>
                      <w:kern w:val="0"/>
                      <w:position w:val="0"/>
                      <w:sz w:val="21"/>
                      <w:szCs w:val="21"/>
                      <w:highlight w:val="none"/>
                      <w:vertAlign w:val="superscript"/>
                    </w:rPr>
                    <w:t>3</w:t>
                  </w:r>
                </w:p>
              </w:tc>
              <w:tc>
                <w:tcPr>
                  <w:tcW w:w="487" w:type="pct"/>
                  <w:tcBorders>
                    <w:tl2br w:val="nil"/>
                    <w:tr2bl w:val="nil"/>
                  </w:tcBorders>
                  <w:noWrap w:val="0"/>
                  <w:vAlign w:val="center"/>
                </w:tcPr>
                <w:p w14:paraId="27150B4B">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持续时间</w:t>
                  </w:r>
                </w:p>
              </w:tc>
              <w:tc>
                <w:tcPr>
                  <w:tcW w:w="573" w:type="pct"/>
                  <w:tcBorders>
                    <w:tl2br w:val="nil"/>
                    <w:tr2bl w:val="nil"/>
                  </w:tcBorders>
                  <w:noWrap w:val="0"/>
                  <w:vAlign w:val="center"/>
                </w:tcPr>
                <w:p w14:paraId="6F56E844">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排放量</w:t>
                  </w:r>
                </w:p>
                <w:p w14:paraId="598B6BD3">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eastAsia" w:cs="Times New Roman"/>
                      <w:b w:val="0"/>
                      <w:bCs w:val="0"/>
                      <w:i w:val="0"/>
                      <w:iCs w:val="0"/>
                      <w:color w:val="auto"/>
                      <w:spacing w:val="0"/>
                      <w:kern w:val="0"/>
                      <w:sz w:val="21"/>
                      <w:szCs w:val="21"/>
                      <w:highlight w:val="none"/>
                      <w:u w:val="none"/>
                      <w:lang w:val="en-US" w:eastAsia="zh-CN" w:bidi="ar"/>
                    </w:rPr>
                    <w:t>kg</w:t>
                  </w:r>
                </w:p>
              </w:tc>
              <w:tc>
                <w:tcPr>
                  <w:tcW w:w="876" w:type="pct"/>
                  <w:tcBorders>
                    <w:tl2br w:val="nil"/>
                    <w:tr2bl w:val="nil"/>
                  </w:tcBorders>
                  <w:noWrap w:val="0"/>
                  <w:vAlign w:val="center"/>
                </w:tcPr>
                <w:p w14:paraId="107A1094">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措施</w:t>
                  </w:r>
                </w:p>
              </w:tc>
            </w:tr>
            <w:tr w14:paraId="2A2F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1" w:type="pct"/>
                  <w:tcBorders>
                    <w:tl2br w:val="nil"/>
                    <w:tr2bl w:val="nil"/>
                  </w:tcBorders>
                  <w:noWrap w:val="0"/>
                  <w:vAlign w:val="center"/>
                </w:tcPr>
                <w:p w14:paraId="43848A29">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DA001</w:t>
                  </w:r>
                </w:p>
              </w:tc>
              <w:tc>
                <w:tcPr>
                  <w:tcW w:w="549" w:type="pct"/>
                  <w:tcBorders>
                    <w:tl2br w:val="nil"/>
                    <w:tr2bl w:val="nil"/>
                  </w:tcBorders>
                  <w:noWrap w:val="0"/>
                  <w:vAlign w:val="center"/>
                </w:tcPr>
                <w:p w14:paraId="0A063E5F">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ascii="Times New Roman" w:hAnsi="Times New Roman" w:eastAsia="宋体" w:cs="Times New Roman"/>
                      <w:b w:val="0"/>
                      <w:bCs w:val="0"/>
                      <w:caps w:val="0"/>
                      <w:color w:val="auto"/>
                      <w:spacing w:val="0"/>
                      <w:kern w:val="0"/>
                      <w:position w:val="0"/>
                      <w:sz w:val="21"/>
                      <w:szCs w:val="21"/>
                      <w:highlight w:val="none"/>
                      <w:lang w:eastAsia="zh-CN"/>
                    </w:rPr>
                    <w:t>排气筒</w:t>
                  </w: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P1</w:t>
                  </w:r>
                </w:p>
              </w:tc>
              <w:tc>
                <w:tcPr>
                  <w:tcW w:w="577" w:type="pct"/>
                  <w:tcBorders>
                    <w:tl2br w:val="nil"/>
                    <w:tr2bl w:val="nil"/>
                  </w:tcBorders>
                  <w:noWrap w:val="0"/>
                  <w:vAlign w:val="center"/>
                </w:tcPr>
                <w:p w14:paraId="201121F8">
                  <w:pPr>
                    <w:autoSpaceDE w:val="0"/>
                    <w:autoSpaceDN w:val="0"/>
                    <w:adjustRightInd w:val="0"/>
                    <w:snapToGrid w:val="0"/>
                    <w:jc w:val="center"/>
                    <w:rPr>
                      <w:rFonts w:hint="eastAsia" w:ascii="Times New Roman" w:hAnsi="Times New Roman" w:eastAsia="宋体" w:cs="Times New Roman"/>
                      <w:b w:val="0"/>
                      <w:bCs w:val="0"/>
                      <w:caps w:val="0"/>
                      <w:color w:val="auto"/>
                      <w:spacing w:val="0"/>
                      <w:kern w:val="0"/>
                      <w:position w:val="0"/>
                      <w:sz w:val="21"/>
                      <w:szCs w:val="21"/>
                      <w:highlight w:val="none"/>
                      <w:lang w:eastAsia="zh-CN"/>
                    </w:rPr>
                  </w:pPr>
                  <w:r>
                    <w:rPr>
                      <w:rFonts w:hint="eastAsia" w:ascii="Times New Roman" w:hAnsi="Times New Roman" w:eastAsia="宋体" w:cs="Times New Roman"/>
                      <w:b w:val="0"/>
                      <w:bCs w:val="0"/>
                      <w:caps w:val="0"/>
                      <w:color w:val="auto"/>
                      <w:spacing w:val="0"/>
                      <w:kern w:val="0"/>
                      <w:position w:val="0"/>
                      <w:sz w:val="21"/>
                      <w:szCs w:val="21"/>
                      <w:highlight w:val="none"/>
                      <w:lang w:eastAsia="zh-CN"/>
                    </w:rPr>
                    <w:t>颗粒物</w:t>
                  </w:r>
                </w:p>
              </w:tc>
              <w:tc>
                <w:tcPr>
                  <w:tcW w:w="593" w:type="pct"/>
                  <w:tcBorders>
                    <w:tl2br w:val="nil"/>
                    <w:tr2bl w:val="nil"/>
                  </w:tcBorders>
                  <w:noWrap w:val="0"/>
                  <w:vAlign w:val="center"/>
                </w:tcPr>
                <w:p w14:paraId="17A5333E">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1次/年</w:t>
                  </w:r>
                </w:p>
              </w:tc>
              <w:tc>
                <w:tcPr>
                  <w:tcW w:w="780" w:type="pct"/>
                  <w:tcBorders>
                    <w:tl2br w:val="nil"/>
                    <w:tr2bl w:val="nil"/>
                  </w:tcBorders>
                  <w:noWrap w:val="0"/>
                  <w:vAlign w:val="center"/>
                </w:tcPr>
                <w:p w14:paraId="63598310">
                  <w:pPr>
                    <w:keepNext w:val="0"/>
                    <w:keepLines w:val="0"/>
                    <w:widowControl/>
                    <w:suppressLineNumbers w:val="0"/>
                    <w:jc w:val="center"/>
                    <w:textAlignment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eastAsia" w:cs="Times New Roman"/>
                      <w:i w:val="0"/>
                      <w:iCs w:val="0"/>
                      <w:color w:val="auto"/>
                      <w:spacing w:val="0"/>
                      <w:kern w:val="0"/>
                      <w:sz w:val="21"/>
                      <w:szCs w:val="21"/>
                      <w:u w:val="none"/>
                      <w:lang w:val="en-US" w:eastAsia="zh-CN" w:bidi="ar"/>
                    </w:rPr>
                    <w:t>908.8</w:t>
                  </w:r>
                </w:p>
              </w:tc>
              <w:tc>
                <w:tcPr>
                  <w:tcW w:w="487" w:type="pct"/>
                  <w:tcBorders>
                    <w:tl2br w:val="nil"/>
                    <w:tr2bl w:val="nil"/>
                  </w:tcBorders>
                  <w:noWrap w:val="0"/>
                  <w:vAlign w:val="center"/>
                </w:tcPr>
                <w:p w14:paraId="67605FB7">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1h</w:t>
                  </w:r>
                </w:p>
              </w:tc>
              <w:tc>
                <w:tcPr>
                  <w:tcW w:w="573" w:type="pct"/>
                  <w:tcBorders>
                    <w:tl2br w:val="nil"/>
                    <w:tr2bl w:val="nil"/>
                  </w:tcBorders>
                  <w:noWrap w:val="0"/>
                  <w:vAlign w:val="center"/>
                </w:tcPr>
                <w:p w14:paraId="2D4770B4">
                  <w:pPr>
                    <w:keepNext w:val="0"/>
                    <w:keepLines w:val="0"/>
                    <w:widowControl/>
                    <w:suppressLineNumbers w:val="0"/>
                    <w:jc w:val="center"/>
                    <w:textAlignment w:val="center"/>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cs="Times New Roman"/>
                      <w:i w:val="0"/>
                      <w:iCs w:val="0"/>
                      <w:color w:val="auto"/>
                      <w:spacing w:val="0"/>
                      <w:kern w:val="0"/>
                      <w:sz w:val="21"/>
                      <w:szCs w:val="21"/>
                      <w:u w:val="none"/>
                      <w:lang w:val="en-US" w:eastAsia="zh-CN" w:bidi="ar"/>
                    </w:rPr>
                    <w:t>9.088</w:t>
                  </w:r>
                </w:p>
              </w:tc>
              <w:tc>
                <w:tcPr>
                  <w:tcW w:w="876" w:type="pct"/>
                  <w:tcBorders>
                    <w:tl2br w:val="nil"/>
                    <w:tr2bl w:val="nil"/>
                  </w:tcBorders>
                  <w:noWrap w:val="0"/>
                  <w:vAlign w:val="center"/>
                </w:tcPr>
                <w:p w14:paraId="515F43F8">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eastAsia" w:ascii="Times New Roman"/>
                      <w:b w:val="0"/>
                      <w:bCs w:val="0"/>
                      <w:caps w:val="0"/>
                      <w:color w:val="auto"/>
                      <w:spacing w:val="0"/>
                      <w:kern w:val="0"/>
                      <w:position w:val="0"/>
                      <w:sz w:val="21"/>
                      <w:szCs w:val="21"/>
                      <w:highlight w:val="none"/>
                    </w:rPr>
                    <w:t>联系维修人员进行检修，修复后进行监测</w:t>
                  </w:r>
                </w:p>
              </w:tc>
            </w:tr>
          </w:tbl>
          <w:p w14:paraId="5DB7CE2B">
            <w:pPr>
              <w:autoSpaceDE w:val="0"/>
              <w:autoSpaceDN w:val="0"/>
              <w:adjustRightInd w:val="0"/>
              <w:snapToGrid w:val="0"/>
              <w:spacing w:line="360" w:lineRule="auto"/>
              <w:ind w:firstLine="482" w:firstLineChars="200"/>
              <w:rPr>
                <w:rFonts w:hint="eastAsia" w:ascii="Times New Roman" w:hAnsi="Times New Roman" w:eastAsia="宋体" w:cs="Times New Roman"/>
                <w:b/>
                <w:bCs/>
                <w:color w:val="auto"/>
                <w:spacing w:val="0"/>
                <w:sz w:val="24"/>
                <w:lang w:val="en-US" w:eastAsia="zh-CN"/>
              </w:rPr>
            </w:pPr>
            <w:r>
              <w:rPr>
                <w:rFonts w:hint="default" w:ascii="Times New Roman" w:hAnsi="Times New Roman" w:eastAsia="宋体" w:cs="Times New Roman"/>
                <w:b/>
                <w:color w:val="auto"/>
                <w:spacing w:val="0"/>
                <w:sz w:val="24"/>
                <w:lang w:val="en-US" w:eastAsia="zh-CN"/>
              </w:rPr>
              <w:t>5、</w:t>
            </w:r>
            <w:r>
              <w:rPr>
                <w:rFonts w:hint="default" w:ascii="Times New Roman" w:hAnsi="Times New Roman" w:eastAsia="宋体" w:cs="Times New Roman"/>
                <w:b/>
                <w:bCs/>
                <w:color w:val="auto"/>
                <w:spacing w:val="0"/>
                <w:sz w:val="24"/>
              </w:rPr>
              <w:t>监测</w:t>
            </w:r>
            <w:r>
              <w:rPr>
                <w:rFonts w:hint="eastAsia" w:ascii="Times New Roman" w:hAnsi="Times New Roman" w:cs="Times New Roman"/>
                <w:b/>
                <w:bCs/>
                <w:color w:val="auto"/>
                <w:spacing w:val="0"/>
                <w:sz w:val="24"/>
                <w:lang w:val="en-US" w:eastAsia="zh-CN"/>
              </w:rPr>
              <w:t>要求</w:t>
            </w:r>
          </w:p>
          <w:p w14:paraId="66B32A52">
            <w:pPr>
              <w:adjustRightInd w:val="0"/>
              <w:snapToGrid w:val="0"/>
              <w:spacing w:line="360" w:lineRule="auto"/>
              <w:ind w:firstLine="482"/>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参考《排污自行监测技术指南 总则》（HJ819-2017）、</w:t>
            </w:r>
            <w:r>
              <w:rPr>
                <w:rFonts w:hint="default" w:ascii="Times New Roman" w:hAnsi="Times New Roman" w:eastAsia="宋体" w:cs="Times New Roman"/>
                <w:color w:val="auto"/>
                <w:spacing w:val="0"/>
                <w:sz w:val="24"/>
                <w:szCs w:val="24"/>
                <w:lang w:eastAsia="zh-CN"/>
              </w:rPr>
              <w:t>《排污单位自行监测技术指南 砖瓦工业》（HJ1254-2022）</w:t>
            </w:r>
            <w:r>
              <w:rPr>
                <w:rFonts w:hint="default" w:ascii="Times New Roman" w:hAnsi="Times New Roman" w:eastAsia="宋体" w:cs="Times New Roman"/>
                <w:color w:val="auto"/>
                <w:spacing w:val="0"/>
                <w:sz w:val="24"/>
              </w:rPr>
              <w:t>，</w:t>
            </w:r>
            <w:r>
              <w:rPr>
                <w:rFonts w:hint="eastAsia" w:ascii="Times New Roman" w:hAnsi="Times New Roman" w:cs="Times New Roman"/>
                <w:color w:val="auto"/>
                <w:spacing w:val="0"/>
                <w:sz w:val="24"/>
                <w:lang w:val="en-US" w:eastAsia="zh-CN"/>
              </w:rPr>
              <w:t>监测要求</w:t>
            </w:r>
            <w:r>
              <w:rPr>
                <w:rFonts w:hint="default" w:ascii="Times New Roman" w:hAnsi="Times New Roman" w:eastAsia="宋体" w:cs="Times New Roman"/>
                <w:color w:val="auto"/>
                <w:spacing w:val="0"/>
                <w:sz w:val="24"/>
              </w:rPr>
              <w:t>见下表。</w:t>
            </w:r>
          </w:p>
          <w:p w14:paraId="0051EB4E">
            <w:pPr>
              <w:keepNext w:val="0"/>
              <w:keepLines w:val="0"/>
              <w:pageBreakBefore w:val="0"/>
              <w:widowControl w:val="0"/>
              <w:numPr>
                <w:ilvl w:val="0"/>
                <w:numId w:val="8"/>
              </w:numPr>
              <w:tabs>
                <w:tab w:val="center" w:pos="0"/>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b/>
                <w:bCs/>
                <w:snapToGrid w:val="0"/>
                <w:color w:val="auto"/>
                <w:spacing w:val="0"/>
                <w:kern w:val="0"/>
                <w:sz w:val="24"/>
                <w:szCs w:val="24"/>
                <w:highlight w:val="none"/>
                <w:lang w:val="en-US" w:eastAsia="en-US" w:bidi="ar-SA"/>
              </w:rPr>
            </w:pPr>
            <w:r>
              <w:rPr>
                <w:rFonts w:hint="default" w:ascii="Times New Roman" w:hAnsi="Times New Roman" w:cs="Times New Roman"/>
                <w:b/>
                <w:bCs/>
                <w:snapToGrid w:val="0"/>
                <w:color w:val="auto"/>
                <w:spacing w:val="0"/>
                <w:kern w:val="0"/>
                <w:sz w:val="24"/>
                <w:szCs w:val="24"/>
                <w:highlight w:val="none"/>
                <w:lang w:val="en-US" w:eastAsia="en-US" w:bidi="ar-SA"/>
              </w:rPr>
              <w:t>大气污染源监测</w:t>
            </w:r>
            <w:r>
              <w:rPr>
                <w:rFonts w:hint="eastAsia" w:ascii="Times New Roman" w:hAnsi="Times New Roman" w:cs="Times New Roman"/>
                <w:b/>
                <w:bCs/>
                <w:snapToGrid w:val="0"/>
                <w:color w:val="auto"/>
                <w:spacing w:val="0"/>
                <w:kern w:val="0"/>
                <w:sz w:val="24"/>
                <w:szCs w:val="24"/>
                <w:highlight w:val="none"/>
                <w:lang w:val="en-US" w:eastAsia="zh-CN" w:bidi="ar-SA"/>
              </w:rPr>
              <w:t>要求</w:t>
            </w:r>
            <w:r>
              <w:rPr>
                <w:rFonts w:hint="default" w:ascii="Times New Roman" w:hAnsi="Times New Roman" w:cs="Times New Roman"/>
                <w:b/>
                <w:bCs/>
                <w:snapToGrid w:val="0"/>
                <w:color w:val="auto"/>
                <w:spacing w:val="0"/>
                <w:kern w:val="0"/>
                <w:sz w:val="24"/>
                <w:szCs w:val="24"/>
                <w:highlight w:val="none"/>
                <w:lang w:val="en-US" w:eastAsia="en-US" w:bidi="ar-SA"/>
              </w:rPr>
              <w:t>一览表</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22"/>
              <w:gridCol w:w="3249"/>
              <w:gridCol w:w="1179"/>
              <w:gridCol w:w="1397"/>
            </w:tblGrid>
            <w:tr w14:paraId="5FA66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7" w:type="pct"/>
                  <w:tcBorders>
                    <w:tl2br w:val="nil"/>
                    <w:tr2bl w:val="nil"/>
                  </w:tcBorders>
                  <w:noWrap w:val="0"/>
                  <w:vAlign w:val="center"/>
                </w:tcPr>
                <w:p w14:paraId="02584F65">
                  <w:pPr>
                    <w:spacing w:line="300" w:lineRule="exact"/>
                    <w:jc w:val="center"/>
                    <w:rPr>
                      <w:rFonts w:hint="default" w:ascii="Times New Roman" w:hAnsi="Times New Roman" w:eastAsia="宋体" w:cs="Times New Roman"/>
                      <w:b/>
                      <w:bCs/>
                      <w:color w:val="auto"/>
                      <w:spacing w:val="0"/>
                    </w:rPr>
                  </w:pPr>
                  <w:r>
                    <w:rPr>
                      <w:rFonts w:hint="default" w:ascii="Times New Roman" w:hAnsi="Times New Roman" w:eastAsia="宋体" w:cs="Times New Roman"/>
                      <w:b/>
                      <w:bCs/>
                      <w:color w:val="auto"/>
                      <w:spacing w:val="0"/>
                    </w:rPr>
                    <w:t>序号</w:t>
                  </w:r>
                </w:p>
              </w:tc>
              <w:tc>
                <w:tcPr>
                  <w:tcW w:w="840" w:type="pct"/>
                  <w:tcBorders>
                    <w:tl2br w:val="nil"/>
                    <w:tr2bl w:val="nil"/>
                  </w:tcBorders>
                  <w:noWrap w:val="0"/>
                  <w:vAlign w:val="center"/>
                </w:tcPr>
                <w:p w14:paraId="2027A622">
                  <w:pPr>
                    <w:spacing w:line="300" w:lineRule="exact"/>
                    <w:jc w:val="center"/>
                    <w:rPr>
                      <w:rFonts w:hint="default" w:ascii="Times New Roman" w:hAnsi="Times New Roman" w:eastAsia="宋体" w:cs="Times New Roman"/>
                      <w:b/>
                      <w:bCs/>
                      <w:color w:val="auto"/>
                      <w:spacing w:val="0"/>
                    </w:rPr>
                  </w:pPr>
                  <w:r>
                    <w:rPr>
                      <w:rFonts w:hint="default" w:ascii="Times New Roman" w:hAnsi="Times New Roman" w:eastAsia="宋体" w:cs="Times New Roman"/>
                      <w:b/>
                      <w:bCs/>
                      <w:color w:val="auto"/>
                      <w:spacing w:val="0"/>
                    </w:rPr>
                    <w:t>监测对象</w:t>
                  </w:r>
                </w:p>
              </w:tc>
              <w:tc>
                <w:tcPr>
                  <w:tcW w:w="2065" w:type="pct"/>
                  <w:tcBorders>
                    <w:tl2br w:val="nil"/>
                    <w:tr2bl w:val="nil"/>
                  </w:tcBorders>
                  <w:noWrap w:val="0"/>
                  <w:vAlign w:val="center"/>
                </w:tcPr>
                <w:p w14:paraId="1CE869BE">
                  <w:pPr>
                    <w:spacing w:line="300" w:lineRule="exact"/>
                    <w:jc w:val="center"/>
                    <w:rPr>
                      <w:rFonts w:hint="default" w:ascii="Times New Roman" w:hAnsi="Times New Roman" w:eastAsia="宋体" w:cs="Times New Roman"/>
                      <w:b/>
                      <w:bCs/>
                      <w:color w:val="auto"/>
                      <w:spacing w:val="0"/>
                    </w:rPr>
                  </w:pPr>
                  <w:r>
                    <w:rPr>
                      <w:rFonts w:hint="default" w:ascii="Times New Roman" w:hAnsi="Times New Roman" w:eastAsia="宋体" w:cs="Times New Roman"/>
                      <w:b/>
                      <w:bCs/>
                      <w:color w:val="auto"/>
                      <w:spacing w:val="0"/>
                    </w:rPr>
                    <w:t>监测点位</w:t>
                  </w:r>
                </w:p>
              </w:tc>
              <w:tc>
                <w:tcPr>
                  <w:tcW w:w="749" w:type="pct"/>
                  <w:tcBorders>
                    <w:tl2br w:val="nil"/>
                    <w:tr2bl w:val="nil"/>
                  </w:tcBorders>
                  <w:noWrap w:val="0"/>
                  <w:vAlign w:val="center"/>
                </w:tcPr>
                <w:p w14:paraId="2D40ECD3">
                  <w:pPr>
                    <w:spacing w:line="300" w:lineRule="exact"/>
                    <w:jc w:val="center"/>
                    <w:rPr>
                      <w:rFonts w:hint="default" w:ascii="Times New Roman" w:hAnsi="Times New Roman" w:eastAsia="宋体" w:cs="Times New Roman"/>
                      <w:b/>
                      <w:bCs/>
                      <w:color w:val="auto"/>
                      <w:spacing w:val="0"/>
                    </w:rPr>
                  </w:pPr>
                  <w:r>
                    <w:rPr>
                      <w:rFonts w:hint="default" w:ascii="Times New Roman" w:hAnsi="Times New Roman" w:eastAsia="宋体" w:cs="Times New Roman"/>
                      <w:b/>
                      <w:bCs/>
                      <w:color w:val="auto"/>
                      <w:spacing w:val="0"/>
                    </w:rPr>
                    <w:t>监测因子</w:t>
                  </w:r>
                </w:p>
              </w:tc>
              <w:tc>
                <w:tcPr>
                  <w:tcW w:w="888" w:type="pct"/>
                  <w:tcBorders>
                    <w:tl2br w:val="nil"/>
                    <w:tr2bl w:val="nil"/>
                  </w:tcBorders>
                  <w:noWrap w:val="0"/>
                  <w:vAlign w:val="center"/>
                </w:tcPr>
                <w:p w14:paraId="2C2FF969">
                  <w:pPr>
                    <w:spacing w:line="300" w:lineRule="exact"/>
                    <w:jc w:val="center"/>
                    <w:rPr>
                      <w:rFonts w:hint="default" w:ascii="Times New Roman" w:hAnsi="Times New Roman" w:eastAsia="宋体" w:cs="Times New Roman"/>
                      <w:b/>
                      <w:bCs/>
                      <w:color w:val="auto"/>
                      <w:spacing w:val="0"/>
                    </w:rPr>
                  </w:pPr>
                  <w:r>
                    <w:rPr>
                      <w:rFonts w:hint="default" w:ascii="Times New Roman" w:hAnsi="Times New Roman" w:eastAsia="宋体" w:cs="Times New Roman"/>
                      <w:b/>
                      <w:bCs/>
                      <w:color w:val="auto"/>
                      <w:spacing w:val="0"/>
                    </w:rPr>
                    <w:t>监测频次</w:t>
                  </w:r>
                </w:p>
              </w:tc>
            </w:tr>
            <w:tr w14:paraId="1822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7" w:type="pct"/>
                  <w:tcBorders>
                    <w:tl2br w:val="nil"/>
                    <w:tr2bl w:val="nil"/>
                  </w:tcBorders>
                  <w:noWrap w:val="0"/>
                  <w:vAlign w:val="center"/>
                </w:tcPr>
                <w:p w14:paraId="2DC5767A">
                  <w:pPr>
                    <w:spacing w:line="300" w:lineRule="exact"/>
                    <w:jc w:val="center"/>
                    <w:rPr>
                      <w:rFonts w:hint="default" w:ascii="Times New Roman" w:hAnsi="Times New Roman" w:eastAsia="宋体" w:cs="Times New Roman"/>
                      <w:color w:val="auto"/>
                      <w:spacing w:val="0"/>
                    </w:rPr>
                  </w:pPr>
                  <w:r>
                    <w:rPr>
                      <w:rFonts w:hint="default" w:ascii="Times New Roman" w:hAnsi="Times New Roman" w:eastAsia="宋体" w:cs="Times New Roman"/>
                      <w:color w:val="auto"/>
                      <w:spacing w:val="0"/>
                    </w:rPr>
                    <w:t>1</w:t>
                  </w:r>
                </w:p>
              </w:tc>
              <w:tc>
                <w:tcPr>
                  <w:tcW w:w="840" w:type="pct"/>
                  <w:tcBorders>
                    <w:tl2br w:val="nil"/>
                    <w:tr2bl w:val="nil"/>
                  </w:tcBorders>
                  <w:noWrap w:val="0"/>
                  <w:vAlign w:val="center"/>
                </w:tcPr>
                <w:p w14:paraId="6B34BC0C">
                  <w:pPr>
                    <w:spacing w:line="300" w:lineRule="exact"/>
                    <w:jc w:val="center"/>
                    <w:rPr>
                      <w:rFonts w:hint="default" w:ascii="Times New Roman" w:hAnsi="Times New Roman" w:eastAsia="宋体" w:cs="Times New Roman"/>
                      <w:color w:val="auto"/>
                      <w:spacing w:val="0"/>
                    </w:rPr>
                  </w:pPr>
                  <w:r>
                    <w:rPr>
                      <w:rFonts w:hint="default" w:ascii="Times New Roman" w:hAnsi="Times New Roman" w:eastAsia="宋体" w:cs="Times New Roman"/>
                      <w:color w:val="auto"/>
                      <w:spacing w:val="0"/>
                    </w:rPr>
                    <w:t>有组织废气</w:t>
                  </w:r>
                </w:p>
              </w:tc>
              <w:tc>
                <w:tcPr>
                  <w:tcW w:w="2065" w:type="pct"/>
                  <w:tcBorders>
                    <w:tl2br w:val="nil"/>
                    <w:tr2bl w:val="nil"/>
                  </w:tcBorders>
                  <w:noWrap w:val="0"/>
                  <w:vAlign w:val="center"/>
                </w:tcPr>
                <w:p w14:paraId="79AF7F5F">
                  <w:pPr>
                    <w:spacing w:line="300" w:lineRule="exact"/>
                    <w:jc w:val="center"/>
                    <w:rPr>
                      <w:rFonts w:hint="default" w:ascii="Times New Roman" w:hAnsi="Times New Roman" w:eastAsia="宋体" w:cs="Times New Roman"/>
                      <w:color w:val="auto"/>
                      <w:spacing w:val="0"/>
                      <w:lang w:val="en-US" w:eastAsia="zh-CN"/>
                    </w:rPr>
                  </w:pPr>
                  <w:r>
                    <w:rPr>
                      <w:rFonts w:hint="default" w:ascii="Times New Roman" w:hAnsi="Times New Roman" w:eastAsia="宋体" w:cs="Times New Roman"/>
                      <w:color w:val="auto"/>
                      <w:spacing w:val="0"/>
                      <w:highlight w:val="none"/>
                    </w:rPr>
                    <w:t>排气筒</w:t>
                  </w:r>
                  <w:r>
                    <w:rPr>
                      <w:rFonts w:hint="default" w:ascii="Times New Roman" w:hAnsi="Times New Roman" w:eastAsia="宋体" w:cs="Times New Roman"/>
                      <w:color w:val="auto"/>
                      <w:spacing w:val="0"/>
                      <w:highlight w:val="none"/>
                      <w:lang w:val="en-US" w:eastAsia="zh-CN"/>
                    </w:rPr>
                    <w:t>DA001</w:t>
                  </w:r>
                </w:p>
              </w:tc>
              <w:tc>
                <w:tcPr>
                  <w:tcW w:w="749" w:type="pct"/>
                  <w:tcBorders>
                    <w:tl2br w:val="nil"/>
                    <w:tr2bl w:val="nil"/>
                  </w:tcBorders>
                  <w:noWrap w:val="0"/>
                  <w:vAlign w:val="center"/>
                </w:tcPr>
                <w:p w14:paraId="2286400E">
                  <w:pPr>
                    <w:spacing w:line="300" w:lineRule="exact"/>
                    <w:jc w:val="center"/>
                    <w:rPr>
                      <w:rFonts w:hint="default" w:ascii="Times New Roman" w:hAnsi="Times New Roman" w:eastAsia="宋体" w:cs="Times New Roman"/>
                      <w:color w:val="auto"/>
                      <w:spacing w:val="0"/>
                    </w:rPr>
                  </w:pPr>
                  <w:r>
                    <w:rPr>
                      <w:rFonts w:hint="default" w:ascii="Times New Roman" w:hAnsi="Times New Roman" w:eastAsia="宋体" w:cs="Times New Roman"/>
                      <w:color w:val="auto"/>
                      <w:spacing w:val="0"/>
                    </w:rPr>
                    <w:t>颗粒物</w:t>
                  </w:r>
                </w:p>
              </w:tc>
              <w:tc>
                <w:tcPr>
                  <w:tcW w:w="888" w:type="pct"/>
                  <w:tcBorders>
                    <w:tl2br w:val="nil"/>
                    <w:tr2bl w:val="nil"/>
                  </w:tcBorders>
                  <w:noWrap w:val="0"/>
                  <w:vAlign w:val="center"/>
                </w:tcPr>
                <w:p w14:paraId="31B41CD9">
                  <w:pPr>
                    <w:spacing w:line="300" w:lineRule="exact"/>
                    <w:jc w:val="center"/>
                    <w:rPr>
                      <w:rFonts w:hint="default" w:ascii="Times New Roman" w:hAnsi="Times New Roman" w:eastAsia="宋体" w:cs="Times New Roman"/>
                      <w:color w:val="auto"/>
                      <w:spacing w:val="0"/>
                    </w:rPr>
                  </w:pPr>
                  <w:r>
                    <w:rPr>
                      <w:rFonts w:hint="default" w:ascii="Times New Roman" w:hAnsi="Times New Roman" w:eastAsia="宋体" w:cs="Times New Roman"/>
                      <w:color w:val="auto"/>
                      <w:spacing w:val="0"/>
                    </w:rPr>
                    <w:t>1次/年</w:t>
                  </w:r>
                </w:p>
              </w:tc>
            </w:tr>
            <w:tr w14:paraId="3629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7" w:type="pct"/>
                  <w:tcBorders>
                    <w:tl2br w:val="nil"/>
                    <w:tr2bl w:val="nil"/>
                  </w:tcBorders>
                  <w:noWrap w:val="0"/>
                  <w:vAlign w:val="center"/>
                </w:tcPr>
                <w:p w14:paraId="6F43A811">
                  <w:pPr>
                    <w:spacing w:line="300" w:lineRule="exact"/>
                    <w:jc w:val="center"/>
                    <w:rPr>
                      <w:rFonts w:hint="default" w:ascii="Times New Roman" w:hAnsi="Times New Roman" w:eastAsia="宋体" w:cs="Times New Roman"/>
                      <w:color w:val="auto"/>
                      <w:spacing w:val="0"/>
                    </w:rPr>
                  </w:pPr>
                  <w:r>
                    <w:rPr>
                      <w:rFonts w:hint="default" w:ascii="Times New Roman" w:hAnsi="Times New Roman" w:eastAsia="宋体" w:cs="Times New Roman"/>
                      <w:color w:val="auto"/>
                      <w:spacing w:val="0"/>
                    </w:rPr>
                    <w:t>2</w:t>
                  </w:r>
                </w:p>
              </w:tc>
              <w:tc>
                <w:tcPr>
                  <w:tcW w:w="840" w:type="pct"/>
                  <w:tcBorders>
                    <w:tl2br w:val="nil"/>
                    <w:tr2bl w:val="nil"/>
                  </w:tcBorders>
                  <w:noWrap w:val="0"/>
                  <w:vAlign w:val="center"/>
                </w:tcPr>
                <w:p w14:paraId="39769E78">
                  <w:pPr>
                    <w:spacing w:line="300" w:lineRule="exact"/>
                    <w:jc w:val="center"/>
                    <w:rPr>
                      <w:rFonts w:hint="default" w:ascii="Times New Roman" w:hAnsi="Times New Roman" w:eastAsia="宋体" w:cs="Times New Roman"/>
                      <w:color w:val="auto"/>
                      <w:spacing w:val="0"/>
                    </w:rPr>
                  </w:pPr>
                  <w:r>
                    <w:rPr>
                      <w:rFonts w:hint="default" w:ascii="Times New Roman" w:hAnsi="Times New Roman" w:eastAsia="宋体" w:cs="Times New Roman"/>
                      <w:color w:val="auto"/>
                      <w:spacing w:val="0"/>
                    </w:rPr>
                    <w:t>无组织废气</w:t>
                  </w:r>
                </w:p>
              </w:tc>
              <w:tc>
                <w:tcPr>
                  <w:tcW w:w="2065" w:type="pct"/>
                  <w:tcBorders>
                    <w:tl2br w:val="nil"/>
                    <w:tr2bl w:val="nil"/>
                  </w:tcBorders>
                  <w:noWrap w:val="0"/>
                  <w:vAlign w:val="center"/>
                </w:tcPr>
                <w:p w14:paraId="26A3E506">
                  <w:pPr>
                    <w:spacing w:line="300" w:lineRule="exact"/>
                    <w:jc w:val="center"/>
                    <w:rPr>
                      <w:rFonts w:hint="default" w:ascii="Times New Roman" w:hAnsi="Times New Roman" w:eastAsia="宋体" w:cs="Times New Roman"/>
                      <w:color w:val="auto"/>
                      <w:spacing w:val="0"/>
                    </w:rPr>
                  </w:pPr>
                  <w:r>
                    <w:rPr>
                      <w:rFonts w:hint="default" w:ascii="Times New Roman" w:hAnsi="Times New Roman" w:eastAsia="宋体" w:cs="Times New Roman"/>
                      <w:color w:val="auto"/>
                      <w:spacing w:val="0"/>
                    </w:rPr>
                    <w:t>厂界（上风向1个点，下风向3个点）</w:t>
                  </w:r>
                </w:p>
              </w:tc>
              <w:tc>
                <w:tcPr>
                  <w:tcW w:w="749" w:type="pct"/>
                  <w:tcBorders>
                    <w:tl2br w:val="nil"/>
                    <w:tr2bl w:val="nil"/>
                  </w:tcBorders>
                  <w:noWrap w:val="0"/>
                  <w:vAlign w:val="center"/>
                </w:tcPr>
                <w:p w14:paraId="50075C27">
                  <w:pPr>
                    <w:spacing w:line="300" w:lineRule="exact"/>
                    <w:jc w:val="center"/>
                    <w:rPr>
                      <w:rFonts w:hint="default" w:ascii="Times New Roman" w:hAnsi="Times New Roman" w:eastAsia="宋体" w:cs="Times New Roman"/>
                      <w:color w:val="auto"/>
                      <w:spacing w:val="0"/>
                    </w:rPr>
                  </w:pPr>
                  <w:r>
                    <w:rPr>
                      <w:rFonts w:hint="default" w:ascii="Times New Roman" w:hAnsi="Times New Roman" w:eastAsia="宋体" w:cs="Times New Roman"/>
                      <w:color w:val="auto"/>
                      <w:spacing w:val="0"/>
                    </w:rPr>
                    <w:t>颗粒物</w:t>
                  </w:r>
                </w:p>
              </w:tc>
              <w:tc>
                <w:tcPr>
                  <w:tcW w:w="888" w:type="pct"/>
                  <w:tcBorders>
                    <w:tl2br w:val="nil"/>
                    <w:tr2bl w:val="nil"/>
                  </w:tcBorders>
                  <w:noWrap w:val="0"/>
                  <w:vAlign w:val="center"/>
                </w:tcPr>
                <w:p w14:paraId="0BF86D65">
                  <w:pPr>
                    <w:spacing w:line="300" w:lineRule="exact"/>
                    <w:jc w:val="center"/>
                    <w:rPr>
                      <w:rFonts w:hint="default" w:ascii="Times New Roman" w:hAnsi="Times New Roman" w:eastAsia="宋体" w:cs="Times New Roman"/>
                      <w:color w:val="auto"/>
                      <w:spacing w:val="0"/>
                    </w:rPr>
                  </w:pPr>
                  <w:r>
                    <w:rPr>
                      <w:rFonts w:hint="default" w:ascii="Times New Roman" w:hAnsi="Times New Roman" w:eastAsia="宋体" w:cs="Times New Roman"/>
                      <w:color w:val="auto"/>
                      <w:spacing w:val="0"/>
                    </w:rPr>
                    <w:t>1次/年</w:t>
                  </w:r>
                </w:p>
              </w:tc>
            </w:tr>
          </w:tbl>
          <w:p w14:paraId="11923E6E">
            <w:pPr>
              <w:keepNext w:val="0"/>
              <w:keepLines w:val="0"/>
              <w:pageBreakBefore w:val="0"/>
              <w:widowControl w:val="0"/>
              <w:kinsoku/>
              <w:wordWrap/>
              <w:overflowPunct/>
              <w:topLinePunct w:val="0"/>
              <w:bidi w:val="0"/>
              <w:adjustRightInd/>
              <w:snapToGrid/>
              <w:spacing w:line="360" w:lineRule="auto"/>
              <w:ind w:left="0" w:firstLine="482" w:firstLineChars="200"/>
              <w:jc w:val="both"/>
              <w:textAlignment w:val="auto"/>
              <w:rPr>
                <w:rFonts w:hint="default" w:ascii="Times New Roman" w:hAnsi="Times New Roman" w:eastAsia="宋体" w:cs="Times New Roman"/>
                <w:b/>
                <w:bCs/>
                <w:color w:val="auto"/>
                <w:spacing w:val="0"/>
                <w:kern w:val="2"/>
                <w:sz w:val="24"/>
                <w:szCs w:val="24"/>
                <w:lang w:val="en-US" w:eastAsia="zh-CN" w:bidi="ar-SA"/>
              </w:rPr>
            </w:pPr>
            <w:r>
              <w:rPr>
                <w:rFonts w:hint="eastAsia" w:cs="Times New Roman"/>
                <w:b/>
                <w:color w:val="auto"/>
                <w:spacing w:val="0"/>
                <w:sz w:val="24"/>
                <w:szCs w:val="24"/>
                <w:lang w:val="en-US" w:eastAsia="zh-CN"/>
              </w:rPr>
              <w:t>6</w:t>
            </w:r>
            <w:r>
              <w:rPr>
                <w:rFonts w:hint="default" w:ascii="Times New Roman" w:hAnsi="Times New Roman" w:eastAsia="宋体" w:cs="Times New Roman"/>
                <w:b/>
                <w:color w:val="auto"/>
                <w:spacing w:val="0"/>
                <w:sz w:val="24"/>
                <w:szCs w:val="24"/>
                <w:lang w:val="en-US" w:eastAsia="zh-CN"/>
              </w:rPr>
              <w:t>、</w:t>
            </w:r>
            <w:r>
              <w:rPr>
                <w:rFonts w:hint="default" w:ascii="Times New Roman" w:hAnsi="Times New Roman" w:eastAsia="宋体" w:cs="Times New Roman"/>
                <w:b/>
                <w:bCs/>
                <w:color w:val="auto"/>
                <w:spacing w:val="0"/>
                <w:kern w:val="2"/>
                <w:sz w:val="24"/>
                <w:szCs w:val="24"/>
                <w:lang w:val="en-US" w:eastAsia="zh-CN" w:bidi="ar-SA"/>
              </w:rPr>
              <w:t>环境影响分析</w:t>
            </w:r>
          </w:p>
          <w:p w14:paraId="30920D39">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sz w:val="24"/>
                <w:szCs w:val="24"/>
                <w:lang w:val="en-US" w:eastAsia="zh-CN"/>
              </w:rPr>
            </w:pPr>
            <w:r>
              <w:rPr>
                <w:rFonts w:hint="default" w:ascii="Times New Roman" w:hAnsi="Times New Roman" w:eastAsia="宋体" w:cs="Times New Roman"/>
                <w:color w:val="auto"/>
                <w:spacing w:val="0"/>
                <w:sz w:val="24"/>
                <w:szCs w:val="24"/>
                <w:lang w:val="en-US" w:eastAsia="zh-CN"/>
              </w:rPr>
              <w:t>本项目废气污染物采取可行的处理措施后均可达标排放，排放量较小。本项目所在区域为不达标区域，相关污染物实施2倍量替代的情况下，本项目对周围的环境空气影响较小。</w:t>
            </w:r>
          </w:p>
          <w:p w14:paraId="4CDF3237">
            <w:pPr>
              <w:keepNext w:val="0"/>
              <w:keepLines w:val="0"/>
              <w:pageBreakBefore w:val="0"/>
              <w:widowControl/>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b/>
                <w:bCs/>
                <w:color w:val="auto"/>
                <w:spacing w:val="0"/>
                <w:sz w:val="24"/>
                <w:szCs w:val="24"/>
                <w:lang w:val="en-US" w:eastAsia="zh-CN"/>
              </w:rPr>
            </w:pPr>
            <w:r>
              <w:rPr>
                <w:rFonts w:hint="default" w:ascii="Times New Roman" w:hAnsi="Times New Roman" w:eastAsia="宋体" w:cs="Times New Roman"/>
                <w:b/>
                <w:bCs/>
                <w:color w:val="auto"/>
                <w:spacing w:val="0"/>
                <w:sz w:val="24"/>
                <w:szCs w:val="24"/>
                <w:lang w:val="en-US" w:eastAsia="zh-CN"/>
              </w:rPr>
              <w:t>根据本项目特点，本次评价提出以下要求：</w:t>
            </w:r>
          </w:p>
          <w:p w14:paraId="4EC24407">
            <w:pPr>
              <w:keepNext w:val="0"/>
              <w:keepLines w:val="0"/>
              <w:pageBreakBefore w:val="0"/>
              <w:widowControl w:val="0"/>
              <w:numPr>
                <w:ilvl w:val="0"/>
                <w:numId w:val="0"/>
              </w:numPr>
              <w:kinsoku/>
              <w:wordWrap/>
              <w:overflowPunct/>
              <w:topLinePunct w:val="0"/>
              <w:bidi w:val="0"/>
              <w:adjustRightInd/>
              <w:snapToGrid/>
              <w:spacing w:line="360" w:lineRule="auto"/>
              <w:ind w:left="0" w:firstLine="482" w:firstLineChars="200"/>
              <w:jc w:val="both"/>
              <w:textAlignment w:val="auto"/>
              <w:rPr>
                <w:rFonts w:hint="default" w:ascii="Times New Roman" w:hAnsi="Times New Roman" w:eastAsia="宋体" w:cs="Times New Roman"/>
                <w:color w:val="auto"/>
                <w:spacing w:val="0"/>
                <w:kern w:val="0"/>
                <w:position w:val="0"/>
                <w:sz w:val="24"/>
                <w:szCs w:val="24"/>
                <w:highlight w:val="none"/>
                <w:lang w:eastAsia="zh-CN"/>
              </w:rPr>
            </w:pPr>
            <w:r>
              <w:rPr>
                <w:rFonts w:hint="default" w:ascii="Times New Roman" w:hAnsi="Times New Roman" w:eastAsia="宋体" w:cs="Times New Roman"/>
                <w:b/>
                <w:bCs/>
                <w:color w:val="auto"/>
                <w:spacing w:val="0"/>
                <w:kern w:val="0"/>
                <w:position w:val="0"/>
                <w:sz w:val="24"/>
                <w:szCs w:val="24"/>
                <w:highlight w:val="none"/>
                <w:lang w:val="en-US" w:eastAsia="zh-CN"/>
              </w:rPr>
              <w:t>物料储存要求：</w:t>
            </w:r>
            <w:r>
              <w:rPr>
                <w:rFonts w:hint="default" w:ascii="Times New Roman" w:hAnsi="Times New Roman" w:eastAsia="宋体" w:cs="Times New Roman"/>
                <w:b w:val="0"/>
                <w:bCs w:val="0"/>
                <w:color w:val="auto"/>
                <w:spacing w:val="0"/>
                <w:kern w:val="0"/>
                <w:position w:val="0"/>
                <w:sz w:val="24"/>
                <w:szCs w:val="24"/>
                <w:highlight w:val="none"/>
                <w:lang w:val="en-US" w:eastAsia="zh-CN"/>
              </w:rPr>
              <w:t>原料堆场、生产设备均设置在密闭车间内，车间顶部设置喷淋装置，覆盖整个车间。运输车辆卸载和上料时须采取喷淋措施。</w:t>
            </w:r>
            <w:r>
              <w:rPr>
                <w:rFonts w:hint="default" w:ascii="Times New Roman" w:hAnsi="Times New Roman" w:eastAsia="宋体" w:cs="Times New Roman"/>
                <w:b w:val="0"/>
                <w:bCs w:val="0"/>
                <w:color w:val="auto"/>
                <w:spacing w:val="0"/>
                <w:kern w:val="0"/>
                <w:position w:val="0"/>
                <w:sz w:val="24"/>
                <w:szCs w:val="24"/>
                <w:highlight w:val="none"/>
                <w:lang w:eastAsia="zh-CN"/>
              </w:rPr>
              <w:t>根据生产需要外购原材料，不大量存放。</w:t>
            </w:r>
          </w:p>
          <w:p w14:paraId="2808C236">
            <w:pPr>
              <w:keepNext w:val="0"/>
              <w:keepLines w:val="0"/>
              <w:pageBreakBefore w:val="0"/>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b/>
                <w:bCs/>
                <w:color w:val="auto"/>
                <w:spacing w:val="0"/>
                <w:sz w:val="24"/>
                <w:szCs w:val="24"/>
              </w:rPr>
              <w:t>洗车</w:t>
            </w:r>
            <w:r>
              <w:rPr>
                <w:rFonts w:hint="default" w:ascii="Times New Roman" w:hAnsi="Times New Roman" w:eastAsia="宋体" w:cs="Times New Roman"/>
                <w:b/>
                <w:bCs/>
                <w:color w:val="auto"/>
                <w:spacing w:val="0"/>
                <w:sz w:val="24"/>
                <w:szCs w:val="24"/>
                <w:lang w:val="en-US" w:eastAsia="zh-CN"/>
              </w:rPr>
              <w:t>设施</w:t>
            </w:r>
            <w:r>
              <w:rPr>
                <w:rFonts w:hint="default" w:ascii="Times New Roman" w:hAnsi="Times New Roman" w:eastAsia="宋体" w:cs="Times New Roman"/>
                <w:b/>
                <w:bCs/>
                <w:color w:val="auto"/>
                <w:spacing w:val="0"/>
                <w:sz w:val="24"/>
                <w:szCs w:val="24"/>
              </w:rPr>
              <w:t>设置要求：</w:t>
            </w:r>
            <w:r>
              <w:rPr>
                <w:rFonts w:hint="eastAsia" w:cs="Times New Roman"/>
                <w:color w:val="auto"/>
                <w:spacing w:val="0"/>
                <w:sz w:val="24"/>
                <w:szCs w:val="24"/>
                <w:lang w:val="en-US" w:eastAsia="zh-CN"/>
              </w:rPr>
              <w:t>洗车台配套建设沉淀池</w:t>
            </w:r>
            <w:r>
              <w:rPr>
                <w:rFonts w:hint="default" w:ascii="Times New Roman" w:hAnsi="Times New Roman" w:eastAsia="宋体" w:cs="Times New Roman"/>
                <w:color w:val="auto"/>
                <w:spacing w:val="0"/>
                <w:sz w:val="24"/>
                <w:szCs w:val="24"/>
              </w:rPr>
              <w:t>，用于进出车辆的冲洗，车辆冲洗废水经沉淀池沉淀后循环使用，定期补充消耗，不外排。</w:t>
            </w:r>
          </w:p>
          <w:p w14:paraId="059BB480">
            <w:pPr>
              <w:keepNext w:val="0"/>
              <w:keepLines w:val="0"/>
              <w:pageBreakBefore w:val="0"/>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b/>
                <w:bCs/>
                <w:color w:val="auto"/>
                <w:spacing w:val="0"/>
                <w:sz w:val="24"/>
                <w:szCs w:val="24"/>
              </w:rPr>
              <w:t>厂区内道路硬化及防尘要求：</w:t>
            </w:r>
            <w:r>
              <w:rPr>
                <w:rFonts w:hint="default" w:ascii="Times New Roman" w:hAnsi="Times New Roman" w:eastAsia="宋体" w:cs="Times New Roman"/>
                <w:color w:val="auto"/>
                <w:spacing w:val="0"/>
                <w:sz w:val="24"/>
                <w:szCs w:val="24"/>
              </w:rPr>
              <w:t>本项目生产车间内部及周边道路需进行硬化，道路原则上每天湿式清扫不得少于2次，洒水不得少于4次。应根据实际生产情况，增设雾炮、洒水车等降尘配备，干燥、大风天气时要加大清扫、洒水频率，以保持路面清洁，以不产生扬尘为目标。</w:t>
            </w:r>
          </w:p>
          <w:p w14:paraId="77EE842D">
            <w:pPr>
              <w:keepNext w:val="0"/>
              <w:keepLines w:val="0"/>
              <w:pageBreakBefore w:val="0"/>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b/>
                <w:bCs/>
                <w:color w:val="auto"/>
                <w:spacing w:val="0"/>
                <w:sz w:val="24"/>
                <w:szCs w:val="24"/>
              </w:rPr>
              <w:t>厂区内监控要求：</w:t>
            </w:r>
            <w:r>
              <w:rPr>
                <w:rFonts w:hint="default" w:ascii="Times New Roman" w:hAnsi="Times New Roman" w:eastAsia="宋体" w:cs="Times New Roman"/>
                <w:color w:val="auto"/>
                <w:spacing w:val="0"/>
                <w:sz w:val="24"/>
                <w:szCs w:val="24"/>
              </w:rPr>
              <w:t>本项目对应生产单元应配置视频监控系统，监控范围包括生产车间内部及周边道路等。</w:t>
            </w:r>
          </w:p>
          <w:p w14:paraId="71B2FAA1">
            <w:pPr>
              <w:keepNext w:val="0"/>
              <w:keepLines w:val="0"/>
              <w:pageBreakBefore w:val="0"/>
              <w:widowControl w:val="0"/>
              <w:numPr>
                <w:ilvl w:val="0"/>
                <w:numId w:val="0"/>
              </w:numPr>
              <w:kinsoku/>
              <w:wordWrap/>
              <w:overflowPunct/>
              <w:topLinePunct w:val="0"/>
              <w:bidi w:val="0"/>
              <w:adjustRightInd/>
              <w:snapToGrid/>
              <w:spacing w:line="360" w:lineRule="auto"/>
              <w:ind w:left="0" w:firstLine="482" w:firstLineChars="200"/>
              <w:jc w:val="both"/>
              <w:textAlignment w:val="auto"/>
              <w:rPr>
                <w:rFonts w:hint="eastAsia" w:cs="Times New Roman"/>
                <w:b w:val="0"/>
                <w:bCs w:val="0"/>
                <w:color w:val="auto"/>
                <w:spacing w:val="0"/>
                <w:sz w:val="24"/>
                <w:szCs w:val="24"/>
                <w:highlight w:val="none"/>
                <w:lang w:val="en-US" w:eastAsia="zh-CN"/>
              </w:rPr>
            </w:pPr>
            <w:r>
              <w:rPr>
                <w:rFonts w:hint="eastAsia" w:ascii="Times New Roman" w:hAnsi="Times New Roman" w:eastAsia="宋体" w:cs="Times New Roman"/>
                <w:b/>
                <w:bCs/>
                <w:color w:val="auto"/>
                <w:spacing w:val="0"/>
                <w:kern w:val="0"/>
                <w:position w:val="0"/>
                <w:sz w:val="24"/>
                <w:szCs w:val="24"/>
                <w:highlight w:val="none"/>
                <w:lang w:eastAsia="zh-CN"/>
              </w:rPr>
              <w:t>运输过程</w:t>
            </w:r>
            <w:r>
              <w:rPr>
                <w:rFonts w:hint="default" w:ascii="Times New Roman" w:hAnsi="Times New Roman" w:eastAsia="宋体" w:cs="Times New Roman"/>
                <w:b/>
                <w:bCs/>
                <w:color w:val="auto"/>
                <w:spacing w:val="0"/>
                <w:kern w:val="0"/>
                <w:position w:val="0"/>
                <w:sz w:val="24"/>
                <w:szCs w:val="24"/>
                <w:highlight w:val="none"/>
                <w:lang w:eastAsia="zh-CN"/>
              </w:rPr>
              <w:t>的要求：</w:t>
            </w:r>
            <w:r>
              <w:rPr>
                <w:rFonts w:hint="default" w:ascii="Times New Roman" w:hAnsi="Times New Roman" w:eastAsia="宋体" w:cs="Times New Roman"/>
                <w:color w:val="auto"/>
                <w:spacing w:val="0"/>
                <w:kern w:val="0"/>
                <w:position w:val="0"/>
                <w:sz w:val="24"/>
                <w:szCs w:val="24"/>
                <w:highlight w:val="none"/>
                <w:lang w:eastAsia="zh-CN"/>
              </w:rPr>
              <w:t>厂区运输主要依托国道等现有道路运输，通过采取运输车辆盖蓬、限制车速、进入厂区前道路洒水措施降低起尘量</w:t>
            </w:r>
            <w:r>
              <w:rPr>
                <w:rFonts w:hint="eastAsia" w:ascii="Times New Roman" w:hAnsi="Times New Roman" w:eastAsia="宋体" w:cs="Times New Roman"/>
                <w:color w:val="auto"/>
                <w:spacing w:val="0"/>
                <w:kern w:val="0"/>
                <w:position w:val="0"/>
                <w:sz w:val="24"/>
                <w:szCs w:val="24"/>
                <w:highlight w:val="none"/>
                <w:lang w:eastAsia="zh-CN"/>
              </w:rPr>
              <w:t>。</w:t>
            </w:r>
          </w:p>
          <w:p w14:paraId="3F05A533">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综上所述，本项目废气在采取合理、有效的处理措施处理后，能够达标排放，最大程度降低对周边环境空气敏感点的影响，因此本项目建设对周边环境空气影响较小。</w:t>
            </w:r>
          </w:p>
          <w:p w14:paraId="36637420">
            <w:pPr>
              <w:autoSpaceDE w:val="0"/>
              <w:autoSpaceDN w:val="0"/>
              <w:adjustRightInd w:val="0"/>
              <w:snapToGrid w:val="0"/>
              <w:spacing w:line="360" w:lineRule="auto"/>
              <w:ind w:firstLine="482" w:firstLineChars="200"/>
              <w:rPr>
                <w:rFonts w:hint="default" w:ascii="Times New Roman" w:hAnsi="Times New Roman" w:eastAsia="宋体" w:cs="Times New Roman"/>
                <w:b/>
                <w:bCs/>
                <w:color w:val="auto"/>
                <w:spacing w:val="0"/>
                <w:sz w:val="24"/>
              </w:rPr>
            </w:pPr>
            <w:r>
              <w:rPr>
                <w:rFonts w:hint="default" w:ascii="Times New Roman" w:hAnsi="Times New Roman" w:eastAsia="宋体" w:cs="Times New Roman"/>
                <w:b/>
                <w:bCs/>
                <w:color w:val="auto"/>
                <w:spacing w:val="0"/>
                <w:sz w:val="24"/>
              </w:rPr>
              <w:t>二、废水</w:t>
            </w:r>
          </w:p>
          <w:p w14:paraId="457EA27B">
            <w:pPr>
              <w:spacing w:line="360" w:lineRule="auto"/>
              <w:ind w:firstLine="482" w:firstLineChars="200"/>
              <w:rPr>
                <w:rFonts w:hint="default" w:ascii="Times New Roman" w:hAnsi="Times New Roman" w:eastAsia="宋体" w:cs="Times New Roman"/>
                <w:b/>
                <w:bCs/>
                <w:color w:val="auto"/>
                <w:spacing w:val="0"/>
                <w:sz w:val="24"/>
              </w:rPr>
            </w:pPr>
            <w:r>
              <w:rPr>
                <w:rFonts w:hint="default" w:ascii="Times New Roman" w:hAnsi="Times New Roman" w:eastAsia="宋体" w:cs="Times New Roman"/>
                <w:b/>
                <w:bCs/>
                <w:color w:val="auto"/>
                <w:spacing w:val="0"/>
                <w:sz w:val="24"/>
              </w:rPr>
              <w:t>1、废水产生及排放情况</w:t>
            </w:r>
          </w:p>
          <w:p w14:paraId="79AF03AE">
            <w:pPr>
              <w:spacing w:line="360" w:lineRule="auto"/>
              <w:ind w:firstLine="480" w:firstLineChars="200"/>
              <w:rPr>
                <w:rFonts w:hint="default" w:ascii="Times New Roman" w:hAnsi="Times New Roman" w:eastAsia="宋体" w:cs="Times New Roman"/>
                <w:color w:val="auto"/>
                <w:spacing w:val="0"/>
                <w:kern w:val="0"/>
                <w:sz w:val="24"/>
              </w:rPr>
            </w:pPr>
            <w:r>
              <w:rPr>
                <w:rFonts w:hint="default" w:ascii="Times New Roman" w:hAnsi="Times New Roman" w:eastAsia="宋体" w:cs="Times New Roman"/>
                <w:color w:val="auto"/>
                <w:spacing w:val="0"/>
                <w:kern w:val="0"/>
                <w:sz w:val="24"/>
              </w:rPr>
              <w:t>本项目降尘用水全部蒸发损耗，无废水产生。搅拌工序用水全部蒸发损耗和进入产品，无废水产生。设备、模具清洗废水经沉淀后用于搅拌工段，不外排。车辆冲洗废水经配套沉淀池沉淀后回用，不外排。</w:t>
            </w:r>
            <w:r>
              <w:rPr>
                <w:rFonts w:hint="default" w:ascii="Times New Roman" w:hAnsi="Times New Roman" w:eastAsia="宋体" w:cs="Times New Roman"/>
                <w:caps w:val="0"/>
                <w:color w:val="auto"/>
                <w:spacing w:val="0"/>
                <w:sz w:val="24"/>
                <w:szCs w:val="24"/>
                <w:highlight w:val="none"/>
                <w:lang w:val="en-US" w:eastAsia="zh-CN"/>
              </w:rPr>
              <w:t>脱膜剂稀释用水全部损耗</w:t>
            </w:r>
            <w:r>
              <w:rPr>
                <w:rFonts w:hint="eastAsia" w:ascii="Times New Roman" w:hAnsi="Times New Roman" w:eastAsia="宋体" w:cs="Times New Roman"/>
                <w:caps w:val="0"/>
                <w:color w:val="auto"/>
                <w:spacing w:val="0"/>
                <w:sz w:val="24"/>
                <w:szCs w:val="24"/>
                <w:highlight w:val="none"/>
                <w:lang w:val="en-US" w:eastAsia="zh-CN"/>
              </w:rPr>
              <w:t>。</w:t>
            </w:r>
            <w:r>
              <w:rPr>
                <w:rFonts w:hint="default" w:ascii="Times New Roman" w:hAnsi="Times New Roman" w:eastAsia="宋体" w:cs="Times New Roman"/>
                <w:caps w:val="0"/>
                <w:color w:val="auto"/>
                <w:spacing w:val="0"/>
                <w:sz w:val="24"/>
                <w:szCs w:val="24"/>
                <w:highlight w:val="none"/>
                <w:lang w:val="en-US" w:eastAsia="zh-CN"/>
              </w:rPr>
              <w:t>职工生活污水经化粪池处理后</w:t>
            </w:r>
            <w:r>
              <w:rPr>
                <w:rFonts w:hint="eastAsia" w:cs="Times New Roman"/>
                <w:caps w:val="0"/>
                <w:color w:val="auto"/>
                <w:spacing w:val="0"/>
                <w:sz w:val="24"/>
                <w:szCs w:val="24"/>
                <w:highlight w:val="none"/>
                <w:lang w:val="en-US" w:eastAsia="zh-CN"/>
              </w:rPr>
              <w:t>委托环卫部门清运</w:t>
            </w:r>
            <w:r>
              <w:rPr>
                <w:rFonts w:hint="default" w:ascii="Times New Roman" w:hAnsi="Times New Roman" w:eastAsia="宋体" w:cs="Times New Roman"/>
                <w:caps w:val="0"/>
                <w:color w:val="auto"/>
                <w:spacing w:val="0"/>
                <w:sz w:val="24"/>
                <w:szCs w:val="24"/>
                <w:highlight w:val="none"/>
                <w:lang w:val="en-US" w:eastAsia="zh-CN"/>
              </w:rPr>
              <w:t>，不外排</w:t>
            </w:r>
            <w:r>
              <w:rPr>
                <w:rFonts w:hint="eastAsia" w:ascii="Times New Roman" w:hAnsi="Times New Roman" w:cs="Times New Roman"/>
                <w:caps w:val="0"/>
                <w:color w:val="auto"/>
                <w:spacing w:val="0"/>
                <w:sz w:val="24"/>
                <w:szCs w:val="24"/>
                <w:highlight w:val="none"/>
                <w:lang w:val="en-US" w:eastAsia="zh-CN"/>
              </w:rPr>
              <w:t>。</w:t>
            </w:r>
          </w:p>
          <w:p w14:paraId="613B990A">
            <w:pPr>
              <w:adjustRightInd w:val="0"/>
              <w:snapToGrid w:val="0"/>
              <w:spacing w:line="360" w:lineRule="auto"/>
              <w:ind w:firstLine="482"/>
              <w:jc w:val="left"/>
              <w:rPr>
                <w:rFonts w:hint="default" w:ascii="Times New Roman" w:hAnsi="Times New Roman" w:eastAsia="宋体" w:cs="Times New Roman"/>
                <w:b/>
                <w:bCs/>
                <w:color w:val="auto"/>
                <w:spacing w:val="0"/>
                <w:sz w:val="24"/>
              </w:rPr>
            </w:pPr>
            <w:r>
              <w:rPr>
                <w:rFonts w:hint="default" w:ascii="Times New Roman" w:hAnsi="Times New Roman" w:eastAsia="宋体" w:cs="Times New Roman"/>
                <w:b/>
                <w:bCs/>
                <w:color w:val="auto"/>
                <w:spacing w:val="0"/>
                <w:sz w:val="24"/>
              </w:rPr>
              <w:t>2、处理可行性分析</w:t>
            </w:r>
          </w:p>
          <w:p w14:paraId="2D529138">
            <w:pPr>
              <w:widowControl w:val="0"/>
              <w:spacing w:line="360" w:lineRule="auto"/>
              <w:ind w:left="0" w:firstLine="420"/>
              <w:jc w:val="both"/>
              <w:rPr>
                <w:rFonts w:hint="default" w:ascii="Times New Roman" w:hAnsi="Times New Roman" w:eastAsia="宋体" w:cs="Times New Roman"/>
                <w:color w:val="auto"/>
                <w:spacing w:val="0"/>
                <w:kern w:val="2"/>
                <w:sz w:val="24"/>
                <w:szCs w:val="24"/>
                <w:lang w:val="en-US" w:eastAsia="zh-CN" w:bidi="ar-SA"/>
              </w:rPr>
            </w:pPr>
            <w:r>
              <w:rPr>
                <w:rFonts w:hint="default" w:ascii="Times New Roman" w:hAnsi="Times New Roman" w:eastAsia="宋体" w:cs="Times New Roman"/>
                <w:color w:val="auto"/>
                <w:spacing w:val="0"/>
                <w:kern w:val="2"/>
                <w:sz w:val="24"/>
                <w:szCs w:val="24"/>
                <w:lang w:val="en-US" w:eastAsia="zh-CN" w:bidi="ar-SA"/>
              </w:rPr>
              <w:t>本项目生活污水主要污染物为COD</w:t>
            </w:r>
            <w:r>
              <w:rPr>
                <w:rFonts w:hint="default" w:ascii="Times New Roman" w:hAnsi="Times New Roman" w:eastAsia="宋体" w:cs="Times New Roman"/>
                <w:color w:val="auto"/>
                <w:spacing w:val="0"/>
                <w:kern w:val="2"/>
                <w:sz w:val="24"/>
                <w:szCs w:val="20"/>
                <w:lang w:val="en-US" w:eastAsia="zh-CN" w:bidi="ar-SA"/>
              </w:rPr>
              <w:t>cr</w:t>
            </w:r>
            <w:r>
              <w:rPr>
                <w:rFonts w:hint="default" w:ascii="Times New Roman" w:hAnsi="Times New Roman" w:eastAsia="宋体" w:cs="Times New Roman"/>
                <w:color w:val="auto"/>
                <w:spacing w:val="0"/>
                <w:kern w:val="2"/>
                <w:sz w:val="24"/>
                <w:szCs w:val="24"/>
                <w:lang w:val="en-US" w:eastAsia="zh-CN" w:bidi="ar-SA"/>
              </w:rPr>
              <w:t>、BOD</w:t>
            </w:r>
            <w:r>
              <w:rPr>
                <w:rFonts w:hint="default" w:ascii="Times New Roman" w:hAnsi="Times New Roman" w:eastAsia="宋体" w:cs="Times New Roman"/>
                <w:color w:val="auto"/>
                <w:spacing w:val="0"/>
                <w:kern w:val="2"/>
                <w:sz w:val="24"/>
                <w:szCs w:val="24"/>
                <w:vertAlign w:val="subscript"/>
                <w:lang w:val="en-US" w:eastAsia="zh-CN" w:bidi="ar-SA"/>
              </w:rPr>
              <w:t>5</w:t>
            </w:r>
            <w:r>
              <w:rPr>
                <w:rFonts w:hint="default" w:ascii="Times New Roman" w:hAnsi="Times New Roman" w:eastAsia="宋体" w:cs="Times New Roman"/>
                <w:color w:val="auto"/>
                <w:spacing w:val="0"/>
                <w:kern w:val="2"/>
                <w:sz w:val="24"/>
                <w:szCs w:val="24"/>
                <w:lang w:val="en-US" w:eastAsia="zh-CN" w:bidi="ar-SA"/>
              </w:rPr>
              <w:t>、SS、氨氮</w:t>
            </w:r>
            <w:r>
              <w:rPr>
                <w:rFonts w:hint="eastAsia" w:cs="Times New Roman"/>
                <w:color w:val="auto"/>
                <w:spacing w:val="0"/>
                <w:kern w:val="2"/>
                <w:sz w:val="24"/>
                <w:szCs w:val="24"/>
                <w:lang w:val="en-US" w:eastAsia="zh-CN" w:bidi="ar-SA"/>
              </w:rPr>
              <w:t>等</w:t>
            </w:r>
            <w:r>
              <w:rPr>
                <w:rFonts w:hint="default" w:ascii="Times New Roman" w:hAnsi="Times New Roman" w:eastAsia="宋体" w:cs="Times New Roman"/>
                <w:color w:val="auto"/>
                <w:spacing w:val="0"/>
                <w:kern w:val="2"/>
                <w:sz w:val="24"/>
                <w:szCs w:val="24"/>
                <w:lang w:val="en-US" w:eastAsia="zh-CN" w:bidi="ar-SA"/>
              </w:rPr>
              <w:t>，水质较为简单，经厂区化粪池处理后委托环卫部门清运。污水进入化粪池经过12~24h的沉淀，可去除40%的悬浮物。沉淀下来的污泥经过厌氧发酵分解，使污泥中的有机物分解成稳定的无机物，易腐败的生活污泥转化为稳定的熟污泥，改变了污泥的结构，降低了污泥的含水率。因生活污水水质较简单，经化粪池预处理后不会对环境造成太大污染，因此本项目生活污水采用化粪池沉淀处理属于可行性技术。</w:t>
            </w:r>
          </w:p>
          <w:p w14:paraId="34DDC545">
            <w:pPr>
              <w:adjustRightInd w:val="0"/>
              <w:snapToGrid w:val="0"/>
              <w:spacing w:line="360" w:lineRule="auto"/>
              <w:ind w:firstLine="480" w:firstLineChars="200"/>
              <w:rPr>
                <w:rFonts w:hint="eastAsia" w:cs="Times New Roman"/>
                <w:color w:val="auto"/>
                <w:spacing w:val="0"/>
                <w:sz w:val="24"/>
                <w:lang w:eastAsia="zh-CN"/>
              </w:rPr>
            </w:pPr>
            <w:r>
              <w:rPr>
                <w:rFonts w:hint="default" w:ascii="Times New Roman" w:hAnsi="Times New Roman" w:eastAsia="宋体" w:cs="Times New Roman"/>
                <w:color w:val="auto"/>
                <w:spacing w:val="0"/>
                <w:sz w:val="24"/>
              </w:rPr>
              <w:t>综上所述，本项目废水处理是可行的</w:t>
            </w:r>
            <w:r>
              <w:rPr>
                <w:rFonts w:hint="eastAsia" w:cs="Times New Roman"/>
                <w:color w:val="auto"/>
                <w:spacing w:val="0"/>
                <w:sz w:val="24"/>
                <w:lang w:eastAsia="zh-CN"/>
              </w:rPr>
              <w:t>。</w:t>
            </w:r>
          </w:p>
          <w:p w14:paraId="64353535">
            <w:pPr>
              <w:adjustRightInd w:val="0"/>
              <w:snapToGrid w:val="0"/>
              <w:spacing w:line="360" w:lineRule="auto"/>
              <w:ind w:firstLine="482" w:firstLineChars="200"/>
              <w:rPr>
                <w:rFonts w:hint="default" w:ascii="Times New Roman" w:hAnsi="Times New Roman" w:eastAsia="宋体" w:cs="Times New Roman"/>
                <w:b/>
                <w:bCs/>
                <w:color w:val="auto"/>
                <w:spacing w:val="0"/>
                <w:sz w:val="24"/>
                <w:lang w:eastAsia="zh-CN"/>
              </w:rPr>
            </w:pPr>
            <w:r>
              <w:rPr>
                <w:rFonts w:hint="default" w:ascii="Times New Roman" w:hAnsi="Times New Roman" w:eastAsia="宋体" w:cs="Times New Roman"/>
                <w:b/>
                <w:bCs/>
                <w:color w:val="auto"/>
                <w:spacing w:val="0"/>
                <w:sz w:val="24"/>
                <w:lang w:val="en-US" w:eastAsia="zh-CN"/>
              </w:rPr>
              <w:t>3</w:t>
            </w:r>
            <w:r>
              <w:rPr>
                <w:rFonts w:hint="default" w:ascii="Times New Roman" w:hAnsi="Times New Roman" w:eastAsia="宋体" w:cs="Times New Roman"/>
                <w:b/>
                <w:bCs/>
                <w:color w:val="auto"/>
                <w:spacing w:val="0"/>
                <w:sz w:val="24"/>
              </w:rPr>
              <w:t>、监测</w:t>
            </w:r>
            <w:r>
              <w:rPr>
                <w:rFonts w:hint="default" w:ascii="Times New Roman" w:hAnsi="Times New Roman" w:eastAsia="宋体" w:cs="Times New Roman"/>
                <w:b/>
                <w:bCs/>
                <w:color w:val="auto"/>
                <w:spacing w:val="0"/>
                <w:sz w:val="24"/>
                <w:lang w:eastAsia="zh-CN"/>
              </w:rPr>
              <w:t>要求</w:t>
            </w:r>
          </w:p>
          <w:p w14:paraId="5D57E829">
            <w:pPr>
              <w:adjustRightInd w:val="0"/>
              <w:snapToGrid w:val="0"/>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本项目无废水外排，无须开展监测。</w:t>
            </w:r>
          </w:p>
          <w:p w14:paraId="6562FA13">
            <w:pPr>
              <w:autoSpaceDE w:val="0"/>
              <w:autoSpaceDN w:val="0"/>
              <w:adjustRightInd w:val="0"/>
              <w:snapToGrid w:val="0"/>
              <w:spacing w:line="360" w:lineRule="auto"/>
              <w:ind w:firstLine="472" w:firstLineChars="196"/>
              <w:rPr>
                <w:rFonts w:hint="default" w:ascii="Times New Roman" w:hAnsi="Times New Roman" w:eastAsia="宋体" w:cs="Times New Roman"/>
                <w:b/>
                <w:bCs/>
                <w:color w:val="auto"/>
                <w:spacing w:val="0"/>
                <w:sz w:val="24"/>
              </w:rPr>
            </w:pPr>
            <w:r>
              <w:rPr>
                <w:rFonts w:hint="default" w:ascii="Times New Roman" w:hAnsi="Times New Roman" w:eastAsia="宋体" w:cs="Times New Roman"/>
                <w:b/>
                <w:bCs/>
                <w:color w:val="auto"/>
                <w:spacing w:val="0"/>
                <w:sz w:val="24"/>
              </w:rPr>
              <w:t>三、噪声</w:t>
            </w:r>
          </w:p>
          <w:p w14:paraId="13C97C72">
            <w:pPr>
              <w:adjustRightInd w:val="0"/>
              <w:snapToGrid w:val="0"/>
              <w:spacing w:line="360" w:lineRule="auto"/>
              <w:ind w:firstLine="482" w:firstLineChars="200"/>
              <w:rPr>
                <w:rFonts w:hint="default" w:ascii="Times New Roman" w:hAnsi="Times New Roman" w:eastAsia="宋体" w:cs="Times New Roman"/>
                <w:b/>
                <w:bCs/>
                <w:color w:val="auto"/>
                <w:spacing w:val="0"/>
                <w:sz w:val="24"/>
              </w:rPr>
            </w:pPr>
            <w:r>
              <w:rPr>
                <w:rFonts w:hint="default" w:ascii="Times New Roman" w:hAnsi="Times New Roman" w:eastAsia="宋体" w:cs="Times New Roman"/>
                <w:b/>
                <w:bCs/>
                <w:color w:val="auto"/>
                <w:spacing w:val="0"/>
                <w:sz w:val="24"/>
              </w:rPr>
              <w:t>1、噪声源</w:t>
            </w:r>
          </w:p>
          <w:p w14:paraId="5460DA34">
            <w:pPr>
              <w:adjustRightInd w:val="0"/>
              <w:snapToGrid w:val="0"/>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本项目建成后主要噪声源为生产设备、风机等。</w:t>
            </w:r>
          </w:p>
          <w:p w14:paraId="590066EA">
            <w:pPr>
              <w:adjustRightInd w:val="0"/>
              <w:snapToGrid w:val="0"/>
              <w:spacing w:line="360" w:lineRule="auto"/>
              <w:ind w:firstLine="482" w:firstLineChars="200"/>
              <w:rPr>
                <w:rFonts w:hint="default" w:ascii="Times New Roman" w:hAnsi="Times New Roman" w:eastAsia="宋体" w:cs="Times New Roman"/>
                <w:b/>
                <w:bCs/>
                <w:color w:val="auto"/>
                <w:spacing w:val="0"/>
                <w:sz w:val="24"/>
              </w:rPr>
            </w:pPr>
            <w:r>
              <w:rPr>
                <w:rFonts w:hint="default" w:ascii="Times New Roman" w:hAnsi="Times New Roman" w:eastAsia="宋体" w:cs="Times New Roman"/>
                <w:b/>
                <w:bCs/>
                <w:color w:val="auto"/>
                <w:spacing w:val="0"/>
                <w:sz w:val="24"/>
              </w:rPr>
              <w:t>2、降噪措施</w:t>
            </w:r>
          </w:p>
          <w:p w14:paraId="3848933D">
            <w:pPr>
              <w:adjustRightInd w:val="0"/>
              <w:snapToGrid w:val="0"/>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①源头控制。选择低噪音设备。</w:t>
            </w:r>
          </w:p>
          <w:p w14:paraId="45262BB4">
            <w:pPr>
              <w:adjustRightInd w:val="0"/>
              <w:snapToGrid w:val="0"/>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②合理布局。将噪声源强较高的设备布置在远离厂房边界位置，加大噪声的距离衰减。</w:t>
            </w:r>
          </w:p>
          <w:p w14:paraId="4FC0F83F">
            <w:pPr>
              <w:adjustRightInd w:val="0"/>
              <w:snapToGrid w:val="0"/>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③针对高噪声设备，采取针对性较强的措施，设置减振垫，车间设置隔音门窗、隔声墙，减小噪声设备对周边环境的影响。</w:t>
            </w:r>
          </w:p>
          <w:p w14:paraId="2DDB7EC9">
            <w:pPr>
              <w:adjustRightInd w:val="0"/>
              <w:snapToGrid w:val="0"/>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④加强管理，调整设备运营时间，减少高噪声设备同时运转，防止噪声叠加。</w:t>
            </w:r>
          </w:p>
          <w:p w14:paraId="273E95B5">
            <w:pPr>
              <w:adjustRightInd w:val="0"/>
              <w:snapToGrid w:val="0"/>
              <w:spacing w:line="360" w:lineRule="auto"/>
              <w:ind w:firstLine="482" w:firstLineChars="200"/>
              <w:rPr>
                <w:rFonts w:hint="default" w:ascii="Times New Roman" w:hAnsi="Times New Roman" w:eastAsia="宋体" w:cs="Times New Roman"/>
                <w:b/>
                <w:bCs/>
                <w:color w:val="auto"/>
                <w:spacing w:val="0"/>
                <w:sz w:val="24"/>
              </w:rPr>
            </w:pPr>
            <w:r>
              <w:rPr>
                <w:rFonts w:hint="default" w:ascii="Times New Roman" w:hAnsi="Times New Roman" w:eastAsia="宋体" w:cs="Times New Roman"/>
                <w:b/>
                <w:bCs/>
                <w:color w:val="auto"/>
                <w:spacing w:val="0"/>
                <w:sz w:val="24"/>
              </w:rPr>
              <w:t>3、影响预测</w:t>
            </w:r>
          </w:p>
          <w:p w14:paraId="000A6D29">
            <w:pPr>
              <w:adjustRightInd w:val="0"/>
              <w:snapToGrid w:val="0"/>
              <w:spacing w:line="360" w:lineRule="auto"/>
              <w:ind w:firstLine="480" w:firstLineChars="200"/>
              <w:rPr>
                <w:rFonts w:hint="eastAsia" w:ascii="Times New Roman" w:hAnsi="Times New Roman" w:eastAsia="宋体" w:cs="Times New Roman"/>
                <w:color w:val="auto"/>
                <w:spacing w:val="0"/>
                <w:sz w:val="24"/>
                <w:lang w:eastAsia="zh-CN"/>
              </w:rPr>
            </w:pPr>
            <w:r>
              <w:rPr>
                <w:rFonts w:hint="default" w:ascii="Times New Roman" w:hAnsi="Times New Roman" w:eastAsia="宋体" w:cs="Times New Roman"/>
                <w:color w:val="auto"/>
                <w:spacing w:val="0"/>
                <w:sz w:val="24"/>
              </w:rPr>
              <w:t>采用《环境影响评价技术导则 声环境》(HJ2.4.2021)附录B（规范性附录）中“B.1工业噪声预测计算模型”</w:t>
            </w:r>
            <w:r>
              <w:rPr>
                <w:rFonts w:hint="eastAsia" w:ascii="Times New Roman" w:hAnsi="Times New Roman" w:eastAsia="宋体" w:cs="Times New Roman"/>
                <w:color w:val="auto"/>
                <w:spacing w:val="0"/>
                <w:sz w:val="24"/>
                <w:lang w:eastAsia="zh-CN"/>
              </w:rPr>
              <w:t>。</w:t>
            </w:r>
          </w:p>
          <w:p w14:paraId="24F544CE">
            <w:pPr>
              <w:tabs>
                <w:tab w:val="left" w:pos="900"/>
              </w:tabs>
              <w:adjustRightInd w:val="0"/>
              <w:snapToGrid w:val="0"/>
              <w:spacing w:line="360" w:lineRule="auto"/>
              <w:ind w:firstLine="480" w:firstLineChars="200"/>
              <w:rPr>
                <w:rFonts w:hint="default" w:ascii="Times New Roman" w:hAnsi="Times New Roman" w:eastAsia="宋体" w:cs="Times New Roman"/>
                <w:color w:val="auto"/>
                <w:spacing w:val="0"/>
                <w:sz w:val="24"/>
              </w:rPr>
            </w:pPr>
          </w:p>
          <w:p w14:paraId="2C043210">
            <w:pPr>
              <w:tabs>
                <w:tab w:val="left" w:pos="900"/>
              </w:tabs>
              <w:adjustRightInd w:val="0"/>
              <w:snapToGrid w:val="0"/>
              <w:spacing w:line="360" w:lineRule="auto"/>
              <w:ind w:firstLine="480" w:firstLineChars="200"/>
              <w:rPr>
                <w:rFonts w:hint="default" w:ascii="Times New Roman" w:hAnsi="Times New Roman" w:eastAsia="宋体" w:cs="Times New Roman"/>
                <w:color w:val="auto"/>
                <w:spacing w:val="0"/>
                <w:sz w:val="24"/>
              </w:rPr>
            </w:pPr>
          </w:p>
          <w:p w14:paraId="53B373C9">
            <w:pPr>
              <w:tabs>
                <w:tab w:val="left" w:pos="900"/>
              </w:tabs>
              <w:adjustRightInd w:val="0"/>
              <w:snapToGrid w:val="0"/>
              <w:spacing w:line="360" w:lineRule="auto"/>
              <w:ind w:firstLine="480" w:firstLineChars="200"/>
              <w:rPr>
                <w:rFonts w:hint="default" w:ascii="Times New Roman" w:hAnsi="Times New Roman" w:eastAsia="宋体" w:cs="Times New Roman"/>
                <w:color w:val="auto"/>
                <w:spacing w:val="0"/>
                <w:sz w:val="24"/>
              </w:rPr>
            </w:pPr>
          </w:p>
          <w:p w14:paraId="012F82A6">
            <w:pPr>
              <w:tabs>
                <w:tab w:val="left" w:pos="900"/>
              </w:tabs>
              <w:adjustRightInd w:val="0"/>
              <w:snapToGrid w:val="0"/>
              <w:spacing w:line="360" w:lineRule="auto"/>
              <w:ind w:firstLine="480" w:firstLineChars="200"/>
              <w:rPr>
                <w:rFonts w:hint="default"/>
                <w:color w:val="auto"/>
                <w:spacing w:val="0"/>
                <w:sz w:val="24"/>
                <w:szCs w:val="32"/>
              </w:rPr>
            </w:pPr>
          </w:p>
        </w:tc>
      </w:tr>
    </w:tbl>
    <w:p w14:paraId="4DF84108">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outlineLvl w:val="0"/>
        <w:rPr>
          <w:rFonts w:hint="default" w:ascii="Times New Roman" w:hAnsi="Times New Roman" w:eastAsia="宋体" w:cs="Times New Roman"/>
          <w:snapToGrid w:val="0"/>
          <w:color w:val="auto"/>
          <w:spacing w:val="0"/>
          <w:sz w:val="30"/>
          <w:szCs w:val="30"/>
        </w:rPr>
        <w:sectPr>
          <w:pgSz w:w="11906" w:h="16838"/>
          <w:pgMar w:top="1440" w:right="1800" w:bottom="1440" w:left="1800"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4"/>
      </w:tblGrid>
      <w:tr w14:paraId="77C5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14:paraId="03EA16D5">
            <w:pPr>
              <w:keepNext w:val="0"/>
              <w:keepLines w:val="0"/>
              <w:pageBreakBefore w:val="0"/>
              <w:widowControl w:val="0"/>
              <w:numPr>
                <w:ilvl w:val="0"/>
                <w:numId w:val="8"/>
              </w:numPr>
              <w:tabs>
                <w:tab w:val="center" w:pos="0"/>
              </w:tabs>
              <w:kinsoku/>
              <w:wordWrap/>
              <w:overflowPunct/>
              <w:topLinePunct w:val="0"/>
              <w:autoSpaceDE/>
              <w:autoSpaceDN/>
              <w:bidi w:val="0"/>
              <w:adjustRightInd w:val="0"/>
              <w:snapToGrid w:val="0"/>
              <w:ind w:left="0" w:leftChars="0" w:firstLine="0" w:firstLineChars="0"/>
              <w:jc w:val="center"/>
              <w:textAlignment w:val="auto"/>
              <w:rPr>
                <w:rFonts w:hint="eastAsia" w:ascii="Times New Roman" w:hAnsi="Times New Roman" w:eastAsia="宋体" w:cs="Times New Roman"/>
                <w:b/>
                <w:bCs/>
                <w:snapToGrid w:val="0"/>
                <w:color w:val="auto"/>
                <w:spacing w:val="0"/>
                <w:kern w:val="0"/>
                <w:sz w:val="24"/>
                <w:lang w:val="en-US" w:eastAsia="zh-CN"/>
              </w:rPr>
            </w:pPr>
            <w:r>
              <w:rPr>
                <w:rFonts w:hint="eastAsia" w:ascii="Times New Roman" w:hAnsi="Times New Roman" w:eastAsia="宋体" w:cs="Times New Roman"/>
                <w:b/>
                <w:bCs/>
                <w:snapToGrid w:val="0"/>
                <w:color w:val="auto"/>
                <w:spacing w:val="0"/>
                <w:kern w:val="0"/>
                <w:sz w:val="24"/>
                <w:lang w:val="en-US" w:eastAsia="zh-CN"/>
              </w:rPr>
              <w:t>工业企业噪声源强调查清单（室外声源）</w:t>
            </w:r>
          </w:p>
          <w:tbl>
            <w:tblPr>
              <w:tblStyle w:val="36"/>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480"/>
              <w:gridCol w:w="774"/>
              <w:gridCol w:w="914"/>
              <w:gridCol w:w="838"/>
              <w:gridCol w:w="929"/>
              <w:gridCol w:w="2930"/>
              <w:gridCol w:w="2491"/>
              <w:gridCol w:w="2233"/>
              <w:gridCol w:w="1289"/>
            </w:tblGrid>
            <w:tr w14:paraId="0F5F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 w:type="pct"/>
                  <w:vMerge w:val="restart"/>
                  <w:vAlign w:val="center"/>
                </w:tcPr>
                <w:p w14:paraId="7B19EBB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序号</w:t>
                  </w:r>
                </w:p>
              </w:tc>
              <w:tc>
                <w:tcPr>
                  <w:tcW w:w="505" w:type="pct"/>
                  <w:vMerge w:val="restart"/>
                  <w:vAlign w:val="center"/>
                </w:tcPr>
                <w:p w14:paraId="19EF6DA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声源名称</w:t>
                  </w:r>
                </w:p>
              </w:tc>
              <w:tc>
                <w:tcPr>
                  <w:tcW w:w="264" w:type="pct"/>
                  <w:vMerge w:val="restart"/>
                  <w:vAlign w:val="center"/>
                </w:tcPr>
                <w:p w14:paraId="1CAAF6B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型号</w:t>
                  </w:r>
                </w:p>
              </w:tc>
              <w:tc>
                <w:tcPr>
                  <w:tcW w:w="915" w:type="pct"/>
                  <w:gridSpan w:val="3"/>
                  <w:vAlign w:val="center"/>
                </w:tcPr>
                <w:p w14:paraId="35961C8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空间相对位置/m</w:t>
                  </w:r>
                </w:p>
              </w:tc>
              <w:tc>
                <w:tcPr>
                  <w:tcW w:w="1850" w:type="pct"/>
                  <w:gridSpan w:val="2"/>
                  <w:vAlign w:val="center"/>
                </w:tcPr>
                <w:p w14:paraId="07237828">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color w:val="auto"/>
                      <w:sz w:val="21"/>
                      <w:szCs w:val="21"/>
                      <w:lang w:eastAsia="zh-CN"/>
                    </w:rPr>
                    <w:t>声源源强（任选一种）</w:t>
                  </w:r>
                </w:p>
              </w:tc>
              <w:tc>
                <w:tcPr>
                  <w:tcW w:w="762" w:type="pct"/>
                  <w:vMerge w:val="restart"/>
                  <w:vAlign w:val="center"/>
                </w:tcPr>
                <w:p w14:paraId="07C32EE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声源控制措施</w:t>
                  </w:r>
                </w:p>
              </w:tc>
              <w:tc>
                <w:tcPr>
                  <w:tcW w:w="440" w:type="pct"/>
                  <w:vMerge w:val="restart"/>
                  <w:vAlign w:val="center"/>
                </w:tcPr>
                <w:p w14:paraId="6A53B90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运行时段</w:t>
                  </w:r>
                </w:p>
              </w:tc>
            </w:tr>
            <w:tr w14:paraId="16D8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 w:type="pct"/>
                  <w:vMerge w:val="continue"/>
                  <w:shd w:val="clear" w:color="auto" w:fill="FFFFFF"/>
                  <w:vAlign w:val="center"/>
                </w:tcPr>
                <w:p w14:paraId="5DC01132">
                  <w:pPr>
                    <w:jc w:val="center"/>
                    <w:rPr>
                      <w:rFonts w:hint="default" w:ascii="Times New Roman" w:hAnsi="Times New Roman" w:eastAsia="宋体" w:cs="Times New Roman"/>
                      <w:color w:val="auto"/>
                      <w:sz w:val="21"/>
                      <w:szCs w:val="21"/>
                    </w:rPr>
                  </w:pPr>
                </w:p>
              </w:tc>
              <w:tc>
                <w:tcPr>
                  <w:tcW w:w="505" w:type="pct"/>
                  <w:vMerge w:val="continue"/>
                  <w:shd w:val="clear" w:color="auto" w:fill="FFFFFF"/>
                  <w:vAlign w:val="center"/>
                </w:tcPr>
                <w:p w14:paraId="1B18AB21">
                  <w:pPr>
                    <w:jc w:val="center"/>
                    <w:rPr>
                      <w:rFonts w:hint="default" w:ascii="Times New Roman" w:hAnsi="Times New Roman" w:eastAsia="宋体" w:cs="Times New Roman"/>
                      <w:color w:val="auto"/>
                      <w:sz w:val="21"/>
                      <w:szCs w:val="21"/>
                    </w:rPr>
                  </w:pPr>
                </w:p>
              </w:tc>
              <w:tc>
                <w:tcPr>
                  <w:tcW w:w="264" w:type="pct"/>
                  <w:vMerge w:val="continue"/>
                  <w:shd w:val="clear" w:color="auto" w:fill="FFFFFF"/>
                  <w:vAlign w:val="center"/>
                </w:tcPr>
                <w:p w14:paraId="22DC48A5">
                  <w:pPr>
                    <w:jc w:val="center"/>
                    <w:rPr>
                      <w:rFonts w:hint="default" w:ascii="Times New Roman" w:hAnsi="Times New Roman" w:eastAsia="宋体" w:cs="Times New Roman"/>
                      <w:color w:val="auto"/>
                      <w:sz w:val="21"/>
                      <w:szCs w:val="21"/>
                    </w:rPr>
                  </w:pPr>
                </w:p>
              </w:tc>
              <w:tc>
                <w:tcPr>
                  <w:tcW w:w="312" w:type="pct"/>
                  <w:shd w:val="clear" w:color="auto" w:fill="FFFFFF"/>
                  <w:vAlign w:val="center"/>
                </w:tcPr>
                <w:p w14:paraId="58C91D7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X</w:t>
                  </w:r>
                </w:p>
              </w:tc>
              <w:tc>
                <w:tcPr>
                  <w:tcW w:w="286" w:type="pct"/>
                  <w:shd w:val="clear" w:color="auto" w:fill="FFFFFF"/>
                  <w:vAlign w:val="center"/>
                </w:tcPr>
                <w:p w14:paraId="3A2101D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Y</w:t>
                  </w:r>
                </w:p>
              </w:tc>
              <w:tc>
                <w:tcPr>
                  <w:tcW w:w="317" w:type="pct"/>
                  <w:shd w:val="clear" w:color="auto" w:fill="FFFFFF"/>
                  <w:vAlign w:val="center"/>
                </w:tcPr>
                <w:p w14:paraId="296899D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Z</w:t>
                  </w:r>
                </w:p>
              </w:tc>
              <w:tc>
                <w:tcPr>
                  <w:tcW w:w="1000" w:type="pct"/>
                  <w:shd w:val="clear" w:color="auto" w:fill="FFFFFF"/>
                  <w:vAlign w:val="center"/>
                </w:tcPr>
                <w:p w14:paraId="0D4B874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（声压级/距声源距离）/（dB(A)/m）</w:t>
                  </w:r>
                </w:p>
              </w:tc>
              <w:tc>
                <w:tcPr>
                  <w:tcW w:w="849" w:type="pct"/>
                  <w:shd w:val="clear" w:color="auto" w:fill="FFFFFF"/>
                  <w:vAlign w:val="center"/>
                </w:tcPr>
                <w:p w14:paraId="111A1A6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声功率级/dB(A)</w:t>
                  </w:r>
                </w:p>
              </w:tc>
              <w:tc>
                <w:tcPr>
                  <w:tcW w:w="762" w:type="pct"/>
                  <w:vMerge w:val="continue"/>
                  <w:shd w:val="clear" w:color="auto" w:fill="FFFFFF"/>
                  <w:vAlign w:val="center"/>
                </w:tcPr>
                <w:p w14:paraId="170B8069">
                  <w:pPr>
                    <w:jc w:val="center"/>
                    <w:rPr>
                      <w:rFonts w:hint="default" w:ascii="Times New Roman" w:hAnsi="Times New Roman" w:eastAsia="宋体" w:cs="Times New Roman"/>
                      <w:color w:val="auto"/>
                      <w:sz w:val="21"/>
                      <w:szCs w:val="21"/>
                    </w:rPr>
                  </w:pPr>
                </w:p>
              </w:tc>
              <w:tc>
                <w:tcPr>
                  <w:tcW w:w="440" w:type="pct"/>
                  <w:vMerge w:val="continue"/>
                  <w:shd w:val="clear" w:color="auto" w:fill="FFFFFF"/>
                  <w:vAlign w:val="center"/>
                </w:tcPr>
                <w:p w14:paraId="4675313E">
                  <w:pPr>
                    <w:jc w:val="center"/>
                    <w:rPr>
                      <w:rFonts w:hint="default" w:ascii="Times New Roman" w:hAnsi="Times New Roman" w:eastAsia="宋体" w:cs="Times New Roman"/>
                      <w:color w:val="auto"/>
                      <w:sz w:val="21"/>
                      <w:szCs w:val="21"/>
                    </w:rPr>
                  </w:pPr>
                </w:p>
              </w:tc>
            </w:tr>
            <w:tr w14:paraId="46CD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62" w:type="pct"/>
                  <w:shd w:val="clear" w:color="auto" w:fill="FFFFFF"/>
                  <w:vAlign w:val="center"/>
                </w:tcPr>
                <w:p w14:paraId="5F1D6E1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505" w:type="pct"/>
                  <w:shd w:val="clear" w:color="auto" w:fill="FFFFFF"/>
                  <w:vAlign w:val="center"/>
                </w:tcPr>
                <w:p w14:paraId="13DC530D">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行吊</w:t>
                  </w:r>
                </w:p>
              </w:tc>
              <w:tc>
                <w:tcPr>
                  <w:tcW w:w="264" w:type="pct"/>
                  <w:shd w:val="clear" w:color="auto" w:fill="FFFFFF"/>
                  <w:vAlign w:val="center"/>
                </w:tcPr>
                <w:p w14:paraId="7716D567">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3T</w:t>
                  </w:r>
                </w:p>
              </w:tc>
              <w:tc>
                <w:tcPr>
                  <w:tcW w:w="312" w:type="pct"/>
                  <w:shd w:val="clear" w:color="auto" w:fill="FFFFFF"/>
                  <w:vAlign w:val="center"/>
                </w:tcPr>
                <w:p w14:paraId="16E03F93">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-9.1</w:t>
                  </w:r>
                </w:p>
              </w:tc>
              <w:tc>
                <w:tcPr>
                  <w:tcW w:w="286" w:type="pct"/>
                  <w:shd w:val="clear" w:color="auto" w:fill="FFFFFF"/>
                  <w:vAlign w:val="center"/>
                </w:tcPr>
                <w:p w14:paraId="466AA1CA">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4.1</w:t>
                  </w:r>
                </w:p>
              </w:tc>
              <w:tc>
                <w:tcPr>
                  <w:tcW w:w="317" w:type="pct"/>
                  <w:shd w:val="clear" w:color="auto" w:fill="FFFFFF"/>
                  <w:vAlign w:val="center"/>
                </w:tcPr>
                <w:p w14:paraId="692004F0">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1000" w:type="pct"/>
                  <w:shd w:val="clear" w:color="auto" w:fill="FFFFFF"/>
                  <w:vAlign w:val="center"/>
                </w:tcPr>
                <w:p w14:paraId="2BD189B3">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49" w:type="pct"/>
                  <w:shd w:val="clear" w:color="auto" w:fill="FFFFFF"/>
                  <w:vAlign w:val="center"/>
                </w:tcPr>
                <w:p w14:paraId="6DFD4447">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w:t>
                  </w:r>
                </w:p>
              </w:tc>
              <w:tc>
                <w:tcPr>
                  <w:tcW w:w="762" w:type="pct"/>
                  <w:vMerge w:val="restart"/>
                  <w:shd w:val="clear" w:color="auto" w:fill="FFFFFF"/>
                  <w:vAlign w:val="center"/>
                </w:tcPr>
                <w:p w14:paraId="06B3160F">
                  <w:pPr>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基础</w:t>
                  </w:r>
                  <w:r>
                    <w:rPr>
                      <w:rFonts w:hint="default" w:ascii="Times New Roman" w:hAnsi="Times New Roman" w:eastAsia="宋体" w:cs="Times New Roman"/>
                      <w:color w:val="auto"/>
                      <w:sz w:val="21"/>
                      <w:szCs w:val="21"/>
                      <w:lang w:val="en-US" w:eastAsia="zh-CN"/>
                    </w:rPr>
                    <w:t>减振，设备维护</w:t>
                  </w:r>
                </w:p>
              </w:tc>
              <w:tc>
                <w:tcPr>
                  <w:tcW w:w="440" w:type="pct"/>
                  <w:vMerge w:val="restart"/>
                  <w:shd w:val="clear" w:color="auto" w:fill="FFFFFF"/>
                  <w:vAlign w:val="center"/>
                </w:tcPr>
                <w:p w14:paraId="6BFE4B84">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昼间8h</w:t>
                  </w:r>
                </w:p>
              </w:tc>
            </w:tr>
            <w:tr w14:paraId="0737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62" w:type="pct"/>
                  <w:shd w:val="clear" w:color="auto" w:fill="FFFFFF"/>
                  <w:vAlign w:val="center"/>
                </w:tcPr>
                <w:p w14:paraId="33334F2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505" w:type="pct"/>
                  <w:shd w:val="clear" w:color="auto" w:fill="FFFFFF"/>
                  <w:vAlign w:val="center"/>
                </w:tcPr>
                <w:p w14:paraId="4FD32C94">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行吊</w:t>
                  </w:r>
                </w:p>
              </w:tc>
              <w:tc>
                <w:tcPr>
                  <w:tcW w:w="264" w:type="pct"/>
                  <w:shd w:val="clear" w:color="auto" w:fill="FFFFFF"/>
                  <w:vAlign w:val="center"/>
                </w:tcPr>
                <w:p w14:paraId="49B82A3D">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3T</w:t>
                  </w:r>
                </w:p>
              </w:tc>
              <w:tc>
                <w:tcPr>
                  <w:tcW w:w="312" w:type="pct"/>
                  <w:shd w:val="clear" w:color="auto" w:fill="FFFFFF"/>
                  <w:vAlign w:val="center"/>
                </w:tcPr>
                <w:p w14:paraId="4480FCF2">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-10.3</w:t>
                  </w:r>
                </w:p>
              </w:tc>
              <w:tc>
                <w:tcPr>
                  <w:tcW w:w="286" w:type="pct"/>
                  <w:shd w:val="clear" w:color="auto" w:fill="FFFFFF"/>
                  <w:vAlign w:val="center"/>
                </w:tcPr>
                <w:p w14:paraId="4C32E511">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w:t>
                  </w:r>
                </w:p>
              </w:tc>
              <w:tc>
                <w:tcPr>
                  <w:tcW w:w="317" w:type="pct"/>
                  <w:shd w:val="clear" w:color="auto" w:fill="FFFFFF"/>
                  <w:vAlign w:val="center"/>
                </w:tcPr>
                <w:p w14:paraId="7D5B92C5">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1000" w:type="pct"/>
                  <w:shd w:val="clear" w:color="auto" w:fill="FFFFFF"/>
                  <w:vAlign w:val="center"/>
                </w:tcPr>
                <w:p w14:paraId="26013FA8">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49" w:type="pct"/>
                  <w:shd w:val="clear" w:color="auto" w:fill="FFFFFF"/>
                  <w:vAlign w:val="center"/>
                </w:tcPr>
                <w:p w14:paraId="2E64F3FC">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w:t>
                  </w:r>
                </w:p>
              </w:tc>
              <w:tc>
                <w:tcPr>
                  <w:tcW w:w="762" w:type="pct"/>
                  <w:vMerge w:val="continue"/>
                  <w:shd w:val="clear" w:color="auto" w:fill="FFFFFF"/>
                  <w:vAlign w:val="center"/>
                </w:tcPr>
                <w:p w14:paraId="5F72A2B8">
                  <w:pPr>
                    <w:jc w:val="center"/>
                    <w:rPr>
                      <w:rFonts w:hint="default" w:ascii="Times New Roman" w:hAnsi="Times New Roman" w:eastAsia="宋体" w:cs="Times New Roman"/>
                      <w:color w:val="auto"/>
                      <w:sz w:val="21"/>
                      <w:szCs w:val="21"/>
                    </w:rPr>
                  </w:pPr>
                </w:p>
              </w:tc>
              <w:tc>
                <w:tcPr>
                  <w:tcW w:w="440" w:type="pct"/>
                  <w:vMerge w:val="continue"/>
                  <w:shd w:val="clear" w:color="auto" w:fill="FFFFFF"/>
                  <w:vAlign w:val="center"/>
                </w:tcPr>
                <w:p w14:paraId="205816B4">
                  <w:pPr>
                    <w:jc w:val="center"/>
                    <w:rPr>
                      <w:rFonts w:hint="default" w:ascii="Times New Roman" w:hAnsi="Times New Roman" w:eastAsia="宋体" w:cs="Times New Roman"/>
                      <w:color w:val="auto"/>
                      <w:sz w:val="21"/>
                      <w:szCs w:val="21"/>
                    </w:rPr>
                  </w:pPr>
                </w:p>
              </w:tc>
            </w:tr>
            <w:tr w14:paraId="35F2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62" w:type="pct"/>
                  <w:shd w:val="clear" w:color="auto" w:fill="FFFFFF"/>
                  <w:vAlign w:val="center"/>
                </w:tcPr>
                <w:p w14:paraId="7EB1791B">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p>
              </w:tc>
              <w:tc>
                <w:tcPr>
                  <w:tcW w:w="505" w:type="pct"/>
                  <w:shd w:val="clear" w:color="auto" w:fill="FFFFFF"/>
                  <w:vAlign w:val="center"/>
                </w:tcPr>
                <w:p w14:paraId="1727C6D9">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行吊</w:t>
                  </w:r>
                </w:p>
              </w:tc>
              <w:tc>
                <w:tcPr>
                  <w:tcW w:w="264" w:type="pct"/>
                  <w:shd w:val="clear" w:color="auto" w:fill="FFFFFF"/>
                  <w:vAlign w:val="center"/>
                </w:tcPr>
                <w:p w14:paraId="08F25571">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5T</w:t>
                  </w:r>
                </w:p>
              </w:tc>
              <w:tc>
                <w:tcPr>
                  <w:tcW w:w="312" w:type="pct"/>
                  <w:shd w:val="clear" w:color="auto" w:fill="FFFFFF"/>
                  <w:vAlign w:val="center"/>
                </w:tcPr>
                <w:p w14:paraId="69ED38F5">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w:t>
                  </w:r>
                </w:p>
              </w:tc>
              <w:tc>
                <w:tcPr>
                  <w:tcW w:w="286" w:type="pct"/>
                  <w:shd w:val="clear" w:color="auto" w:fill="FFFFFF"/>
                  <w:vAlign w:val="center"/>
                </w:tcPr>
                <w:p w14:paraId="1F4D9241">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w:t>
                  </w:r>
                </w:p>
              </w:tc>
              <w:tc>
                <w:tcPr>
                  <w:tcW w:w="317" w:type="pct"/>
                  <w:shd w:val="clear" w:color="auto" w:fill="FFFFFF"/>
                  <w:vAlign w:val="center"/>
                </w:tcPr>
                <w:p w14:paraId="380FA6D3">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1000" w:type="pct"/>
                  <w:shd w:val="clear" w:color="auto" w:fill="FFFFFF"/>
                  <w:vAlign w:val="center"/>
                </w:tcPr>
                <w:p w14:paraId="42C9E342">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49" w:type="pct"/>
                  <w:shd w:val="clear" w:color="auto" w:fill="FFFFFF"/>
                  <w:vAlign w:val="center"/>
                </w:tcPr>
                <w:p w14:paraId="76F3E421">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w:t>
                  </w:r>
                </w:p>
              </w:tc>
              <w:tc>
                <w:tcPr>
                  <w:tcW w:w="762" w:type="pct"/>
                  <w:vMerge w:val="continue"/>
                  <w:shd w:val="clear" w:color="auto" w:fill="FFFFFF"/>
                  <w:vAlign w:val="center"/>
                </w:tcPr>
                <w:p w14:paraId="537C0413">
                  <w:pPr>
                    <w:jc w:val="center"/>
                    <w:rPr>
                      <w:rFonts w:hint="default" w:ascii="Times New Roman" w:hAnsi="Times New Roman" w:eastAsia="宋体" w:cs="Times New Roman"/>
                      <w:color w:val="auto"/>
                      <w:sz w:val="21"/>
                      <w:szCs w:val="21"/>
                    </w:rPr>
                  </w:pPr>
                </w:p>
              </w:tc>
              <w:tc>
                <w:tcPr>
                  <w:tcW w:w="440" w:type="pct"/>
                  <w:vMerge w:val="continue"/>
                  <w:shd w:val="clear" w:color="auto" w:fill="FFFFFF"/>
                  <w:vAlign w:val="center"/>
                </w:tcPr>
                <w:p w14:paraId="31A0D959">
                  <w:pPr>
                    <w:jc w:val="center"/>
                    <w:rPr>
                      <w:rFonts w:hint="default" w:ascii="Times New Roman" w:hAnsi="Times New Roman" w:eastAsia="宋体" w:cs="Times New Roman"/>
                      <w:color w:val="auto"/>
                      <w:sz w:val="21"/>
                      <w:szCs w:val="21"/>
                    </w:rPr>
                  </w:pPr>
                </w:p>
              </w:tc>
            </w:tr>
          </w:tbl>
          <w:p w14:paraId="704CD580">
            <w:pPr>
              <w:keepNext w:val="0"/>
              <w:keepLines w:val="0"/>
              <w:pageBreakBefore w:val="0"/>
              <w:widowControl w:val="0"/>
              <w:numPr>
                <w:ilvl w:val="0"/>
                <w:numId w:val="8"/>
              </w:numPr>
              <w:tabs>
                <w:tab w:val="center" w:pos="0"/>
              </w:tabs>
              <w:kinsoku/>
              <w:wordWrap/>
              <w:overflowPunct/>
              <w:topLinePunct w:val="0"/>
              <w:autoSpaceDE/>
              <w:autoSpaceDN/>
              <w:bidi w:val="0"/>
              <w:adjustRightInd w:val="0"/>
              <w:snapToGrid w:val="0"/>
              <w:ind w:left="0" w:leftChars="0" w:firstLine="0" w:firstLineChars="0"/>
              <w:jc w:val="center"/>
              <w:textAlignment w:val="auto"/>
              <w:rPr>
                <w:rFonts w:hint="eastAsia" w:ascii="Times New Roman" w:hAnsi="Times New Roman" w:eastAsia="宋体" w:cs="Times New Roman"/>
                <w:b/>
                <w:bCs/>
                <w:snapToGrid w:val="0"/>
                <w:color w:val="auto"/>
                <w:spacing w:val="0"/>
                <w:kern w:val="0"/>
                <w:sz w:val="24"/>
                <w:lang w:val="en-US" w:eastAsia="zh-CN"/>
              </w:rPr>
            </w:pPr>
            <w:r>
              <w:rPr>
                <w:rFonts w:hint="eastAsia" w:ascii="Times New Roman" w:hAnsi="Times New Roman" w:eastAsia="宋体" w:cs="Times New Roman"/>
                <w:b/>
                <w:bCs/>
                <w:snapToGrid w:val="0"/>
                <w:color w:val="auto"/>
                <w:spacing w:val="0"/>
                <w:kern w:val="0"/>
                <w:sz w:val="24"/>
                <w:lang w:val="en-US" w:eastAsia="zh-CN"/>
              </w:rPr>
              <w:t>工业企业噪声源强调查清单（室内声源）</w:t>
            </w:r>
          </w:p>
          <w:tbl>
            <w:tblPr>
              <w:tblStyle w:val="36"/>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592"/>
              <w:gridCol w:w="572"/>
              <w:gridCol w:w="689"/>
              <w:gridCol w:w="586"/>
              <w:gridCol w:w="651"/>
              <w:gridCol w:w="651"/>
              <w:gridCol w:w="657"/>
              <w:gridCol w:w="534"/>
              <w:gridCol w:w="534"/>
              <w:gridCol w:w="534"/>
              <w:gridCol w:w="578"/>
              <w:gridCol w:w="528"/>
              <w:gridCol w:w="528"/>
              <w:gridCol w:w="528"/>
              <w:gridCol w:w="554"/>
              <w:gridCol w:w="454"/>
              <w:gridCol w:w="513"/>
              <w:gridCol w:w="513"/>
              <w:gridCol w:w="513"/>
              <w:gridCol w:w="531"/>
              <w:gridCol w:w="545"/>
              <w:gridCol w:w="545"/>
              <w:gridCol w:w="545"/>
              <w:gridCol w:w="545"/>
              <w:gridCol w:w="798"/>
            </w:tblGrid>
            <w:tr w14:paraId="0F35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 w:type="pct"/>
                  <w:vMerge w:val="restart"/>
                  <w:vAlign w:val="center"/>
                </w:tcPr>
                <w:p w14:paraId="16BAE2E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序号</w:t>
                  </w:r>
                </w:p>
              </w:tc>
              <w:tc>
                <w:tcPr>
                  <w:tcW w:w="202" w:type="pct"/>
                  <w:vMerge w:val="restart"/>
                  <w:vAlign w:val="center"/>
                </w:tcPr>
                <w:p w14:paraId="61972F6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建筑物名称</w:t>
                  </w:r>
                </w:p>
              </w:tc>
              <w:tc>
                <w:tcPr>
                  <w:tcW w:w="195" w:type="pct"/>
                  <w:vMerge w:val="restart"/>
                  <w:vAlign w:val="center"/>
                </w:tcPr>
                <w:p w14:paraId="4416521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声源名称</w:t>
                  </w:r>
                </w:p>
              </w:tc>
              <w:tc>
                <w:tcPr>
                  <w:tcW w:w="235" w:type="pct"/>
                  <w:vAlign w:val="center"/>
                </w:tcPr>
                <w:p w14:paraId="21F702BF">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color w:val="auto"/>
                      <w:sz w:val="21"/>
                      <w:szCs w:val="21"/>
                      <w:lang w:eastAsia="zh-CN"/>
                    </w:rPr>
                    <w:t>声源源强</w:t>
                  </w:r>
                </w:p>
              </w:tc>
              <w:tc>
                <w:tcPr>
                  <w:tcW w:w="200" w:type="pct"/>
                  <w:vMerge w:val="restart"/>
                  <w:vAlign w:val="center"/>
                </w:tcPr>
                <w:p w14:paraId="47C53F8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声源控制措施</w:t>
                  </w:r>
                </w:p>
              </w:tc>
              <w:tc>
                <w:tcPr>
                  <w:tcW w:w="668" w:type="pct"/>
                  <w:gridSpan w:val="3"/>
                  <w:vAlign w:val="center"/>
                </w:tcPr>
                <w:p w14:paraId="2C5B726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空间相对位置/m</w:t>
                  </w:r>
                </w:p>
              </w:tc>
              <w:tc>
                <w:tcPr>
                  <w:tcW w:w="743" w:type="pct"/>
                  <w:gridSpan w:val="4"/>
                  <w:vAlign w:val="center"/>
                </w:tcPr>
                <w:p w14:paraId="2EF95749">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距室内边界距离/m</w:t>
                  </w:r>
                </w:p>
              </w:tc>
              <w:tc>
                <w:tcPr>
                  <w:tcW w:w="729" w:type="pct"/>
                  <w:gridSpan w:val="4"/>
                  <w:vAlign w:val="center"/>
                </w:tcPr>
                <w:p w14:paraId="16EEF825">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室内边界声级/dB(A)</w:t>
                  </w:r>
                </w:p>
              </w:tc>
              <w:tc>
                <w:tcPr>
                  <w:tcW w:w="155" w:type="pct"/>
                  <w:vMerge w:val="restart"/>
                  <w:vAlign w:val="center"/>
                </w:tcPr>
                <w:p w14:paraId="32E66BD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运行时段</w:t>
                  </w:r>
                </w:p>
              </w:tc>
              <w:tc>
                <w:tcPr>
                  <w:tcW w:w="706" w:type="pct"/>
                  <w:gridSpan w:val="4"/>
                  <w:vAlign w:val="center"/>
                </w:tcPr>
                <w:p w14:paraId="35680B68">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建筑物插入损失/dB(A)</w:t>
                  </w:r>
                </w:p>
              </w:tc>
              <w:tc>
                <w:tcPr>
                  <w:tcW w:w="1016" w:type="pct"/>
                  <w:gridSpan w:val="5"/>
                  <w:vAlign w:val="center"/>
                </w:tcPr>
                <w:p w14:paraId="6CDB3754">
                  <w:pPr>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建筑物外噪声声压级/dB(A)</w:t>
                  </w:r>
                </w:p>
              </w:tc>
            </w:tr>
            <w:tr w14:paraId="77BF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146" w:type="pct"/>
                  <w:vMerge w:val="continue"/>
                  <w:shd w:val="clear" w:color="auto" w:fill="FFFFFF"/>
                  <w:tcMar>
                    <w:top w:w="0" w:type="dxa"/>
                    <w:left w:w="0" w:type="dxa"/>
                    <w:bottom w:w="0" w:type="dxa"/>
                    <w:right w:w="0" w:type="dxa"/>
                  </w:tcMar>
                  <w:vAlign w:val="center"/>
                </w:tcPr>
                <w:p w14:paraId="1FA75302">
                  <w:pPr>
                    <w:jc w:val="center"/>
                    <w:rPr>
                      <w:rFonts w:hint="default" w:ascii="Times New Roman" w:hAnsi="Times New Roman" w:eastAsia="宋体" w:cs="Times New Roman"/>
                      <w:color w:val="auto"/>
                      <w:sz w:val="21"/>
                      <w:szCs w:val="21"/>
                      <w:lang w:val="en-US" w:eastAsia="zh-CN"/>
                    </w:rPr>
                  </w:pPr>
                </w:p>
              </w:tc>
              <w:tc>
                <w:tcPr>
                  <w:tcW w:w="202" w:type="pct"/>
                  <w:vMerge w:val="continue"/>
                  <w:shd w:val="clear" w:color="auto" w:fill="FFFFFF"/>
                  <w:tcMar>
                    <w:top w:w="0" w:type="dxa"/>
                    <w:left w:w="0" w:type="dxa"/>
                    <w:bottom w:w="0" w:type="dxa"/>
                    <w:right w:w="0" w:type="dxa"/>
                  </w:tcMar>
                  <w:vAlign w:val="center"/>
                </w:tcPr>
                <w:p w14:paraId="7503F96A">
                  <w:pPr>
                    <w:jc w:val="center"/>
                    <w:rPr>
                      <w:rFonts w:hint="default" w:ascii="Times New Roman" w:hAnsi="Times New Roman" w:eastAsia="宋体" w:cs="Times New Roman"/>
                      <w:color w:val="auto"/>
                      <w:sz w:val="21"/>
                      <w:szCs w:val="21"/>
                    </w:rPr>
                  </w:pPr>
                </w:p>
              </w:tc>
              <w:tc>
                <w:tcPr>
                  <w:tcW w:w="195" w:type="pct"/>
                  <w:vMerge w:val="continue"/>
                  <w:shd w:val="clear" w:color="auto" w:fill="FFFFFF"/>
                  <w:tcMar>
                    <w:top w:w="0" w:type="dxa"/>
                    <w:left w:w="0" w:type="dxa"/>
                    <w:bottom w:w="0" w:type="dxa"/>
                    <w:right w:w="0" w:type="dxa"/>
                  </w:tcMar>
                  <w:vAlign w:val="center"/>
                </w:tcPr>
                <w:p w14:paraId="787A5B27">
                  <w:pPr>
                    <w:jc w:val="center"/>
                    <w:rPr>
                      <w:rFonts w:hint="default" w:ascii="Times New Roman" w:hAnsi="Times New Roman" w:eastAsia="宋体" w:cs="Times New Roman"/>
                      <w:color w:val="auto"/>
                      <w:sz w:val="21"/>
                      <w:szCs w:val="21"/>
                    </w:rPr>
                  </w:pPr>
                </w:p>
              </w:tc>
              <w:tc>
                <w:tcPr>
                  <w:tcW w:w="235" w:type="pct"/>
                  <w:shd w:val="clear" w:color="auto" w:fill="FFFFFF"/>
                  <w:tcMar>
                    <w:top w:w="0" w:type="dxa"/>
                    <w:left w:w="0" w:type="dxa"/>
                    <w:bottom w:w="0" w:type="dxa"/>
                    <w:right w:w="0" w:type="dxa"/>
                  </w:tcMar>
                  <w:vAlign w:val="center"/>
                </w:tcPr>
                <w:p w14:paraId="049A789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声功率级/dB(A)</w:t>
                  </w:r>
                </w:p>
              </w:tc>
              <w:tc>
                <w:tcPr>
                  <w:tcW w:w="200" w:type="pct"/>
                  <w:vMerge w:val="continue"/>
                  <w:shd w:val="clear" w:color="auto" w:fill="FFFFFF"/>
                  <w:tcMar>
                    <w:top w:w="0" w:type="dxa"/>
                    <w:left w:w="0" w:type="dxa"/>
                    <w:bottom w:w="0" w:type="dxa"/>
                    <w:right w:w="0" w:type="dxa"/>
                  </w:tcMar>
                  <w:vAlign w:val="center"/>
                </w:tcPr>
                <w:p w14:paraId="2269292E">
                  <w:pPr>
                    <w:jc w:val="center"/>
                    <w:rPr>
                      <w:rFonts w:hint="default" w:ascii="Times New Roman" w:hAnsi="Times New Roman" w:eastAsia="宋体" w:cs="Times New Roman"/>
                      <w:color w:val="auto"/>
                      <w:sz w:val="21"/>
                      <w:szCs w:val="21"/>
                    </w:rPr>
                  </w:pPr>
                </w:p>
              </w:tc>
              <w:tc>
                <w:tcPr>
                  <w:tcW w:w="222" w:type="pct"/>
                  <w:shd w:val="clear" w:color="auto" w:fill="FFFFFF"/>
                  <w:tcMar>
                    <w:top w:w="0" w:type="dxa"/>
                    <w:left w:w="0" w:type="dxa"/>
                    <w:bottom w:w="0" w:type="dxa"/>
                    <w:right w:w="0" w:type="dxa"/>
                  </w:tcMar>
                  <w:vAlign w:val="center"/>
                </w:tcPr>
                <w:p w14:paraId="7388325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X</w:t>
                  </w:r>
                </w:p>
              </w:tc>
              <w:tc>
                <w:tcPr>
                  <w:tcW w:w="222" w:type="pct"/>
                  <w:shd w:val="clear" w:color="auto" w:fill="FFFFFF"/>
                  <w:tcMar>
                    <w:top w:w="0" w:type="dxa"/>
                    <w:left w:w="0" w:type="dxa"/>
                    <w:bottom w:w="0" w:type="dxa"/>
                    <w:right w:w="0" w:type="dxa"/>
                  </w:tcMar>
                  <w:vAlign w:val="center"/>
                </w:tcPr>
                <w:p w14:paraId="6C3506E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Y</w:t>
                  </w:r>
                </w:p>
              </w:tc>
              <w:tc>
                <w:tcPr>
                  <w:tcW w:w="224" w:type="pct"/>
                  <w:shd w:val="clear" w:color="auto" w:fill="FFFFFF"/>
                  <w:tcMar>
                    <w:top w:w="0" w:type="dxa"/>
                    <w:left w:w="0" w:type="dxa"/>
                    <w:bottom w:w="0" w:type="dxa"/>
                    <w:right w:w="0" w:type="dxa"/>
                  </w:tcMar>
                  <w:vAlign w:val="center"/>
                </w:tcPr>
                <w:p w14:paraId="07A010D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Z</w:t>
                  </w:r>
                </w:p>
              </w:tc>
              <w:tc>
                <w:tcPr>
                  <w:tcW w:w="182" w:type="pct"/>
                  <w:shd w:val="clear" w:color="auto" w:fill="FFFFFF"/>
                  <w:tcMar>
                    <w:top w:w="0" w:type="dxa"/>
                    <w:left w:w="0" w:type="dxa"/>
                    <w:bottom w:w="0" w:type="dxa"/>
                    <w:right w:w="0" w:type="dxa"/>
                  </w:tcMar>
                  <w:vAlign w:val="center"/>
                </w:tcPr>
                <w:p w14:paraId="7CFFB79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182" w:type="pct"/>
                  <w:shd w:val="clear" w:color="auto" w:fill="FFFFFF"/>
                  <w:tcMar>
                    <w:top w:w="0" w:type="dxa"/>
                    <w:left w:w="0" w:type="dxa"/>
                    <w:bottom w:w="0" w:type="dxa"/>
                    <w:right w:w="0" w:type="dxa"/>
                  </w:tcMar>
                  <w:vAlign w:val="center"/>
                </w:tcPr>
                <w:p w14:paraId="1526E0B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182" w:type="pct"/>
                  <w:shd w:val="clear" w:color="auto" w:fill="FFFFFF"/>
                  <w:tcMar>
                    <w:top w:w="0" w:type="dxa"/>
                    <w:left w:w="0" w:type="dxa"/>
                    <w:bottom w:w="0" w:type="dxa"/>
                    <w:right w:w="0" w:type="dxa"/>
                  </w:tcMar>
                  <w:vAlign w:val="center"/>
                </w:tcPr>
                <w:p w14:paraId="48888DA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196" w:type="pct"/>
                  <w:shd w:val="clear" w:color="auto" w:fill="FFFFFF"/>
                  <w:tcMar>
                    <w:top w:w="0" w:type="dxa"/>
                    <w:left w:w="0" w:type="dxa"/>
                    <w:bottom w:w="0" w:type="dxa"/>
                    <w:right w:w="0" w:type="dxa"/>
                  </w:tcMar>
                  <w:vAlign w:val="center"/>
                </w:tcPr>
                <w:p w14:paraId="349C5EB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180" w:type="pct"/>
                  <w:shd w:val="clear" w:color="auto" w:fill="FFFFFF"/>
                  <w:tcMar>
                    <w:top w:w="0" w:type="dxa"/>
                    <w:left w:w="0" w:type="dxa"/>
                    <w:bottom w:w="0" w:type="dxa"/>
                    <w:right w:w="0" w:type="dxa"/>
                  </w:tcMar>
                  <w:vAlign w:val="center"/>
                </w:tcPr>
                <w:p w14:paraId="6C27C53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180" w:type="pct"/>
                  <w:shd w:val="clear" w:color="auto" w:fill="FFFFFF"/>
                  <w:tcMar>
                    <w:top w:w="0" w:type="dxa"/>
                    <w:left w:w="0" w:type="dxa"/>
                    <w:bottom w:w="0" w:type="dxa"/>
                    <w:right w:w="0" w:type="dxa"/>
                  </w:tcMar>
                  <w:vAlign w:val="center"/>
                </w:tcPr>
                <w:p w14:paraId="6243C00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180" w:type="pct"/>
                  <w:shd w:val="clear" w:color="auto" w:fill="FFFFFF"/>
                  <w:tcMar>
                    <w:top w:w="0" w:type="dxa"/>
                    <w:left w:w="0" w:type="dxa"/>
                    <w:bottom w:w="0" w:type="dxa"/>
                    <w:right w:w="0" w:type="dxa"/>
                  </w:tcMar>
                  <w:vAlign w:val="center"/>
                </w:tcPr>
                <w:p w14:paraId="2A444E7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189" w:type="pct"/>
                  <w:shd w:val="clear" w:color="auto" w:fill="FFFFFF"/>
                  <w:tcMar>
                    <w:top w:w="0" w:type="dxa"/>
                    <w:left w:w="0" w:type="dxa"/>
                    <w:bottom w:w="0" w:type="dxa"/>
                    <w:right w:w="0" w:type="dxa"/>
                  </w:tcMar>
                  <w:vAlign w:val="center"/>
                </w:tcPr>
                <w:p w14:paraId="5D7DF24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155" w:type="pct"/>
                  <w:vMerge w:val="continue"/>
                  <w:shd w:val="clear" w:color="auto" w:fill="FFFFFF"/>
                  <w:tcMar>
                    <w:top w:w="0" w:type="dxa"/>
                    <w:left w:w="0" w:type="dxa"/>
                    <w:bottom w:w="0" w:type="dxa"/>
                    <w:right w:w="0" w:type="dxa"/>
                  </w:tcMar>
                  <w:vAlign w:val="center"/>
                </w:tcPr>
                <w:p w14:paraId="497BA764">
                  <w:pPr>
                    <w:jc w:val="center"/>
                    <w:rPr>
                      <w:rFonts w:hint="default" w:ascii="Times New Roman" w:hAnsi="Times New Roman" w:eastAsia="宋体" w:cs="Times New Roman"/>
                      <w:color w:val="auto"/>
                      <w:sz w:val="21"/>
                      <w:szCs w:val="21"/>
                    </w:rPr>
                  </w:pPr>
                </w:p>
              </w:tc>
              <w:tc>
                <w:tcPr>
                  <w:tcW w:w="175" w:type="pct"/>
                  <w:shd w:val="clear" w:color="auto" w:fill="FFFFFF"/>
                  <w:tcMar>
                    <w:top w:w="0" w:type="dxa"/>
                    <w:left w:w="0" w:type="dxa"/>
                    <w:bottom w:w="0" w:type="dxa"/>
                    <w:right w:w="0" w:type="dxa"/>
                  </w:tcMar>
                  <w:vAlign w:val="center"/>
                </w:tcPr>
                <w:p w14:paraId="3B5B05D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175" w:type="pct"/>
                  <w:shd w:val="clear" w:color="auto" w:fill="FFFFFF"/>
                  <w:tcMar>
                    <w:top w:w="0" w:type="dxa"/>
                    <w:left w:w="0" w:type="dxa"/>
                    <w:bottom w:w="0" w:type="dxa"/>
                    <w:right w:w="0" w:type="dxa"/>
                  </w:tcMar>
                  <w:vAlign w:val="center"/>
                </w:tcPr>
                <w:p w14:paraId="6CD856C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175" w:type="pct"/>
                  <w:shd w:val="clear" w:color="auto" w:fill="FFFFFF"/>
                  <w:tcMar>
                    <w:top w:w="0" w:type="dxa"/>
                    <w:left w:w="0" w:type="dxa"/>
                    <w:bottom w:w="0" w:type="dxa"/>
                    <w:right w:w="0" w:type="dxa"/>
                  </w:tcMar>
                  <w:vAlign w:val="center"/>
                </w:tcPr>
                <w:p w14:paraId="0D5C727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181" w:type="pct"/>
                  <w:shd w:val="clear" w:color="auto" w:fill="FFFFFF"/>
                  <w:tcMar>
                    <w:top w:w="0" w:type="dxa"/>
                    <w:left w:w="0" w:type="dxa"/>
                    <w:bottom w:w="0" w:type="dxa"/>
                    <w:right w:w="0" w:type="dxa"/>
                  </w:tcMar>
                  <w:vAlign w:val="center"/>
                </w:tcPr>
                <w:p w14:paraId="6420172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186" w:type="pct"/>
                  <w:shd w:val="clear" w:color="auto" w:fill="FFFFFF"/>
                  <w:tcMar>
                    <w:top w:w="0" w:type="dxa"/>
                    <w:left w:w="0" w:type="dxa"/>
                    <w:bottom w:w="0" w:type="dxa"/>
                    <w:right w:w="0" w:type="dxa"/>
                  </w:tcMar>
                  <w:vAlign w:val="center"/>
                </w:tcPr>
                <w:p w14:paraId="3EE66DD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186" w:type="pct"/>
                  <w:shd w:val="clear" w:color="auto" w:fill="FFFFFF"/>
                  <w:tcMar>
                    <w:top w:w="0" w:type="dxa"/>
                    <w:left w:w="0" w:type="dxa"/>
                    <w:bottom w:w="0" w:type="dxa"/>
                    <w:right w:w="0" w:type="dxa"/>
                  </w:tcMar>
                  <w:vAlign w:val="center"/>
                </w:tcPr>
                <w:p w14:paraId="62F8AA9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186" w:type="pct"/>
                  <w:shd w:val="clear" w:color="auto" w:fill="FFFFFF"/>
                  <w:tcMar>
                    <w:top w:w="0" w:type="dxa"/>
                    <w:left w:w="0" w:type="dxa"/>
                    <w:bottom w:w="0" w:type="dxa"/>
                    <w:right w:w="0" w:type="dxa"/>
                  </w:tcMar>
                  <w:vAlign w:val="center"/>
                </w:tcPr>
                <w:p w14:paraId="3DC567D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186" w:type="pct"/>
                  <w:shd w:val="clear" w:color="auto" w:fill="FFFFFF"/>
                  <w:tcMar>
                    <w:top w:w="0" w:type="dxa"/>
                    <w:left w:w="0" w:type="dxa"/>
                    <w:bottom w:w="0" w:type="dxa"/>
                    <w:right w:w="0" w:type="dxa"/>
                  </w:tcMar>
                  <w:vAlign w:val="center"/>
                </w:tcPr>
                <w:p w14:paraId="31C74AA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272" w:type="pct"/>
                  <w:shd w:val="clear" w:color="auto" w:fill="FFFFFF"/>
                  <w:tcMar>
                    <w:top w:w="0" w:type="dxa"/>
                    <w:left w:w="0" w:type="dxa"/>
                    <w:bottom w:w="0" w:type="dxa"/>
                    <w:right w:w="0" w:type="dxa"/>
                  </w:tcMar>
                  <w:vAlign w:val="center"/>
                </w:tcPr>
                <w:p w14:paraId="2A721E1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建筑物外距离</w:t>
                  </w:r>
                </w:p>
              </w:tc>
            </w:tr>
            <w:tr w14:paraId="50350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146" w:type="pct"/>
                  <w:shd w:val="clear" w:color="auto" w:fill="FFFFFF"/>
                  <w:tcMar>
                    <w:top w:w="0" w:type="dxa"/>
                    <w:left w:w="0" w:type="dxa"/>
                    <w:bottom w:w="0" w:type="dxa"/>
                    <w:right w:w="0" w:type="dxa"/>
                  </w:tcMar>
                  <w:vAlign w:val="center"/>
                </w:tcPr>
                <w:p w14:paraId="5E4BB61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202" w:type="pct"/>
                  <w:shd w:val="clear" w:color="auto" w:fill="FFFFFF"/>
                  <w:tcMar>
                    <w:top w:w="0" w:type="dxa"/>
                    <w:left w:w="0" w:type="dxa"/>
                    <w:bottom w:w="0" w:type="dxa"/>
                    <w:right w:w="0" w:type="dxa"/>
                  </w:tcMar>
                  <w:vAlign w:val="center"/>
                </w:tcPr>
                <w:p w14:paraId="0517502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生产车间</w:t>
                  </w:r>
                </w:p>
              </w:tc>
              <w:tc>
                <w:tcPr>
                  <w:tcW w:w="195" w:type="pct"/>
                  <w:shd w:val="clear" w:color="auto" w:fill="FFFFFF"/>
                  <w:tcMar>
                    <w:top w:w="0" w:type="dxa"/>
                    <w:left w:w="0" w:type="dxa"/>
                    <w:bottom w:w="0" w:type="dxa"/>
                    <w:right w:w="0" w:type="dxa"/>
                  </w:tcMar>
                  <w:vAlign w:val="center"/>
                </w:tcPr>
                <w:p w14:paraId="3FB83A5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上料机,</w:t>
                  </w:r>
                  <w:r>
                    <w:rPr>
                      <w:rFonts w:hint="eastAsia" w:cs="Times New Roman"/>
                      <w:color w:val="auto"/>
                      <w:sz w:val="21"/>
                      <w:szCs w:val="21"/>
                      <w:lang w:val="en-US" w:eastAsia="zh-CN"/>
                    </w:rPr>
                    <w:t>1</w:t>
                  </w:r>
                  <w:r>
                    <w:rPr>
                      <w:rFonts w:hint="default" w:ascii="Times New Roman" w:hAnsi="Times New Roman" w:eastAsia="宋体" w:cs="Times New Roman"/>
                      <w:color w:val="auto"/>
                      <w:sz w:val="21"/>
                      <w:szCs w:val="21"/>
                    </w:rPr>
                    <w:t>台</w:t>
                  </w:r>
                </w:p>
              </w:tc>
              <w:tc>
                <w:tcPr>
                  <w:tcW w:w="235" w:type="pct"/>
                  <w:shd w:val="clear" w:color="auto" w:fill="FFFFFF"/>
                  <w:tcMar>
                    <w:top w:w="0" w:type="dxa"/>
                    <w:left w:w="0" w:type="dxa"/>
                    <w:bottom w:w="0" w:type="dxa"/>
                    <w:right w:w="0" w:type="dxa"/>
                  </w:tcMar>
                  <w:vAlign w:val="center"/>
                </w:tcPr>
                <w:p w14:paraId="37576E1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w:t>
                  </w:r>
                </w:p>
              </w:tc>
              <w:tc>
                <w:tcPr>
                  <w:tcW w:w="200" w:type="pct"/>
                  <w:vMerge w:val="restart"/>
                  <w:shd w:val="clear" w:color="auto" w:fill="FFFFFF"/>
                  <w:tcMar>
                    <w:top w:w="0" w:type="dxa"/>
                    <w:left w:w="0" w:type="dxa"/>
                    <w:bottom w:w="0" w:type="dxa"/>
                    <w:right w:w="0" w:type="dxa"/>
                  </w:tcMar>
                  <w:vAlign w:val="center"/>
                </w:tcPr>
                <w:p w14:paraId="5D8C0DA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基础减振，车间隔声，设备维护</w:t>
                  </w:r>
                </w:p>
              </w:tc>
              <w:tc>
                <w:tcPr>
                  <w:tcW w:w="222" w:type="pct"/>
                  <w:shd w:val="clear" w:color="auto" w:fill="FFFFFF"/>
                  <w:tcMar>
                    <w:top w:w="0" w:type="dxa"/>
                    <w:left w:w="0" w:type="dxa"/>
                    <w:bottom w:w="0" w:type="dxa"/>
                    <w:right w:w="0" w:type="dxa"/>
                  </w:tcMar>
                  <w:vAlign w:val="center"/>
                </w:tcPr>
                <w:p w14:paraId="3575785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w:t>
                  </w:r>
                </w:p>
              </w:tc>
              <w:tc>
                <w:tcPr>
                  <w:tcW w:w="222" w:type="pct"/>
                  <w:shd w:val="clear" w:color="auto" w:fill="FFFFFF"/>
                  <w:tcMar>
                    <w:top w:w="0" w:type="dxa"/>
                    <w:left w:w="0" w:type="dxa"/>
                    <w:bottom w:w="0" w:type="dxa"/>
                    <w:right w:w="0" w:type="dxa"/>
                  </w:tcMar>
                  <w:vAlign w:val="center"/>
                </w:tcPr>
                <w:p w14:paraId="0FEF04B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-15.8</w:t>
                  </w:r>
                </w:p>
              </w:tc>
              <w:tc>
                <w:tcPr>
                  <w:tcW w:w="224" w:type="pct"/>
                  <w:shd w:val="clear" w:color="auto" w:fill="FFFFFF"/>
                  <w:tcMar>
                    <w:top w:w="0" w:type="dxa"/>
                    <w:left w:w="0" w:type="dxa"/>
                    <w:bottom w:w="0" w:type="dxa"/>
                    <w:right w:w="0" w:type="dxa"/>
                  </w:tcMar>
                  <w:vAlign w:val="center"/>
                </w:tcPr>
                <w:p w14:paraId="5EEA70C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2" w:type="pct"/>
                  <w:shd w:val="clear" w:color="auto" w:fill="FFFFFF"/>
                  <w:tcMar>
                    <w:top w:w="0" w:type="dxa"/>
                    <w:left w:w="0" w:type="dxa"/>
                    <w:bottom w:w="0" w:type="dxa"/>
                    <w:right w:w="0" w:type="dxa"/>
                  </w:tcMar>
                  <w:vAlign w:val="center"/>
                </w:tcPr>
                <w:p w14:paraId="5818040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19.1</w:t>
                  </w:r>
                </w:p>
              </w:tc>
              <w:tc>
                <w:tcPr>
                  <w:tcW w:w="182" w:type="pct"/>
                  <w:shd w:val="clear" w:color="auto" w:fill="FFFFFF"/>
                  <w:tcMar>
                    <w:top w:w="0" w:type="dxa"/>
                    <w:left w:w="0" w:type="dxa"/>
                    <w:bottom w:w="0" w:type="dxa"/>
                    <w:right w:w="0" w:type="dxa"/>
                  </w:tcMar>
                  <w:vAlign w:val="center"/>
                </w:tcPr>
                <w:p w14:paraId="19B41A9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12.9</w:t>
                  </w:r>
                </w:p>
              </w:tc>
              <w:tc>
                <w:tcPr>
                  <w:tcW w:w="182" w:type="pct"/>
                  <w:shd w:val="clear" w:color="auto" w:fill="FFFFFF"/>
                  <w:tcMar>
                    <w:top w:w="0" w:type="dxa"/>
                    <w:left w:w="0" w:type="dxa"/>
                    <w:bottom w:w="0" w:type="dxa"/>
                    <w:right w:w="0" w:type="dxa"/>
                  </w:tcMar>
                  <w:vAlign w:val="center"/>
                </w:tcPr>
                <w:p w14:paraId="3B1115D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19.3</w:t>
                  </w:r>
                </w:p>
              </w:tc>
              <w:tc>
                <w:tcPr>
                  <w:tcW w:w="196" w:type="pct"/>
                  <w:shd w:val="clear" w:color="auto" w:fill="FFFFFF"/>
                  <w:tcMar>
                    <w:top w:w="0" w:type="dxa"/>
                    <w:left w:w="0" w:type="dxa"/>
                    <w:bottom w:w="0" w:type="dxa"/>
                    <w:right w:w="0" w:type="dxa"/>
                  </w:tcMar>
                  <w:vAlign w:val="center"/>
                </w:tcPr>
                <w:p w14:paraId="6755459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8.1</w:t>
                  </w:r>
                </w:p>
              </w:tc>
              <w:tc>
                <w:tcPr>
                  <w:tcW w:w="180" w:type="pct"/>
                  <w:shd w:val="clear" w:color="auto" w:fill="FFFFFF"/>
                  <w:tcMar>
                    <w:top w:w="0" w:type="dxa"/>
                    <w:left w:w="0" w:type="dxa"/>
                    <w:bottom w:w="0" w:type="dxa"/>
                    <w:right w:w="0" w:type="dxa"/>
                  </w:tcMar>
                  <w:vAlign w:val="center"/>
                </w:tcPr>
                <w:p w14:paraId="75A3360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71.3</w:t>
                  </w:r>
                </w:p>
              </w:tc>
              <w:tc>
                <w:tcPr>
                  <w:tcW w:w="180" w:type="pct"/>
                  <w:shd w:val="clear" w:color="auto" w:fill="FFFFFF"/>
                  <w:tcMar>
                    <w:top w:w="0" w:type="dxa"/>
                    <w:left w:w="0" w:type="dxa"/>
                    <w:bottom w:w="0" w:type="dxa"/>
                    <w:right w:w="0" w:type="dxa"/>
                  </w:tcMar>
                  <w:vAlign w:val="center"/>
                </w:tcPr>
                <w:p w14:paraId="0465070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71.3</w:t>
                  </w:r>
                </w:p>
              </w:tc>
              <w:tc>
                <w:tcPr>
                  <w:tcW w:w="180" w:type="pct"/>
                  <w:shd w:val="clear" w:color="auto" w:fill="FFFFFF"/>
                  <w:tcMar>
                    <w:top w:w="0" w:type="dxa"/>
                    <w:left w:w="0" w:type="dxa"/>
                    <w:bottom w:w="0" w:type="dxa"/>
                    <w:right w:w="0" w:type="dxa"/>
                  </w:tcMar>
                  <w:vAlign w:val="center"/>
                </w:tcPr>
                <w:p w14:paraId="2C6E5FA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71.3</w:t>
                  </w:r>
                </w:p>
              </w:tc>
              <w:tc>
                <w:tcPr>
                  <w:tcW w:w="189" w:type="pct"/>
                  <w:shd w:val="clear" w:color="auto" w:fill="FFFFFF"/>
                  <w:tcMar>
                    <w:top w:w="0" w:type="dxa"/>
                    <w:left w:w="0" w:type="dxa"/>
                    <w:bottom w:w="0" w:type="dxa"/>
                    <w:right w:w="0" w:type="dxa"/>
                  </w:tcMar>
                  <w:vAlign w:val="center"/>
                </w:tcPr>
                <w:p w14:paraId="693837E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71.3</w:t>
                  </w:r>
                </w:p>
              </w:tc>
              <w:tc>
                <w:tcPr>
                  <w:tcW w:w="155" w:type="pct"/>
                  <w:vMerge w:val="restart"/>
                  <w:shd w:val="clear" w:color="auto" w:fill="FFFFFF"/>
                  <w:tcMar>
                    <w:top w:w="0" w:type="dxa"/>
                    <w:left w:w="0" w:type="dxa"/>
                    <w:bottom w:w="0" w:type="dxa"/>
                    <w:right w:w="0" w:type="dxa"/>
                  </w:tcMar>
                  <w:vAlign w:val="center"/>
                </w:tcPr>
                <w:p w14:paraId="0F4CA64E">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昼间8h</w:t>
                  </w:r>
                </w:p>
              </w:tc>
              <w:tc>
                <w:tcPr>
                  <w:tcW w:w="175" w:type="pct"/>
                  <w:shd w:val="clear" w:color="auto" w:fill="FFFFFF"/>
                  <w:tcMar>
                    <w:top w:w="0" w:type="dxa"/>
                    <w:left w:w="0" w:type="dxa"/>
                    <w:bottom w:w="0" w:type="dxa"/>
                    <w:right w:w="0" w:type="dxa"/>
                  </w:tcMar>
                  <w:vAlign w:val="center"/>
                </w:tcPr>
                <w:p w14:paraId="387FCC5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36.0</w:t>
                  </w:r>
                </w:p>
              </w:tc>
              <w:tc>
                <w:tcPr>
                  <w:tcW w:w="175" w:type="pct"/>
                  <w:shd w:val="clear" w:color="auto" w:fill="FFFFFF"/>
                  <w:tcMar>
                    <w:top w:w="0" w:type="dxa"/>
                    <w:left w:w="0" w:type="dxa"/>
                    <w:bottom w:w="0" w:type="dxa"/>
                    <w:right w:w="0" w:type="dxa"/>
                  </w:tcMar>
                  <w:vAlign w:val="center"/>
                </w:tcPr>
                <w:p w14:paraId="3A5AD3C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36.0</w:t>
                  </w:r>
                </w:p>
              </w:tc>
              <w:tc>
                <w:tcPr>
                  <w:tcW w:w="175" w:type="pct"/>
                  <w:shd w:val="clear" w:color="auto" w:fill="FFFFFF"/>
                  <w:tcMar>
                    <w:top w:w="0" w:type="dxa"/>
                    <w:left w:w="0" w:type="dxa"/>
                    <w:bottom w:w="0" w:type="dxa"/>
                    <w:right w:w="0" w:type="dxa"/>
                  </w:tcMar>
                  <w:vAlign w:val="center"/>
                </w:tcPr>
                <w:p w14:paraId="16669FA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36.0</w:t>
                  </w:r>
                </w:p>
              </w:tc>
              <w:tc>
                <w:tcPr>
                  <w:tcW w:w="181" w:type="pct"/>
                  <w:shd w:val="clear" w:color="auto" w:fill="FFFFFF"/>
                  <w:tcMar>
                    <w:top w:w="0" w:type="dxa"/>
                    <w:left w:w="0" w:type="dxa"/>
                    <w:bottom w:w="0" w:type="dxa"/>
                    <w:right w:w="0" w:type="dxa"/>
                  </w:tcMar>
                  <w:vAlign w:val="center"/>
                </w:tcPr>
                <w:p w14:paraId="0B514FC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36.0</w:t>
                  </w:r>
                </w:p>
              </w:tc>
              <w:tc>
                <w:tcPr>
                  <w:tcW w:w="186" w:type="pct"/>
                  <w:shd w:val="clear" w:color="auto" w:fill="FFFFFF"/>
                  <w:tcMar>
                    <w:top w:w="0" w:type="dxa"/>
                    <w:left w:w="0" w:type="dxa"/>
                    <w:bottom w:w="0" w:type="dxa"/>
                    <w:right w:w="0" w:type="dxa"/>
                  </w:tcMar>
                  <w:vAlign w:val="center"/>
                </w:tcPr>
                <w:p w14:paraId="0A6884D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35.3</w:t>
                  </w:r>
                </w:p>
              </w:tc>
              <w:tc>
                <w:tcPr>
                  <w:tcW w:w="186" w:type="pct"/>
                  <w:shd w:val="clear" w:color="auto" w:fill="FFFFFF"/>
                  <w:tcMar>
                    <w:top w:w="0" w:type="dxa"/>
                    <w:left w:w="0" w:type="dxa"/>
                    <w:bottom w:w="0" w:type="dxa"/>
                    <w:right w:w="0" w:type="dxa"/>
                  </w:tcMar>
                  <w:vAlign w:val="center"/>
                </w:tcPr>
                <w:p w14:paraId="17962F2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35.3</w:t>
                  </w:r>
                </w:p>
              </w:tc>
              <w:tc>
                <w:tcPr>
                  <w:tcW w:w="186" w:type="pct"/>
                  <w:shd w:val="clear" w:color="auto" w:fill="FFFFFF"/>
                  <w:tcMar>
                    <w:top w:w="0" w:type="dxa"/>
                    <w:left w:w="0" w:type="dxa"/>
                    <w:bottom w:w="0" w:type="dxa"/>
                    <w:right w:w="0" w:type="dxa"/>
                  </w:tcMar>
                  <w:vAlign w:val="center"/>
                </w:tcPr>
                <w:p w14:paraId="735F3B1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35.3</w:t>
                  </w:r>
                </w:p>
              </w:tc>
              <w:tc>
                <w:tcPr>
                  <w:tcW w:w="186" w:type="pct"/>
                  <w:shd w:val="clear" w:color="auto" w:fill="FFFFFF"/>
                  <w:tcMar>
                    <w:top w:w="0" w:type="dxa"/>
                    <w:left w:w="0" w:type="dxa"/>
                    <w:bottom w:w="0" w:type="dxa"/>
                    <w:right w:w="0" w:type="dxa"/>
                  </w:tcMar>
                  <w:vAlign w:val="center"/>
                </w:tcPr>
                <w:p w14:paraId="64EEC5B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35.3</w:t>
                  </w:r>
                </w:p>
              </w:tc>
              <w:tc>
                <w:tcPr>
                  <w:tcW w:w="272" w:type="pct"/>
                  <w:shd w:val="clear" w:color="auto" w:fill="FFFFFF"/>
                  <w:tcMar>
                    <w:top w:w="0" w:type="dxa"/>
                    <w:left w:w="0" w:type="dxa"/>
                    <w:bottom w:w="0" w:type="dxa"/>
                    <w:right w:w="0" w:type="dxa"/>
                  </w:tcMar>
                  <w:vAlign w:val="center"/>
                </w:tcPr>
                <w:p w14:paraId="012A7EC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14:paraId="1ED8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146" w:type="pct"/>
                  <w:shd w:val="clear" w:color="auto" w:fill="FFFFFF"/>
                  <w:tcMar>
                    <w:top w:w="0" w:type="dxa"/>
                    <w:left w:w="0" w:type="dxa"/>
                    <w:bottom w:w="0" w:type="dxa"/>
                    <w:right w:w="0" w:type="dxa"/>
                  </w:tcMar>
                  <w:vAlign w:val="center"/>
                </w:tcPr>
                <w:p w14:paraId="650CE09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202" w:type="pct"/>
                  <w:shd w:val="clear" w:color="auto" w:fill="FFFFFF"/>
                  <w:tcMar>
                    <w:top w:w="0" w:type="dxa"/>
                    <w:left w:w="0" w:type="dxa"/>
                    <w:bottom w:w="0" w:type="dxa"/>
                    <w:right w:w="0" w:type="dxa"/>
                  </w:tcMar>
                  <w:vAlign w:val="center"/>
                </w:tcPr>
                <w:p w14:paraId="7EFCBAC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生产车间</w:t>
                  </w:r>
                </w:p>
              </w:tc>
              <w:tc>
                <w:tcPr>
                  <w:tcW w:w="195" w:type="pct"/>
                  <w:shd w:val="clear" w:color="auto" w:fill="FFFFFF"/>
                  <w:tcMar>
                    <w:top w:w="0" w:type="dxa"/>
                    <w:left w:w="0" w:type="dxa"/>
                    <w:bottom w:w="0" w:type="dxa"/>
                    <w:right w:w="0" w:type="dxa"/>
                  </w:tcMar>
                  <w:vAlign w:val="center"/>
                </w:tcPr>
                <w:p w14:paraId="22495C9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搅拌机,3台（按点声源组预测）</w:t>
                  </w:r>
                </w:p>
              </w:tc>
              <w:tc>
                <w:tcPr>
                  <w:tcW w:w="235" w:type="pct"/>
                  <w:shd w:val="clear" w:color="auto" w:fill="FFFFFF"/>
                  <w:tcMar>
                    <w:top w:w="0" w:type="dxa"/>
                    <w:left w:w="0" w:type="dxa"/>
                    <w:bottom w:w="0" w:type="dxa"/>
                    <w:right w:w="0" w:type="dxa"/>
                  </w:tcMar>
                  <w:vAlign w:val="center"/>
                </w:tcPr>
                <w:p w14:paraId="7F70673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80（等效后：84.8)</w:t>
                  </w:r>
                </w:p>
              </w:tc>
              <w:tc>
                <w:tcPr>
                  <w:tcW w:w="200" w:type="pct"/>
                  <w:vMerge w:val="continue"/>
                  <w:shd w:val="clear" w:color="auto" w:fill="FFFFFF"/>
                  <w:tcMar>
                    <w:top w:w="0" w:type="dxa"/>
                    <w:left w:w="0" w:type="dxa"/>
                    <w:bottom w:w="0" w:type="dxa"/>
                    <w:right w:w="0" w:type="dxa"/>
                  </w:tcMar>
                  <w:vAlign w:val="center"/>
                </w:tcPr>
                <w:p w14:paraId="71557D49">
                  <w:pPr>
                    <w:jc w:val="center"/>
                    <w:rPr>
                      <w:rFonts w:hint="default" w:ascii="Times New Roman" w:hAnsi="Times New Roman" w:eastAsia="宋体" w:cs="Times New Roman"/>
                      <w:color w:val="auto"/>
                      <w:sz w:val="21"/>
                      <w:szCs w:val="21"/>
                    </w:rPr>
                  </w:pPr>
                </w:p>
              </w:tc>
              <w:tc>
                <w:tcPr>
                  <w:tcW w:w="222" w:type="pct"/>
                  <w:shd w:val="clear" w:color="auto" w:fill="FFFFFF"/>
                  <w:tcMar>
                    <w:top w:w="0" w:type="dxa"/>
                    <w:left w:w="0" w:type="dxa"/>
                    <w:bottom w:w="0" w:type="dxa"/>
                    <w:right w:w="0" w:type="dxa"/>
                  </w:tcMar>
                  <w:vAlign w:val="center"/>
                </w:tcPr>
                <w:p w14:paraId="5C017A1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-4.7</w:t>
                  </w:r>
                </w:p>
              </w:tc>
              <w:tc>
                <w:tcPr>
                  <w:tcW w:w="222" w:type="pct"/>
                  <w:shd w:val="clear" w:color="auto" w:fill="FFFFFF"/>
                  <w:tcMar>
                    <w:top w:w="0" w:type="dxa"/>
                    <w:left w:w="0" w:type="dxa"/>
                    <w:bottom w:w="0" w:type="dxa"/>
                    <w:right w:w="0" w:type="dxa"/>
                  </w:tcMar>
                  <w:vAlign w:val="center"/>
                </w:tcPr>
                <w:p w14:paraId="20335A8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c>
                <w:tcPr>
                  <w:tcW w:w="224" w:type="pct"/>
                  <w:shd w:val="clear" w:color="auto" w:fill="FFFFFF"/>
                  <w:tcMar>
                    <w:top w:w="0" w:type="dxa"/>
                    <w:left w:w="0" w:type="dxa"/>
                    <w:bottom w:w="0" w:type="dxa"/>
                    <w:right w:w="0" w:type="dxa"/>
                  </w:tcMar>
                  <w:vAlign w:val="center"/>
                </w:tcPr>
                <w:p w14:paraId="576150C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2" w:type="pct"/>
                  <w:shd w:val="clear" w:color="auto" w:fill="FFFFFF"/>
                  <w:tcMar>
                    <w:top w:w="0" w:type="dxa"/>
                    <w:left w:w="0" w:type="dxa"/>
                    <w:bottom w:w="0" w:type="dxa"/>
                    <w:right w:w="0" w:type="dxa"/>
                  </w:tcMar>
                  <w:vAlign w:val="center"/>
                </w:tcPr>
                <w:p w14:paraId="2D8DE44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18.0</w:t>
                  </w:r>
                </w:p>
              </w:tc>
              <w:tc>
                <w:tcPr>
                  <w:tcW w:w="182" w:type="pct"/>
                  <w:shd w:val="clear" w:color="auto" w:fill="FFFFFF"/>
                  <w:tcMar>
                    <w:top w:w="0" w:type="dxa"/>
                    <w:left w:w="0" w:type="dxa"/>
                    <w:bottom w:w="0" w:type="dxa"/>
                    <w:right w:w="0" w:type="dxa"/>
                  </w:tcMar>
                  <w:vAlign w:val="center"/>
                </w:tcPr>
                <w:p w14:paraId="00E07BF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8.8</w:t>
                  </w:r>
                </w:p>
              </w:tc>
              <w:tc>
                <w:tcPr>
                  <w:tcW w:w="182" w:type="pct"/>
                  <w:shd w:val="clear" w:color="auto" w:fill="FFFFFF"/>
                  <w:tcMar>
                    <w:top w:w="0" w:type="dxa"/>
                    <w:left w:w="0" w:type="dxa"/>
                    <w:bottom w:w="0" w:type="dxa"/>
                    <w:right w:w="0" w:type="dxa"/>
                  </w:tcMar>
                  <w:vAlign w:val="center"/>
                </w:tcPr>
                <w:p w14:paraId="26678F7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20.4</w:t>
                  </w:r>
                </w:p>
              </w:tc>
              <w:tc>
                <w:tcPr>
                  <w:tcW w:w="196" w:type="pct"/>
                  <w:shd w:val="clear" w:color="auto" w:fill="FFFFFF"/>
                  <w:tcMar>
                    <w:top w:w="0" w:type="dxa"/>
                    <w:left w:w="0" w:type="dxa"/>
                    <w:bottom w:w="0" w:type="dxa"/>
                    <w:right w:w="0" w:type="dxa"/>
                  </w:tcMar>
                  <w:vAlign w:val="center"/>
                </w:tcPr>
                <w:p w14:paraId="08F83B2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12.2</w:t>
                  </w:r>
                </w:p>
              </w:tc>
              <w:tc>
                <w:tcPr>
                  <w:tcW w:w="180" w:type="pct"/>
                  <w:shd w:val="clear" w:color="auto" w:fill="FFFFFF"/>
                  <w:tcMar>
                    <w:top w:w="0" w:type="dxa"/>
                    <w:left w:w="0" w:type="dxa"/>
                    <w:bottom w:w="0" w:type="dxa"/>
                    <w:right w:w="0" w:type="dxa"/>
                  </w:tcMar>
                  <w:vAlign w:val="center"/>
                </w:tcPr>
                <w:p w14:paraId="28BA752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71.3</w:t>
                  </w:r>
                </w:p>
              </w:tc>
              <w:tc>
                <w:tcPr>
                  <w:tcW w:w="180" w:type="pct"/>
                  <w:shd w:val="clear" w:color="auto" w:fill="FFFFFF"/>
                  <w:tcMar>
                    <w:top w:w="0" w:type="dxa"/>
                    <w:left w:w="0" w:type="dxa"/>
                    <w:bottom w:w="0" w:type="dxa"/>
                    <w:right w:w="0" w:type="dxa"/>
                  </w:tcMar>
                  <w:vAlign w:val="center"/>
                </w:tcPr>
                <w:p w14:paraId="35A3804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71.3</w:t>
                  </w:r>
                </w:p>
              </w:tc>
              <w:tc>
                <w:tcPr>
                  <w:tcW w:w="180" w:type="pct"/>
                  <w:shd w:val="clear" w:color="auto" w:fill="FFFFFF"/>
                  <w:tcMar>
                    <w:top w:w="0" w:type="dxa"/>
                    <w:left w:w="0" w:type="dxa"/>
                    <w:bottom w:w="0" w:type="dxa"/>
                    <w:right w:w="0" w:type="dxa"/>
                  </w:tcMar>
                  <w:vAlign w:val="center"/>
                </w:tcPr>
                <w:p w14:paraId="1055385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71.2</w:t>
                  </w:r>
                </w:p>
              </w:tc>
              <w:tc>
                <w:tcPr>
                  <w:tcW w:w="189" w:type="pct"/>
                  <w:shd w:val="clear" w:color="auto" w:fill="FFFFFF"/>
                  <w:tcMar>
                    <w:top w:w="0" w:type="dxa"/>
                    <w:left w:w="0" w:type="dxa"/>
                    <w:bottom w:w="0" w:type="dxa"/>
                    <w:right w:w="0" w:type="dxa"/>
                  </w:tcMar>
                  <w:vAlign w:val="center"/>
                </w:tcPr>
                <w:p w14:paraId="72AF193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71.3</w:t>
                  </w:r>
                </w:p>
              </w:tc>
              <w:tc>
                <w:tcPr>
                  <w:tcW w:w="155" w:type="pct"/>
                  <w:vMerge w:val="continue"/>
                  <w:shd w:val="clear" w:color="auto" w:fill="FFFFFF"/>
                  <w:tcMar>
                    <w:top w:w="0" w:type="dxa"/>
                    <w:left w:w="0" w:type="dxa"/>
                    <w:bottom w:w="0" w:type="dxa"/>
                    <w:right w:w="0" w:type="dxa"/>
                  </w:tcMar>
                  <w:vAlign w:val="center"/>
                </w:tcPr>
                <w:p w14:paraId="666A6229">
                  <w:pPr>
                    <w:jc w:val="center"/>
                    <w:rPr>
                      <w:rFonts w:hint="default" w:ascii="Times New Roman" w:hAnsi="Times New Roman" w:eastAsia="宋体" w:cs="Times New Roman"/>
                      <w:color w:val="auto"/>
                      <w:sz w:val="21"/>
                      <w:szCs w:val="21"/>
                    </w:rPr>
                  </w:pPr>
                </w:p>
              </w:tc>
              <w:tc>
                <w:tcPr>
                  <w:tcW w:w="175" w:type="pct"/>
                  <w:shd w:val="clear" w:color="auto" w:fill="FFFFFF"/>
                  <w:tcMar>
                    <w:top w:w="0" w:type="dxa"/>
                    <w:left w:w="0" w:type="dxa"/>
                    <w:bottom w:w="0" w:type="dxa"/>
                    <w:right w:w="0" w:type="dxa"/>
                  </w:tcMar>
                  <w:vAlign w:val="center"/>
                </w:tcPr>
                <w:p w14:paraId="0D34CFF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36.0</w:t>
                  </w:r>
                </w:p>
              </w:tc>
              <w:tc>
                <w:tcPr>
                  <w:tcW w:w="175" w:type="pct"/>
                  <w:shd w:val="clear" w:color="auto" w:fill="FFFFFF"/>
                  <w:tcMar>
                    <w:top w:w="0" w:type="dxa"/>
                    <w:left w:w="0" w:type="dxa"/>
                    <w:bottom w:w="0" w:type="dxa"/>
                    <w:right w:w="0" w:type="dxa"/>
                  </w:tcMar>
                  <w:vAlign w:val="center"/>
                </w:tcPr>
                <w:p w14:paraId="6BF7F02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36.0</w:t>
                  </w:r>
                </w:p>
              </w:tc>
              <w:tc>
                <w:tcPr>
                  <w:tcW w:w="175" w:type="pct"/>
                  <w:shd w:val="clear" w:color="auto" w:fill="FFFFFF"/>
                  <w:tcMar>
                    <w:top w:w="0" w:type="dxa"/>
                    <w:left w:w="0" w:type="dxa"/>
                    <w:bottom w:w="0" w:type="dxa"/>
                    <w:right w:w="0" w:type="dxa"/>
                  </w:tcMar>
                  <w:vAlign w:val="center"/>
                </w:tcPr>
                <w:p w14:paraId="1D8FE05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36.0</w:t>
                  </w:r>
                </w:p>
              </w:tc>
              <w:tc>
                <w:tcPr>
                  <w:tcW w:w="181" w:type="pct"/>
                  <w:shd w:val="clear" w:color="auto" w:fill="FFFFFF"/>
                  <w:tcMar>
                    <w:top w:w="0" w:type="dxa"/>
                    <w:left w:w="0" w:type="dxa"/>
                    <w:bottom w:w="0" w:type="dxa"/>
                    <w:right w:w="0" w:type="dxa"/>
                  </w:tcMar>
                  <w:vAlign w:val="center"/>
                </w:tcPr>
                <w:p w14:paraId="7CCEBC2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36.0</w:t>
                  </w:r>
                </w:p>
              </w:tc>
              <w:tc>
                <w:tcPr>
                  <w:tcW w:w="186" w:type="pct"/>
                  <w:shd w:val="clear" w:color="auto" w:fill="FFFFFF"/>
                  <w:tcMar>
                    <w:top w:w="0" w:type="dxa"/>
                    <w:left w:w="0" w:type="dxa"/>
                    <w:bottom w:w="0" w:type="dxa"/>
                    <w:right w:w="0" w:type="dxa"/>
                  </w:tcMar>
                  <w:vAlign w:val="center"/>
                </w:tcPr>
                <w:p w14:paraId="26BEBB2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35.3</w:t>
                  </w:r>
                </w:p>
              </w:tc>
              <w:tc>
                <w:tcPr>
                  <w:tcW w:w="186" w:type="pct"/>
                  <w:shd w:val="clear" w:color="auto" w:fill="FFFFFF"/>
                  <w:tcMar>
                    <w:top w:w="0" w:type="dxa"/>
                    <w:left w:w="0" w:type="dxa"/>
                    <w:bottom w:w="0" w:type="dxa"/>
                    <w:right w:w="0" w:type="dxa"/>
                  </w:tcMar>
                  <w:vAlign w:val="center"/>
                </w:tcPr>
                <w:p w14:paraId="63A00F4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35.3</w:t>
                  </w:r>
                </w:p>
              </w:tc>
              <w:tc>
                <w:tcPr>
                  <w:tcW w:w="186" w:type="pct"/>
                  <w:shd w:val="clear" w:color="auto" w:fill="FFFFFF"/>
                  <w:tcMar>
                    <w:top w:w="0" w:type="dxa"/>
                    <w:left w:w="0" w:type="dxa"/>
                    <w:bottom w:w="0" w:type="dxa"/>
                    <w:right w:w="0" w:type="dxa"/>
                  </w:tcMar>
                  <w:vAlign w:val="center"/>
                </w:tcPr>
                <w:p w14:paraId="4C0ACB9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35.2</w:t>
                  </w:r>
                </w:p>
              </w:tc>
              <w:tc>
                <w:tcPr>
                  <w:tcW w:w="186" w:type="pct"/>
                  <w:shd w:val="clear" w:color="auto" w:fill="FFFFFF"/>
                  <w:tcMar>
                    <w:top w:w="0" w:type="dxa"/>
                    <w:left w:w="0" w:type="dxa"/>
                    <w:bottom w:w="0" w:type="dxa"/>
                    <w:right w:w="0" w:type="dxa"/>
                  </w:tcMar>
                  <w:vAlign w:val="center"/>
                </w:tcPr>
                <w:p w14:paraId="62EF2BF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35.3</w:t>
                  </w:r>
                </w:p>
              </w:tc>
              <w:tc>
                <w:tcPr>
                  <w:tcW w:w="272" w:type="pct"/>
                  <w:shd w:val="clear" w:color="auto" w:fill="FFFFFF"/>
                  <w:tcMar>
                    <w:top w:w="0" w:type="dxa"/>
                    <w:left w:w="0" w:type="dxa"/>
                    <w:bottom w:w="0" w:type="dxa"/>
                    <w:right w:w="0" w:type="dxa"/>
                  </w:tcMar>
                  <w:vAlign w:val="center"/>
                </w:tcPr>
                <w:p w14:paraId="4A77293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14:paraId="219E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146" w:type="pct"/>
                  <w:shd w:val="clear" w:color="auto" w:fill="FFFFFF"/>
                  <w:tcMar>
                    <w:top w:w="0" w:type="dxa"/>
                    <w:left w:w="0" w:type="dxa"/>
                    <w:bottom w:w="0" w:type="dxa"/>
                    <w:right w:w="0" w:type="dxa"/>
                  </w:tcMar>
                  <w:vAlign w:val="center"/>
                </w:tcPr>
                <w:p w14:paraId="1ADE42F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202" w:type="pct"/>
                  <w:shd w:val="clear" w:color="auto" w:fill="FFFFFF"/>
                  <w:tcMar>
                    <w:top w:w="0" w:type="dxa"/>
                    <w:left w:w="0" w:type="dxa"/>
                    <w:bottom w:w="0" w:type="dxa"/>
                    <w:right w:w="0" w:type="dxa"/>
                  </w:tcMar>
                  <w:vAlign w:val="center"/>
                </w:tcPr>
                <w:p w14:paraId="67F6F6D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生产车间</w:t>
                  </w:r>
                </w:p>
              </w:tc>
              <w:tc>
                <w:tcPr>
                  <w:tcW w:w="195" w:type="pct"/>
                  <w:shd w:val="clear" w:color="auto" w:fill="FFFFFF"/>
                  <w:tcMar>
                    <w:top w:w="0" w:type="dxa"/>
                    <w:left w:w="0" w:type="dxa"/>
                    <w:bottom w:w="0" w:type="dxa"/>
                    <w:right w:w="0" w:type="dxa"/>
                  </w:tcMar>
                  <w:vAlign w:val="center"/>
                </w:tcPr>
                <w:p w14:paraId="3CEC8A6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悬辊机,4台（按点声源组预测）</w:t>
                  </w:r>
                </w:p>
              </w:tc>
              <w:tc>
                <w:tcPr>
                  <w:tcW w:w="235" w:type="pct"/>
                  <w:shd w:val="clear" w:color="auto" w:fill="FFFFFF"/>
                  <w:tcMar>
                    <w:top w:w="0" w:type="dxa"/>
                    <w:left w:w="0" w:type="dxa"/>
                    <w:bottom w:w="0" w:type="dxa"/>
                    <w:right w:w="0" w:type="dxa"/>
                  </w:tcMar>
                  <w:vAlign w:val="center"/>
                </w:tcPr>
                <w:p w14:paraId="3D56F88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75（等效后：81.0)</w:t>
                  </w:r>
                </w:p>
              </w:tc>
              <w:tc>
                <w:tcPr>
                  <w:tcW w:w="200" w:type="pct"/>
                  <w:vMerge w:val="continue"/>
                  <w:shd w:val="clear" w:color="auto" w:fill="FFFFFF"/>
                  <w:tcMar>
                    <w:top w:w="0" w:type="dxa"/>
                    <w:left w:w="0" w:type="dxa"/>
                    <w:bottom w:w="0" w:type="dxa"/>
                    <w:right w:w="0" w:type="dxa"/>
                  </w:tcMar>
                  <w:vAlign w:val="center"/>
                </w:tcPr>
                <w:p w14:paraId="132BEACD">
                  <w:pPr>
                    <w:jc w:val="center"/>
                    <w:rPr>
                      <w:rFonts w:hint="default" w:ascii="Times New Roman" w:hAnsi="Times New Roman" w:eastAsia="宋体" w:cs="Times New Roman"/>
                      <w:color w:val="auto"/>
                      <w:sz w:val="21"/>
                      <w:szCs w:val="21"/>
                    </w:rPr>
                  </w:pPr>
                </w:p>
              </w:tc>
              <w:tc>
                <w:tcPr>
                  <w:tcW w:w="222" w:type="pct"/>
                  <w:shd w:val="clear" w:color="auto" w:fill="FFFFFF"/>
                  <w:tcMar>
                    <w:top w:w="0" w:type="dxa"/>
                    <w:left w:w="0" w:type="dxa"/>
                    <w:bottom w:w="0" w:type="dxa"/>
                    <w:right w:w="0" w:type="dxa"/>
                  </w:tcMar>
                  <w:vAlign w:val="center"/>
                </w:tcPr>
                <w:p w14:paraId="72BE487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-16.8</w:t>
                  </w:r>
                </w:p>
              </w:tc>
              <w:tc>
                <w:tcPr>
                  <w:tcW w:w="222" w:type="pct"/>
                  <w:shd w:val="clear" w:color="auto" w:fill="FFFFFF"/>
                  <w:tcMar>
                    <w:top w:w="0" w:type="dxa"/>
                    <w:left w:w="0" w:type="dxa"/>
                    <w:bottom w:w="0" w:type="dxa"/>
                    <w:right w:w="0" w:type="dxa"/>
                  </w:tcMar>
                  <w:vAlign w:val="center"/>
                </w:tcPr>
                <w:p w14:paraId="2FBFB24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-11.6</w:t>
                  </w:r>
                </w:p>
              </w:tc>
              <w:tc>
                <w:tcPr>
                  <w:tcW w:w="224" w:type="pct"/>
                  <w:shd w:val="clear" w:color="auto" w:fill="FFFFFF"/>
                  <w:tcMar>
                    <w:top w:w="0" w:type="dxa"/>
                    <w:left w:w="0" w:type="dxa"/>
                    <w:bottom w:w="0" w:type="dxa"/>
                    <w:right w:w="0" w:type="dxa"/>
                  </w:tcMar>
                  <w:vAlign w:val="center"/>
                </w:tcPr>
                <w:p w14:paraId="3D6C15E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2" w:type="pct"/>
                  <w:shd w:val="clear" w:color="auto" w:fill="FFFFFF"/>
                  <w:tcMar>
                    <w:top w:w="0" w:type="dxa"/>
                    <w:left w:w="0" w:type="dxa"/>
                    <w:bottom w:w="0" w:type="dxa"/>
                    <w:right w:w="0" w:type="dxa"/>
                  </w:tcMar>
                  <w:vAlign w:val="center"/>
                </w:tcPr>
                <w:p w14:paraId="1BDA8F2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32.1</w:t>
                  </w:r>
                </w:p>
              </w:tc>
              <w:tc>
                <w:tcPr>
                  <w:tcW w:w="182" w:type="pct"/>
                  <w:shd w:val="clear" w:color="auto" w:fill="FFFFFF"/>
                  <w:tcMar>
                    <w:top w:w="0" w:type="dxa"/>
                    <w:left w:w="0" w:type="dxa"/>
                    <w:bottom w:w="0" w:type="dxa"/>
                    <w:right w:w="0" w:type="dxa"/>
                  </w:tcMar>
                  <w:vAlign w:val="center"/>
                </w:tcPr>
                <w:p w14:paraId="10BA173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13.9</w:t>
                  </w:r>
                </w:p>
              </w:tc>
              <w:tc>
                <w:tcPr>
                  <w:tcW w:w="182" w:type="pct"/>
                  <w:shd w:val="clear" w:color="auto" w:fill="FFFFFF"/>
                  <w:tcMar>
                    <w:top w:w="0" w:type="dxa"/>
                    <w:left w:w="0" w:type="dxa"/>
                    <w:bottom w:w="0" w:type="dxa"/>
                    <w:right w:w="0" w:type="dxa"/>
                  </w:tcMar>
                  <w:vAlign w:val="center"/>
                </w:tcPr>
                <w:p w14:paraId="267713B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6.3</w:t>
                  </w:r>
                </w:p>
              </w:tc>
              <w:tc>
                <w:tcPr>
                  <w:tcW w:w="196" w:type="pct"/>
                  <w:shd w:val="clear" w:color="auto" w:fill="FFFFFF"/>
                  <w:tcMar>
                    <w:top w:w="0" w:type="dxa"/>
                    <w:left w:w="0" w:type="dxa"/>
                    <w:bottom w:w="0" w:type="dxa"/>
                    <w:right w:w="0" w:type="dxa"/>
                  </w:tcMar>
                  <w:vAlign w:val="center"/>
                </w:tcPr>
                <w:p w14:paraId="7C3FBFF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7.7</w:t>
                  </w:r>
                </w:p>
              </w:tc>
              <w:tc>
                <w:tcPr>
                  <w:tcW w:w="180" w:type="pct"/>
                  <w:shd w:val="clear" w:color="auto" w:fill="FFFFFF"/>
                  <w:tcMar>
                    <w:top w:w="0" w:type="dxa"/>
                    <w:left w:w="0" w:type="dxa"/>
                    <w:bottom w:w="0" w:type="dxa"/>
                    <w:right w:w="0" w:type="dxa"/>
                  </w:tcMar>
                  <w:vAlign w:val="center"/>
                </w:tcPr>
                <w:p w14:paraId="2ACD43F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67.4</w:t>
                  </w:r>
                </w:p>
              </w:tc>
              <w:tc>
                <w:tcPr>
                  <w:tcW w:w="180" w:type="pct"/>
                  <w:shd w:val="clear" w:color="auto" w:fill="FFFFFF"/>
                  <w:tcMar>
                    <w:top w:w="0" w:type="dxa"/>
                    <w:left w:w="0" w:type="dxa"/>
                    <w:bottom w:w="0" w:type="dxa"/>
                    <w:right w:w="0" w:type="dxa"/>
                  </w:tcMar>
                  <w:vAlign w:val="center"/>
                </w:tcPr>
                <w:p w14:paraId="3FE3020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67.5</w:t>
                  </w:r>
                </w:p>
              </w:tc>
              <w:tc>
                <w:tcPr>
                  <w:tcW w:w="180" w:type="pct"/>
                  <w:shd w:val="clear" w:color="auto" w:fill="FFFFFF"/>
                  <w:tcMar>
                    <w:top w:w="0" w:type="dxa"/>
                    <w:left w:w="0" w:type="dxa"/>
                    <w:bottom w:w="0" w:type="dxa"/>
                    <w:right w:w="0" w:type="dxa"/>
                  </w:tcMar>
                  <w:vAlign w:val="center"/>
                </w:tcPr>
                <w:p w14:paraId="3604417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67.6</w:t>
                  </w:r>
                </w:p>
              </w:tc>
              <w:tc>
                <w:tcPr>
                  <w:tcW w:w="189" w:type="pct"/>
                  <w:shd w:val="clear" w:color="auto" w:fill="FFFFFF"/>
                  <w:tcMar>
                    <w:top w:w="0" w:type="dxa"/>
                    <w:left w:w="0" w:type="dxa"/>
                    <w:bottom w:w="0" w:type="dxa"/>
                    <w:right w:w="0" w:type="dxa"/>
                  </w:tcMar>
                  <w:vAlign w:val="center"/>
                </w:tcPr>
                <w:p w14:paraId="15D40BD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67.6</w:t>
                  </w:r>
                </w:p>
              </w:tc>
              <w:tc>
                <w:tcPr>
                  <w:tcW w:w="155" w:type="pct"/>
                  <w:vMerge w:val="continue"/>
                  <w:shd w:val="clear" w:color="auto" w:fill="FFFFFF"/>
                  <w:tcMar>
                    <w:top w:w="0" w:type="dxa"/>
                    <w:left w:w="0" w:type="dxa"/>
                    <w:bottom w:w="0" w:type="dxa"/>
                    <w:right w:w="0" w:type="dxa"/>
                  </w:tcMar>
                  <w:vAlign w:val="center"/>
                </w:tcPr>
                <w:p w14:paraId="7F9466B2">
                  <w:pPr>
                    <w:jc w:val="center"/>
                    <w:rPr>
                      <w:rFonts w:hint="default" w:ascii="Times New Roman" w:hAnsi="Times New Roman" w:eastAsia="宋体" w:cs="Times New Roman"/>
                      <w:color w:val="auto"/>
                      <w:sz w:val="21"/>
                      <w:szCs w:val="21"/>
                    </w:rPr>
                  </w:pPr>
                </w:p>
              </w:tc>
              <w:tc>
                <w:tcPr>
                  <w:tcW w:w="175" w:type="pct"/>
                  <w:shd w:val="clear" w:color="auto" w:fill="FFFFFF"/>
                  <w:tcMar>
                    <w:top w:w="0" w:type="dxa"/>
                    <w:left w:w="0" w:type="dxa"/>
                    <w:bottom w:w="0" w:type="dxa"/>
                    <w:right w:w="0" w:type="dxa"/>
                  </w:tcMar>
                  <w:vAlign w:val="center"/>
                </w:tcPr>
                <w:p w14:paraId="7C617DD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36.0</w:t>
                  </w:r>
                </w:p>
              </w:tc>
              <w:tc>
                <w:tcPr>
                  <w:tcW w:w="175" w:type="pct"/>
                  <w:shd w:val="clear" w:color="auto" w:fill="FFFFFF"/>
                  <w:tcMar>
                    <w:top w:w="0" w:type="dxa"/>
                    <w:left w:w="0" w:type="dxa"/>
                    <w:bottom w:w="0" w:type="dxa"/>
                    <w:right w:w="0" w:type="dxa"/>
                  </w:tcMar>
                  <w:vAlign w:val="center"/>
                </w:tcPr>
                <w:p w14:paraId="6203C65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36.0</w:t>
                  </w:r>
                </w:p>
              </w:tc>
              <w:tc>
                <w:tcPr>
                  <w:tcW w:w="175" w:type="pct"/>
                  <w:shd w:val="clear" w:color="auto" w:fill="FFFFFF"/>
                  <w:tcMar>
                    <w:top w:w="0" w:type="dxa"/>
                    <w:left w:w="0" w:type="dxa"/>
                    <w:bottom w:w="0" w:type="dxa"/>
                    <w:right w:w="0" w:type="dxa"/>
                  </w:tcMar>
                  <w:vAlign w:val="center"/>
                </w:tcPr>
                <w:p w14:paraId="2427EEC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36.0</w:t>
                  </w:r>
                </w:p>
              </w:tc>
              <w:tc>
                <w:tcPr>
                  <w:tcW w:w="181" w:type="pct"/>
                  <w:shd w:val="clear" w:color="auto" w:fill="FFFFFF"/>
                  <w:tcMar>
                    <w:top w:w="0" w:type="dxa"/>
                    <w:left w:w="0" w:type="dxa"/>
                    <w:bottom w:w="0" w:type="dxa"/>
                    <w:right w:w="0" w:type="dxa"/>
                  </w:tcMar>
                  <w:vAlign w:val="center"/>
                </w:tcPr>
                <w:p w14:paraId="67EC2A6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36.0</w:t>
                  </w:r>
                </w:p>
              </w:tc>
              <w:tc>
                <w:tcPr>
                  <w:tcW w:w="186" w:type="pct"/>
                  <w:shd w:val="clear" w:color="auto" w:fill="FFFFFF"/>
                  <w:tcMar>
                    <w:top w:w="0" w:type="dxa"/>
                    <w:left w:w="0" w:type="dxa"/>
                    <w:bottom w:w="0" w:type="dxa"/>
                    <w:right w:w="0" w:type="dxa"/>
                  </w:tcMar>
                  <w:vAlign w:val="center"/>
                </w:tcPr>
                <w:p w14:paraId="08B6D87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31.4</w:t>
                  </w:r>
                </w:p>
              </w:tc>
              <w:tc>
                <w:tcPr>
                  <w:tcW w:w="186" w:type="pct"/>
                  <w:shd w:val="clear" w:color="auto" w:fill="FFFFFF"/>
                  <w:tcMar>
                    <w:top w:w="0" w:type="dxa"/>
                    <w:left w:w="0" w:type="dxa"/>
                    <w:bottom w:w="0" w:type="dxa"/>
                    <w:right w:w="0" w:type="dxa"/>
                  </w:tcMar>
                  <w:vAlign w:val="center"/>
                </w:tcPr>
                <w:p w14:paraId="1D5B643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31.5</w:t>
                  </w:r>
                </w:p>
              </w:tc>
              <w:tc>
                <w:tcPr>
                  <w:tcW w:w="186" w:type="pct"/>
                  <w:shd w:val="clear" w:color="auto" w:fill="FFFFFF"/>
                  <w:tcMar>
                    <w:top w:w="0" w:type="dxa"/>
                    <w:left w:w="0" w:type="dxa"/>
                    <w:bottom w:w="0" w:type="dxa"/>
                    <w:right w:w="0" w:type="dxa"/>
                  </w:tcMar>
                  <w:vAlign w:val="center"/>
                </w:tcPr>
                <w:p w14:paraId="6B2AF39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31.6</w:t>
                  </w:r>
                </w:p>
              </w:tc>
              <w:tc>
                <w:tcPr>
                  <w:tcW w:w="186" w:type="pct"/>
                  <w:shd w:val="clear" w:color="auto" w:fill="FFFFFF"/>
                  <w:tcMar>
                    <w:top w:w="0" w:type="dxa"/>
                    <w:left w:w="0" w:type="dxa"/>
                    <w:bottom w:w="0" w:type="dxa"/>
                    <w:right w:w="0" w:type="dxa"/>
                  </w:tcMar>
                  <w:vAlign w:val="center"/>
                </w:tcPr>
                <w:p w14:paraId="3893F0C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31.6</w:t>
                  </w:r>
                </w:p>
              </w:tc>
              <w:tc>
                <w:tcPr>
                  <w:tcW w:w="272" w:type="pct"/>
                  <w:shd w:val="clear" w:color="auto" w:fill="FFFFFF"/>
                  <w:tcMar>
                    <w:top w:w="0" w:type="dxa"/>
                    <w:left w:w="0" w:type="dxa"/>
                    <w:bottom w:w="0" w:type="dxa"/>
                    <w:right w:w="0" w:type="dxa"/>
                  </w:tcMar>
                  <w:vAlign w:val="center"/>
                </w:tcPr>
                <w:p w14:paraId="29B07B50">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r>
            <w:tr w14:paraId="6180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146" w:type="pct"/>
                  <w:shd w:val="clear" w:color="auto" w:fill="FFFFFF"/>
                  <w:tcMar>
                    <w:top w:w="0" w:type="dxa"/>
                    <w:left w:w="0" w:type="dxa"/>
                    <w:bottom w:w="0" w:type="dxa"/>
                    <w:right w:w="0" w:type="dxa"/>
                  </w:tcMar>
                  <w:vAlign w:val="center"/>
                </w:tcPr>
                <w:p w14:paraId="0EDFA59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202" w:type="pct"/>
                  <w:shd w:val="clear" w:color="auto" w:fill="FFFFFF"/>
                  <w:tcMar>
                    <w:top w:w="0" w:type="dxa"/>
                    <w:left w:w="0" w:type="dxa"/>
                    <w:bottom w:w="0" w:type="dxa"/>
                    <w:right w:w="0" w:type="dxa"/>
                  </w:tcMar>
                  <w:vAlign w:val="center"/>
                </w:tcPr>
                <w:p w14:paraId="6AC7532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焊接车间</w:t>
                  </w:r>
                </w:p>
              </w:tc>
              <w:tc>
                <w:tcPr>
                  <w:tcW w:w="195" w:type="pct"/>
                  <w:shd w:val="clear" w:color="auto" w:fill="FFFFFF"/>
                  <w:tcMar>
                    <w:top w:w="0" w:type="dxa"/>
                    <w:left w:w="0" w:type="dxa"/>
                    <w:bottom w:w="0" w:type="dxa"/>
                    <w:right w:w="0" w:type="dxa"/>
                  </w:tcMar>
                  <w:vAlign w:val="center"/>
                </w:tcPr>
                <w:p w14:paraId="410C405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滚焊机</w:t>
                  </w:r>
                </w:p>
              </w:tc>
              <w:tc>
                <w:tcPr>
                  <w:tcW w:w="235" w:type="pct"/>
                  <w:shd w:val="clear" w:color="auto" w:fill="FFFFFF"/>
                  <w:tcMar>
                    <w:top w:w="0" w:type="dxa"/>
                    <w:left w:w="0" w:type="dxa"/>
                    <w:bottom w:w="0" w:type="dxa"/>
                    <w:right w:w="0" w:type="dxa"/>
                  </w:tcMar>
                  <w:vAlign w:val="center"/>
                </w:tcPr>
                <w:p w14:paraId="66E70B2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w:t>
                  </w:r>
                </w:p>
              </w:tc>
              <w:tc>
                <w:tcPr>
                  <w:tcW w:w="200" w:type="pct"/>
                  <w:vMerge w:val="continue"/>
                  <w:shd w:val="clear" w:color="auto" w:fill="FFFFFF"/>
                  <w:tcMar>
                    <w:top w:w="0" w:type="dxa"/>
                    <w:left w:w="0" w:type="dxa"/>
                    <w:bottom w:w="0" w:type="dxa"/>
                    <w:right w:w="0" w:type="dxa"/>
                  </w:tcMar>
                  <w:vAlign w:val="center"/>
                </w:tcPr>
                <w:p w14:paraId="0FBF257A">
                  <w:pPr>
                    <w:jc w:val="center"/>
                    <w:rPr>
                      <w:rFonts w:hint="default" w:ascii="Times New Roman" w:hAnsi="Times New Roman" w:eastAsia="宋体" w:cs="Times New Roman"/>
                      <w:color w:val="auto"/>
                      <w:sz w:val="21"/>
                      <w:szCs w:val="21"/>
                    </w:rPr>
                  </w:pPr>
                </w:p>
              </w:tc>
              <w:tc>
                <w:tcPr>
                  <w:tcW w:w="222" w:type="pct"/>
                  <w:shd w:val="clear" w:color="auto" w:fill="FFFFFF"/>
                  <w:tcMar>
                    <w:top w:w="0" w:type="dxa"/>
                    <w:left w:w="0" w:type="dxa"/>
                    <w:bottom w:w="0" w:type="dxa"/>
                    <w:right w:w="0" w:type="dxa"/>
                  </w:tcMar>
                  <w:vAlign w:val="center"/>
                </w:tcPr>
                <w:p w14:paraId="41EE035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-26.8</w:t>
                  </w:r>
                </w:p>
              </w:tc>
              <w:tc>
                <w:tcPr>
                  <w:tcW w:w="222" w:type="pct"/>
                  <w:shd w:val="clear" w:color="auto" w:fill="FFFFFF"/>
                  <w:tcMar>
                    <w:top w:w="0" w:type="dxa"/>
                    <w:left w:w="0" w:type="dxa"/>
                    <w:bottom w:w="0" w:type="dxa"/>
                    <w:right w:w="0" w:type="dxa"/>
                  </w:tcMar>
                  <w:vAlign w:val="center"/>
                </w:tcPr>
                <w:p w14:paraId="1F967F7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-37.2</w:t>
                  </w:r>
                </w:p>
              </w:tc>
              <w:tc>
                <w:tcPr>
                  <w:tcW w:w="224" w:type="pct"/>
                  <w:shd w:val="clear" w:color="auto" w:fill="FFFFFF"/>
                  <w:tcMar>
                    <w:top w:w="0" w:type="dxa"/>
                    <w:left w:w="0" w:type="dxa"/>
                    <w:bottom w:w="0" w:type="dxa"/>
                    <w:right w:w="0" w:type="dxa"/>
                  </w:tcMar>
                  <w:vAlign w:val="center"/>
                </w:tcPr>
                <w:p w14:paraId="53DAE75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2" w:type="pct"/>
                  <w:shd w:val="clear" w:color="auto" w:fill="FFFFFF"/>
                  <w:tcMar>
                    <w:top w:w="0" w:type="dxa"/>
                    <w:left w:w="0" w:type="dxa"/>
                    <w:bottom w:w="0" w:type="dxa"/>
                    <w:right w:w="0" w:type="dxa"/>
                  </w:tcMar>
                  <w:vAlign w:val="center"/>
                </w:tcPr>
                <w:p w14:paraId="09F0D77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182" w:type="pct"/>
                  <w:shd w:val="clear" w:color="auto" w:fill="FFFFFF"/>
                  <w:tcMar>
                    <w:top w:w="0" w:type="dxa"/>
                    <w:left w:w="0" w:type="dxa"/>
                    <w:bottom w:w="0" w:type="dxa"/>
                    <w:right w:w="0" w:type="dxa"/>
                  </w:tcMar>
                  <w:vAlign w:val="center"/>
                </w:tcPr>
                <w:p w14:paraId="5A3ACE6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w:t>
                  </w:r>
                </w:p>
              </w:tc>
              <w:tc>
                <w:tcPr>
                  <w:tcW w:w="182" w:type="pct"/>
                  <w:shd w:val="clear" w:color="auto" w:fill="FFFFFF"/>
                  <w:tcMar>
                    <w:top w:w="0" w:type="dxa"/>
                    <w:left w:w="0" w:type="dxa"/>
                    <w:bottom w:w="0" w:type="dxa"/>
                    <w:right w:w="0" w:type="dxa"/>
                  </w:tcMar>
                  <w:vAlign w:val="center"/>
                </w:tcPr>
                <w:p w14:paraId="46CBB36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4.7</w:t>
                  </w:r>
                </w:p>
              </w:tc>
              <w:tc>
                <w:tcPr>
                  <w:tcW w:w="196" w:type="pct"/>
                  <w:shd w:val="clear" w:color="auto" w:fill="FFFFFF"/>
                  <w:tcMar>
                    <w:top w:w="0" w:type="dxa"/>
                    <w:left w:w="0" w:type="dxa"/>
                    <w:bottom w:w="0" w:type="dxa"/>
                    <w:right w:w="0" w:type="dxa"/>
                  </w:tcMar>
                  <w:vAlign w:val="center"/>
                </w:tcPr>
                <w:p w14:paraId="640C16D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3.2</w:t>
                  </w:r>
                </w:p>
              </w:tc>
              <w:tc>
                <w:tcPr>
                  <w:tcW w:w="180" w:type="pct"/>
                  <w:shd w:val="clear" w:color="auto" w:fill="FFFFFF"/>
                  <w:tcMar>
                    <w:top w:w="0" w:type="dxa"/>
                    <w:left w:w="0" w:type="dxa"/>
                    <w:bottom w:w="0" w:type="dxa"/>
                    <w:right w:w="0" w:type="dxa"/>
                  </w:tcMar>
                  <w:vAlign w:val="center"/>
                </w:tcPr>
                <w:p w14:paraId="04797B6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68.5</w:t>
                  </w:r>
                </w:p>
              </w:tc>
              <w:tc>
                <w:tcPr>
                  <w:tcW w:w="180" w:type="pct"/>
                  <w:shd w:val="clear" w:color="auto" w:fill="FFFFFF"/>
                  <w:tcMar>
                    <w:top w:w="0" w:type="dxa"/>
                    <w:left w:w="0" w:type="dxa"/>
                    <w:bottom w:w="0" w:type="dxa"/>
                    <w:right w:w="0" w:type="dxa"/>
                  </w:tcMar>
                  <w:vAlign w:val="center"/>
                </w:tcPr>
                <w:p w14:paraId="6B37B02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67.9</w:t>
                  </w:r>
                </w:p>
              </w:tc>
              <w:tc>
                <w:tcPr>
                  <w:tcW w:w="180" w:type="pct"/>
                  <w:shd w:val="clear" w:color="auto" w:fill="FFFFFF"/>
                  <w:tcMar>
                    <w:top w:w="0" w:type="dxa"/>
                    <w:left w:w="0" w:type="dxa"/>
                    <w:bottom w:w="0" w:type="dxa"/>
                    <w:right w:w="0" w:type="dxa"/>
                  </w:tcMar>
                  <w:vAlign w:val="center"/>
                </w:tcPr>
                <w:p w14:paraId="150F9D4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67.9</w:t>
                  </w:r>
                </w:p>
              </w:tc>
              <w:tc>
                <w:tcPr>
                  <w:tcW w:w="189" w:type="pct"/>
                  <w:shd w:val="clear" w:color="auto" w:fill="FFFFFF"/>
                  <w:tcMar>
                    <w:top w:w="0" w:type="dxa"/>
                    <w:left w:w="0" w:type="dxa"/>
                    <w:bottom w:w="0" w:type="dxa"/>
                    <w:right w:w="0" w:type="dxa"/>
                  </w:tcMar>
                  <w:vAlign w:val="center"/>
                </w:tcPr>
                <w:p w14:paraId="190E0DA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68.0</w:t>
                  </w:r>
                </w:p>
              </w:tc>
              <w:tc>
                <w:tcPr>
                  <w:tcW w:w="155" w:type="pct"/>
                  <w:vMerge w:val="continue"/>
                  <w:shd w:val="clear" w:color="auto" w:fill="FFFFFF"/>
                  <w:tcMar>
                    <w:top w:w="0" w:type="dxa"/>
                    <w:left w:w="0" w:type="dxa"/>
                    <w:bottom w:w="0" w:type="dxa"/>
                    <w:right w:w="0" w:type="dxa"/>
                  </w:tcMar>
                  <w:vAlign w:val="center"/>
                </w:tcPr>
                <w:p w14:paraId="7F855E11">
                  <w:pPr>
                    <w:jc w:val="center"/>
                    <w:rPr>
                      <w:rFonts w:hint="default" w:ascii="Times New Roman" w:hAnsi="Times New Roman" w:eastAsia="宋体" w:cs="Times New Roman"/>
                      <w:color w:val="auto"/>
                      <w:sz w:val="21"/>
                      <w:szCs w:val="21"/>
                    </w:rPr>
                  </w:pPr>
                </w:p>
              </w:tc>
              <w:tc>
                <w:tcPr>
                  <w:tcW w:w="175" w:type="pct"/>
                  <w:shd w:val="clear" w:color="auto" w:fill="FFFFFF"/>
                  <w:tcMar>
                    <w:top w:w="0" w:type="dxa"/>
                    <w:left w:w="0" w:type="dxa"/>
                    <w:bottom w:w="0" w:type="dxa"/>
                    <w:right w:w="0" w:type="dxa"/>
                  </w:tcMar>
                  <w:vAlign w:val="center"/>
                </w:tcPr>
                <w:p w14:paraId="6806D16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36.0</w:t>
                  </w:r>
                </w:p>
              </w:tc>
              <w:tc>
                <w:tcPr>
                  <w:tcW w:w="175" w:type="pct"/>
                  <w:shd w:val="clear" w:color="auto" w:fill="FFFFFF"/>
                  <w:tcMar>
                    <w:top w:w="0" w:type="dxa"/>
                    <w:left w:w="0" w:type="dxa"/>
                    <w:bottom w:w="0" w:type="dxa"/>
                    <w:right w:w="0" w:type="dxa"/>
                  </w:tcMar>
                  <w:vAlign w:val="center"/>
                </w:tcPr>
                <w:p w14:paraId="1E94AE9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36.0</w:t>
                  </w:r>
                </w:p>
              </w:tc>
              <w:tc>
                <w:tcPr>
                  <w:tcW w:w="175" w:type="pct"/>
                  <w:shd w:val="clear" w:color="auto" w:fill="FFFFFF"/>
                  <w:tcMar>
                    <w:top w:w="0" w:type="dxa"/>
                    <w:left w:w="0" w:type="dxa"/>
                    <w:bottom w:w="0" w:type="dxa"/>
                    <w:right w:w="0" w:type="dxa"/>
                  </w:tcMar>
                  <w:vAlign w:val="center"/>
                </w:tcPr>
                <w:p w14:paraId="4486F51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36.0</w:t>
                  </w:r>
                </w:p>
              </w:tc>
              <w:tc>
                <w:tcPr>
                  <w:tcW w:w="181" w:type="pct"/>
                  <w:shd w:val="clear" w:color="auto" w:fill="FFFFFF"/>
                  <w:tcMar>
                    <w:top w:w="0" w:type="dxa"/>
                    <w:left w:w="0" w:type="dxa"/>
                    <w:bottom w:w="0" w:type="dxa"/>
                    <w:right w:w="0" w:type="dxa"/>
                  </w:tcMar>
                  <w:vAlign w:val="center"/>
                </w:tcPr>
                <w:p w14:paraId="7F07B83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36.0</w:t>
                  </w:r>
                </w:p>
              </w:tc>
              <w:tc>
                <w:tcPr>
                  <w:tcW w:w="186" w:type="pct"/>
                  <w:shd w:val="clear" w:color="auto" w:fill="FFFFFF"/>
                  <w:tcMar>
                    <w:top w:w="0" w:type="dxa"/>
                    <w:left w:w="0" w:type="dxa"/>
                    <w:bottom w:w="0" w:type="dxa"/>
                    <w:right w:w="0" w:type="dxa"/>
                  </w:tcMar>
                  <w:vAlign w:val="center"/>
                </w:tcPr>
                <w:p w14:paraId="5673B4F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32.5</w:t>
                  </w:r>
                </w:p>
              </w:tc>
              <w:tc>
                <w:tcPr>
                  <w:tcW w:w="186" w:type="pct"/>
                  <w:shd w:val="clear" w:color="auto" w:fill="FFFFFF"/>
                  <w:tcMar>
                    <w:top w:w="0" w:type="dxa"/>
                    <w:left w:w="0" w:type="dxa"/>
                    <w:bottom w:w="0" w:type="dxa"/>
                    <w:right w:w="0" w:type="dxa"/>
                  </w:tcMar>
                  <w:vAlign w:val="center"/>
                </w:tcPr>
                <w:p w14:paraId="2A033CC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31.9</w:t>
                  </w:r>
                </w:p>
              </w:tc>
              <w:tc>
                <w:tcPr>
                  <w:tcW w:w="186" w:type="pct"/>
                  <w:shd w:val="clear" w:color="auto" w:fill="FFFFFF"/>
                  <w:tcMar>
                    <w:top w:w="0" w:type="dxa"/>
                    <w:left w:w="0" w:type="dxa"/>
                    <w:bottom w:w="0" w:type="dxa"/>
                    <w:right w:w="0" w:type="dxa"/>
                  </w:tcMar>
                  <w:vAlign w:val="center"/>
                </w:tcPr>
                <w:p w14:paraId="00961F6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31.9</w:t>
                  </w:r>
                </w:p>
              </w:tc>
              <w:tc>
                <w:tcPr>
                  <w:tcW w:w="186" w:type="pct"/>
                  <w:shd w:val="clear" w:color="auto" w:fill="FFFFFF"/>
                  <w:tcMar>
                    <w:top w:w="0" w:type="dxa"/>
                    <w:left w:w="0" w:type="dxa"/>
                    <w:bottom w:w="0" w:type="dxa"/>
                    <w:right w:w="0" w:type="dxa"/>
                  </w:tcMar>
                  <w:vAlign w:val="center"/>
                </w:tcPr>
                <w:p w14:paraId="290FD23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32.0</w:t>
                  </w:r>
                </w:p>
              </w:tc>
              <w:tc>
                <w:tcPr>
                  <w:tcW w:w="272" w:type="pct"/>
                  <w:shd w:val="clear" w:color="auto" w:fill="FFFFFF"/>
                  <w:tcMar>
                    <w:top w:w="0" w:type="dxa"/>
                    <w:left w:w="0" w:type="dxa"/>
                    <w:bottom w:w="0" w:type="dxa"/>
                    <w:right w:w="0" w:type="dxa"/>
                  </w:tcMar>
                  <w:vAlign w:val="center"/>
                </w:tcPr>
                <w:p w14:paraId="637439F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14:paraId="39F2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146" w:type="pct"/>
                  <w:shd w:val="clear" w:color="auto" w:fill="FFFFFF"/>
                  <w:tcMar>
                    <w:top w:w="0" w:type="dxa"/>
                    <w:left w:w="0" w:type="dxa"/>
                    <w:bottom w:w="0" w:type="dxa"/>
                    <w:right w:w="0" w:type="dxa"/>
                  </w:tcMar>
                  <w:vAlign w:val="center"/>
                </w:tcPr>
                <w:p w14:paraId="50932B8B">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5</w:t>
                  </w:r>
                </w:p>
              </w:tc>
              <w:tc>
                <w:tcPr>
                  <w:tcW w:w="202" w:type="pct"/>
                  <w:shd w:val="clear" w:color="auto" w:fill="FFFFFF"/>
                  <w:tcMar>
                    <w:top w:w="0" w:type="dxa"/>
                    <w:left w:w="0" w:type="dxa"/>
                    <w:bottom w:w="0" w:type="dxa"/>
                    <w:right w:w="0" w:type="dxa"/>
                  </w:tcMar>
                  <w:vAlign w:val="center"/>
                </w:tcPr>
                <w:p w14:paraId="4AE02BF3">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生产车间</w:t>
                  </w:r>
                </w:p>
              </w:tc>
              <w:tc>
                <w:tcPr>
                  <w:tcW w:w="195" w:type="pct"/>
                  <w:shd w:val="clear" w:color="auto" w:fill="FFFFFF"/>
                  <w:tcMar>
                    <w:top w:w="0" w:type="dxa"/>
                    <w:left w:w="0" w:type="dxa"/>
                    <w:bottom w:w="0" w:type="dxa"/>
                    <w:right w:w="0" w:type="dxa"/>
                  </w:tcMar>
                  <w:vAlign w:val="center"/>
                </w:tcPr>
                <w:p w14:paraId="094F6D45">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水泵,3台（按点声源组预测）</w:t>
                  </w:r>
                </w:p>
              </w:tc>
              <w:tc>
                <w:tcPr>
                  <w:tcW w:w="235" w:type="pct"/>
                  <w:shd w:val="clear" w:color="auto" w:fill="FFFFFF"/>
                  <w:tcMar>
                    <w:top w:w="0" w:type="dxa"/>
                    <w:left w:w="0" w:type="dxa"/>
                    <w:bottom w:w="0" w:type="dxa"/>
                    <w:right w:w="0" w:type="dxa"/>
                  </w:tcMar>
                  <w:vAlign w:val="center"/>
                </w:tcPr>
                <w:p w14:paraId="52631D1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70（等效后：74.8)</w:t>
                  </w:r>
                </w:p>
              </w:tc>
              <w:tc>
                <w:tcPr>
                  <w:tcW w:w="200" w:type="pct"/>
                  <w:vMerge w:val="continue"/>
                  <w:shd w:val="clear" w:color="auto" w:fill="FFFFFF"/>
                  <w:tcMar>
                    <w:top w:w="0" w:type="dxa"/>
                    <w:left w:w="0" w:type="dxa"/>
                    <w:bottom w:w="0" w:type="dxa"/>
                    <w:right w:w="0" w:type="dxa"/>
                  </w:tcMar>
                  <w:vAlign w:val="center"/>
                </w:tcPr>
                <w:p w14:paraId="25FFE4F1">
                  <w:pPr>
                    <w:jc w:val="center"/>
                    <w:rPr>
                      <w:rFonts w:hint="default" w:ascii="Times New Roman" w:hAnsi="Times New Roman" w:eastAsia="宋体" w:cs="Times New Roman"/>
                      <w:color w:val="auto"/>
                      <w:sz w:val="21"/>
                      <w:szCs w:val="21"/>
                    </w:rPr>
                  </w:pPr>
                </w:p>
              </w:tc>
              <w:tc>
                <w:tcPr>
                  <w:tcW w:w="222" w:type="pct"/>
                  <w:shd w:val="clear" w:color="auto" w:fill="FFFFFF"/>
                  <w:tcMar>
                    <w:top w:w="0" w:type="dxa"/>
                    <w:left w:w="0" w:type="dxa"/>
                    <w:bottom w:w="0" w:type="dxa"/>
                    <w:right w:w="0" w:type="dxa"/>
                  </w:tcMar>
                  <w:vAlign w:val="center"/>
                </w:tcPr>
                <w:p w14:paraId="17648ABE">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-6.9</w:t>
                  </w:r>
                </w:p>
              </w:tc>
              <w:tc>
                <w:tcPr>
                  <w:tcW w:w="222" w:type="pct"/>
                  <w:shd w:val="clear" w:color="auto" w:fill="FFFFFF"/>
                  <w:tcMar>
                    <w:top w:w="0" w:type="dxa"/>
                    <w:left w:w="0" w:type="dxa"/>
                    <w:bottom w:w="0" w:type="dxa"/>
                    <w:right w:w="0" w:type="dxa"/>
                  </w:tcMar>
                  <w:vAlign w:val="center"/>
                </w:tcPr>
                <w:p w14:paraId="5DA20E78">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-24.7</w:t>
                  </w:r>
                </w:p>
              </w:tc>
              <w:tc>
                <w:tcPr>
                  <w:tcW w:w="224" w:type="pct"/>
                  <w:shd w:val="clear" w:color="auto" w:fill="FFFFFF"/>
                  <w:tcMar>
                    <w:top w:w="0" w:type="dxa"/>
                    <w:left w:w="0" w:type="dxa"/>
                    <w:bottom w:w="0" w:type="dxa"/>
                    <w:right w:w="0" w:type="dxa"/>
                  </w:tcMar>
                  <w:vAlign w:val="center"/>
                </w:tcPr>
                <w:p w14:paraId="599AD670">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1.2</w:t>
                  </w:r>
                </w:p>
              </w:tc>
              <w:tc>
                <w:tcPr>
                  <w:tcW w:w="182" w:type="pct"/>
                  <w:shd w:val="clear" w:color="auto" w:fill="FFFFFF"/>
                  <w:tcMar>
                    <w:top w:w="0" w:type="dxa"/>
                    <w:left w:w="0" w:type="dxa"/>
                    <w:bottom w:w="0" w:type="dxa"/>
                    <w:right w:w="0" w:type="dxa"/>
                  </w:tcMar>
                  <w:vAlign w:val="center"/>
                </w:tcPr>
                <w:p w14:paraId="74FB3D33">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18.6</w:t>
                  </w:r>
                </w:p>
              </w:tc>
              <w:tc>
                <w:tcPr>
                  <w:tcW w:w="182" w:type="pct"/>
                  <w:shd w:val="clear" w:color="auto" w:fill="FFFFFF"/>
                  <w:tcMar>
                    <w:top w:w="0" w:type="dxa"/>
                    <w:left w:w="0" w:type="dxa"/>
                    <w:bottom w:w="0" w:type="dxa"/>
                    <w:right w:w="0" w:type="dxa"/>
                  </w:tcMar>
                  <w:vAlign w:val="center"/>
                </w:tcPr>
                <w:p w14:paraId="36B5A259">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3.7</w:t>
                  </w:r>
                </w:p>
              </w:tc>
              <w:tc>
                <w:tcPr>
                  <w:tcW w:w="182" w:type="pct"/>
                  <w:shd w:val="clear" w:color="auto" w:fill="FFFFFF"/>
                  <w:tcMar>
                    <w:top w:w="0" w:type="dxa"/>
                    <w:left w:w="0" w:type="dxa"/>
                    <w:bottom w:w="0" w:type="dxa"/>
                    <w:right w:w="0" w:type="dxa"/>
                  </w:tcMar>
                  <w:vAlign w:val="center"/>
                </w:tcPr>
                <w:p w14:paraId="2008DDF8">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19.7</w:t>
                  </w:r>
                </w:p>
              </w:tc>
              <w:tc>
                <w:tcPr>
                  <w:tcW w:w="196" w:type="pct"/>
                  <w:shd w:val="clear" w:color="auto" w:fill="FFFFFF"/>
                  <w:tcMar>
                    <w:top w:w="0" w:type="dxa"/>
                    <w:left w:w="0" w:type="dxa"/>
                    <w:bottom w:w="0" w:type="dxa"/>
                    <w:right w:w="0" w:type="dxa"/>
                  </w:tcMar>
                  <w:vAlign w:val="center"/>
                </w:tcPr>
                <w:p w14:paraId="07284F77">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17.3</w:t>
                  </w:r>
                </w:p>
              </w:tc>
              <w:tc>
                <w:tcPr>
                  <w:tcW w:w="180" w:type="pct"/>
                  <w:shd w:val="clear" w:color="auto" w:fill="FFFFFF"/>
                  <w:tcMar>
                    <w:top w:w="0" w:type="dxa"/>
                    <w:left w:w="0" w:type="dxa"/>
                    <w:bottom w:w="0" w:type="dxa"/>
                    <w:right w:w="0" w:type="dxa"/>
                  </w:tcMar>
                  <w:vAlign w:val="center"/>
                </w:tcPr>
                <w:p w14:paraId="290878CD">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61.3</w:t>
                  </w:r>
                </w:p>
              </w:tc>
              <w:tc>
                <w:tcPr>
                  <w:tcW w:w="180" w:type="pct"/>
                  <w:shd w:val="clear" w:color="auto" w:fill="FFFFFF"/>
                  <w:tcMar>
                    <w:top w:w="0" w:type="dxa"/>
                    <w:left w:w="0" w:type="dxa"/>
                    <w:bottom w:w="0" w:type="dxa"/>
                    <w:right w:w="0" w:type="dxa"/>
                  </w:tcMar>
                  <w:vAlign w:val="center"/>
                </w:tcPr>
                <w:p w14:paraId="6796E727">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61.8</w:t>
                  </w:r>
                </w:p>
              </w:tc>
              <w:tc>
                <w:tcPr>
                  <w:tcW w:w="180" w:type="pct"/>
                  <w:shd w:val="clear" w:color="auto" w:fill="FFFFFF"/>
                  <w:tcMar>
                    <w:top w:w="0" w:type="dxa"/>
                    <w:left w:w="0" w:type="dxa"/>
                    <w:bottom w:w="0" w:type="dxa"/>
                    <w:right w:w="0" w:type="dxa"/>
                  </w:tcMar>
                  <w:vAlign w:val="center"/>
                </w:tcPr>
                <w:p w14:paraId="498F3F8B">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61.3</w:t>
                  </w:r>
                </w:p>
              </w:tc>
              <w:tc>
                <w:tcPr>
                  <w:tcW w:w="189" w:type="pct"/>
                  <w:shd w:val="clear" w:color="auto" w:fill="FFFFFF"/>
                  <w:tcMar>
                    <w:top w:w="0" w:type="dxa"/>
                    <w:left w:w="0" w:type="dxa"/>
                    <w:bottom w:w="0" w:type="dxa"/>
                    <w:right w:w="0" w:type="dxa"/>
                  </w:tcMar>
                  <w:vAlign w:val="center"/>
                </w:tcPr>
                <w:p w14:paraId="59B1DBA9">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61.3</w:t>
                  </w:r>
                </w:p>
              </w:tc>
              <w:tc>
                <w:tcPr>
                  <w:tcW w:w="155" w:type="pct"/>
                  <w:vMerge w:val="continue"/>
                  <w:shd w:val="clear" w:color="auto" w:fill="FFFFFF"/>
                  <w:tcMar>
                    <w:top w:w="0" w:type="dxa"/>
                    <w:left w:w="0" w:type="dxa"/>
                    <w:bottom w:w="0" w:type="dxa"/>
                    <w:right w:w="0" w:type="dxa"/>
                  </w:tcMar>
                  <w:vAlign w:val="center"/>
                </w:tcPr>
                <w:p w14:paraId="74824080">
                  <w:pPr>
                    <w:jc w:val="center"/>
                    <w:rPr>
                      <w:rFonts w:hint="default" w:ascii="Times New Roman" w:hAnsi="Times New Roman" w:eastAsia="宋体" w:cs="Times New Roman"/>
                      <w:color w:val="auto"/>
                      <w:sz w:val="21"/>
                      <w:szCs w:val="21"/>
                      <w:lang w:val="en-US" w:eastAsia="zh-CN"/>
                    </w:rPr>
                  </w:pPr>
                </w:p>
              </w:tc>
              <w:tc>
                <w:tcPr>
                  <w:tcW w:w="175" w:type="pct"/>
                  <w:shd w:val="clear" w:color="auto" w:fill="FFFFFF"/>
                  <w:tcMar>
                    <w:top w:w="0" w:type="dxa"/>
                    <w:left w:w="0" w:type="dxa"/>
                    <w:bottom w:w="0" w:type="dxa"/>
                    <w:right w:w="0" w:type="dxa"/>
                  </w:tcMar>
                  <w:vAlign w:val="center"/>
                </w:tcPr>
                <w:p w14:paraId="468840B0">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36.0</w:t>
                  </w:r>
                </w:p>
              </w:tc>
              <w:tc>
                <w:tcPr>
                  <w:tcW w:w="175" w:type="pct"/>
                  <w:shd w:val="clear" w:color="auto" w:fill="FFFFFF"/>
                  <w:tcMar>
                    <w:top w:w="0" w:type="dxa"/>
                    <w:left w:w="0" w:type="dxa"/>
                    <w:bottom w:w="0" w:type="dxa"/>
                    <w:right w:w="0" w:type="dxa"/>
                  </w:tcMar>
                  <w:vAlign w:val="center"/>
                </w:tcPr>
                <w:p w14:paraId="0F72BDA0">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36.0</w:t>
                  </w:r>
                </w:p>
              </w:tc>
              <w:tc>
                <w:tcPr>
                  <w:tcW w:w="175" w:type="pct"/>
                  <w:shd w:val="clear" w:color="auto" w:fill="FFFFFF"/>
                  <w:tcMar>
                    <w:top w:w="0" w:type="dxa"/>
                    <w:left w:w="0" w:type="dxa"/>
                    <w:bottom w:w="0" w:type="dxa"/>
                    <w:right w:w="0" w:type="dxa"/>
                  </w:tcMar>
                  <w:vAlign w:val="center"/>
                </w:tcPr>
                <w:p w14:paraId="7A6FF1BD">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36.0</w:t>
                  </w:r>
                </w:p>
              </w:tc>
              <w:tc>
                <w:tcPr>
                  <w:tcW w:w="181" w:type="pct"/>
                  <w:shd w:val="clear" w:color="auto" w:fill="FFFFFF"/>
                  <w:tcMar>
                    <w:top w:w="0" w:type="dxa"/>
                    <w:left w:w="0" w:type="dxa"/>
                    <w:bottom w:w="0" w:type="dxa"/>
                    <w:right w:w="0" w:type="dxa"/>
                  </w:tcMar>
                  <w:vAlign w:val="center"/>
                </w:tcPr>
                <w:p w14:paraId="23437ABC">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36.0</w:t>
                  </w:r>
                </w:p>
              </w:tc>
              <w:tc>
                <w:tcPr>
                  <w:tcW w:w="186" w:type="pct"/>
                  <w:shd w:val="clear" w:color="auto" w:fill="FFFFFF"/>
                  <w:tcMar>
                    <w:top w:w="0" w:type="dxa"/>
                    <w:left w:w="0" w:type="dxa"/>
                    <w:bottom w:w="0" w:type="dxa"/>
                    <w:right w:w="0" w:type="dxa"/>
                  </w:tcMar>
                  <w:vAlign w:val="center"/>
                </w:tcPr>
                <w:p w14:paraId="4BEC5BDF">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25.3</w:t>
                  </w:r>
                </w:p>
              </w:tc>
              <w:tc>
                <w:tcPr>
                  <w:tcW w:w="186" w:type="pct"/>
                  <w:shd w:val="clear" w:color="auto" w:fill="FFFFFF"/>
                  <w:tcMar>
                    <w:top w:w="0" w:type="dxa"/>
                    <w:left w:w="0" w:type="dxa"/>
                    <w:bottom w:w="0" w:type="dxa"/>
                    <w:right w:w="0" w:type="dxa"/>
                  </w:tcMar>
                  <w:vAlign w:val="center"/>
                </w:tcPr>
                <w:p w14:paraId="55A21853">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25.8</w:t>
                  </w:r>
                </w:p>
              </w:tc>
              <w:tc>
                <w:tcPr>
                  <w:tcW w:w="186" w:type="pct"/>
                  <w:shd w:val="clear" w:color="auto" w:fill="FFFFFF"/>
                  <w:tcMar>
                    <w:top w:w="0" w:type="dxa"/>
                    <w:left w:w="0" w:type="dxa"/>
                    <w:bottom w:w="0" w:type="dxa"/>
                    <w:right w:w="0" w:type="dxa"/>
                  </w:tcMar>
                  <w:vAlign w:val="center"/>
                </w:tcPr>
                <w:p w14:paraId="1C57AA54">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25.3</w:t>
                  </w:r>
                </w:p>
              </w:tc>
              <w:tc>
                <w:tcPr>
                  <w:tcW w:w="186" w:type="pct"/>
                  <w:shd w:val="clear" w:color="auto" w:fill="FFFFFF"/>
                  <w:tcMar>
                    <w:top w:w="0" w:type="dxa"/>
                    <w:left w:w="0" w:type="dxa"/>
                    <w:bottom w:w="0" w:type="dxa"/>
                    <w:right w:w="0" w:type="dxa"/>
                  </w:tcMar>
                  <w:vAlign w:val="center"/>
                </w:tcPr>
                <w:p w14:paraId="2392D7AA">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25.3</w:t>
                  </w:r>
                </w:p>
              </w:tc>
              <w:tc>
                <w:tcPr>
                  <w:tcW w:w="272" w:type="pct"/>
                  <w:shd w:val="clear" w:color="auto" w:fill="FFFFFF"/>
                  <w:tcMar>
                    <w:top w:w="0" w:type="dxa"/>
                    <w:left w:w="0" w:type="dxa"/>
                    <w:bottom w:w="0" w:type="dxa"/>
                    <w:right w:w="0" w:type="dxa"/>
                  </w:tcMar>
                  <w:vAlign w:val="center"/>
                </w:tcPr>
                <w:p w14:paraId="681E14E7">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w:t>
                  </w:r>
                </w:p>
              </w:tc>
            </w:tr>
            <w:tr w14:paraId="551D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146" w:type="pct"/>
                  <w:shd w:val="clear" w:color="auto" w:fill="FFFFFF"/>
                  <w:tcMar>
                    <w:top w:w="0" w:type="dxa"/>
                    <w:left w:w="0" w:type="dxa"/>
                    <w:bottom w:w="0" w:type="dxa"/>
                    <w:right w:w="0" w:type="dxa"/>
                  </w:tcMar>
                  <w:vAlign w:val="center"/>
                </w:tcPr>
                <w:p w14:paraId="4840EA9B">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w:t>
                  </w:r>
                </w:p>
              </w:tc>
              <w:tc>
                <w:tcPr>
                  <w:tcW w:w="202" w:type="pct"/>
                  <w:shd w:val="clear" w:color="auto" w:fill="FFFFFF"/>
                  <w:tcMar>
                    <w:top w:w="0" w:type="dxa"/>
                    <w:left w:w="0" w:type="dxa"/>
                    <w:bottom w:w="0" w:type="dxa"/>
                    <w:right w:w="0" w:type="dxa"/>
                  </w:tcMar>
                  <w:vAlign w:val="center"/>
                </w:tcPr>
                <w:p w14:paraId="0607398E">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生产车间</w:t>
                  </w:r>
                </w:p>
              </w:tc>
              <w:tc>
                <w:tcPr>
                  <w:tcW w:w="195" w:type="pct"/>
                  <w:shd w:val="clear" w:color="auto" w:fill="FFFFFF"/>
                  <w:tcMar>
                    <w:top w:w="0" w:type="dxa"/>
                    <w:left w:w="0" w:type="dxa"/>
                    <w:bottom w:w="0" w:type="dxa"/>
                    <w:right w:w="0" w:type="dxa"/>
                  </w:tcMar>
                  <w:vAlign w:val="center"/>
                </w:tcPr>
                <w:p w14:paraId="57ECF2DF">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排气筒风机，1台</w:t>
                  </w:r>
                </w:p>
              </w:tc>
              <w:tc>
                <w:tcPr>
                  <w:tcW w:w="235" w:type="pct"/>
                  <w:shd w:val="clear" w:color="auto" w:fill="FFFFFF"/>
                  <w:tcMar>
                    <w:top w:w="0" w:type="dxa"/>
                    <w:left w:w="0" w:type="dxa"/>
                    <w:bottom w:w="0" w:type="dxa"/>
                    <w:right w:w="0" w:type="dxa"/>
                  </w:tcMar>
                  <w:vAlign w:val="center"/>
                </w:tcPr>
                <w:p w14:paraId="131660D3">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90</w:t>
                  </w:r>
                </w:p>
              </w:tc>
              <w:tc>
                <w:tcPr>
                  <w:tcW w:w="200" w:type="pct"/>
                  <w:vMerge w:val="continue"/>
                  <w:shd w:val="clear" w:color="auto" w:fill="FFFFFF"/>
                  <w:tcMar>
                    <w:top w:w="0" w:type="dxa"/>
                    <w:left w:w="0" w:type="dxa"/>
                    <w:bottom w:w="0" w:type="dxa"/>
                    <w:right w:w="0" w:type="dxa"/>
                  </w:tcMar>
                  <w:vAlign w:val="center"/>
                </w:tcPr>
                <w:p w14:paraId="63AC5793">
                  <w:pPr>
                    <w:jc w:val="center"/>
                    <w:rPr>
                      <w:rFonts w:hint="default" w:ascii="Times New Roman" w:hAnsi="Times New Roman" w:eastAsia="宋体" w:cs="Times New Roman"/>
                      <w:color w:val="auto"/>
                      <w:sz w:val="21"/>
                      <w:szCs w:val="21"/>
                    </w:rPr>
                  </w:pPr>
                </w:p>
              </w:tc>
              <w:tc>
                <w:tcPr>
                  <w:tcW w:w="222" w:type="pct"/>
                  <w:shd w:val="clear" w:color="auto" w:fill="FFFFFF"/>
                  <w:tcMar>
                    <w:top w:w="0" w:type="dxa"/>
                    <w:left w:w="0" w:type="dxa"/>
                    <w:bottom w:w="0" w:type="dxa"/>
                    <w:right w:w="0" w:type="dxa"/>
                  </w:tcMar>
                  <w:vAlign w:val="center"/>
                </w:tcPr>
                <w:p w14:paraId="7A3061E5">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8.4</w:t>
                  </w:r>
                </w:p>
              </w:tc>
              <w:tc>
                <w:tcPr>
                  <w:tcW w:w="222" w:type="pct"/>
                  <w:shd w:val="clear" w:color="auto" w:fill="FFFFFF"/>
                  <w:tcMar>
                    <w:top w:w="0" w:type="dxa"/>
                    <w:left w:w="0" w:type="dxa"/>
                    <w:bottom w:w="0" w:type="dxa"/>
                    <w:right w:w="0" w:type="dxa"/>
                  </w:tcMar>
                  <w:vAlign w:val="center"/>
                </w:tcPr>
                <w:p w14:paraId="6835944F">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-6.6</w:t>
                  </w:r>
                </w:p>
              </w:tc>
              <w:tc>
                <w:tcPr>
                  <w:tcW w:w="224" w:type="pct"/>
                  <w:shd w:val="clear" w:color="auto" w:fill="FFFFFF"/>
                  <w:tcMar>
                    <w:top w:w="0" w:type="dxa"/>
                    <w:left w:w="0" w:type="dxa"/>
                    <w:bottom w:w="0" w:type="dxa"/>
                    <w:right w:w="0" w:type="dxa"/>
                  </w:tcMar>
                  <w:vAlign w:val="center"/>
                </w:tcPr>
                <w:p w14:paraId="0CCDE801">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1.2</w:t>
                  </w:r>
                </w:p>
              </w:tc>
              <w:tc>
                <w:tcPr>
                  <w:tcW w:w="182" w:type="pct"/>
                  <w:shd w:val="clear" w:color="auto" w:fill="FFFFFF"/>
                  <w:tcMar>
                    <w:top w:w="0" w:type="dxa"/>
                    <w:left w:w="0" w:type="dxa"/>
                    <w:bottom w:w="0" w:type="dxa"/>
                    <w:right w:w="0" w:type="dxa"/>
                  </w:tcMar>
                  <w:vAlign w:val="center"/>
                </w:tcPr>
                <w:p w14:paraId="5F189D6F">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w:t>
                  </w:r>
                  <w:r>
                    <w:rPr>
                      <w:rFonts w:hint="eastAsia" w:cs="Times New Roman"/>
                      <w:color w:val="auto"/>
                      <w:sz w:val="21"/>
                      <w:szCs w:val="21"/>
                      <w:lang w:val="en-US" w:eastAsia="zh-CN"/>
                    </w:rPr>
                    <w:t>7</w:t>
                  </w:r>
                  <w:r>
                    <w:rPr>
                      <w:rFonts w:hint="default" w:ascii="Times New Roman" w:hAnsi="Times New Roman" w:eastAsia="宋体" w:cs="Times New Roman"/>
                      <w:color w:val="auto"/>
                      <w:sz w:val="21"/>
                      <w:szCs w:val="21"/>
                    </w:rPr>
                    <w:t>.6</w:t>
                  </w:r>
                </w:p>
              </w:tc>
              <w:tc>
                <w:tcPr>
                  <w:tcW w:w="182" w:type="pct"/>
                  <w:shd w:val="clear" w:color="auto" w:fill="FFFFFF"/>
                  <w:tcMar>
                    <w:top w:w="0" w:type="dxa"/>
                    <w:left w:w="0" w:type="dxa"/>
                    <w:bottom w:w="0" w:type="dxa"/>
                    <w:right w:w="0" w:type="dxa"/>
                  </w:tcMar>
                  <w:vAlign w:val="center"/>
                </w:tcPr>
                <w:p w14:paraId="7E4E72E0">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3</w:t>
                  </w:r>
                  <w:r>
                    <w:rPr>
                      <w:rFonts w:hint="eastAsia" w:cs="Times New Roman"/>
                      <w:color w:val="auto"/>
                      <w:sz w:val="21"/>
                      <w:szCs w:val="21"/>
                      <w:lang w:val="en-US" w:eastAsia="zh-CN"/>
                    </w:rPr>
                    <w:t>.8</w:t>
                  </w:r>
                </w:p>
              </w:tc>
              <w:tc>
                <w:tcPr>
                  <w:tcW w:w="182" w:type="pct"/>
                  <w:shd w:val="clear" w:color="auto" w:fill="FFFFFF"/>
                  <w:tcMar>
                    <w:top w:w="0" w:type="dxa"/>
                    <w:left w:w="0" w:type="dxa"/>
                    <w:bottom w:w="0" w:type="dxa"/>
                    <w:right w:w="0" w:type="dxa"/>
                  </w:tcMar>
                  <w:vAlign w:val="center"/>
                </w:tcPr>
                <w:p w14:paraId="20143F7A">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19.7</w:t>
                  </w:r>
                </w:p>
              </w:tc>
              <w:tc>
                <w:tcPr>
                  <w:tcW w:w="196" w:type="pct"/>
                  <w:shd w:val="clear" w:color="auto" w:fill="FFFFFF"/>
                  <w:tcMar>
                    <w:top w:w="0" w:type="dxa"/>
                    <w:left w:w="0" w:type="dxa"/>
                    <w:bottom w:w="0" w:type="dxa"/>
                    <w:right w:w="0" w:type="dxa"/>
                  </w:tcMar>
                  <w:vAlign w:val="center"/>
                </w:tcPr>
                <w:p w14:paraId="6AA51B3B">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7.</w:t>
                  </w:r>
                  <w:r>
                    <w:rPr>
                      <w:rFonts w:hint="eastAsia" w:cs="Times New Roman"/>
                      <w:color w:val="auto"/>
                      <w:sz w:val="21"/>
                      <w:szCs w:val="21"/>
                      <w:lang w:val="en-US" w:eastAsia="zh-CN"/>
                    </w:rPr>
                    <w:t>6</w:t>
                  </w:r>
                </w:p>
              </w:tc>
              <w:tc>
                <w:tcPr>
                  <w:tcW w:w="180" w:type="pct"/>
                  <w:shd w:val="clear" w:color="auto" w:fill="FFFFFF"/>
                  <w:tcMar>
                    <w:top w:w="0" w:type="dxa"/>
                    <w:left w:w="0" w:type="dxa"/>
                    <w:bottom w:w="0" w:type="dxa"/>
                    <w:right w:w="0" w:type="dxa"/>
                  </w:tcMar>
                  <w:vAlign w:val="center"/>
                </w:tcPr>
                <w:p w14:paraId="52D70E21">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64</w:t>
                  </w:r>
                  <w:r>
                    <w:rPr>
                      <w:rFonts w:hint="eastAsia" w:cs="Times New Roman"/>
                      <w:color w:val="auto"/>
                      <w:sz w:val="21"/>
                      <w:szCs w:val="21"/>
                      <w:lang w:val="en-US" w:eastAsia="zh-CN"/>
                    </w:rPr>
                    <w:t>.1</w:t>
                  </w:r>
                </w:p>
              </w:tc>
              <w:tc>
                <w:tcPr>
                  <w:tcW w:w="180" w:type="pct"/>
                  <w:shd w:val="clear" w:color="auto" w:fill="FFFFFF"/>
                  <w:tcMar>
                    <w:top w:w="0" w:type="dxa"/>
                    <w:left w:w="0" w:type="dxa"/>
                    <w:bottom w:w="0" w:type="dxa"/>
                    <w:right w:w="0" w:type="dxa"/>
                  </w:tcMar>
                  <w:vAlign w:val="center"/>
                </w:tcPr>
                <w:p w14:paraId="637FF0BD">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65</w:t>
                  </w:r>
                  <w:r>
                    <w:rPr>
                      <w:rFonts w:hint="eastAsia" w:cs="Times New Roman"/>
                      <w:color w:val="auto"/>
                      <w:sz w:val="21"/>
                      <w:szCs w:val="21"/>
                      <w:lang w:val="en-US" w:eastAsia="zh-CN"/>
                    </w:rPr>
                    <w:t>.1</w:t>
                  </w:r>
                </w:p>
              </w:tc>
              <w:tc>
                <w:tcPr>
                  <w:tcW w:w="180" w:type="pct"/>
                  <w:shd w:val="clear" w:color="auto" w:fill="FFFFFF"/>
                  <w:tcMar>
                    <w:top w:w="0" w:type="dxa"/>
                    <w:left w:w="0" w:type="dxa"/>
                    <w:bottom w:w="0" w:type="dxa"/>
                    <w:right w:w="0" w:type="dxa"/>
                  </w:tcMar>
                  <w:vAlign w:val="center"/>
                </w:tcPr>
                <w:p w14:paraId="0C50C52D">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66</w:t>
                  </w:r>
                  <w:r>
                    <w:rPr>
                      <w:rFonts w:hint="eastAsia" w:cs="Times New Roman"/>
                      <w:color w:val="auto"/>
                      <w:sz w:val="21"/>
                      <w:szCs w:val="21"/>
                      <w:lang w:val="en-US" w:eastAsia="zh-CN"/>
                    </w:rPr>
                    <w:t>.2</w:t>
                  </w:r>
                </w:p>
              </w:tc>
              <w:tc>
                <w:tcPr>
                  <w:tcW w:w="189" w:type="pct"/>
                  <w:shd w:val="clear" w:color="auto" w:fill="FFFFFF"/>
                  <w:tcMar>
                    <w:top w:w="0" w:type="dxa"/>
                    <w:left w:w="0" w:type="dxa"/>
                    <w:bottom w:w="0" w:type="dxa"/>
                    <w:right w:w="0" w:type="dxa"/>
                  </w:tcMar>
                  <w:vAlign w:val="center"/>
                </w:tcPr>
                <w:p w14:paraId="27167333">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66</w:t>
                  </w:r>
                  <w:r>
                    <w:rPr>
                      <w:rFonts w:hint="eastAsia" w:cs="Times New Roman"/>
                      <w:color w:val="auto"/>
                      <w:sz w:val="21"/>
                      <w:szCs w:val="21"/>
                      <w:lang w:val="en-US" w:eastAsia="zh-CN"/>
                    </w:rPr>
                    <w:t>.5</w:t>
                  </w:r>
                </w:p>
              </w:tc>
              <w:tc>
                <w:tcPr>
                  <w:tcW w:w="155" w:type="pct"/>
                  <w:vMerge w:val="continue"/>
                  <w:shd w:val="clear" w:color="auto" w:fill="FFFFFF"/>
                  <w:tcMar>
                    <w:top w:w="0" w:type="dxa"/>
                    <w:left w:w="0" w:type="dxa"/>
                    <w:bottom w:w="0" w:type="dxa"/>
                    <w:right w:w="0" w:type="dxa"/>
                  </w:tcMar>
                  <w:vAlign w:val="center"/>
                </w:tcPr>
                <w:p w14:paraId="344BC55D">
                  <w:pPr>
                    <w:jc w:val="center"/>
                    <w:rPr>
                      <w:rFonts w:hint="default" w:ascii="Times New Roman" w:hAnsi="Times New Roman" w:eastAsia="宋体" w:cs="Times New Roman"/>
                      <w:color w:val="auto"/>
                      <w:sz w:val="21"/>
                      <w:szCs w:val="21"/>
                      <w:lang w:val="en-US" w:eastAsia="zh-CN"/>
                    </w:rPr>
                  </w:pPr>
                </w:p>
              </w:tc>
              <w:tc>
                <w:tcPr>
                  <w:tcW w:w="175" w:type="pct"/>
                  <w:shd w:val="clear" w:color="auto" w:fill="FFFFFF"/>
                  <w:tcMar>
                    <w:top w:w="0" w:type="dxa"/>
                    <w:left w:w="0" w:type="dxa"/>
                    <w:bottom w:w="0" w:type="dxa"/>
                    <w:right w:w="0" w:type="dxa"/>
                  </w:tcMar>
                  <w:vAlign w:val="center"/>
                </w:tcPr>
                <w:p w14:paraId="5056A979">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36.0</w:t>
                  </w:r>
                </w:p>
              </w:tc>
              <w:tc>
                <w:tcPr>
                  <w:tcW w:w="175" w:type="pct"/>
                  <w:shd w:val="clear" w:color="auto" w:fill="FFFFFF"/>
                  <w:tcMar>
                    <w:top w:w="0" w:type="dxa"/>
                    <w:left w:w="0" w:type="dxa"/>
                    <w:bottom w:w="0" w:type="dxa"/>
                    <w:right w:w="0" w:type="dxa"/>
                  </w:tcMar>
                  <w:vAlign w:val="center"/>
                </w:tcPr>
                <w:p w14:paraId="45A15816">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36.0</w:t>
                  </w:r>
                </w:p>
              </w:tc>
              <w:tc>
                <w:tcPr>
                  <w:tcW w:w="175" w:type="pct"/>
                  <w:shd w:val="clear" w:color="auto" w:fill="FFFFFF"/>
                  <w:tcMar>
                    <w:top w:w="0" w:type="dxa"/>
                    <w:left w:w="0" w:type="dxa"/>
                    <w:bottom w:w="0" w:type="dxa"/>
                    <w:right w:w="0" w:type="dxa"/>
                  </w:tcMar>
                  <w:vAlign w:val="center"/>
                </w:tcPr>
                <w:p w14:paraId="206C171D">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36.0</w:t>
                  </w:r>
                </w:p>
              </w:tc>
              <w:tc>
                <w:tcPr>
                  <w:tcW w:w="181" w:type="pct"/>
                  <w:shd w:val="clear" w:color="auto" w:fill="FFFFFF"/>
                  <w:tcMar>
                    <w:top w:w="0" w:type="dxa"/>
                    <w:left w:w="0" w:type="dxa"/>
                    <w:bottom w:w="0" w:type="dxa"/>
                    <w:right w:w="0" w:type="dxa"/>
                  </w:tcMar>
                  <w:vAlign w:val="center"/>
                </w:tcPr>
                <w:p w14:paraId="5365772E">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36.0</w:t>
                  </w:r>
                </w:p>
              </w:tc>
              <w:tc>
                <w:tcPr>
                  <w:tcW w:w="186" w:type="pct"/>
                  <w:shd w:val="clear" w:color="auto" w:fill="FFFFFF"/>
                  <w:tcMar>
                    <w:top w:w="0" w:type="dxa"/>
                    <w:left w:w="0" w:type="dxa"/>
                    <w:bottom w:w="0" w:type="dxa"/>
                    <w:right w:w="0" w:type="dxa"/>
                  </w:tcMar>
                  <w:vAlign w:val="center"/>
                </w:tcPr>
                <w:p w14:paraId="142BB1D4">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25.3</w:t>
                  </w:r>
                </w:p>
              </w:tc>
              <w:tc>
                <w:tcPr>
                  <w:tcW w:w="186" w:type="pct"/>
                  <w:shd w:val="clear" w:color="auto" w:fill="FFFFFF"/>
                  <w:tcMar>
                    <w:top w:w="0" w:type="dxa"/>
                    <w:left w:w="0" w:type="dxa"/>
                    <w:bottom w:w="0" w:type="dxa"/>
                    <w:right w:w="0" w:type="dxa"/>
                  </w:tcMar>
                  <w:vAlign w:val="center"/>
                </w:tcPr>
                <w:p w14:paraId="1F3625AE">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25.8</w:t>
                  </w:r>
                </w:p>
              </w:tc>
              <w:tc>
                <w:tcPr>
                  <w:tcW w:w="186" w:type="pct"/>
                  <w:shd w:val="clear" w:color="auto" w:fill="FFFFFF"/>
                  <w:tcMar>
                    <w:top w:w="0" w:type="dxa"/>
                    <w:left w:w="0" w:type="dxa"/>
                    <w:bottom w:w="0" w:type="dxa"/>
                    <w:right w:w="0" w:type="dxa"/>
                  </w:tcMar>
                  <w:vAlign w:val="center"/>
                </w:tcPr>
                <w:p w14:paraId="2B6825A2">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25.3</w:t>
                  </w:r>
                </w:p>
              </w:tc>
              <w:tc>
                <w:tcPr>
                  <w:tcW w:w="186" w:type="pct"/>
                  <w:shd w:val="clear" w:color="auto" w:fill="FFFFFF"/>
                  <w:tcMar>
                    <w:top w:w="0" w:type="dxa"/>
                    <w:left w:w="0" w:type="dxa"/>
                    <w:bottom w:w="0" w:type="dxa"/>
                    <w:right w:w="0" w:type="dxa"/>
                  </w:tcMar>
                  <w:vAlign w:val="center"/>
                </w:tcPr>
                <w:p w14:paraId="24B6594B">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25.3</w:t>
                  </w:r>
                </w:p>
              </w:tc>
              <w:tc>
                <w:tcPr>
                  <w:tcW w:w="272" w:type="pct"/>
                  <w:shd w:val="clear" w:color="auto" w:fill="FFFFFF"/>
                  <w:tcMar>
                    <w:top w:w="0" w:type="dxa"/>
                    <w:left w:w="0" w:type="dxa"/>
                    <w:bottom w:w="0" w:type="dxa"/>
                    <w:right w:w="0" w:type="dxa"/>
                  </w:tcMar>
                  <w:vAlign w:val="center"/>
                </w:tcPr>
                <w:p w14:paraId="45BA18F3">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w:t>
                  </w:r>
                </w:p>
              </w:tc>
            </w:tr>
          </w:tbl>
          <w:p w14:paraId="7709C342">
            <w:pPr>
              <w:spacing w:line="360" w:lineRule="auto"/>
              <w:ind w:firstLine="480" w:firstLineChars="200"/>
              <w:rPr>
                <w:rFonts w:hint="eastAsia" w:ascii="Times New Roman" w:hAnsi="Times New Roman" w:eastAsia="宋体" w:cs="Times New Roman"/>
                <w:b w:val="0"/>
                <w:bCs w:val="0"/>
                <w:color w:val="auto"/>
                <w:spacing w:val="0"/>
                <w:sz w:val="24"/>
                <w:szCs w:val="24"/>
                <w:highlight w:val="none"/>
                <w:lang w:eastAsia="zh-CN"/>
              </w:rPr>
            </w:pPr>
            <w:r>
              <w:rPr>
                <w:rFonts w:hint="default" w:ascii="Times New Roman" w:hAnsi="Times New Roman" w:eastAsia="宋体" w:cs="Times New Roman"/>
                <w:b w:val="0"/>
                <w:bCs w:val="0"/>
                <w:color w:val="auto"/>
                <w:spacing w:val="0"/>
                <w:sz w:val="24"/>
                <w:szCs w:val="24"/>
                <w:highlight w:val="none"/>
              </w:rPr>
              <w:t>表中坐标以厂界中心为坐标原点，正东向为X轴正方向，正北向为Y轴正方向</w:t>
            </w:r>
            <w:r>
              <w:rPr>
                <w:rFonts w:hint="eastAsia" w:cs="Times New Roman"/>
                <w:b w:val="0"/>
                <w:bCs w:val="0"/>
                <w:color w:val="auto"/>
                <w:spacing w:val="0"/>
                <w:sz w:val="24"/>
                <w:szCs w:val="24"/>
                <w:highlight w:val="none"/>
                <w:lang w:eastAsia="zh-CN"/>
              </w:rPr>
              <w:t>。</w:t>
            </w:r>
          </w:p>
          <w:p w14:paraId="04E1F555">
            <w:pPr>
              <w:keepNext w:val="0"/>
              <w:keepLines w:val="0"/>
              <w:pageBreakBefore w:val="0"/>
              <w:widowControl w:val="0"/>
              <w:numPr>
                <w:ilvl w:val="0"/>
                <w:numId w:val="8"/>
              </w:numPr>
              <w:tabs>
                <w:tab w:val="center" w:pos="0"/>
              </w:tabs>
              <w:kinsoku/>
              <w:wordWrap/>
              <w:overflowPunct/>
              <w:topLinePunct w:val="0"/>
              <w:autoSpaceDE/>
              <w:autoSpaceDN/>
              <w:bidi w:val="0"/>
              <w:adjustRightInd w:val="0"/>
              <w:snapToGrid w:val="0"/>
              <w:ind w:left="0" w:leftChars="0" w:firstLine="0" w:firstLineChars="0"/>
              <w:jc w:val="center"/>
              <w:textAlignment w:val="auto"/>
              <w:rPr>
                <w:rFonts w:hint="eastAsia" w:ascii="Times New Roman" w:hAnsi="Times New Roman" w:eastAsia="宋体" w:cs="Times New Roman"/>
                <w:b/>
                <w:bCs/>
                <w:snapToGrid w:val="0"/>
                <w:color w:val="auto"/>
                <w:spacing w:val="0"/>
                <w:kern w:val="0"/>
                <w:sz w:val="24"/>
                <w:lang w:val="en-US" w:eastAsia="zh-CN"/>
              </w:rPr>
            </w:pPr>
            <w:r>
              <w:rPr>
                <w:rFonts w:hint="eastAsia" w:ascii="Times New Roman" w:hAnsi="Times New Roman" w:eastAsia="宋体" w:cs="Times New Roman"/>
                <w:b/>
                <w:bCs/>
                <w:snapToGrid w:val="0"/>
                <w:color w:val="auto"/>
                <w:spacing w:val="0"/>
                <w:kern w:val="0"/>
                <w:sz w:val="24"/>
                <w:lang w:val="en-US" w:eastAsia="zh-CN"/>
              </w:rPr>
              <w:t>厂界噪声预测结果与达标分析表</w:t>
            </w:r>
            <w:bookmarkStart w:id="10" w:name="PT_7"/>
          </w:p>
          <w:tbl>
            <w:tblPr>
              <w:tblStyle w:val="36"/>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0"/>
              <w:gridCol w:w="1378"/>
              <w:gridCol w:w="1378"/>
              <w:gridCol w:w="1389"/>
              <w:gridCol w:w="1706"/>
              <w:gridCol w:w="2433"/>
              <w:gridCol w:w="2436"/>
              <w:gridCol w:w="2040"/>
            </w:tblGrid>
            <w:tr w14:paraId="323F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5" w:type="pct"/>
                  <w:vMerge w:val="restart"/>
                  <w:vAlign w:val="center"/>
                </w:tcPr>
                <w:p w14:paraId="6C2DD8F9">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color w:val="auto"/>
                      <w:spacing w:val="0"/>
                      <w:sz w:val="21"/>
                      <w:szCs w:val="21"/>
                    </w:rPr>
                    <w:t>预测方位</w:t>
                  </w:r>
                </w:p>
              </w:tc>
              <w:tc>
                <w:tcPr>
                  <w:tcW w:w="1414" w:type="pct"/>
                  <w:gridSpan w:val="3"/>
                  <w:vAlign w:val="center"/>
                </w:tcPr>
                <w:p w14:paraId="09A15B67">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color w:val="auto"/>
                      <w:spacing w:val="0"/>
                      <w:sz w:val="21"/>
                      <w:szCs w:val="21"/>
                      <w:lang w:val="en-US" w:eastAsia="zh-CN"/>
                    </w:rPr>
                    <w:t>最大值点</w:t>
                  </w:r>
                  <w:r>
                    <w:rPr>
                      <w:rFonts w:hint="default" w:ascii="Times New Roman" w:hAnsi="Times New Roman" w:eastAsia="宋体" w:cs="Times New Roman"/>
                      <w:b/>
                      <w:color w:val="auto"/>
                      <w:spacing w:val="0"/>
                      <w:sz w:val="21"/>
                      <w:szCs w:val="21"/>
                    </w:rPr>
                    <w:t>空间相对位置/m</w:t>
                  </w:r>
                </w:p>
              </w:tc>
              <w:tc>
                <w:tcPr>
                  <w:tcW w:w="582" w:type="pct"/>
                  <w:vMerge w:val="restart"/>
                  <w:vAlign w:val="center"/>
                </w:tcPr>
                <w:p w14:paraId="2AE82F35">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color w:val="auto"/>
                      <w:spacing w:val="0"/>
                      <w:sz w:val="21"/>
                      <w:szCs w:val="21"/>
                    </w:rPr>
                    <w:t>时段</w:t>
                  </w:r>
                </w:p>
              </w:tc>
              <w:tc>
                <w:tcPr>
                  <w:tcW w:w="830" w:type="pct"/>
                  <w:vMerge w:val="restart"/>
                  <w:vAlign w:val="center"/>
                </w:tcPr>
                <w:p w14:paraId="35634E58">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color w:val="auto"/>
                      <w:spacing w:val="0"/>
                      <w:sz w:val="21"/>
                      <w:szCs w:val="21"/>
                    </w:rPr>
                    <w:t>贡献值（dB(A)）</w:t>
                  </w:r>
                </w:p>
              </w:tc>
              <w:tc>
                <w:tcPr>
                  <w:tcW w:w="831" w:type="pct"/>
                  <w:vMerge w:val="restart"/>
                  <w:vAlign w:val="center"/>
                </w:tcPr>
                <w:p w14:paraId="3B16BC56">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color w:val="auto"/>
                      <w:spacing w:val="0"/>
                      <w:sz w:val="21"/>
                      <w:szCs w:val="21"/>
                    </w:rPr>
                    <w:t>标准限值（dB(A)）</w:t>
                  </w:r>
                </w:p>
              </w:tc>
              <w:tc>
                <w:tcPr>
                  <w:tcW w:w="696" w:type="pct"/>
                  <w:vMerge w:val="restart"/>
                  <w:vAlign w:val="center"/>
                </w:tcPr>
                <w:p w14:paraId="6AFA9F8A">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color w:val="auto"/>
                      <w:spacing w:val="0"/>
                      <w:sz w:val="21"/>
                      <w:szCs w:val="21"/>
                    </w:rPr>
                    <w:t>达标情况</w:t>
                  </w:r>
                </w:p>
              </w:tc>
            </w:tr>
            <w:tr w14:paraId="37D3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5" w:type="pct"/>
                  <w:vMerge w:val="continue"/>
                  <w:shd w:val="clear" w:color="auto" w:fill="FFFFFF"/>
                  <w:vAlign w:val="center"/>
                </w:tcPr>
                <w:p w14:paraId="7C0638C9">
                  <w:pPr>
                    <w:jc w:val="center"/>
                    <w:rPr>
                      <w:rFonts w:hint="default" w:ascii="Times New Roman" w:hAnsi="Times New Roman" w:eastAsia="宋体" w:cs="Times New Roman"/>
                      <w:color w:val="auto"/>
                      <w:spacing w:val="0"/>
                      <w:sz w:val="21"/>
                      <w:szCs w:val="21"/>
                    </w:rPr>
                  </w:pPr>
                </w:p>
              </w:tc>
              <w:tc>
                <w:tcPr>
                  <w:tcW w:w="470" w:type="pct"/>
                  <w:shd w:val="clear" w:color="auto" w:fill="FFFFFF"/>
                  <w:vAlign w:val="center"/>
                </w:tcPr>
                <w:p w14:paraId="57A6057D">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X</w:t>
                  </w:r>
                </w:p>
              </w:tc>
              <w:tc>
                <w:tcPr>
                  <w:tcW w:w="470" w:type="pct"/>
                  <w:shd w:val="clear" w:color="auto" w:fill="FFFFFF"/>
                  <w:vAlign w:val="center"/>
                </w:tcPr>
                <w:p w14:paraId="4283107C">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Y</w:t>
                  </w:r>
                </w:p>
              </w:tc>
              <w:tc>
                <w:tcPr>
                  <w:tcW w:w="474" w:type="pct"/>
                  <w:shd w:val="clear" w:color="auto" w:fill="FFFFFF"/>
                  <w:vAlign w:val="center"/>
                </w:tcPr>
                <w:p w14:paraId="141578DD">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Z</w:t>
                  </w:r>
                </w:p>
              </w:tc>
              <w:tc>
                <w:tcPr>
                  <w:tcW w:w="582" w:type="pct"/>
                  <w:vMerge w:val="continue"/>
                  <w:shd w:val="clear" w:color="auto" w:fill="FFFFFF"/>
                  <w:vAlign w:val="center"/>
                </w:tcPr>
                <w:p w14:paraId="15F58BCB">
                  <w:pPr>
                    <w:jc w:val="center"/>
                    <w:rPr>
                      <w:rFonts w:hint="default" w:ascii="Times New Roman" w:hAnsi="Times New Roman" w:eastAsia="宋体" w:cs="Times New Roman"/>
                      <w:color w:val="auto"/>
                      <w:spacing w:val="0"/>
                      <w:sz w:val="21"/>
                      <w:szCs w:val="21"/>
                    </w:rPr>
                  </w:pPr>
                </w:p>
              </w:tc>
              <w:tc>
                <w:tcPr>
                  <w:tcW w:w="830" w:type="pct"/>
                  <w:vMerge w:val="continue"/>
                  <w:shd w:val="clear" w:color="auto" w:fill="FFFFFF"/>
                  <w:vAlign w:val="center"/>
                </w:tcPr>
                <w:p w14:paraId="3A87B180">
                  <w:pPr>
                    <w:jc w:val="center"/>
                    <w:rPr>
                      <w:rFonts w:hint="default" w:ascii="Times New Roman" w:hAnsi="Times New Roman" w:eastAsia="宋体" w:cs="Times New Roman"/>
                      <w:color w:val="auto"/>
                      <w:spacing w:val="0"/>
                      <w:sz w:val="21"/>
                      <w:szCs w:val="21"/>
                    </w:rPr>
                  </w:pPr>
                </w:p>
              </w:tc>
              <w:tc>
                <w:tcPr>
                  <w:tcW w:w="831" w:type="pct"/>
                  <w:vMerge w:val="continue"/>
                  <w:shd w:val="clear" w:color="auto" w:fill="FFFFFF"/>
                  <w:vAlign w:val="center"/>
                </w:tcPr>
                <w:p w14:paraId="54F499EA">
                  <w:pPr>
                    <w:jc w:val="center"/>
                    <w:rPr>
                      <w:rFonts w:hint="default" w:ascii="Times New Roman" w:hAnsi="Times New Roman" w:eastAsia="宋体" w:cs="Times New Roman"/>
                      <w:color w:val="auto"/>
                      <w:spacing w:val="0"/>
                      <w:sz w:val="21"/>
                      <w:szCs w:val="21"/>
                    </w:rPr>
                  </w:pPr>
                </w:p>
                <w:bookmarkEnd w:id="10"/>
              </w:tc>
              <w:tc>
                <w:tcPr>
                  <w:tcW w:w="696" w:type="pct"/>
                  <w:vMerge w:val="continue"/>
                  <w:shd w:val="clear" w:color="auto" w:fill="FFFFFF"/>
                  <w:vAlign w:val="center"/>
                </w:tcPr>
                <w:p w14:paraId="08041A04">
                  <w:pPr>
                    <w:jc w:val="center"/>
                    <w:rPr>
                      <w:rFonts w:hint="default" w:ascii="Times New Roman" w:hAnsi="Times New Roman" w:eastAsia="宋体" w:cs="Times New Roman"/>
                      <w:color w:val="auto"/>
                      <w:spacing w:val="0"/>
                      <w:sz w:val="21"/>
                      <w:szCs w:val="21"/>
                    </w:rPr>
                  </w:pPr>
                </w:p>
              </w:tc>
            </w:tr>
            <w:tr w14:paraId="0DED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645" w:type="pct"/>
                  <w:shd w:val="clear" w:color="auto" w:fill="FFFFFF"/>
                  <w:vAlign w:val="center"/>
                </w:tcPr>
                <w:p w14:paraId="528BD36B">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东侧</w:t>
                  </w:r>
                </w:p>
              </w:tc>
              <w:tc>
                <w:tcPr>
                  <w:tcW w:w="1378" w:type="dxa"/>
                  <w:shd w:val="clear" w:color="auto" w:fill="FFFFFF"/>
                  <w:vAlign w:val="center"/>
                </w:tcPr>
                <w:p w14:paraId="61B32FD0">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19.3</w:t>
                  </w:r>
                </w:p>
              </w:tc>
              <w:tc>
                <w:tcPr>
                  <w:tcW w:w="1378" w:type="dxa"/>
                  <w:shd w:val="clear" w:color="auto" w:fill="FFFFFF"/>
                  <w:vAlign w:val="center"/>
                </w:tcPr>
                <w:p w14:paraId="5D6379F1">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-11.5</w:t>
                  </w:r>
                </w:p>
              </w:tc>
              <w:tc>
                <w:tcPr>
                  <w:tcW w:w="1389" w:type="dxa"/>
                  <w:shd w:val="clear" w:color="auto" w:fill="FFFFFF"/>
                  <w:vAlign w:val="center"/>
                </w:tcPr>
                <w:p w14:paraId="07945D7E">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1.2</w:t>
                  </w:r>
                </w:p>
              </w:tc>
              <w:tc>
                <w:tcPr>
                  <w:tcW w:w="1706" w:type="dxa"/>
                  <w:shd w:val="clear" w:color="auto" w:fill="FFFFFF"/>
                  <w:vAlign w:val="center"/>
                </w:tcPr>
                <w:p w14:paraId="6326D77D">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昼间</w:t>
                  </w:r>
                </w:p>
              </w:tc>
              <w:tc>
                <w:tcPr>
                  <w:tcW w:w="2433" w:type="dxa"/>
                  <w:shd w:val="clear" w:color="auto" w:fill="FFFFFF"/>
                  <w:vAlign w:val="center"/>
                </w:tcPr>
                <w:p w14:paraId="2C296F9B">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47.4</w:t>
                  </w:r>
                </w:p>
              </w:tc>
              <w:tc>
                <w:tcPr>
                  <w:tcW w:w="2436" w:type="dxa"/>
                  <w:shd w:val="clear" w:color="auto" w:fill="FFFFFF"/>
                  <w:vAlign w:val="center"/>
                </w:tcPr>
                <w:p w14:paraId="32E3E299">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60</w:t>
                  </w:r>
                </w:p>
              </w:tc>
              <w:tc>
                <w:tcPr>
                  <w:tcW w:w="696" w:type="pct"/>
                  <w:shd w:val="clear" w:color="auto" w:fill="FFFFFF"/>
                  <w:vAlign w:val="center"/>
                </w:tcPr>
                <w:p w14:paraId="5DF36C55">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达标</w:t>
                  </w:r>
                </w:p>
              </w:tc>
            </w:tr>
            <w:tr w14:paraId="673C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645" w:type="pct"/>
                  <w:shd w:val="clear" w:color="auto" w:fill="FFFFFF"/>
                  <w:vAlign w:val="center"/>
                </w:tcPr>
                <w:p w14:paraId="66D4067E">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南侧</w:t>
                  </w:r>
                </w:p>
              </w:tc>
              <w:tc>
                <w:tcPr>
                  <w:tcW w:w="1378" w:type="dxa"/>
                  <w:shd w:val="clear" w:color="auto" w:fill="FFFFFF"/>
                  <w:vAlign w:val="center"/>
                </w:tcPr>
                <w:p w14:paraId="774C6D3B">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-11.9</w:t>
                  </w:r>
                </w:p>
              </w:tc>
              <w:tc>
                <w:tcPr>
                  <w:tcW w:w="1378" w:type="dxa"/>
                  <w:shd w:val="clear" w:color="auto" w:fill="FFFFFF"/>
                  <w:vAlign w:val="center"/>
                </w:tcPr>
                <w:p w14:paraId="1D94B991">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-50.9</w:t>
                  </w:r>
                </w:p>
              </w:tc>
              <w:tc>
                <w:tcPr>
                  <w:tcW w:w="1389" w:type="dxa"/>
                  <w:shd w:val="clear" w:color="auto" w:fill="FFFFFF"/>
                  <w:vAlign w:val="center"/>
                </w:tcPr>
                <w:p w14:paraId="67C7669D">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1.2</w:t>
                  </w:r>
                </w:p>
              </w:tc>
              <w:tc>
                <w:tcPr>
                  <w:tcW w:w="1706" w:type="dxa"/>
                  <w:shd w:val="clear" w:color="auto" w:fill="FFFFFF"/>
                  <w:vAlign w:val="center"/>
                </w:tcPr>
                <w:p w14:paraId="422BCD91">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昼间</w:t>
                  </w:r>
                </w:p>
              </w:tc>
              <w:tc>
                <w:tcPr>
                  <w:tcW w:w="2433" w:type="dxa"/>
                  <w:shd w:val="clear" w:color="auto" w:fill="FFFFFF"/>
                  <w:vAlign w:val="center"/>
                </w:tcPr>
                <w:p w14:paraId="2A509E42">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16.6</w:t>
                  </w:r>
                </w:p>
              </w:tc>
              <w:tc>
                <w:tcPr>
                  <w:tcW w:w="2436" w:type="dxa"/>
                  <w:shd w:val="clear" w:color="auto" w:fill="FFFFFF"/>
                  <w:vAlign w:val="center"/>
                </w:tcPr>
                <w:p w14:paraId="5212067D">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60</w:t>
                  </w:r>
                </w:p>
              </w:tc>
              <w:tc>
                <w:tcPr>
                  <w:tcW w:w="696" w:type="pct"/>
                  <w:shd w:val="clear" w:color="auto" w:fill="FFFFFF"/>
                  <w:vAlign w:val="center"/>
                </w:tcPr>
                <w:p w14:paraId="1773A293">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达标</w:t>
                  </w:r>
                </w:p>
              </w:tc>
            </w:tr>
            <w:tr w14:paraId="2A5C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645" w:type="pct"/>
                  <w:shd w:val="clear" w:color="auto" w:fill="FFFFFF"/>
                  <w:vAlign w:val="center"/>
                </w:tcPr>
                <w:p w14:paraId="357D2F8C">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西侧</w:t>
                  </w:r>
                </w:p>
              </w:tc>
              <w:tc>
                <w:tcPr>
                  <w:tcW w:w="1378" w:type="dxa"/>
                  <w:shd w:val="clear" w:color="auto" w:fill="FFFFFF"/>
                  <w:vAlign w:val="center"/>
                </w:tcPr>
                <w:p w14:paraId="57E831CD">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-20.4</w:t>
                  </w:r>
                </w:p>
              </w:tc>
              <w:tc>
                <w:tcPr>
                  <w:tcW w:w="1378" w:type="dxa"/>
                  <w:shd w:val="clear" w:color="auto" w:fill="FFFFFF"/>
                  <w:vAlign w:val="center"/>
                </w:tcPr>
                <w:p w14:paraId="4305078F">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7.2</w:t>
                  </w:r>
                </w:p>
              </w:tc>
              <w:tc>
                <w:tcPr>
                  <w:tcW w:w="1389" w:type="dxa"/>
                  <w:shd w:val="clear" w:color="auto" w:fill="FFFFFF"/>
                  <w:vAlign w:val="center"/>
                </w:tcPr>
                <w:p w14:paraId="136EA75B">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1.2</w:t>
                  </w:r>
                </w:p>
              </w:tc>
              <w:tc>
                <w:tcPr>
                  <w:tcW w:w="1706" w:type="dxa"/>
                  <w:shd w:val="clear" w:color="auto" w:fill="FFFFFF"/>
                  <w:vAlign w:val="center"/>
                </w:tcPr>
                <w:p w14:paraId="02AEF785">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昼间</w:t>
                  </w:r>
                </w:p>
              </w:tc>
              <w:tc>
                <w:tcPr>
                  <w:tcW w:w="2433" w:type="dxa"/>
                  <w:shd w:val="clear" w:color="auto" w:fill="FFFFFF"/>
                  <w:vAlign w:val="center"/>
                </w:tcPr>
                <w:p w14:paraId="52BF11D0">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38.7</w:t>
                  </w:r>
                </w:p>
              </w:tc>
              <w:tc>
                <w:tcPr>
                  <w:tcW w:w="2436" w:type="dxa"/>
                  <w:shd w:val="clear" w:color="auto" w:fill="FFFFFF"/>
                  <w:vAlign w:val="center"/>
                </w:tcPr>
                <w:p w14:paraId="51664339">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60</w:t>
                  </w:r>
                </w:p>
              </w:tc>
              <w:tc>
                <w:tcPr>
                  <w:tcW w:w="696" w:type="pct"/>
                  <w:shd w:val="clear" w:color="auto" w:fill="FFFFFF"/>
                  <w:vAlign w:val="center"/>
                </w:tcPr>
                <w:p w14:paraId="0057CB22">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达标</w:t>
                  </w:r>
                </w:p>
              </w:tc>
            </w:tr>
            <w:tr w14:paraId="4FC7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645" w:type="pct"/>
                  <w:shd w:val="clear" w:color="auto" w:fill="FFFFFF"/>
                  <w:vAlign w:val="center"/>
                </w:tcPr>
                <w:p w14:paraId="15814799">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北侧</w:t>
                  </w:r>
                </w:p>
              </w:tc>
              <w:tc>
                <w:tcPr>
                  <w:tcW w:w="1378" w:type="dxa"/>
                  <w:shd w:val="clear" w:color="auto" w:fill="FFFFFF"/>
                  <w:vAlign w:val="center"/>
                </w:tcPr>
                <w:p w14:paraId="5FBE7CF4">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29.7</w:t>
                  </w:r>
                </w:p>
              </w:tc>
              <w:tc>
                <w:tcPr>
                  <w:tcW w:w="1378" w:type="dxa"/>
                  <w:shd w:val="clear" w:color="auto" w:fill="FFFFFF"/>
                  <w:vAlign w:val="center"/>
                </w:tcPr>
                <w:p w14:paraId="50781D5E">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45.3</w:t>
                  </w:r>
                </w:p>
              </w:tc>
              <w:tc>
                <w:tcPr>
                  <w:tcW w:w="1389" w:type="dxa"/>
                  <w:shd w:val="clear" w:color="auto" w:fill="FFFFFF"/>
                  <w:vAlign w:val="center"/>
                </w:tcPr>
                <w:p w14:paraId="0EFFF563">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1.2</w:t>
                  </w:r>
                </w:p>
              </w:tc>
              <w:tc>
                <w:tcPr>
                  <w:tcW w:w="1706" w:type="dxa"/>
                  <w:shd w:val="clear" w:color="auto" w:fill="FFFFFF"/>
                  <w:vAlign w:val="center"/>
                </w:tcPr>
                <w:p w14:paraId="35C1D319">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昼间</w:t>
                  </w:r>
                </w:p>
              </w:tc>
              <w:tc>
                <w:tcPr>
                  <w:tcW w:w="2433" w:type="dxa"/>
                  <w:shd w:val="clear" w:color="auto" w:fill="FFFFFF"/>
                  <w:vAlign w:val="center"/>
                </w:tcPr>
                <w:p w14:paraId="18382607">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26.1</w:t>
                  </w:r>
                </w:p>
              </w:tc>
              <w:tc>
                <w:tcPr>
                  <w:tcW w:w="2436" w:type="dxa"/>
                  <w:shd w:val="clear" w:color="auto" w:fill="FFFFFF"/>
                  <w:vAlign w:val="center"/>
                </w:tcPr>
                <w:p w14:paraId="4B440B6E">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60</w:t>
                  </w:r>
                </w:p>
              </w:tc>
              <w:tc>
                <w:tcPr>
                  <w:tcW w:w="696" w:type="pct"/>
                  <w:shd w:val="clear" w:color="auto" w:fill="FFFFFF"/>
                  <w:vAlign w:val="center"/>
                </w:tcPr>
                <w:p w14:paraId="25440615">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达标</w:t>
                  </w:r>
                </w:p>
              </w:tc>
            </w:tr>
          </w:tbl>
          <w:p w14:paraId="4B86234C">
            <w:pPr>
              <w:spacing w:line="360" w:lineRule="auto"/>
              <w:ind w:firstLine="480" w:firstLineChars="200"/>
              <w:rPr>
                <w:rFonts w:hint="default" w:ascii="Times New Roman" w:hAnsi="Times New Roman" w:eastAsia="宋体" w:cs="Times New Roman"/>
                <w:b w:val="0"/>
                <w:bCs w:val="0"/>
                <w:color w:val="auto"/>
                <w:spacing w:val="0"/>
                <w:sz w:val="24"/>
                <w:szCs w:val="24"/>
                <w:highlight w:val="none"/>
              </w:rPr>
            </w:pPr>
          </w:p>
        </w:tc>
      </w:tr>
    </w:tbl>
    <w:p w14:paraId="361BA398">
      <w:pPr>
        <w:spacing w:line="360" w:lineRule="auto"/>
        <w:ind w:firstLine="480" w:firstLineChars="200"/>
        <w:rPr>
          <w:rFonts w:hint="default" w:ascii="Times New Roman" w:hAnsi="Times New Roman" w:eastAsia="宋体" w:cs="Times New Roman"/>
          <w:b w:val="0"/>
          <w:bCs w:val="0"/>
          <w:color w:val="auto"/>
          <w:spacing w:val="0"/>
          <w:sz w:val="24"/>
          <w:szCs w:val="24"/>
          <w:highlight w:val="none"/>
        </w:rPr>
        <w:sectPr>
          <w:pgSz w:w="16838" w:h="11906" w:orient="landscape"/>
          <w:pgMar w:top="1440" w:right="1080" w:bottom="1440" w:left="1080"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066"/>
      </w:tblGrid>
      <w:tr w14:paraId="1C330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 w:type="pct"/>
            <w:vAlign w:val="center"/>
          </w:tcPr>
          <w:p w14:paraId="23CF0637">
            <w:pPr>
              <w:jc w:val="center"/>
              <w:rPr>
                <w:rFonts w:hint="default" w:ascii="Times New Roman" w:hAnsi="Times New Roman" w:eastAsia="宋体" w:cs="Times New Roman"/>
                <w:b w:val="0"/>
                <w:bCs w:val="0"/>
                <w:color w:val="auto"/>
                <w:spacing w:val="0"/>
                <w:sz w:val="24"/>
                <w:szCs w:val="24"/>
                <w:highlight w:val="none"/>
              </w:rPr>
            </w:pPr>
            <w:r>
              <w:rPr>
                <w:rFonts w:hint="default" w:ascii="Times New Roman" w:hAnsi="Times New Roman" w:eastAsia="宋体" w:cs="Times New Roman"/>
                <w:b w:val="0"/>
                <w:bCs w:val="0"/>
                <w:color w:val="auto"/>
                <w:spacing w:val="0"/>
                <w:kern w:val="21"/>
                <w:sz w:val="24"/>
                <w:szCs w:val="24"/>
                <w:highlight w:val="none"/>
              </w:rPr>
              <w:t>运营期环境影响和保护措施</w:t>
            </w:r>
          </w:p>
        </w:tc>
        <w:tc>
          <w:tcPr>
            <w:tcW w:w="4751" w:type="pct"/>
          </w:tcPr>
          <w:p w14:paraId="6ADFE3DA">
            <w:pPr>
              <w:spacing w:line="360" w:lineRule="auto"/>
              <w:ind w:firstLine="480" w:firstLineChars="200"/>
              <w:jc w:val="both"/>
              <w:rPr>
                <w:rFonts w:hint="default" w:ascii="Times New Roman" w:hAnsi="Times New Roman" w:eastAsia="宋体" w:cs="Times New Roman"/>
                <w:b w:val="0"/>
                <w:bCs w:val="0"/>
                <w:snapToGrid w:val="0"/>
                <w:color w:val="auto"/>
                <w:spacing w:val="0"/>
                <w:sz w:val="24"/>
                <w:szCs w:val="24"/>
                <w:highlight w:val="none"/>
              </w:rPr>
            </w:pPr>
            <w:r>
              <w:rPr>
                <w:rFonts w:hint="default" w:ascii="Times New Roman" w:hAnsi="Times New Roman" w:eastAsia="宋体" w:cs="Times New Roman"/>
                <w:b w:val="0"/>
                <w:bCs w:val="0"/>
                <w:snapToGrid w:val="0"/>
                <w:color w:val="auto"/>
                <w:spacing w:val="0"/>
                <w:kern w:val="0"/>
                <w:sz w:val="24"/>
                <w:szCs w:val="24"/>
                <w:highlight w:val="none"/>
              </w:rPr>
              <w:t>经预测，</w:t>
            </w:r>
            <w:r>
              <w:rPr>
                <w:rFonts w:hint="eastAsia" w:cs="Times New Roman"/>
                <w:b w:val="0"/>
                <w:bCs w:val="0"/>
                <w:snapToGrid w:val="0"/>
                <w:color w:val="auto"/>
                <w:spacing w:val="0"/>
                <w:kern w:val="0"/>
                <w:sz w:val="24"/>
                <w:szCs w:val="24"/>
                <w:highlight w:val="none"/>
                <w:lang w:val="en-US" w:eastAsia="zh-CN"/>
              </w:rPr>
              <w:t>本</w:t>
            </w:r>
            <w:r>
              <w:rPr>
                <w:rFonts w:hint="default" w:ascii="Times New Roman" w:hAnsi="Times New Roman" w:eastAsia="宋体" w:cs="Times New Roman"/>
                <w:b w:val="0"/>
                <w:bCs w:val="0"/>
                <w:snapToGrid w:val="0"/>
                <w:color w:val="auto"/>
                <w:spacing w:val="0"/>
                <w:kern w:val="0"/>
                <w:sz w:val="24"/>
                <w:szCs w:val="24"/>
                <w:highlight w:val="none"/>
              </w:rPr>
              <w:t>项目建成后厂界噪声</w:t>
            </w:r>
            <w:r>
              <w:rPr>
                <w:rFonts w:hint="eastAsia" w:cs="Times New Roman"/>
                <w:b w:val="0"/>
                <w:bCs w:val="0"/>
                <w:snapToGrid w:val="0"/>
                <w:color w:val="auto"/>
                <w:spacing w:val="0"/>
                <w:kern w:val="0"/>
                <w:sz w:val="24"/>
                <w:szCs w:val="24"/>
                <w:highlight w:val="none"/>
                <w:lang w:val="en-US" w:eastAsia="zh-CN"/>
              </w:rPr>
              <w:t>贡献</w:t>
            </w:r>
            <w:r>
              <w:rPr>
                <w:rFonts w:hint="default" w:ascii="Times New Roman" w:hAnsi="Times New Roman" w:eastAsia="宋体" w:cs="Times New Roman"/>
                <w:b w:val="0"/>
                <w:bCs w:val="0"/>
                <w:snapToGrid w:val="0"/>
                <w:color w:val="auto"/>
                <w:spacing w:val="0"/>
                <w:kern w:val="0"/>
                <w:sz w:val="24"/>
                <w:szCs w:val="24"/>
                <w:highlight w:val="none"/>
              </w:rPr>
              <w:t>值满足《工业企业厂界环境噪声排放标准》（GB12348-2008）</w:t>
            </w:r>
            <w:r>
              <w:rPr>
                <w:rFonts w:hint="eastAsia" w:cs="Times New Roman"/>
                <w:b w:val="0"/>
                <w:bCs w:val="0"/>
                <w:snapToGrid w:val="0"/>
                <w:color w:val="auto"/>
                <w:spacing w:val="0"/>
                <w:kern w:val="0"/>
                <w:sz w:val="24"/>
                <w:szCs w:val="24"/>
                <w:highlight w:val="none"/>
                <w:lang w:val="en-US" w:eastAsia="zh-CN"/>
              </w:rPr>
              <w:t>2</w:t>
            </w:r>
            <w:r>
              <w:rPr>
                <w:rFonts w:hint="default" w:ascii="Times New Roman" w:hAnsi="Times New Roman" w:eastAsia="宋体" w:cs="Times New Roman"/>
                <w:b w:val="0"/>
                <w:bCs w:val="0"/>
                <w:snapToGrid w:val="0"/>
                <w:color w:val="auto"/>
                <w:spacing w:val="0"/>
                <w:kern w:val="0"/>
                <w:sz w:val="24"/>
                <w:szCs w:val="24"/>
                <w:highlight w:val="none"/>
              </w:rPr>
              <w:t>类标准要求</w:t>
            </w:r>
            <w:r>
              <w:rPr>
                <w:rFonts w:hint="eastAsia" w:cs="Times New Roman"/>
                <w:b w:val="0"/>
                <w:bCs w:val="0"/>
                <w:snapToGrid w:val="0"/>
                <w:color w:val="auto"/>
                <w:spacing w:val="0"/>
                <w:kern w:val="0"/>
                <w:sz w:val="24"/>
                <w:szCs w:val="24"/>
                <w:highlight w:val="none"/>
                <w:lang w:eastAsia="zh-CN"/>
              </w:rPr>
              <w:t>，</w:t>
            </w:r>
            <w:r>
              <w:rPr>
                <w:rFonts w:hint="default" w:ascii="Times New Roman" w:hAnsi="Times New Roman" w:eastAsia="宋体" w:cs="Times New Roman"/>
                <w:b w:val="0"/>
                <w:bCs w:val="0"/>
                <w:snapToGrid w:val="0"/>
                <w:color w:val="auto"/>
                <w:spacing w:val="0"/>
                <w:sz w:val="24"/>
                <w:szCs w:val="24"/>
                <w:highlight w:val="none"/>
              </w:rPr>
              <w:t>对周围环境的影响较小。</w:t>
            </w:r>
          </w:p>
          <w:p w14:paraId="4643074E">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eastAsia" w:ascii="Times New Roman" w:hAnsi="Times New Roman" w:eastAsia="宋体" w:cs="Times New Roman"/>
                <w:b/>
                <w:bCs/>
                <w:caps w:val="0"/>
                <w:color w:val="auto"/>
                <w:spacing w:val="0"/>
                <w:kern w:val="0"/>
                <w:position w:val="0"/>
                <w:sz w:val="24"/>
                <w:szCs w:val="24"/>
                <w:highlight w:val="none"/>
                <w:lang w:val="en-US" w:eastAsia="zh-CN"/>
              </w:rPr>
            </w:pPr>
            <w:r>
              <w:rPr>
                <w:rFonts w:hint="eastAsia" w:ascii="Times New Roman" w:hAnsi="Times New Roman" w:cs="Times New Roman"/>
                <w:b/>
                <w:bCs/>
                <w:caps w:val="0"/>
                <w:color w:val="auto"/>
                <w:spacing w:val="0"/>
                <w:kern w:val="0"/>
                <w:position w:val="0"/>
                <w:sz w:val="24"/>
                <w:szCs w:val="24"/>
                <w:highlight w:val="none"/>
                <w:lang w:val="en-US" w:eastAsia="zh-CN"/>
              </w:rPr>
              <w:t>4</w:t>
            </w:r>
            <w:r>
              <w:rPr>
                <w:rFonts w:hint="default" w:ascii="Times New Roman" w:hAnsi="Times New Roman" w:eastAsia="宋体" w:cs="Times New Roman"/>
                <w:b/>
                <w:bCs/>
                <w:caps w:val="0"/>
                <w:color w:val="auto"/>
                <w:spacing w:val="0"/>
                <w:kern w:val="0"/>
                <w:position w:val="0"/>
                <w:sz w:val="24"/>
                <w:szCs w:val="24"/>
                <w:highlight w:val="none"/>
              </w:rPr>
              <w:t>、监测</w:t>
            </w:r>
            <w:r>
              <w:rPr>
                <w:rFonts w:hint="eastAsia" w:ascii="Times New Roman" w:hAnsi="Times New Roman" w:eastAsia="宋体" w:cs="Times New Roman"/>
                <w:b/>
                <w:bCs/>
                <w:caps w:val="0"/>
                <w:color w:val="auto"/>
                <w:spacing w:val="0"/>
                <w:kern w:val="0"/>
                <w:position w:val="0"/>
                <w:sz w:val="24"/>
                <w:szCs w:val="24"/>
                <w:highlight w:val="none"/>
                <w:lang w:val="en-US" w:eastAsia="zh-CN"/>
              </w:rPr>
              <w:t>要求</w:t>
            </w:r>
          </w:p>
          <w:p w14:paraId="2DDD6058">
            <w:pPr>
              <w:spacing w:line="360" w:lineRule="auto"/>
              <w:ind w:firstLine="480" w:firstLineChars="200"/>
              <w:jc w:val="both"/>
              <w:rPr>
                <w:rFonts w:hint="default" w:ascii="Times New Roman" w:hAnsi="Times New Roman" w:eastAsia="宋体" w:cs="Times New Roman"/>
                <w:b w:val="0"/>
                <w:bCs w:val="0"/>
                <w:color w:val="auto"/>
                <w:spacing w:val="0"/>
                <w:sz w:val="24"/>
                <w:szCs w:val="24"/>
                <w:highlight w:val="none"/>
              </w:rPr>
            </w:pPr>
            <w:r>
              <w:rPr>
                <w:rFonts w:hint="default" w:ascii="Times New Roman" w:hAnsi="Times New Roman" w:eastAsia="宋体" w:cs="Times New Roman"/>
                <w:b w:val="0"/>
                <w:bCs w:val="0"/>
                <w:color w:val="auto"/>
                <w:spacing w:val="0"/>
                <w:sz w:val="24"/>
                <w:szCs w:val="24"/>
                <w:highlight w:val="none"/>
              </w:rPr>
              <w:t>根据《排污许可证申请与核发技术规范 工业噪声》（HJ1301-2023）、《排污单位自行监测技术指南 总则》（HJ819-2017）、</w:t>
            </w:r>
            <w:r>
              <w:rPr>
                <w:rFonts w:hint="eastAsia" w:cs="Times New Roman"/>
                <w:b w:val="0"/>
                <w:bCs w:val="0"/>
                <w:color w:val="auto"/>
                <w:spacing w:val="0"/>
                <w:sz w:val="24"/>
                <w:szCs w:val="24"/>
                <w:highlight w:val="none"/>
                <w:lang w:eastAsia="zh-CN"/>
              </w:rPr>
              <w:t>《排污单位自行监测技术指南 砖瓦工业》（HJ1254-2022）</w:t>
            </w:r>
            <w:r>
              <w:rPr>
                <w:rFonts w:hint="default" w:ascii="Times New Roman" w:hAnsi="Times New Roman" w:eastAsia="宋体" w:cs="Times New Roman"/>
                <w:b w:val="0"/>
                <w:bCs w:val="0"/>
                <w:color w:val="auto"/>
                <w:spacing w:val="0"/>
                <w:sz w:val="24"/>
                <w:szCs w:val="24"/>
                <w:highlight w:val="none"/>
              </w:rPr>
              <w:t>，</w:t>
            </w:r>
            <w:r>
              <w:rPr>
                <w:rFonts w:hint="eastAsia" w:cs="Times New Roman"/>
                <w:b w:val="0"/>
                <w:bCs w:val="0"/>
                <w:color w:val="auto"/>
                <w:spacing w:val="0"/>
                <w:sz w:val="24"/>
                <w:szCs w:val="24"/>
                <w:highlight w:val="none"/>
                <w:lang w:val="en-US" w:eastAsia="zh-CN"/>
              </w:rPr>
              <w:t>监测要求见下表</w:t>
            </w:r>
            <w:r>
              <w:rPr>
                <w:rFonts w:hint="default" w:ascii="Times New Roman" w:hAnsi="Times New Roman" w:eastAsia="宋体" w:cs="Times New Roman"/>
                <w:b w:val="0"/>
                <w:bCs w:val="0"/>
                <w:color w:val="auto"/>
                <w:spacing w:val="0"/>
                <w:sz w:val="24"/>
                <w:szCs w:val="24"/>
                <w:highlight w:val="none"/>
              </w:rPr>
              <w:t>。</w:t>
            </w:r>
          </w:p>
          <w:p w14:paraId="4FEA0E09">
            <w:pPr>
              <w:keepNext w:val="0"/>
              <w:keepLines w:val="0"/>
              <w:pageBreakBefore w:val="0"/>
              <w:widowControl w:val="0"/>
              <w:numPr>
                <w:ilvl w:val="0"/>
                <w:numId w:val="8"/>
              </w:numPr>
              <w:tabs>
                <w:tab w:val="center" w:pos="0"/>
              </w:tabs>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snapToGrid w:val="0"/>
                <w:color w:val="auto"/>
                <w:spacing w:val="0"/>
                <w:kern w:val="0"/>
                <w:sz w:val="24"/>
                <w:lang w:val="en-US" w:eastAsia="zh-CN"/>
              </w:rPr>
            </w:pPr>
            <w:r>
              <w:rPr>
                <w:rFonts w:hint="default" w:ascii="Times New Roman" w:hAnsi="Times New Roman" w:eastAsia="宋体" w:cs="Times New Roman"/>
                <w:b/>
                <w:bCs/>
                <w:snapToGrid w:val="0"/>
                <w:color w:val="auto"/>
                <w:spacing w:val="0"/>
                <w:kern w:val="0"/>
                <w:sz w:val="24"/>
                <w:lang w:val="en-US" w:eastAsia="zh-CN"/>
              </w:rPr>
              <w:t>噪声监测</w:t>
            </w:r>
            <w:r>
              <w:rPr>
                <w:rFonts w:hint="eastAsia" w:ascii="Times New Roman" w:hAnsi="Times New Roman" w:eastAsia="宋体" w:cs="Times New Roman"/>
                <w:b/>
                <w:bCs/>
                <w:snapToGrid w:val="0"/>
                <w:color w:val="auto"/>
                <w:spacing w:val="0"/>
                <w:kern w:val="0"/>
                <w:sz w:val="24"/>
                <w:lang w:val="en-US" w:eastAsia="zh-CN"/>
              </w:rPr>
              <w:t>要求</w:t>
            </w:r>
            <w:r>
              <w:rPr>
                <w:rFonts w:hint="default" w:ascii="Times New Roman" w:hAnsi="Times New Roman" w:eastAsia="宋体" w:cs="Times New Roman"/>
                <w:b/>
                <w:bCs/>
                <w:snapToGrid w:val="0"/>
                <w:color w:val="auto"/>
                <w:spacing w:val="0"/>
                <w:kern w:val="0"/>
                <w:sz w:val="24"/>
                <w:lang w:val="en-US" w:eastAsia="zh-CN"/>
              </w:rPr>
              <w:t>一览表</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165"/>
              <w:gridCol w:w="2055"/>
              <w:gridCol w:w="2280"/>
            </w:tblGrid>
            <w:tr w14:paraId="1D8E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4" w:type="pct"/>
                  <w:vAlign w:val="center"/>
                </w:tcPr>
                <w:p w14:paraId="5337FCA6">
                  <w:pPr>
                    <w:adjustRightInd w:val="0"/>
                    <w:jc w:val="center"/>
                    <w:rPr>
                      <w:rFonts w:hint="default" w:ascii="Times New Roman" w:hAnsi="Times New Roman" w:eastAsia="宋体" w:cs="Times New Roman"/>
                      <w:b w:val="0"/>
                      <w:bCs w:val="0"/>
                      <w:color w:val="auto"/>
                      <w:spacing w:val="0"/>
                      <w:sz w:val="24"/>
                      <w:szCs w:val="24"/>
                      <w:highlight w:val="none"/>
                    </w:rPr>
                  </w:pPr>
                  <w:r>
                    <w:rPr>
                      <w:rFonts w:hint="default" w:ascii="Times New Roman" w:hAnsi="Times New Roman" w:eastAsia="宋体" w:cs="Times New Roman"/>
                      <w:b w:val="0"/>
                      <w:bCs w:val="0"/>
                      <w:color w:val="auto"/>
                      <w:spacing w:val="0"/>
                      <w:sz w:val="24"/>
                      <w:szCs w:val="24"/>
                      <w:highlight w:val="none"/>
                    </w:rPr>
                    <w:t>项目</w:t>
                  </w:r>
                </w:p>
              </w:tc>
              <w:tc>
                <w:tcPr>
                  <w:tcW w:w="1380" w:type="pct"/>
                  <w:vAlign w:val="center"/>
                </w:tcPr>
                <w:p w14:paraId="446BBE78">
                  <w:pPr>
                    <w:adjustRightInd w:val="0"/>
                    <w:jc w:val="center"/>
                    <w:rPr>
                      <w:rFonts w:hint="default" w:ascii="Times New Roman" w:hAnsi="Times New Roman" w:eastAsia="宋体" w:cs="Times New Roman"/>
                      <w:b w:val="0"/>
                      <w:bCs w:val="0"/>
                      <w:color w:val="auto"/>
                      <w:spacing w:val="0"/>
                      <w:sz w:val="24"/>
                      <w:szCs w:val="24"/>
                      <w:highlight w:val="none"/>
                    </w:rPr>
                  </w:pPr>
                  <w:r>
                    <w:rPr>
                      <w:rFonts w:hint="default" w:ascii="Times New Roman" w:hAnsi="Times New Roman" w:eastAsia="宋体" w:cs="Times New Roman"/>
                      <w:b w:val="0"/>
                      <w:bCs w:val="0"/>
                      <w:color w:val="auto"/>
                      <w:spacing w:val="0"/>
                      <w:sz w:val="24"/>
                      <w:szCs w:val="24"/>
                      <w:highlight w:val="none"/>
                    </w:rPr>
                    <w:t>点位</w:t>
                  </w:r>
                </w:p>
              </w:tc>
              <w:tc>
                <w:tcPr>
                  <w:tcW w:w="1310" w:type="pct"/>
                  <w:vAlign w:val="center"/>
                </w:tcPr>
                <w:p w14:paraId="00868BC7">
                  <w:pPr>
                    <w:adjustRightInd w:val="0"/>
                    <w:jc w:val="center"/>
                    <w:rPr>
                      <w:rFonts w:hint="default" w:ascii="Times New Roman" w:hAnsi="Times New Roman" w:eastAsia="宋体" w:cs="Times New Roman"/>
                      <w:b w:val="0"/>
                      <w:bCs w:val="0"/>
                      <w:color w:val="auto"/>
                      <w:spacing w:val="0"/>
                      <w:sz w:val="24"/>
                      <w:szCs w:val="24"/>
                      <w:highlight w:val="none"/>
                    </w:rPr>
                  </w:pPr>
                  <w:r>
                    <w:rPr>
                      <w:rFonts w:hint="eastAsia" w:ascii="Times New Roman" w:hAnsi="Times New Roman" w:cs="Times New Roman"/>
                      <w:b w:val="0"/>
                      <w:bCs w:val="0"/>
                      <w:color w:val="auto"/>
                      <w:spacing w:val="0"/>
                      <w:sz w:val="24"/>
                      <w:szCs w:val="24"/>
                      <w:highlight w:val="none"/>
                      <w:lang w:val="en-US" w:eastAsia="zh-CN"/>
                    </w:rPr>
                    <w:t>因子</w:t>
                  </w:r>
                </w:p>
              </w:tc>
              <w:tc>
                <w:tcPr>
                  <w:tcW w:w="1453" w:type="pct"/>
                  <w:vAlign w:val="center"/>
                </w:tcPr>
                <w:p w14:paraId="45360393">
                  <w:pPr>
                    <w:adjustRightInd w:val="0"/>
                    <w:jc w:val="center"/>
                    <w:rPr>
                      <w:rFonts w:hint="default" w:ascii="Times New Roman" w:hAnsi="Times New Roman" w:eastAsia="宋体" w:cs="Times New Roman"/>
                      <w:b w:val="0"/>
                      <w:bCs w:val="0"/>
                      <w:color w:val="auto"/>
                      <w:spacing w:val="0"/>
                      <w:sz w:val="24"/>
                      <w:szCs w:val="24"/>
                      <w:highlight w:val="none"/>
                    </w:rPr>
                  </w:pPr>
                  <w:r>
                    <w:rPr>
                      <w:rFonts w:hint="default" w:ascii="Times New Roman" w:hAnsi="Times New Roman" w:eastAsia="宋体" w:cs="Times New Roman"/>
                      <w:b w:val="0"/>
                      <w:bCs w:val="0"/>
                      <w:color w:val="auto"/>
                      <w:spacing w:val="0"/>
                      <w:sz w:val="24"/>
                      <w:szCs w:val="24"/>
                      <w:highlight w:val="none"/>
                    </w:rPr>
                    <w:t>频次</w:t>
                  </w:r>
                </w:p>
              </w:tc>
            </w:tr>
            <w:tr w14:paraId="3B8C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4" w:type="pct"/>
                  <w:vMerge w:val="restart"/>
                  <w:vAlign w:val="center"/>
                </w:tcPr>
                <w:p w14:paraId="107903B6">
                  <w:pPr>
                    <w:adjustRightInd w:val="0"/>
                    <w:jc w:val="center"/>
                    <w:rPr>
                      <w:rFonts w:hint="default" w:ascii="Times New Roman" w:hAnsi="Times New Roman" w:eastAsia="宋体" w:cs="Times New Roman"/>
                      <w:b w:val="0"/>
                      <w:bCs w:val="0"/>
                      <w:color w:val="auto"/>
                      <w:spacing w:val="0"/>
                      <w:sz w:val="24"/>
                      <w:szCs w:val="24"/>
                      <w:highlight w:val="none"/>
                    </w:rPr>
                  </w:pPr>
                  <w:r>
                    <w:rPr>
                      <w:rFonts w:hint="default" w:ascii="Times New Roman" w:hAnsi="Times New Roman" w:eastAsia="宋体" w:cs="Times New Roman"/>
                      <w:b w:val="0"/>
                      <w:bCs w:val="0"/>
                      <w:color w:val="auto"/>
                      <w:spacing w:val="0"/>
                      <w:sz w:val="24"/>
                      <w:szCs w:val="24"/>
                      <w:highlight w:val="none"/>
                    </w:rPr>
                    <w:t>噪声</w:t>
                  </w:r>
                </w:p>
              </w:tc>
              <w:tc>
                <w:tcPr>
                  <w:tcW w:w="1380" w:type="pct"/>
                  <w:vAlign w:val="center"/>
                </w:tcPr>
                <w:p w14:paraId="155EB77F">
                  <w:pPr>
                    <w:adjustRightInd w:val="0"/>
                    <w:jc w:val="center"/>
                    <w:rPr>
                      <w:rFonts w:hint="default" w:ascii="Times New Roman" w:hAnsi="Times New Roman" w:eastAsia="宋体" w:cs="Times New Roman"/>
                      <w:b w:val="0"/>
                      <w:bCs w:val="0"/>
                      <w:color w:val="auto"/>
                      <w:spacing w:val="0"/>
                      <w:sz w:val="24"/>
                      <w:szCs w:val="24"/>
                      <w:highlight w:val="none"/>
                    </w:rPr>
                  </w:pPr>
                  <w:r>
                    <w:rPr>
                      <w:rFonts w:hint="default" w:ascii="Times New Roman" w:hAnsi="Times New Roman" w:eastAsia="宋体" w:cs="Times New Roman"/>
                      <w:b w:val="0"/>
                      <w:bCs w:val="0"/>
                      <w:color w:val="auto"/>
                      <w:spacing w:val="0"/>
                      <w:sz w:val="24"/>
                      <w:szCs w:val="24"/>
                      <w:highlight w:val="none"/>
                    </w:rPr>
                    <w:t>东厂界外1m</w:t>
                  </w:r>
                </w:p>
              </w:tc>
              <w:tc>
                <w:tcPr>
                  <w:tcW w:w="1310" w:type="pct"/>
                  <w:vMerge w:val="restart"/>
                  <w:vAlign w:val="center"/>
                </w:tcPr>
                <w:p w14:paraId="2490928E">
                  <w:pPr>
                    <w:adjustRightInd w:val="0"/>
                    <w:jc w:val="center"/>
                    <w:rPr>
                      <w:rFonts w:hint="default" w:ascii="Times New Roman" w:hAnsi="Times New Roman" w:eastAsia="宋体" w:cs="Times New Roman"/>
                      <w:b w:val="0"/>
                      <w:bCs w:val="0"/>
                      <w:color w:val="auto"/>
                      <w:spacing w:val="0"/>
                      <w:sz w:val="24"/>
                      <w:szCs w:val="24"/>
                      <w:highlight w:val="none"/>
                    </w:rPr>
                  </w:pPr>
                  <w:r>
                    <w:rPr>
                      <w:rFonts w:hint="default" w:ascii="Times New Roman" w:hAnsi="Times New Roman" w:eastAsia="宋体" w:cs="Times New Roman"/>
                      <w:b w:val="0"/>
                      <w:bCs w:val="0"/>
                      <w:color w:val="auto"/>
                      <w:spacing w:val="0"/>
                      <w:sz w:val="24"/>
                      <w:szCs w:val="24"/>
                      <w:highlight w:val="none"/>
                    </w:rPr>
                    <w:t>等效连续A声级</w:t>
                  </w:r>
                </w:p>
              </w:tc>
              <w:tc>
                <w:tcPr>
                  <w:tcW w:w="1453" w:type="pct"/>
                  <w:vMerge w:val="restart"/>
                  <w:vAlign w:val="center"/>
                </w:tcPr>
                <w:p w14:paraId="1B1CAA2F">
                  <w:pPr>
                    <w:adjustRightInd w:val="0"/>
                    <w:jc w:val="center"/>
                    <w:rPr>
                      <w:rFonts w:hint="default" w:ascii="Times New Roman" w:hAnsi="Times New Roman" w:eastAsia="宋体" w:cs="Times New Roman"/>
                      <w:b w:val="0"/>
                      <w:bCs w:val="0"/>
                      <w:color w:val="auto"/>
                      <w:spacing w:val="0"/>
                      <w:sz w:val="24"/>
                      <w:szCs w:val="24"/>
                      <w:highlight w:val="none"/>
                      <w:lang w:val="en-US" w:eastAsia="zh-CN"/>
                    </w:rPr>
                  </w:pPr>
                  <w:r>
                    <w:rPr>
                      <w:rFonts w:hint="default" w:ascii="Times New Roman" w:hAnsi="Times New Roman" w:eastAsia="宋体" w:cs="Times New Roman"/>
                      <w:b w:val="0"/>
                      <w:bCs w:val="0"/>
                      <w:color w:val="auto"/>
                      <w:spacing w:val="0"/>
                      <w:sz w:val="24"/>
                      <w:szCs w:val="24"/>
                      <w:highlight w:val="none"/>
                    </w:rPr>
                    <w:t>每季度一次</w:t>
                  </w:r>
                  <w:r>
                    <w:rPr>
                      <w:rFonts w:hint="eastAsia" w:cs="Times New Roman"/>
                      <w:b w:val="0"/>
                      <w:bCs w:val="0"/>
                      <w:color w:val="auto"/>
                      <w:spacing w:val="0"/>
                      <w:sz w:val="24"/>
                      <w:szCs w:val="24"/>
                      <w:highlight w:val="none"/>
                      <w:lang w:eastAsia="zh-CN"/>
                    </w:rPr>
                    <w:t>，</w:t>
                  </w:r>
                  <w:r>
                    <w:rPr>
                      <w:rFonts w:hint="eastAsia" w:cs="Times New Roman"/>
                      <w:b w:val="0"/>
                      <w:bCs w:val="0"/>
                      <w:color w:val="auto"/>
                      <w:spacing w:val="0"/>
                      <w:sz w:val="24"/>
                      <w:szCs w:val="24"/>
                      <w:highlight w:val="none"/>
                      <w:lang w:val="en-US" w:eastAsia="zh-CN"/>
                    </w:rPr>
                    <w:t>昼间监测（夜间不生产）</w:t>
                  </w:r>
                </w:p>
              </w:tc>
            </w:tr>
            <w:tr w14:paraId="01A9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4" w:type="pct"/>
                  <w:vMerge w:val="continue"/>
                  <w:vAlign w:val="center"/>
                </w:tcPr>
                <w:p w14:paraId="0B566D6A">
                  <w:pPr>
                    <w:adjustRightInd w:val="0"/>
                    <w:jc w:val="center"/>
                    <w:rPr>
                      <w:rFonts w:hint="default" w:ascii="Times New Roman" w:hAnsi="Times New Roman" w:eastAsia="宋体" w:cs="Times New Roman"/>
                      <w:b w:val="0"/>
                      <w:bCs w:val="0"/>
                      <w:color w:val="auto"/>
                      <w:spacing w:val="0"/>
                      <w:sz w:val="24"/>
                      <w:szCs w:val="24"/>
                      <w:highlight w:val="none"/>
                    </w:rPr>
                  </w:pPr>
                </w:p>
              </w:tc>
              <w:tc>
                <w:tcPr>
                  <w:tcW w:w="1380" w:type="pct"/>
                  <w:vAlign w:val="center"/>
                </w:tcPr>
                <w:p w14:paraId="1B8CE6F0">
                  <w:pPr>
                    <w:adjustRightInd w:val="0"/>
                    <w:jc w:val="center"/>
                    <w:rPr>
                      <w:rFonts w:hint="default" w:ascii="Times New Roman" w:hAnsi="Times New Roman" w:eastAsia="宋体" w:cs="Times New Roman"/>
                      <w:b w:val="0"/>
                      <w:bCs w:val="0"/>
                      <w:color w:val="auto"/>
                      <w:spacing w:val="0"/>
                      <w:sz w:val="24"/>
                      <w:szCs w:val="24"/>
                      <w:highlight w:val="none"/>
                    </w:rPr>
                  </w:pPr>
                  <w:r>
                    <w:rPr>
                      <w:rFonts w:hint="default" w:ascii="Times New Roman" w:hAnsi="Times New Roman" w:eastAsia="宋体" w:cs="Times New Roman"/>
                      <w:b w:val="0"/>
                      <w:bCs w:val="0"/>
                      <w:color w:val="auto"/>
                      <w:spacing w:val="0"/>
                      <w:sz w:val="24"/>
                      <w:szCs w:val="24"/>
                      <w:highlight w:val="none"/>
                    </w:rPr>
                    <w:t>南厂界外1m</w:t>
                  </w:r>
                </w:p>
              </w:tc>
              <w:tc>
                <w:tcPr>
                  <w:tcW w:w="1310" w:type="pct"/>
                  <w:vMerge w:val="continue"/>
                  <w:vAlign w:val="center"/>
                </w:tcPr>
                <w:p w14:paraId="6C40AB06">
                  <w:pPr>
                    <w:spacing w:line="360" w:lineRule="auto"/>
                    <w:jc w:val="center"/>
                    <w:rPr>
                      <w:rFonts w:hint="default" w:ascii="Times New Roman" w:hAnsi="Times New Roman" w:eastAsia="宋体" w:cs="Times New Roman"/>
                      <w:b w:val="0"/>
                      <w:bCs w:val="0"/>
                      <w:color w:val="auto"/>
                      <w:spacing w:val="0"/>
                      <w:sz w:val="24"/>
                      <w:szCs w:val="24"/>
                      <w:highlight w:val="none"/>
                    </w:rPr>
                  </w:pPr>
                </w:p>
              </w:tc>
              <w:tc>
                <w:tcPr>
                  <w:tcW w:w="1453" w:type="pct"/>
                  <w:vMerge w:val="continue"/>
                  <w:vAlign w:val="center"/>
                </w:tcPr>
                <w:p w14:paraId="5B02A4CE">
                  <w:pPr>
                    <w:spacing w:line="360" w:lineRule="auto"/>
                    <w:jc w:val="center"/>
                    <w:rPr>
                      <w:rFonts w:hint="default" w:ascii="Times New Roman" w:hAnsi="Times New Roman" w:eastAsia="宋体" w:cs="Times New Roman"/>
                      <w:b w:val="0"/>
                      <w:bCs w:val="0"/>
                      <w:color w:val="auto"/>
                      <w:spacing w:val="0"/>
                      <w:sz w:val="24"/>
                      <w:szCs w:val="24"/>
                      <w:highlight w:val="none"/>
                    </w:rPr>
                  </w:pPr>
                </w:p>
              </w:tc>
            </w:tr>
            <w:tr w14:paraId="1986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4" w:type="pct"/>
                  <w:vMerge w:val="continue"/>
                  <w:vAlign w:val="center"/>
                </w:tcPr>
                <w:p w14:paraId="2035B973">
                  <w:pPr>
                    <w:adjustRightInd w:val="0"/>
                    <w:jc w:val="center"/>
                    <w:rPr>
                      <w:rFonts w:hint="default" w:ascii="Times New Roman" w:hAnsi="Times New Roman" w:eastAsia="宋体" w:cs="Times New Roman"/>
                      <w:b w:val="0"/>
                      <w:bCs w:val="0"/>
                      <w:color w:val="auto"/>
                      <w:spacing w:val="0"/>
                      <w:sz w:val="24"/>
                      <w:szCs w:val="24"/>
                      <w:highlight w:val="none"/>
                    </w:rPr>
                  </w:pPr>
                </w:p>
              </w:tc>
              <w:tc>
                <w:tcPr>
                  <w:tcW w:w="1380" w:type="pct"/>
                  <w:vAlign w:val="center"/>
                </w:tcPr>
                <w:p w14:paraId="7E86DA57">
                  <w:pPr>
                    <w:adjustRightInd w:val="0"/>
                    <w:jc w:val="center"/>
                    <w:rPr>
                      <w:rFonts w:hint="default" w:ascii="Times New Roman" w:hAnsi="Times New Roman" w:eastAsia="宋体" w:cs="Times New Roman"/>
                      <w:b w:val="0"/>
                      <w:bCs w:val="0"/>
                      <w:color w:val="auto"/>
                      <w:spacing w:val="0"/>
                      <w:sz w:val="24"/>
                      <w:szCs w:val="24"/>
                      <w:highlight w:val="none"/>
                    </w:rPr>
                  </w:pPr>
                  <w:r>
                    <w:rPr>
                      <w:rFonts w:hint="default" w:ascii="Times New Roman" w:hAnsi="Times New Roman" w:eastAsia="宋体" w:cs="Times New Roman"/>
                      <w:b w:val="0"/>
                      <w:bCs w:val="0"/>
                      <w:color w:val="auto"/>
                      <w:spacing w:val="0"/>
                      <w:sz w:val="24"/>
                      <w:szCs w:val="24"/>
                      <w:highlight w:val="none"/>
                    </w:rPr>
                    <w:t>西厂界外1m</w:t>
                  </w:r>
                </w:p>
              </w:tc>
              <w:tc>
                <w:tcPr>
                  <w:tcW w:w="1310" w:type="pct"/>
                  <w:vMerge w:val="continue"/>
                  <w:vAlign w:val="center"/>
                </w:tcPr>
                <w:p w14:paraId="42CF65A8">
                  <w:pPr>
                    <w:spacing w:line="360" w:lineRule="auto"/>
                    <w:jc w:val="center"/>
                    <w:rPr>
                      <w:rFonts w:hint="default" w:ascii="Times New Roman" w:hAnsi="Times New Roman" w:eastAsia="宋体" w:cs="Times New Roman"/>
                      <w:b w:val="0"/>
                      <w:bCs w:val="0"/>
                      <w:color w:val="auto"/>
                      <w:spacing w:val="0"/>
                      <w:sz w:val="24"/>
                      <w:szCs w:val="24"/>
                      <w:highlight w:val="none"/>
                    </w:rPr>
                  </w:pPr>
                </w:p>
              </w:tc>
              <w:tc>
                <w:tcPr>
                  <w:tcW w:w="1453" w:type="pct"/>
                  <w:vMerge w:val="continue"/>
                  <w:vAlign w:val="center"/>
                </w:tcPr>
                <w:p w14:paraId="701F044F">
                  <w:pPr>
                    <w:spacing w:line="360" w:lineRule="auto"/>
                    <w:jc w:val="center"/>
                    <w:rPr>
                      <w:rFonts w:hint="default" w:ascii="Times New Roman" w:hAnsi="Times New Roman" w:eastAsia="宋体" w:cs="Times New Roman"/>
                      <w:b w:val="0"/>
                      <w:bCs w:val="0"/>
                      <w:color w:val="auto"/>
                      <w:spacing w:val="0"/>
                      <w:sz w:val="24"/>
                      <w:szCs w:val="24"/>
                      <w:highlight w:val="none"/>
                    </w:rPr>
                  </w:pPr>
                </w:p>
              </w:tc>
            </w:tr>
            <w:tr w14:paraId="661F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4" w:type="pct"/>
                  <w:vMerge w:val="continue"/>
                  <w:vAlign w:val="center"/>
                </w:tcPr>
                <w:p w14:paraId="4BD48B35">
                  <w:pPr>
                    <w:adjustRightInd w:val="0"/>
                    <w:jc w:val="center"/>
                    <w:rPr>
                      <w:rFonts w:hint="default" w:ascii="Times New Roman" w:hAnsi="Times New Roman" w:eastAsia="宋体" w:cs="Times New Roman"/>
                      <w:b w:val="0"/>
                      <w:bCs w:val="0"/>
                      <w:color w:val="auto"/>
                      <w:spacing w:val="0"/>
                      <w:sz w:val="24"/>
                      <w:szCs w:val="24"/>
                      <w:highlight w:val="none"/>
                    </w:rPr>
                  </w:pPr>
                </w:p>
              </w:tc>
              <w:tc>
                <w:tcPr>
                  <w:tcW w:w="1380" w:type="pct"/>
                  <w:vAlign w:val="center"/>
                </w:tcPr>
                <w:p w14:paraId="52000688">
                  <w:pPr>
                    <w:adjustRightInd w:val="0"/>
                    <w:jc w:val="center"/>
                    <w:rPr>
                      <w:rFonts w:hint="default" w:ascii="Times New Roman" w:hAnsi="Times New Roman" w:eastAsia="宋体" w:cs="Times New Roman"/>
                      <w:b w:val="0"/>
                      <w:bCs w:val="0"/>
                      <w:color w:val="auto"/>
                      <w:spacing w:val="0"/>
                      <w:sz w:val="24"/>
                      <w:szCs w:val="24"/>
                      <w:highlight w:val="none"/>
                    </w:rPr>
                  </w:pPr>
                  <w:r>
                    <w:rPr>
                      <w:rFonts w:hint="default" w:ascii="Times New Roman" w:hAnsi="Times New Roman" w:eastAsia="宋体" w:cs="Times New Roman"/>
                      <w:b w:val="0"/>
                      <w:bCs w:val="0"/>
                      <w:color w:val="auto"/>
                      <w:spacing w:val="0"/>
                      <w:sz w:val="24"/>
                      <w:szCs w:val="24"/>
                      <w:highlight w:val="none"/>
                    </w:rPr>
                    <w:t>北厂界外1m</w:t>
                  </w:r>
                </w:p>
              </w:tc>
              <w:tc>
                <w:tcPr>
                  <w:tcW w:w="1310" w:type="pct"/>
                  <w:vMerge w:val="continue"/>
                  <w:vAlign w:val="center"/>
                </w:tcPr>
                <w:p w14:paraId="0CC49C0D">
                  <w:pPr>
                    <w:spacing w:line="360" w:lineRule="auto"/>
                    <w:jc w:val="center"/>
                    <w:rPr>
                      <w:rFonts w:hint="default" w:ascii="Times New Roman" w:hAnsi="Times New Roman" w:eastAsia="宋体" w:cs="Times New Roman"/>
                      <w:b w:val="0"/>
                      <w:bCs w:val="0"/>
                      <w:color w:val="auto"/>
                      <w:spacing w:val="0"/>
                      <w:sz w:val="24"/>
                      <w:szCs w:val="24"/>
                      <w:highlight w:val="none"/>
                    </w:rPr>
                  </w:pPr>
                </w:p>
              </w:tc>
              <w:tc>
                <w:tcPr>
                  <w:tcW w:w="1453" w:type="pct"/>
                  <w:vMerge w:val="continue"/>
                  <w:vAlign w:val="center"/>
                </w:tcPr>
                <w:p w14:paraId="7515AAF2">
                  <w:pPr>
                    <w:spacing w:line="360" w:lineRule="auto"/>
                    <w:jc w:val="center"/>
                    <w:rPr>
                      <w:rFonts w:hint="default" w:ascii="Times New Roman" w:hAnsi="Times New Roman" w:eastAsia="宋体" w:cs="Times New Roman"/>
                      <w:b w:val="0"/>
                      <w:bCs w:val="0"/>
                      <w:color w:val="auto"/>
                      <w:spacing w:val="0"/>
                      <w:sz w:val="24"/>
                      <w:szCs w:val="24"/>
                      <w:highlight w:val="none"/>
                    </w:rPr>
                  </w:pPr>
                </w:p>
              </w:tc>
            </w:tr>
          </w:tbl>
          <w:p w14:paraId="682DF522">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360" w:lineRule="auto"/>
              <w:ind w:left="0" w:leftChars="0" w:right="0" w:rightChars="0" w:firstLine="482" w:firstLineChars="200"/>
              <w:rPr>
                <w:rFonts w:hint="default" w:ascii="Times New Roman" w:hAnsi="Times New Roman" w:eastAsia="宋体" w:cs="Times New Roman"/>
                <w:b/>
                <w:bCs/>
                <w:color w:val="auto"/>
                <w:spacing w:val="0"/>
                <w:sz w:val="24"/>
                <w:szCs w:val="24"/>
                <w:highlight w:val="none"/>
              </w:rPr>
            </w:pPr>
            <w:r>
              <w:rPr>
                <w:rFonts w:hint="eastAsia" w:ascii="Times New Roman" w:hAnsi="Times New Roman" w:eastAsia="宋体" w:cs="Times New Roman"/>
                <w:b/>
                <w:bCs/>
                <w:color w:val="auto"/>
                <w:spacing w:val="0"/>
                <w:sz w:val="24"/>
                <w:szCs w:val="24"/>
                <w:highlight w:val="none"/>
              </w:rPr>
              <w:t>四</w:t>
            </w:r>
            <w:r>
              <w:rPr>
                <w:rFonts w:hint="default" w:ascii="Times New Roman" w:hAnsi="Times New Roman" w:eastAsia="宋体" w:cs="Times New Roman"/>
                <w:b/>
                <w:bCs/>
                <w:color w:val="auto"/>
                <w:spacing w:val="0"/>
                <w:sz w:val="24"/>
                <w:szCs w:val="24"/>
                <w:highlight w:val="none"/>
              </w:rPr>
              <w:t>、固体废物</w:t>
            </w:r>
          </w:p>
          <w:p w14:paraId="529203E1">
            <w:pPr>
              <w:keepNext w:val="0"/>
              <w:keepLines w:val="0"/>
              <w:pageBreakBefore w:val="0"/>
              <w:widowControl/>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b/>
                <w:bCs/>
                <w:caps w:val="0"/>
                <w:color w:val="auto"/>
                <w:spacing w:val="0"/>
                <w:kern w:val="0"/>
                <w:position w:val="0"/>
                <w:sz w:val="24"/>
                <w:szCs w:val="24"/>
                <w:highlight w:val="none"/>
              </w:rPr>
            </w:pPr>
            <w:r>
              <w:rPr>
                <w:rFonts w:hint="default" w:ascii="Times New Roman" w:hAnsi="Times New Roman" w:eastAsia="宋体" w:cs="Times New Roman"/>
                <w:b/>
                <w:bCs/>
                <w:caps w:val="0"/>
                <w:color w:val="auto"/>
                <w:spacing w:val="0"/>
                <w:kern w:val="0"/>
                <w:position w:val="0"/>
                <w:sz w:val="24"/>
                <w:szCs w:val="24"/>
                <w:highlight w:val="none"/>
              </w:rPr>
              <w:t>1、产生及处置情况</w:t>
            </w:r>
          </w:p>
          <w:p w14:paraId="3233B344">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本项目固废主要为</w:t>
            </w:r>
            <w:r>
              <w:rPr>
                <w:rFonts w:hint="default" w:ascii="Times New Roman" w:hAnsi="Times New Roman" w:eastAsia="宋体" w:cs="Times New Roman"/>
                <w:b w:val="0"/>
                <w:bCs w:val="0"/>
                <w:caps w:val="0"/>
                <w:color w:val="auto"/>
                <w:spacing w:val="0"/>
                <w:kern w:val="0"/>
                <w:position w:val="0"/>
                <w:sz w:val="24"/>
                <w:szCs w:val="24"/>
                <w:highlight w:val="none"/>
                <w:lang w:val="en-US" w:eastAsia="zh-CN"/>
              </w:rPr>
              <w:t>生活垃圾</w:t>
            </w:r>
            <w:r>
              <w:rPr>
                <w:rFonts w:hint="eastAsia" w:ascii="Times New Roman" w:hAnsi="Times New Roman" w:eastAsia="宋体" w:cs="Times New Roman"/>
                <w:b w:val="0"/>
                <w:bCs w:val="0"/>
                <w:caps w:val="0"/>
                <w:color w:val="auto"/>
                <w:spacing w:val="0"/>
                <w:kern w:val="0"/>
                <w:position w:val="0"/>
                <w:sz w:val="24"/>
                <w:szCs w:val="24"/>
                <w:highlight w:val="none"/>
                <w:lang w:val="en-US" w:eastAsia="zh-CN"/>
              </w:rPr>
              <w:t>、收集的</w:t>
            </w:r>
            <w:r>
              <w:rPr>
                <w:rFonts w:hint="default" w:ascii="Times New Roman" w:hAnsi="Times New Roman" w:eastAsia="宋体" w:cs="Times New Roman"/>
                <w:b w:val="0"/>
                <w:bCs w:val="0"/>
                <w:caps w:val="0"/>
                <w:color w:val="auto"/>
                <w:spacing w:val="0"/>
                <w:kern w:val="0"/>
                <w:position w:val="0"/>
                <w:sz w:val="24"/>
                <w:szCs w:val="24"/>
                <w:highlight w:val="none"/>
                <w:lang w:val="en-US" w:eastAsia="zh-CN"/>
              </w:rPr>
              <w:t>原料粉尘（包括除尘器收尘和车间地面收尘）</w:t>
            </w:r>
            <w:r>
              <w:rPr>
                <w:rFonts w:hint="eastAsia" w:ascii="Times New Roman" w:hAnsi="Times New Roman" w:eastAsia="宋体" w:cs="Times New Roman"/>
                <w:b w:val="0"/>
                <w:bCs w:val="0"/>
                <w:caps w:val="0"/>
                <w:color w:val="auto"/>
                <w:spacing w:val="0"/>
                <w:kern w:val="0"/>
                <w:position w:val="0"/>
                <w:sz w:val="24"/>
                <w:szCs w:val="24"/>
                <w:highlight w:val="none"/>
                <w:lang w:val="en-US" w:eastAsia="zh-CN"/>
              </w:rPr>
              <w:t>、</w:t>
            </w:r>
            <w:r>
              <w:rPr>
                <w:rFonts w:hint="default" w:ascii="Times New Roman" w:hAnsi="Times New Roman" w:eastAsia="宋体" w:cs="Times New Roman"/>
                <w:b w:val="0"/>
                <w:bCs w:val="0"/>
                <w:caps w:val="0"/>
                <w:color w:val="auto"/>
                <w:spacing w:val="0"/>
                <w:kern w:val="0"/>
                <w:position w:val="0"/>
                <w:sz w:val="24"/>
                <w:szCs w:val="24"/>
                <w:highlight w:val="none"/>
                <w:lang w:val="en-US" w:eastAsia="zh-CN"/>
              </w:rPr>
              <w:t>废布袋、</w:t>
            </w:r>
            <w:r>
              <w:rPr>
                <w:rFonts w:hint="eastAsia" w:cs="Times New Roman"/>
                <w:b w:val="0"/>
                <w:bCs w:val="0"/>
                <w:caps w:val="0"/>
                <w:color w:val="auto"/>
                <w:spacing w:val="0"/>
                <w:kern w:val="0"/>
                <w:position w:val="0"/>
                <w:sz w:val="24"/>
                <w:szCs w:val="24"/>
                <w:highlight w:val="none"/>
                <w:lang w:val="en-US" w:eastAsia="zh-CN"/>
              </w:rPr>
              <w:t>废钢筋</w:t>
            </w:r>
            <w:r>
              <w:rPr>
                <w:rFonts w:hint="default" w:ascii="Times New Roman" w:hAnsi="Times New Roman" w:eastAsia="宋体" w:cs="Times New Roman"/>
                <w:b w:val="0"/>
                <w:bCs w:val="0"/>
                <w:caps w:val="0"/>
                <w:color w:val="auto"/>
                <w:spacing w:val="0"/>
                <w:kern w:val="0"/>
                <w:position w:val="0"/>
                <w:sz w:val="24"/>
                <w:szCs w:val="24"/>
                <w:highlight w:val="none"/>
                <w:lang w:val="en-US" w:eastAsia="zh-CN"/>
              </w:rPr>
              <w:t>、沉渣、废混凝土渣、废脱模剂包装桶、不合格品</w:t>
            </w:r>
            <w:r>
              <w:rPr>
                <w:rFonts w:hint="eastAsia" w:ascii="Times New Roman" w:hAnsi="Times New Roman" w:eastAsia="宋体" w:cs="Times New Roman"/>
                <w:b w:val="0"/>
                <w:bCs w:val="0"/>
                <w:caps w:val="0"/>
                <w:color w:val="auto"/>
                <w:spacing w:val="0"/>
                <w:kern w:val="0"/>
                <w:position w:val="0"/>
                <w:sz w:val="24"/>
                <w:szCs w:val="24"/>
                <w:highlight w:val="none"/>
                <w:lang w:val="en-US" w:eastAsia="zh-CN"/>
              </w:rPr>
              <w:t>、</w:t>
            </w:r>
            <w:r>
              <w:rPr>
                <w:rFonts w:hint="default" w:ascii="Times New Roman" w:hAnsi="Times New Roman" w:eastAsia="宋体" w:cs="Times New Roman"/>
                <w:b w:val="0"/>
                <w:bCs w:val="0"/>
                <w:caps w:val="0"/>
                <w:color w:val="auto"/>
                <w:spacing w:val="0"/>
                <w:kern w:val="0"/>
                <w:position w:val="0"/>
                <w:sz w:val="24"/>
                <w:szCs w:val="24"/>
                <w:highlight w:val="none"/>
                <w:lang w:val="en-US" w:eastAsia="zh-CN"/>
              </w:rPr>
              <w:t>废润滑油、废润滑油桶、</w:t>
            </w:r>
            <w:r>
              <w:rPr>
                <w:rFonts w:hint="eastAsia" w:cs="Times New Roman"/>
                <w:b w:val="0"/>
                <w:bCs w:val="0"/>
                <w:caps w:val="0"/>
                <w:color w:val="auto"/>
                <w:spacing w:val="0"/>
                <w:kern w:val="0"/>
                <w:position w:val="0"/>
                <w:sz w:val="24"/>
                <w:szCs w:val="24"/>
                <w:highlight w:val="none"/>
                <w:lang w:val="en-US" w:eastAsia="zh-CN"/>
              </w:rPr>
              <w:t>废吸油毡</w:t>
            </w:r>
            <w:r>
              <w:rPr>
                <w:rFonts w:hint="eastAsia" w:ascii="Times New Roman" w:hAnsi="Times New Roman" w:eastAsia="宋体" w:cs="Times New Roman"/>
                <w:b w:val="0"/>
                <w:bCs w:val="0"/>
                <w:caps w:val="0"/>
                <w:color w:val="auto"/>
                <w:spacing w:val="0"/>
                <w:kern w:val="0"/>
                <w:position w:val="0"/>
                <w:sz w:val="24"/>
                <w:szCs w:val="24"/>
                <w:highlight w:val="none"/>
                <w:lang w:val="en-US" w:eastAsia="zh-CN"/>
              </w:rPr>
              <w:t>。</w:t>
            </w:r>
          </w:p>
          <w:p w14:paraId="060F0510">
            <w:pPr>
              <w:keepNext w:val="0"/>
              <w:keepLines w:val="0"/>
              <w:pageBreakBefore w:val="0"/>
              <w:widowControl w:val="0"/>
              <w:numPr>
                <w:ilvl w:val="2"/>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生活垃圾</w:t>
            </w:r>
          </w:p>
          <w:p w14:paraId="482CF6EA">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val="en-US" w:eastAsia="zh-CN"/>
              </w:rPr>
              <w:t>本</w:t>
            </w:r>
            <w:r>
              <w:rPr>
                <w:rFonts w:hint="default" w:ascii="Times New Roman" w:hAnsi="Times New Roman" w:eastAsia="宋体" w:cs="Times New Roman"/>
                <w:b w:val="0"/>
                <w:bCs w:val="0"/>
                <w:caps w:val="0"/>
                <w:color w:val="auto"/>
                <w:spacing w:val="0"/>
                <w:kern w:val="0"/>
                <w:position w:val="0"/>
                <w:sz w:val="24"/>
                <w:szCs w:val="24"/>
                <w:highlight w:val="none"/>
              </w:rPr>
              <w:t>项目劳动人员</w:t>
            </w:r>
            <w:r>
              <w:rPr>
                <w:rFonts w:hint="eastAsia" w:cs="Times New Roman"/>
                <w:b w:val="0"/>
                <w:bCs w:val="0"/>
                <w:caps w:val="0"/>
                <w:color w:val="auto"/>
                <w:spacing w:val="0"/>
                <w:kern w:val="0"/>
                <w:position w:val="0"/>
                <w:sz w:val="24"/>
                <w:szCs w:val="24"/>
                <w:highlight w:val="none"/>
                <w:lang w:val="en-US" w:eastAsia="zh-CN"/>
              </w:rPr>
              <w:t>12</w:t>
            </w:r>
            <w:r>
              <w:rPr>
                <w:rFonts w:hint="default" w:ascii="Times New Roman" w:hAnsi="Times New Roman" w:eastAsia="宋体" w:cs="Times New Roman"/>
                <w:b w:val="0"/>
                <w:bCs w:val="0"/>
                <w:caps w:val="0"/>
                <w:color w:val="auto"/>
                <w:spacing w:val="0"/>
                <w:kern w:val="0"/>
                <w:position w:val="0"/>
                <w:sz w:val="24"/>
                <w:szCs w:val="24"/>
                <w:highlight w:val="none"/>
              </w:rPr>
              <w:t>人，按0.5kg/人·d计，年工作300d，生活垃圾产生量为</w:t>
            </w:r>
            <w:r>
              <w:rPr>
                <w:rFonts w:hint="eastAsia" w:cs="Times New Roman"/>
                <w:b w:val="0"/>
                <w:bCs w:val="0"/>
                <w:caps w:val="0"/>
                <w:color w:val="auto"/>
                <w:spacing w:val="0"/>
                <w:kern w:val="0"/>
                <w:position w:val="0"/>
                <w:sz w:val="24"/>
                <w:szCs w:val="24"/>
                <w:highlight w:val="none"/>
                <w:lang w:val="en-US" w:eastAsia="zh-CN"/>
              </w:rPr>
              <w:t>1.8</w:t>
            </w:r>
            <w:r>
              <w:rPr>
                <w:rFonts w:hint="default" w:ascii="Times New Roman" w:hAnsi="Times New Roman" w:eastAsia="宋体" w:cs="Times New Roman"/>
                <w:b w:val="0"/>
                <w:bCs w:val="0"/>
                <w:caps w:val="0"/>
                <w:color w:val="auto"/>
                <w:spacing w:val="0"/>
                <w:kern w:val="0"/>
                <w:position w:val="0"/>
                <w:sz w:val="24"/>
                <w:szCs w:val="24"/>
                <w:highlight w:val="none"/>
              </w:rPr>
              <w:t>t/a。生活垃圾暂存于垃圾收集桶，委托环卫部门清运。</w:t>
            </w:r>
          </w:p>
          <w:p w14:paraId="223C1BF2">
            <w:pPr>
              <w:keepNext w:val="0"/>
              <w:keepLines w:val="0"/>
              <w:pageBreakBefore w:val="0"/>
              <w:widowControl w:val="0"/>
              <w:numPr>
                <w:ilvl w:val="2"/>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eastAsia" w:ascii="Times New Roman" w:hAnsi="Times New Roman" w:cs="Times New Roman"/>
                <w:b w:val="0"/>
                <w:bCs w:val="0"/>
                <w:caps w:val="0"/>
                <w:color w:val="auto"/>
                <w:spacing w:val="0"/>
                <w:kern w:val="0"/>
                <w:position w:val="0"/>
                <w:sz w:val="24"/>
                <w:szCs w:val="24"/>
                <w:highlight w:val="none"/>
                <w:lang w:val="en-US" w:eastAsia="zh-CN"/>
              </w:rPr>
              <w:t>原料粉尘</w:t>
            </w:r>
          </w:p>
          <w:p w14:paraId="50AC894D">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cs="Times New Roman"/>
                <w:b w:val="0"/>
                <w:bCs w:val="0"/>
                <w:caps w:val="0"/>
                <w:color w:val="auto"/>
                <w:spacing w:val="0"/>
                <w:kern w:val="0"/>
                <w:position w:val="0"/>
                <w:sz w:val="24"/>
                <w:szCs w:val="24"/>
                <w:highlight w:val="none"/>
                <w:lang w:val="en-US" w:eastAsia="zh-CN"/>
              </w:rPr>
            </w:pPr>
            <w:r>
              <w:rPr>
                <w:rFonts w:hint="eastAsia" w:ascii="Times New Roman" w:hAnsi="Times New Roman" w:cs="Times New Roman"/>
                <w:b w:val="0"/>
                <w:bCs w:val="0"/>
                <w:caps w:val="0"/>
                <w:color w:val="auto"/>
                <w:spacing w:val="0"/>
                <w:kern w:val="0"/>
                <w:position w:val="0"/>
                <w:sz w:val="24"/>
                <w:szCs w:val="24"/>
                <w:highlight w:val="none"/>
                <w:lang w:val="en-US" w:eastAsia="zh-CN"/>
              </w:rPr>
              <w:t>根据工程分析，除尘器收集的粉尘约为18.206t/a，车间地面收集的粉尘约为</w:t>
            </w:r>
            <w:r>
              <w:rPr>
                <w:rFonts w:hint="eastAsia" w:cs="Times New Roman"/>
                <w:b w:val="0"/>
                <w:bCs w:val="0"/>
                <w:caps w:val="0"/>
                <w:color w:val="auto"/>
                <w:spacing w:val="0"/>
                <w:kern w:val="0"/>
                <w:position w:val="0"/>
                <w:sz w:val="24"/>
                <w:szCs w:val="24"/>
                <w:highlight w:val="none"/>
                <w:lang w:val="en-US" w:eastAsia="zh-CN"/>
              </w:rPr>
              <w:t>0.925</w:t>
            </w:r>
            <w:r>
              <w:rPr>
                <w:rFonts w:hint="eastAsia" w:ascii="Times New Roman" w:hAnsi="Times New Roman" w:cs="Times New Roman"/>
                <w:b w:val="0"/>
                <w:bCs w:val="0"/>
                <w:caps w:val="0"/>
                <w:color w:val="auto"/>
                <w:spacing w:val="0"/>
                <w:kern w:val="0"/>
                <w:position w:val="0"/>
                <w:sz w:val="24"/>
                <w:szCs w:val="24"/>
                <w:highlight w:val="none"/>
                <w:lang w:val="en-US" w:eastAsia="zh-CN"/>
              </w:rPr>
              <w:t>t/a，共计约</w:t>
            </w:r>
            <w:r>
              <w:rPr>
                <w:rFonts w:hint="eastAsia" w:cs="Times New Roman"/>
                <w:b w:val="0"/>
                <w:bCs w:val="0"/>
                <w:caps w:val="0"/>
                <w:color w:val="auto"/>
                <w:spacing w:val="0"/>
                <w:kern w:val="0"/>
                <w:position w:val="0"/>
                <w:sz w:val="24"/>
                <w:szCs w:val="24"/>
                <w:highlight w:val="none"/>
                <w:lang w:val="en-US" w:eastAsia="zh-CN"/>
              </w:rPr>
              <w:t>19.131</w:t>
            </w:r>
            <w:r>
              <w:rPr>
                <w:rFonts w:hint="default" w:ascii="Times New Roman" w:hAnsi="Times New Roman" w:eastAsia="宋体" w:cs="Times New Roman"/>
                <w:b w:val="0"/>
                <w:bCs w:val="0"/>
                <w:caps w:val="0"/>
                <w:color w:val="auto"/>
                <w:spacing w:val="0"/>
                <w:kern w:val="0"/>
                <w:position w:val="0"/>
                <w:sz w:val="24"/>
                <w:szCs w:val="24"/>
                <w:highlight w:val="none"/>
              </w:rPr>
              <w:t>t/a，</w:t>
            </w:r>
            <w:r>
              <w:rPr>
                <w:rFonts w:hint="eastAsia" w:ascii="Times New Roman" w:hAnsi="Times New Roman" w:cs="Times New Roman"/>
                <w:b w:val="0"/>
                <w:bCs w:val="0"/>
                <w:caps w:val="0"/>
                <w:color w:val="auto"/>
                <w:spacing w:val="0"/>
                <w:kern w:val="0"/>
                <w:position w:val="0"/>
                <w:sz w:val="24"/>
                <w:szCs w:val="24"/>
                <w:highlight w:val="none"/>
                <w:lang w:val="en-US" w:eastAsia="zh-CN"/>
              </w:rPr>
              <w:t>属于一般工业固体废物。</w:t>
            </w:r>
            <w:r>
              <w:rPr>
                <w:rFonts w:hint="eastAsia" w:ascii="Times New Roman" w:cs="Times New Roman"/>
                <w:b w:val="0"/>
                <w:bCs w:val="0"/>
                <w:caps w:val="0"/>
                <w:color w:val="auto"/>
                <w:spacing w:val="0"/>
                <w:kern w:val="0"/>
                <w:position w:val="0"/>
                <w:sz w:val="24"/>
                <w:szCs w:val="24"/>
                <w:highlight w:val="none"/>
                <w:lang w:val="en-US" w:eastAsia="zh-CN"/>
              </w:rPr>
              <w:t>根据《固体废物分类与代码目录》，</w:t>
            </w:r>
            <w:r>
              <w:rPr>
                <w:rFonts w:hint="default" w:ascii="Times New Roman" w:hAnsi="Times New Roman" w:eastAsia="宋体" w:cs="Times New Roman"/>
                <w:b w:val="0"/>
                <w:bCs w:val="0"/>
                <w:caps w:val="0"/>
                <w:color w:val="auto"/>
                <w:spacing w:val="0"/>
                <w:kern w:val="0"/>
                <w:position w:val="0"/>
                <w:sz w:val="24"/>
                <w:szCs w:val="24"/>
                <w:highlight w:val="none"/>
              </w:rPr>
              <w:t>废物种类</w:t>
            </w:r>
            <w:r>
              <w:rPr>
                <w:rFonts w:hint="eastAsia" w:ascii="Times New Roman" w:cs="Times New Roman"/>
                <w:b w:val="0"/>
                <w:bCs w:val="0"/>
                <w:caps w:val="0"/>
                <w:color w:val="auto"/>
                <w:spacing w:val="0"/>
                <w:kern w:val="0"/>
                <w:position w:val="0"/>
                <w:sz w:val="24"/>
                <w:szCs w:val="24"/>
                <w:highlight w:val="none"/>
                <w:lang w:val="en-US" w:eastAsia="zh-CN"/>
              </w:rPr>
              <w:t>为</w:t>
            </w:r>
            <w:r>
              <w:rPr>
                <w:rFonts w:hint="default" w:ascii="Times New Roman" w:hAnsi="Times New Roman" w:eastAsia="宋体" w:cs="Times New Roman"/>
                <w:b w:val="0"/>
                <w:bCs w:val="0"/>
                <w:caps w:val="0"/>
                <w:color w:val="auto"/>
                <w:spacing w:val="0"/>
                <w:kern w:val="0"/>
                <w:position w:val="0"/>
                <w:sz w:val="24"/>
                <w:szCs w:val="24"/>
                <w:highlight w:val="none"/>
              </w:rPr>
              <w:t>SW</w:t>
            </w:r>
            <w:r>
              <w:rPr>
                <w:rFonts w:hint="eastAsia" w:ascii="Times New Roman" w:hAnsi="Times New Roman" w:cs="Times New Roman"/>
                <w:b w:val="0"/>
                <w:bCs w:val="0"/>
                <w:caps w:val="0"/>
                <w:color w:val="auto"/>
                <w:spacing w:val="0"/>
                <w:kern w:val="0"/>
                <w:position w:val="0"/>
                <w:sz w:val="24"/>
                <w:szCs w:val="24"/>
                <w:highlight w:val="none"/>
                <w:lang w:val="en-US" w:eastAsia="zh-CN"/>
              </w:rPr>
              <w:t>59</w:t>
            </w:r>
            <w:r>
              <w:rPr>
                <w:rFonts w:hint="default" w:ascii="Times New Roman" w:hAnsi="Times New Roman" w:eastAsia="宋体" w:cs="Times New Roman"/>
                <w:b w:val="0"/>
                <w:bCs w:val="0"/>
                <w:caps w:val="0"/>
                <w:color w:val="auto"/>
                <w:spacing w:val="0"/>
                <w:kern w:val="0"/>
                <w:position w:val="0"/>
                <w:sz w:val="24"/>
                <w:szCs w:val="24"/>
                <w:highlight w:val="none"/>
              </w:rPr>
              <w:t>，废物代码900-099-S59，</w:t>
            </w:r>
            <w:r>
              <w:rPr>
                <w:rFonts w:hint="eastAsia" w:cs="Times New Roman"/>
                <w:b w:val="0"/>
                <w:bCs w:val="0"/>
                <w:caps w:val="0"/>
                <w:color w:val="auto"/>
                <w:spacing w:val="0"/>
                <w:kern w:val="0"/>
                <w:position w:val="0"/>
                <w:sz w:val="24"/>
                <w:szCs w:val="24"/>
                <w:highlight w:val="none"/>
                <w:lang w:val="en-US" w:eastAsia="zh-CN"/>
              </w:rPr>
              <w:t>回用于生产</w:t>
            </w:r>
            <w:r>
              <w:rPr>
                <w:rFonts w:hint="eastAsia" w:ascii="Times New Roman" w:hAnsi="Times New Roman" w:cs="Times New Roman"/>
                <w:b w:val="0"/>
                <w:bCs w:val="0"/>
                <w:caps w:val="0"/>
                <w:color w:val="auto"/>
                <w:spacing w:val="0"/>
                <w:kern w:val="0"/>
                <w:position w:val="0"/>
                <w:sz w:val="24"/>
                <w:szCs w:val="24"/>
                <w:highlight w:val="none"/>
                <w:lang w:val="en-US" w:eastAsia="zh-CN"/>
              </w:rPr>
              <w:t>。</w:t>
            </w:r>
          </w:p>
          <w:p w14:paraId="2F28180D">
            <w:pPr>
              <w:keepNext w:val="0"/>
              <w:keepLines w:val="0"/>
              <w:pageBreakBefore w:val="0"/>
              <w:widowControl w:val="0"/>
              <w:numPr>
                <w:ilvl w:val="2"/>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lang w:eastAsia="zh-CN"/>
              </w:rPr>
            </w:pPr>
            <w:r>
              <w:rPr>
                <w:rFonts w:hint="eastAsia" w:ascii="Times New Roman" w:cs="Times New Roman"/>
                <w:b w:val="0"/>
                <w:bCs w:val="0"/>
                <w:caps w:val="0"/>
                <w:color w:val="auto"/>
                <w:spacing w:val="0"/>
                <w:kern w:val="0"/>
                <w:position w:val="0"/>
                <w:sz w:val="24"/>
                <w:szCs w:val="24"/>
                <w:highlight w:val="none"/>
                <w:lang w:val="en-US" w:eastAsia="zh-CN"/>
              </w:rPr>
              <w:t>废布袋</w:t>
            </w:r>
          </w:p>
          <w:p w14:paraId="6C517CCC">
            <w:pPr>
              <w:pStyle w:val="59"/>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lang w:eastAsia="zh-CN"/>
              </w:rPr>
            </w:pPr>
            <w:r>
              <w:rPr>
                <w:rFonts w:hint="eastAsia" w:ascii="Times New Roman" w:cs="Times New Roman"/>
                <w:b w:val="0"/>
                <w:bCs w:val="0"/>
                <w:caps w:val="0"/>
                <w:color w:val="auto"/>
                <w:spacing w:val="0"/>
                <w:kern w:val="0"/>
                <w:position w:val="0"/>
                <w:sz w:val="24"/>
                <w:szCs w:val="24"/>
                <w:highlight w:val="none"/>
                <w:lang w:val="en-US" w:eastAsia="zh-CN"/>
              </w:rPr>
              <w:t>除尘器需要定期更换布袋，产生的废布袋</w:t>
            </w:r>
            <w:r>
              <w:rPr>
                <w:rFonts w:hint="default" w:ascii="Times New Roman" w:hAnsi="Times New Roman" w:eastAsia="宋体" w:cs="Times New Roman"/>
                <w:b w:val="0"/>
                <w:bCs w:val="0"/>
                <w:caps w:val="0"/>
                <w:color w:val="auto"/>
                <w:spacing w:val="0"/>
                <w:kern w:val="0"/>
                <w:position w:val="0"/>
                <w:sz w:val="24"/>
                <w:szCs w:val="24"/>
                <w:highlight w:val="none"/>
              </w:rPr>
              <w:t>约为</w:t>
            </w:r>
            <w:r>
              <w:rPr>
                <w:rFonts w:hint="eastAsia" w:ascii="Times New Roman" w:cs="Times New Roman"/>
                <w:b w:val="0"/>
                <w:bCs w:val="0"/>
                <w:caps w:val="0"/>
                <w:color w:val="auto"/>
                <w:spacing w:val="0"/>
                <w:kern w:val="0"/>
                <w:position w:val="0"/>
                <w:sz w:val="24"/>
                <w:szCs w:val="24"/>
                <w:highlight w:val="none"/>
                <w:lang w:val="en-US" w:eastAsia="zh-CN"/>
              </w:rPr>
              <w:t>0.02</w:t>
            </w:r>
            <w:r>
              <w:rPr>
                <w:rFonts w:hint="default" w:ascii="Times New Roman" w:hAnsi="Times New Roman" w:eastAsia="宋体" w:cs="Times New Roman"/>
                <w:b w:val="0"/>
                <w:bCs w:val="0"/>
                <w:caps w:val="0"/>
                <w:color w:val="auto"/>
                <w:spacing w:val="0"/>
                <w:kern w:val="0"/>
                <w:position w:val="0"/>
                <w:sz w:val="24"/>
                <w:szCs w:val="24"/>
                <w:highlight w:val="none"/>
              </w:rPr>
              <w:t>t/a，</w:t>
            </w:r>
            <w:r>
              <w:rPr>
                <w:rFonts w:hint="eastAsia" w:ascii="Times New Roman" w:hAnsi="Times New Roman" w:cs="Times New Roman"/>
                <w:b w:val="0"/>
                <w:bCs w:val="0"/>
                <w:caps w:val="0"/>
                <w:color w:val="auto"/>
                <w:spacing w:val="0"/>
                <w:kern w:val="0"/>
                <w:position w:val="0"/>
                <w:sz w:val="24"/>
                <w:szCs w:val="24"/>
                <w:highlight w:val="none"/>
                <w:lang w:val="en-US" w:eastAsia="zh-CN"/>
              </w:rPr>
              <w:t>属于一般工业固体废物。</w:t>
            </w:r>
            <w:r>
              <w:rPr>
                <w:rFonts w:hint="eastAsia" w:ascii="Times New Roman" w:cs="Times New Roman"/>
                <w:b w:val="0"/>
                <w:bCs w:val="0"/>
                <w:caps w:val="0"/>
                <w:color w:val="auto"/>
                <w:spacing w:val="0"/>
                <w:kern w:val="0"/>
                <w:position w:val="0"/>
                <w:sz w:val="24"/>
                <w:szCs w:val="24"/>
                <w:highlight w:val="none"/>
                <w:lang w:val="en-US" w:eastAsia="zh-CN"/>
              </w:rPr>
              <w:t>根据《固体废物分类与代码目录》，废物种类为SW59，废物代码</w:t>
            </w:r>
            <w:r>
              <w:rPr>
                <w:rFonts w:hint="default" w:ascii="Times New Roman" w:hAnsi="Times New Roman" w:eastAsia="宋体" w:cs="Times New Roman"/>
                <w:b w:val="0"/>
                <w:bCs w:val="0"/>
                <w:caps w:val="0"/>
                <w:color w:val="auto"/>
                <w:spacing w:val="0"/>
                <w:kern w:val="0"/>
                <w:position w:val="0"/>
                <w:sz w:val="24"/>
                <w:szCs w:val="24"/>
                <w:highlight w:val="none"/>
              </w:rPr>
              <w:t>为900-009-S59，外售</w:t>
            </w:r>
            <w:r>
              <w:rPr>
                <w:rFonts w:hint="eastAsia" w:ascii="Times New Roman" w:hAnsi="Times New Roman" w:eastAsia="宋体" w:cs="Times New Roman"/>
                <w:b w:val="0"/>
                <w:bCs w:val="0"/>
                <w:caps w:val="0"/>
                <w:color w:val="auto"/>
                <w:spacing w:val="0"/>
                <w:kern w:val="0"/>
                <w:position w:val="0"/>
                <w:sz w:val="24"/>
                <w:szCs w:val="24"/>
                <w:highlight w:val="none"/>
                <w:lang w:val="en-US" w:eastAsia="zh-CN"/>
              </w:rPr>
              <w:t>综合利用</w:t>
            </w:r>
            <w:r>
              <w:rPr>
                <w:rFonts w:hint="eastAsia" w:ascii="Times New Roman" w:hAnsi="Times New Roman" w:eastAsia="宋体" w:cs="Times New Roman"/>
                <w:b w:val="0"/>
                <w:bCs w:val="0"/>
                <w:caps w:val="0"/>
                <w:color w:val="auto"/>
                <w:spacing w:val="0"/>
                <w:kern w:val="0"/>
                <w:position w:val="0"/>
                <w:sz w:val="24"/>
                <w:szCs w:val="24"/>
                <w:highlight w:val="none"/>
                <w:lang w:eastAsia="zh-CN"/>
              </w:rPr>
              <w:t>。</w:t>
            </w:r>
          </w:p>
          <w:p w14:paraId="3D796773">
            <w:pPr>
              <w:keepNext w:val="0"/>
              <w:keepLines w:val="0"/>
              <w:pageBreakBefore w:val="0"/>
              <w:widowControl w:val="0"/>
              <w:numPr>
                <w:ilvl w:val="2"/>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lang w:val="en-US" w:eastAsia="zh-CN"/>
              </w:rPr>
            </w:pPr>
            <w:r>
              <w:rPr>
                <w:rFonts w:hint="eastAsia" w:cs="Times New Roman"/>
                <w:b w:val="0"/>
                <w:bCs w:val="0"/>
                <w:caps w:val="0"/>
                <w:color w:val="auto"/>
                <w:spacing w:val="0"/>
                <w:kern w:val="0"/>
                <w:position w:val="0"/>
                <w:sz w:val="24"/>
                <w:szCs w:val="24"/>
                <w:highlight w:val="none"/>
                <w:lang w:val="en-US" w:eastAsia="zh-CN"/>
              </w:rPr>
              <w:t>废钢筋</w:t>
            </w:r>
          </w:p>
          <w:p w14:paraId="1FEA7A43">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cs="Times New Roman"/>
                <w:b w:val="0"/>
                <w:bCs w:val="0"/>
                <w:caps w:val="0"/>
                <w:color w:val="auto"/>
                <w:spacing w:val="0"/>
                <w:kern w:val="0"/>
                <w:position w:val="0"/>
                <w:sz w:val="24"/>
                <w:szCs w:val="24"/>
                <w:highlight w:val="none"/>
                <w:lang w:val="en-US" w:eastAsia="zh-CN"/>
              </w:rPr>
            </w:pPr>
            <w:r>
              <w:rPr>
                <w:rFonts w:hint="eastAsia" w:ascii="Times New Roman" w:hAnsi="Times New Roman" w:cs="Times New Roman"/>
                <w:b w:val="0"/>
                <w:bCs w:val="0"/>
                <w:caps w:val="0"/>
                <w:color w:val="auto"/>
                <w:spacing w:val="0"/>
                <w:kern w:val="0"/>
                <w:position w:val="0"/>
                <w:sz w:val="24"/>
                <w:szCs w:val="24"/>
                <w:highlight w:val="none"/>
                <w:lang w:val="en-US" w:eastAsia="zh-CN"/>
              </w:rPr>
              <w:t>根据企业提供资料，</w:t>
            </w:r>
            <w:r>
              <w:rPr>
                <w:rFonts w:hint="eastAsia" w:cs="Times New Roman"/>
                <w:b w:val="0"/>
                <w:bCs w:val="0"/>
                <w:caps w:val="0"/>
                <w:color w:val="auto"/>
                <w:spacing w:val="0"/>
                <w:kern w:val="0"/>
                <w:position w:val="0"/>
                <w:sz w:val="24"/>
                <w:szCs w:val="24"/>
                <w:highlight w:val="none"/>
                <w:lang w:val="en-US" w:eastAsia="zh-CN"/>
              </w:rPr>
              <w:t>废钢筋</w:t>
            </w:r>
            <w:r>
              <w:rPr>
                <w:rFonts w:hint="eastAsia" w:ascii="Times New Roman" w:hAnsi="Times New Roman" w:cs="Times New Roman"/>
                <w:b w:val="0"/>
                <w:bCs w:val="0"/>
                <w:caps w:val="0"/>
                <w:color w:val="auto"/>
                <w:spacing w:val="0"/>
                <w:kern w:val="0"/>
                <w:position w:val="0"/>
                <w:sz w:val="24"/>
                <w:szCs w:val="24"/>
                <w:highlight w:val="none"/>
                <w:lang w:val="en-US" w:eastAsia="zh-CN"/>
              </w:rPr>
              <w:t>约为1t/a，属于一般工业固体废物。</w:t>
            </w:r>
            <w:r>
              <w:rPr>
                <w:rFonts w:hint="eastAsia" w:ascii="Times New Roman" w:cs="Times New Roman"/>
                <w:b w:val="0"/>
                <w:bCs w:val="0"/>
                <w:caps w:val="0"/>
                <w:color w:val="auto"/>
                <w:spacing w:val="0"/>
                <w:kern w:val="0"/>
                <w:position w:val="0"/>
                <w:sz w:val="24"/>
                <w:szCs w:val="24"/>
                <w:highlight w:val="none"/>
                <w:lang w:val="en-US" w:eastAsia="zh-CN"/>
              </w:rPr>
              <w:t>根据《固体废物分类与代码目录》，废物种类为SW17，废物代码</w:t>
            </w:r>
            <w:r>
              <w:rPr>
                <w:rFonts w:hint="default" w:ascii="Times New Roman" w:hAnsi="Times New Roman" w:eastAsia="宋体" w:cs="Times New Roman"/>
                <w:b w:val="0"/>
                <w:bCs w:val="0"/>
                <w:caps w:val="0"/>
                <w:color w:val="auto"/>
                <w:spacing w:val="0"/>
                <w:kern w:val="0"/>
                <w:position w:val="0"/>
                <w:sz w:val="24"/>
                <w:szCs w:val="24"/>
                <w:highlight w:val="none"/>
              </w:rPr>
              <w:t>为</w:t>
            </w:r>
            <w:r>
              <w:rPr>
                <w:rFonts w:hint="eastAsia" w:ascii="Times New Roman" w:hAnsi="Times New Roman" w:cs="Times New Roman"/>
                <w:b w:val="0"/>
                <w:bCs w:val="0"/>
                <w:caps w:val="0"/>
                <w:color w:val="auto"/>
                <w:spacing w:val="0"/>
                <w:kern w:val="0"/>
                <w:position w:val="0"/>
                <w:sz w:val="24"/>
                <w:szCs w:val="24"/>
                <w:highlight w:val="none"/>
                <w:lang w:val="en-US" w:eastAsia="zh-CN"/>
              </w:rPr>
              <w:t>900-001-S17</w:t>
            </w:r>
            <w:r>
              <w:rPr>
                <w:rFonts w:hint="default" w:ascii="Times New Roman" w:hAnsi="Times New Roman" w:eastAsia="宋体" w:cs="Times New Roman"/>
                <w:b w:val="0"/>
                <w:bCs w:val="0"/>
                <w:caps w:val="0"/>
                <w:color w:val="auto"/>
                <w:spacing w:val="0"/>
                <w:kern w:val="0"/>
                <w:position w:val="0"/>
                <w:sz w:val="24"/>
                <w:szCs w:val="24"/>
                <w:highlight w:val="none"/>
              </w:rPr>
              <w:t>，外售</w:t>
            </w:r>
            <w:r>
              <w:rPr>
                <w:rFonts w:hint="eastAsia" w:ascii="Times New Roman" w:hAnsi="Times New Roman" w:eastAsia="宋体" w:cs="Times New Roman"/>
                <w:b w:val="0"/>
                <w:bCs w:val="0"/>
                <w:caps w:val="0"/>
                <w:color w:val="auto"/>
                <w:spacing w:val="0"/>
                <w:kern w:val="0"/>
                <w:position w:val="0"/>
                <w:sz w:val="24"/>
                <w:szCs w:val="24"/>
                <w:highlight w:val="none"/>
                <w:lang w:val="en-US" w:eastAsia="zh-CN"/>
              </w:rPr>
              <w:t>综合利用。</w:t>
            </w:r>
          </w:p>
          <w:p w14:paraId="79B78D3A">
            <w:pPr>
              <w:keepNext w:val="0"/>
              <w:keepLines w:val="0"/>
              <w:pageBreakBefore w:val="0"/>
              <w:widowControl w:val="0"/>
              <w:numPr>
                <w:ilvl w:val="2"/>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lang w:val="en-US" w:eastAsia="zh-CN"/>
              </w:rPr>
            </w:pPr>
            <w:r>
              <w:rPr>
                <w:rFonts w:hint="eastAsia" w:ascii="Times New Roman" w:hAnsi="Times New Roman" w:eastAsia="宋体" w:cs="Times New Roman"/>
                <w:b w:val="0"/>
                <w:bCs w:val="0"/>
                <w:caps w:val="0"/>
                <w:color w:val="auto"/>
                <w:spacing w:val="0"/>
                <w:kern w:val="0"/>
                <w:position w:val="0"/>
                <w:sz w:val="24"/>
                <w:szCs w:val="24"/>
                <w:highlight w:val="none"/>
                <w:lang w:val="en-US" w:eastAsia="zh-CN"/>
              </w:rPr>
              <w:t>沉渣</w:t>
            </w:r>
          </w:p>
          <w:p w14:paraId="0E6CE0A4">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cs="Times New Roman"/>
                <w:b w:val="0"/>
                <w:bCs w:val="0"/>
                <w:caps w:val="0"/>
                <w:color w:val="auto"/>
                <w:spacing w:val="0"/>
                <w:kern w:val="0"/>
                <w:position w:val="0"/>
                <w:sz w:val="24"/>
                <w:szCs w:val="24"/>
                <w:highlight w:val="none"/>
                <w:lang w:val="en-US" w:eastAsia="zh-CN"/>
              </w:rPr>
            </w:pPr>
            <w:r>
              <w:rPr>
                <w:rFonts w:hint="eastAsia" w:ascii="Times New Roman" w:hAnsi="Times New Roman" w:cs="Times New Roman"/>
                <w:b w:val="0"/>
                <w:bCs w:val="0"/>
                <w:caps w:val="0"/>
                <w:color w:val="auto"/>
                <w:spacing w:val="0"/>
                <w:kern w:val="0"/>
                <w:position w:val="0"/>
                <w:sz w:val="24"/>
                <w:szCs w:val="24"/>
                <w:highlight w:val="none"/>
                <w:lang w:val="en-US" w:eastAsia="zh-CN"/>
              </w:rPr>
              <w:t>根据企业提供资料，沉淀池的沉渣产生量约为2t/a，属于一般工业固体废物。</w:t>
            </w:r>
            <w:r>
              <w:rPr>
                <w:rFonts w:hint="eastAsia" w:ascii="Times New Roman" w:cs="Times New Roman"/>
                <w:b w:val="0"/>
                <w:bCs w:val="0"/>
                <w:caps w:val="0"/>
                <w:color w:val="auto"/>
                <w:spacing w:val="0"/>
                <w:kern w:val="0"/>
                <w:position w:val="0"/>
                <w:sz w:val="24"/>
                <w:szCs w:val="24"/>
                <w:highlight w:val="none"/>
                <w:lang w:val="en-US" w:eastAsia="zh-CN"/>
              </w:rPr>
              <w:t>根据《固体废物分类与代码目录》，</w:t>
            </w:r>
            <w:r>
              <w:rPr>
                <w:rFonts w:hint="default" w:ascii="Times New Roman" w:hAnsi="Times New Roman" w:eastAsia="宋体" w:cs="Times New Roman"/>
                <w:b w:val="0"/>
                <w:bCs w:val="0"/>
                <w:caps w:val="0"/>
                <w:color w:val="auto"/>
                <w:spacing w:val="0"/>
                <w:kern w:val="0"/>
                <w:position w:val="0"/>
                <w:sz w:val="24"/>
                <w:szCs w:val="24"/>
                <w:highlight w:val="none"/>
              </w:rPr>
              <w:t>废物种类</w:t>
            </w:r>
            <w:r>
              <w:rPr>
                <w:rFonts w:hint="eastAsia" w:ascii="Times New Roman" w:cs="Times New Roman"/>
                <w:b w:val="0"/>
                <w:bCs w:val="0"/>
                <w:caps w:val="0"/>
                <w:color w:val="auto"/>
                <w:spacing w:val="0"/>
                <w:kern w:val="0"/>
                <w:position w:val="0"/>
                <w:sz w:val="24"/>
                <w:szCs w:val="24"/>
                <w:highlight w:val="none"/>
                <w:lang w:val="en-US" w:eastAsia="zh-CN"/>
              </w:rPr>
              <w:t>为</w:t>
            </w:r>
            <w:r>
              <w:rPr>
                <w:rFonts w:hint="default" w:ascii="Times New Roman" w:hAnsi="Times New Roman" w:eastAsia="宋体" w:cs="Times New Roman"/>
                <w:b w:val="0"/>
                <w:bCs w:val="0"/>
                <w:caps w:val="0"/>
                <w:color w:val="auto"/>
                <w:spacing w:val="0"/>
                <w:kern w:val="0"/>
                <w:position w:val="0"/>
                <w:sz w:val="24"/>
                <w:szCs w:val="24"/>
                <w:highlight w:val="none"/>
              </w:rPr>
              <w:t>SW</w:t>
            </w:r>
            <w:r>
              <w:rPr>
                <w:rFonts w:hint="eastAsia" w:ascii="Times New Roman" w:hAnsi="Times New Roman" w:eastAsia="宋体" w:cs="Times New Roman"/>
                <w:b w:val="0"/>
                <w:bCs w:val="0"/>
                <w:caps w:val="0"/>
                <w:color w:val="auto"/>
                <w:spacing w:val="0"/>
                <w:kern w:val="0"/>
                <w:position w:val="0"/>
                <w:sz w:val="24"/>
                <w:szCs w:val="24"/>
                <w:highlight w:val="none"/>
                <w:lang w:val="en-US" w:eastAsia="zh-CN"/>
              </w:rPr>
              <w:t>59</w:t>
            </w:r>
            <w:r>
              <w:rPr>
                <w:rFonts w:hint="default" w:ascii="Times New Roman" w:hAnsi="Times New Roman" w:eastAsia="宋体" w:cs="Times New Roman"/>
                <w:b w:val="0"/>
                <w:bCs w:val="0"/>
                <w:caps w:val="0"/>
                <w:color w:val="auto"/>
                <w:spacing w:val="0"/>
                <w:kern w:val="0"/>
                <w:position w:val="0"/>
                <w:sz w:val="24"/>
                <w:szCs w:val="24"/>
                <w:highlight w:val="none"/>
              </w:rPr>
              <w:t>，废物代码900-099-S59，外售</w:t>
            </w:r>
            <w:r>
              <w:rPr>
                <w:rFonts w:hint="eastAsia" w:ascii="Times New Roman" w:hAnsi="Times New Roman" w:cs="Times New Roman"/>
                <w:b w:val="0"/>
                <w:bCs w:val="0"/>
                <w:caps w:val="0"/>
                <w:color w:val="auto"/>
                <w:spacing w:val="0"/>
                <w:kern w:val="0"/>
                <w:position w:val="0"/>
                <w:sz w:val="24"/>
                <w:szCs w:val="24"/>
                <w:highlight w:val="none"/>
                <w:lang w:val="en-US" w:eastAsia="zh-CN"/>
              </w:rPr>
              <w:t>综合利用。</w:t>
            </w:r>
          </w:p>
          <w:p w14:paraId="262F1991">
            <w:pPr>
              <w:keepNext w:val="0"/>
              <w:keepLines w:val="0"/>
              <w:pageBreakBefore w:val="0"/>
              <w:widowControl w:val="0"/>
              <w:numPr>
                <w:ilvl w:val="2"/>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cs="Times New Roman"/>
                <w:b w:val="0"/>
                <w:bCs w:val="0"/>
                <w:caps w:val="0"/>
                <w:color w:val="auto"/>
                <w:spacing w:val="0"/>
                <w:kern w:val="0"/>
                <w:position w:val="0"/>
                <w:sz w:val="24"/>
                <w:szCs w:val="24"/>
                <w:highlight w:val="none"/>
                <w:lang w:val="en-US" w:eastAsia="zh-CN"/>
              </w:rPr>
            </w:pPr>
            <w:r>
              <w:rPr>
                <w:rFonts w:hint="eastAsia" w:ascii="Times New Roman" w:hAnsi="Times New Roman" w:cs="Times New Roman"/>
                <w:b w:val="0"/>
                <w:bCs w:val="0"/>
                <w:caps w:val="0"/>
                <w:color w:val="auto"/>
                <w:spacing w:val="0"/>
                <w:kern w:val="0"/>
                <w:position w:val="0"/>
                <w:sz w:val="24"/>
                <w:szCs w:val="24"/>
                <w:highlight w:val="none"/>
                <w:lang w:val="en-US" w:eastAsia="zh-CN"/>
              </w:rPr>
              <w:t>废混凝土</w:t>
            </w:r>
            <w:r>
              <w:rPr>
                <w:rFonts w:hint="eastAsia" w:cs="Times New Roman"/>
                <w:b w:val="0"/>
                <w:bCs w:val="0"/>
                <w:caps w:val="0"/>
                <w:color w:val="auto"/>
                <w:spacing w:val="0"/>
                <w:kern w:val="0"/>
                <w:position w:val="0"/>
                <w:sz w:val="24"/>
                <w:szCs w:val="24"/>
                <w:highlight w:val="none"/>
                <w:lang w:val="en-US" w:eastAsia="zh-CN"/>
              </w:rPr>
              <w:t>渣</w:t>
            </w:r>
          </w:p>
          <w:p w14:paraId="6FBED0C4">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cs="Times New Roman"/>
                <w:b w:val="0"/>
                <w:bCs w:val="0"/>
                <w:caps w:val="0"/>
                <w:color w:val="auto"/>
                <w:spacing w:val="0"/>
                <w:kern w:val="0"/>
                <w:position w:val="0"/>
                <w:sz w:val="24"/>
                <w:szCs w:val="24"/>
                <w:highlight w:val="none"/>
                <w:lang w:val="en-US" w:eastAsia="zh-CN"/>
              </w:rPr>
            </w:pPr>
            <w:r>
              <w:rPr>
                <w:rFonts w:hint="eastAsia" w:ascii="Times New Roman" w:hAnsi="Times New Roman" w:cs="Times New Roman"/>
                <w:b w:val="0"/>
                <w:bCs w:val="0"/>
                <w:caps w:val="0"/>
                <w:color w:val="auto"/>
                <w:spacing w:val="0"/>
                <w:kern w:val="0"/>
                <w:position w:val="0"/>
                <w:sz w:val="24"/>
                <w:szCs w:val="24"/>
                <w:highlight w:val="none"/>
                <w:lang w:val="en-US" w:eastAsia="zh-CN"/>
              </w:rPr>
              <w:t>根据企业提供资料</w:t>
            </w:r>
            <w:r>
              <w:rPr>
                <w:rFonts w:hint="eastAsia" w:cs="Times New Roman"/>
                <w:b w:val="0"/>
                <w:bCs w:val="0"/>
                <w:caps w:val="0"/>
                <w:color w:val="auto"/>
                <w:spacing w:val="0"/>
                <w:kern w:val="0"/>
                <w:position w:val="0"/>
                <w:sz w:val="24"/>
                <w:szCs w:val="24"/>
                <w:highlight w:val="none"/>
                <w:lang w:val="en-US" w:eastAsia="zh-CN"/>
              </w:rPr>
              <w:t>，脱模</w:t>
            </w:r>
            <w:r>
              <w:rPr>
                <w:rFonts w:hint="eastAsia" w:ascii="Times New Roman" w:hAnsi="Times New Roman" w:cs="Times New Roman"/>
                <w:b w:val="0"/>
                <w:bCs w:val="0"/>
                <w:caps w:val="0"/>
                <w:color w:val="auto"/>
                <w:spacing w:val="0"/>
                <w:kern w:val="0"/>
                <w:position w:val="0"/>
                <w:sz w:val="24"/>
                <w:szCs w:val="24"/>
                <w:highlight w:val="none"/>
                <w:lang w:val="en-US" w:eastAsia="zh-CN"/>
              </w:rPr>
              <w:t>过程中产生的废混凝土</w:t>
            </w:r>
            <w:r>
              <w:rPr>
                <w:rFonts w:hint="eastAsia" w:cs="Times New Roman"/>
                <w:b w:val="0"/>
                <w:bCs w:val="0"/>
                <w:caps w:val="0"/>
                <w:color w:val="auto"/>
                <w:spacing w:val="0"/>
                <w:kern w:val="0"/>
                <w:position w:val="0"/>
                <w:sz w:val="24"/>
                <w:szCs w:val="24"/>
                <w:highlight w:val="none"/>
                <w:lang w:val="en-US" w:eastAsia="zh-CN"/>
              </w:rPr>
              <w:t>渣</w:t>
            </w:r>
            <w:r>
              <w:rPr>
                <w:rFonts w:hint="eastAsia" w:ascii="Times New Roman" w:hAnsi="Times New Roman" w:cs="Times New Roman"/>
                <w:b w:val="0"/>
                <w:bCs w:val="0"/>
                <w:caps w:val="0"/>
                <w:color w:val="auto"/>
                <w:spacing w:val="0"/>
                <w:kern w:val="0"/>
                <w:position w:val="0"/>
                <w:sz w:val="24"/>
                <w:szCs w:val="24"/>
                <w:highlight w:val="none"/>
                <w:lang w:val="en-US" w:eastAsia="zh-CN"/>
              </w:rPr>
              <w:t>约为3t/a，属于一般工业固体废物。</w:t>
            </w:r>
            <w:r>
              <w:rPr>
                <w:rFonts w:hint="eastAsia" w:ascii="Times New Roman" w:cs="Times New Roman"/>
                <w:b w:val="0"/>
                <w:bCs w:val="0"/>
                <w:caps w:val="0"/>
                <w:color w:val="auto"/>
                <w:spacing w:val="0"/>
                <w:kern w:val="0"/>
                <w:position w:val="0"/>
                <w:sz w:val="24"/>
                <w:szCs w:val="24"/>
                <w:highlight w:val="none"/>
                <w:lang w:val="en-US" w:eastAsia="zh-CN"/>
              </w:rPr>
              <w:t>根据《固体废物分类与代码目录》，</w:t>
            </w:r>
            <w:r>
              <w:rPr>
                <w:rFonts w:hint="default" w:ascii="Times New Roman" w:hAnsi="Times New Roman" w:eastAsia="宋体" w:cs="Times New Roman"/>
                <w:b w:val="0"/>
                <w:bCs w:val="0"/>
                <w:caps w:val="0"/>
                <w:color w:val="auto"/>
                <w:spacing w:val="0"/>
                <w:kern w:val="0"/>
                <w:position w:val="0"/>
                <w:sz w:val="24"/>
                <w:szCs w:val="24"/>
                <w:highlight w:val="none"/>
              </w:rPr>
              <w:t>废物种类</w:t>
            </w:r>
            <w:r>
              <w:rPr>
                <w:rFonts w:hint="eastAsia" w:ascii="Times New Roman" w:cs="Times New Roman"/>
                <w:b w:val="0"/>
                <w:bCs w:val="0"/>
                <w:caps w:val="0"/>
                <w:color w:val="auto"/>
                <w:spacing w:val="0"/>
                <w:kern w:val="0"/>
                <w:position w:val="0"/>
                <w:sz w:val="24"/>
                <w:szCs w:val="24"/>
                <w:highlight w:val="none"/>
                <w:lang w:val="en-US" w:eastAsia="zh-CN"/>
              </w:rPr>
              <w:t>为</w:t>
            </w:r>
            <w:r>
              <w:rPr>
                <w:rFonts w:hint="default" w:ascii="Times New Roman" w:hAnsi="Times New Roman" w:eastAsia="宋体" w:cs="Times New Roman"/>
                <w:b w:val="0"/>
                <w:bCs w:val="0"/>
                <w:caps w:val="0"/>
                <w:color w:val="auto"/>
                <w:spacing w:val="0"/>
                <w:kern w:val="0"/>
                <w:position w:val="0"/>
                <w:sz w:val="24"/>
                <w:szCs w:val="24"/>
                <w:highlight w:val="none"/>
              </w:rPr>
              <w:t>SW</w:t>
            </w:r>
            <w:r>
              <w:rPr>
                <w:rFonts w:hint="eastAsia" w:ascii="Times New Roman" w:hAnsi="Times New Roman" w:eastAsia="宋体" w:cs="Times New Roman"/>
                <w:b w:val="0"/>
                <w:bCs w:val="0"/>
                <w:caps w:val="0"/>
                <w:color w:val="auto"/>
                <w:spacing w:val="0"/>
                <w:kern w:val="0"/>
                <w:position w:val="0"/>
                <w:sz w:val="24"/>
                <w:szCs w:val="24"/>
                <w:highlight w:val="none"/>
                <w:lang w:val="en-US" w:eastAsia="zh-CN"/>
              </w:rPr>
              <w:t>59</w:t>
            </w:r>
            <w:r>
              <w:rPr>
                <w:rFonts w:hint="default" w:ascii="Times New Roman" w:hAnsi="Times New Roman" w:eastAsia="宋体" w:cs="Times New Roman"/>
                <w:b w:val="0"/>
                <w:bCs w:val="0"/>
                <w:caps w:val="0"/>
                <w:color w:val="auto"/>
                <w:spacing w:val="0"/>
                <w:kern w:val="0"/>
                <w:position w:val="0"/>
                <w:sz w:val="24"/>
                <w:szCs w:val="24"/>
                <w:highlight w:val="none"/>
              </w:rPr>
              <w:t>，废物代码900-099-S59，外售</w:t>
            </w:r>
            <w:r>
              <w:rPr>
                <w:rFonts w:hint="eastAsia" w:ascii="Times New Roman" w:hAnsi="Times New Roman" w:cs="Times New Roman"/>
                <w:b w:val="0"/>
                <w:bCs w:val="0"/>
                <w:caps w:val="0"/>
                <w:color w:val="auto"/>
                <w:spacing w:val="0"/>
                <w:kern w:val="0"/>
                <w:position w:val="0"/>
                <w:sz w:val="24"/>
                <w:szCs w:val="24"/>
                <w:highlight w:val="none"/>
                <w:lang w:val="en-US" w:eastAsia="zh-CN"/>
              </w:rPr>
              <w:t>综合利用。</w:t>
            </w:r>
          </w:p>
          <w:p w14:paraId="34527C71">
            <w:pPr>
              <w:keepNext w:val="0"/>
              <w:keepLines w:val="0"/>
              <w:pageBreakBefore w:val="0"/>
              <w:widowControl w:val="0"/>
              <w:numPr>
                <w:ilvl w:val="2"/>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lang w:val="en-US" w:eastAsia="zh-CN"/>
              </w:rPr>
            </w:pPr>
            <w:r>
              <w:rPr>
                <w:rFonts w:hint="eastAsia" w:ascii="Times New Roman" w:hAnsi="Times New Roman" w:eastAsia="宋体" w:cs="Times New Roman"/>
                <w:b w:val="0"/>
                <w:bCs w:val="0"/>
                <w:caps w:val="0"/>
                <w:color w:val="auto"/>
                <w:spacing w:val="0"/>
                <w:kern w:val="0"/>
                <w:position w:val="0"/>
                <w:sz w:val="24"/>
                <w:szCs w:val="24"/>
                <w:highlight w:val="none"/>
                <w:lang w:val="en-US" w:eastAsia="zh-CN"/>
              </w:rPr>
              <w:t>废脱模剂包装桶</w:t>
            </w:r>
          </w:p>
          <w:p w14:paraId="00FF8509">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cs="Times New Roman"/>
                <w:b w:val="0"/>
                <w:bCs w:val="0"/>
                <w:caps w:val="0"/>
                <w:color w:val="auto"/>
                <w:spacing w:val="0"/>
                <w:kern w:val="0"/>
                <w:position w:val="0"/>
                <w:sz w:val="24"/>
                <w:szCs w:val="24"/>
                <w:highlight w:val="none"/>
                <w:lang w:val="en-US" w:eastAsia="zh-CN"/>
              </w:rPr>
            </w:pPr>
            <w:r>
              <w:rPr>
                <w:rFonts w:hint="eastAsia" w:ascii="Times New Roman" w:hAnsi="Times New Roman" w:cs="Times New Roman"/>
                <w:b w:val="0"/>
                <w:bCs w:val="0"/>
                <w:caps w:val="0"/>
                <w:color w:val="auto"/>
                <w:spacing w:val="0"/>
                <w:kern w:val="0"/>
                <w:position w:val="0"/>
                <w:sz w:val="24"/>
                <w:szCs w:val="24"/>
                <w:highlight w:val="none"/>
                <w:lang w:val="en-US" w:eastAsia="zh-CN"/>
              </w:rPr>
              <w:t>根据企业提供资料，废脱模剂包装桶产生量约为0.1</w:t>
            </w:r>
            <w:r>
              <w:rPr>
                <w:rFonts w:hint="eastAsia" w:cs="Times New Roman"/>
                <w:b w:val="0"/>
                <w:bCs w:val="0"/>
                <w:caps w:val="0"/>
                <w:color w:val="auto"/>
                <w:spacing w:val="0"/>
                <w:kern w:val="0"/>
                <w:position w:val="0"/>
                <w:sz w:val="24"/>
                <w:szCs w:val="24"/>
                <w:highlight w:val="none"/>
                <w:lang w:val="en-US" w:eastAsia="zh-CN"/>
              </w:rPr>
              <w:t>5</w:t>
            </w:r>
            <w:r>
              <w:rPr>
                <w:rFonts w:hint="eastAsia" w:ascii="Times New Roman" w:hAnsi="Times New Roman" w:cs="Times New Roman"/>
                <w:b w:val="0"/>
                <w:bCs w:val="0"/>
                <w:caps w:val="0"/>
                <w:color w:val="auto"/>
                <w:spacing w:val="0"/>
                <w:kern w:val="0"/>
                <w:position w:val="0"/>
                <w:sz w:val="24"/>
                <w:szCs w:val="24"/>
                <w:highlight w:val="none"/>
                <w:lang w:val="en-US" w:eastAsia="zh-CN"/>
              </w:rPr>
              <w:t>t/a，属于一般工业固体废物。</w:t>
            </w:r>
            <w:r>
              <w:rPr>
                <w:rFonts w:hint="eastAsia" w:ascii="Times New Roman" w:cs="Times New Roman"/>
                <w:b w:val="0"/>
                <w:bCs w:val="0"/>
                <w:caps w:val="0"/>
                <w:color w:val="auto"/>
                <w:spacing w:val="0"/>
                <w:kern w:val="0"/>
                <w:position w:val="0"/>
                <w:sz w:val="24"/>
                <w:szCs w:val="24"/>
                <w:highlight w:val="none"/>
                <w:lang w:val="en-US" w:eastAsia="zh-CN"/>
              </w:rPr>
              <w:t>根据《固体废物分类与代码目录》，废物种类为SW17，废物</w:t>
            </w:r>
            <w:r>
              <w:rPr>
                <w:rFonts w:hint="eastAsia" w:ascii="Times New Roman" w:hAnsi="Times New Roman" w:cs="Times New Roman"/>
                <w:b w:val="0"/>
                <w:bCs w:val="0"/>
                <w:caps w:val="0"/>
                <w:color w:val="auto"/>
                <w:spacing w:val="0"/>
                <w:kern w:val="0"/>
                <w:position w:val="0"/>
                <w:sz w:val="24"/>
                <w:szCs w:val="24"/>
                <w:highlight w:val="none"/>
                <w:lang w:val="en-US" w:eastAsia="zh-CN"/>
              </w:rPr>
              <w:t>代码为900-003-S17，</w:t>
            </w:r>
            <w:r>
              <w:rPr>
                <w:rFonts w:hint="default" w:ascii="Times New Roman" w:hAnsi="Times New Roman" w:eastAsia="宋体" w:cs="Times New Roman"/>
                <w:b w:val="0"/>
                <w:bCs w:val="0"/>
                <w:caps w:val="0"/>
                <w:color w:val="auto"/>
                <w:spacing w:val="0"/>
                <w:kern w:val="0"/>
                <w:position w:val="0"/>
                <w:sz w:val="24"/>
                <w:szCs w:val="24"/>
                <w:highlight w:val="none"/>
              </w:rPr>
              <w:t>外售</w:t>
            </w:r>
            <w:r>
              <w:rPr>
                <w:rFonts w:hint="eastAsia" w:ascii="Times New Roman" w:hAnsi="Times New Roman" w:cs="Times New Roman"/>
                <w:b w:val="0"/>
                <w:bCs w:val="0"/>
                <w:caps w:val="0"/>
                <w:color w:val="auto"/>
                <w:spacing w:val="0"/>
                <w:kern w:val="0"/>
                <w:position w:val="0"/>
                <w:sz w:val="24"/>
                <w:szCs w:val="24"/>
                <w:highlight w:val="none"/>
                <w:lang w:val="en-US" w:eastAsia="zh-CN"/>
              </w:rPr>
              <w:t>综合利用。</w:t>
            </w:r>
          </w:p>
          <w:p w14:paraId="47BF4FE8">
            <w:pPr>
              <w:keepNext w:val="0"/>
              <w:keepLines w:val="0"/>
              <w:pageBreakBefore w:val="0"/>
              <w:widowControl w:val="0"/>
              <w:numPr>
                <w:ilvl w:val="2"/>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lang w:val="en-US" w:eastAsia="zh-CN"/>
              </w:rPr>
            </w:pPr>
            <w:r>
              <w:rPr>
                <w:rFonts w:hint="eastAsia" w:ascii="Times New Roman" w:hAnsi="Times New Roman" w:eastAsia="宋体" w:cs="Times New Roman"/>
                <w:b w:val="0"/>
                <w:bCs w:val="0"/>
                <w:caps w:val="0"/>
                <w:color w:val="auto"/>
                <w:spacing w:val="0"/>
                <w:kern w:val="0"/>
                <w:position w:val="0"/>
                <w:sz w:val="24"/>
                <w:szCs w:val="24"/>
                <w:highlight w:val="none"/>
                <w:lang w:val="en-US" w:eastAsia="zh-CN"/>
              </w:rPr>
              <w:t>不合格品</w:t>
            </w:r>
          </w:p>
          <w:p w14:paraId="4CB56EB4">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cs="Times New Roman"/>
                <w:b w:val="0"/>
                <w:bCs w:val="0"/>
                <w:caps w:val="0"/>
                <w:color w:val="auto"/>
                <w:spacing w:val="0"/>
                <w:kern w:val="0"/>
                <w:position w:val="0"/>
                <w:sz w:val="24"/>
                <w:szCs w:val="24"/>
                <w:highlight w:val="none"/>
                <w:lang w:val="en-US" w:eastAsia="zh-CN"/>
              </w:rPr>
            </w:pPr>
            <w:r>
              <w:rPr>
                <w:rFonts w:hint="eastAsia" w:ascii="Times New Roman" w:hAnsi="Times New Roman" w:cs="Times New Roman"/>
                <w:b w:val="0"/>
                <w:bCs w:val="0"/>
                <w:caps w:val="0"/>
                <w:color w:val="auto"/>
                <w:spacing w:val="0"/>
                <w:kern w:val="0"/>
                <w:position w:val="0"/>
                <w:sz w:val="24"/>
                <w:szCs w:val="24"/>
                <w:highlight w:val="none"/>
                <w:lang w:val="en-US" w:eastAsia="zh-CN"/>
              </w:rPr>
              <w:t>根据企业提供资料，成品检查时会产生少部分不合格品，产生量约为10t/a，属于一般工业固体废物。</w:t>
            </w:r>
            <w:r>
              <w:rPr>
                <w:rFonts w:hint="eastAsia" w:ascii="Times New Roman" w:cs="Times New Roman"/>
                <w:b w:val="0"/>
                <w:bCs w:val="0"/>
                <w:caps w:val="0"/>
                <w:color w:val="auto"/>
                <w:spacing w:val="0"/>
                <w:kern w:val="0"/>
                <w:position w:val="0"/>
                <w:sz w:val="24"/>
                <w:szCs w:val="24"/>
                <w:highlight w:val="none"/>
                <w:lang w:val="en-US" w:eastAsia="zh-CN"/>
              </w:rPr>
              <w:t>根据《固体废物分类与代码目录》，</w:t>
            </w:r>
            <w:r>
              <w:rPr>
                <w:rFonts w:hint="default" w:ascii="Times New Roman" w:hAnsi="Times New Roman" w:eastAsia="宋体" w:cs="Times New Roman"/>
                <w:b w:val="0"/>
                <w:bCs w:val="0"/>
                <w:caps w:val="0"/>
                <w:color w:val="auto"/>
                <w:spacing w:val="0"/>
                <w:kern w:val="0"/>
                <w:position w:val="0"/>
                <w:sz w:val="24"/>
                <w:szCs w:val="24"/>
                <w:highlight w:val="none"/>
              </w:rPr>
              <w:t>废物种类</w:t>
            </w:r>
            <w:r>
              <w:rPr>
                <w:rFonts w:hint="eastAsia" w:ascii="Times New Roman" w:cs="Times New Roman"/>
                <w:b w:val="0"/>
                <w:bCs w:val="0"/>
                <w:caps w:val="0"/>
                <w:color w:val="auto"/>
                <w:spacing w:val="0"/>
                <w:kern w:val="0"/>
                <w:position w:val="0"/>
                <w:sz w:val="24"/>
                <w:szCs w:val="24"/>
                <w:highlight w:val="none"/>
                <w:lang w:val="en-US" w:eastAsia="zh-CN"/>
              </w:rPr>
              <w:t>为</w:t>
            </w:r>
            <w:r>
              <w:rPr>
                <w:rFonts w:hint="default" w:ascii="Times New Roman" w:hAnsi="Times New Roman" w:eastAsia="宋体" w:cs="Times New Roman"/>
                <w:b w:val="0"/>
                <w:bCs w:val="0"/>
                <w:caps w:val="0"/>
                <w:color w:val="auto"/>
                <w:spacing w:val="0"/>
                <w:kern w:val="0"/>
                <w:position w:val="0"/>
                <w:sz w:val="24"/>
                <w:szCs w:val="24"/>
                <w:highlight w:val="none"/>
              </w:rPr>
              <w:t>SW</w:t>
            </w:r>
            <w:r>
              <w:rPr>
                <w:rFonts w:hint="eastAsia" w:ascii="Times New Roman" w:hAnsi="Times New Roman" w:eastAsia="宋体" w:cs="Times New Roman"/>
                <w:b w:val="0"/>
                <w:bCs w:val="0"/>
                <w:caps w:val="0"/>
                <w:color w:val="auto"/>
                <w:spacing w:val="0"/>
                <w:kern w:val="0"/>
                <w:position w:val="0"/>
                <w:sz w:val="24"/>
                <w:szCs w:val="24"/>
                <w:highlight w:val="none"/>
                <w:lang w:val="en-US" w:eastAsia="zh-CN"/>
              </w:rPr>
              <w:t>59</w:t>
            </w:r>
            <w:r>
              <w:rPr>
                <w:rFonts w:hint="default" w:ascii="Times New Roman" w:hAnsi="Times New Roman" w:eastAsia="宋体" w:cs="Times New Roman"/>
                <w:b w:val="0"/>
                <w:bCs w:val="0"/>
                <w:caps w:val="0"/>
                <w:color w:val="auto"/>
                <w:spacing w:val="0"/>
                <w:kern w:val="0"/>
                <w:position w:val="0"/>
                <w:sz w:val="24"/>
                <w:szCs w:val="24"/>
                <w:highlight w:val="none"/>
              </w:rPr>
              <w:t>，废物代码900-099-S59，外售</w:t>
            </w:r>
            <w:r>
              <w:rPr>
                <w:rFonts w:hint="eastAsia" w:ascii="Times New Roman" w:hAnsi="Times New Roman" w:cs="Times New Roman"/>
                <w:b w:val="0"/>
                <w:bCs w:val="0"/>
                <w:caps w:val="0"/>
                <w:color w:val="auto"/>
                <w:spacing w:val="0"/>
                <w:kern w:val="0"/>
                <w:position w:val="0"/>
                <w:sz w:val="24"/>
                <w:szCs w:val="24"/>
                <w:highlight w:val="none"/>
                <w:lang w:val="en-US" w:eastAsia="zh-CN"/>
              </w:rPr>
              <w:t>综合利用。</w:t>
            </w:r>
          </w:p>
          <w:p w14:paraId="1183AF10">
            <w:pPr>
              <w:keepNext w:val="0"/>
              <w:keepLines w:val="0"/>
              <w:pageBreakBefore w:val="0"/>
              <w:widowControl w:val="0"/>
              <w:numPr>
                <w:ilvl w:val="2"/>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lang w:val="en-US" w:eastAsia="zh-CN"/>
              </w:rPr>
            </w:pPr>
            <w:r>
              <w:rPr>
                <w:rFonts w:hint="default" w:ascii="Times New Roman" w:hAnsi="Times New Roman" w:eastAsia="宋体" w:cs="Times New Roman"/>
                <w:b w:val="0"/>
                <w:bCs w:val="0"/>
                <w:caps w:val="0"/>
                <w:color w:val="auto"/>
                <w:spacing w:val="0"/>
                <w:kern w:val="0"/>
                <w:position w:val="0"/>
                <w:sz w:val="24"/>
                <w:szCs w:val="24"/>
                <w:highlight w:val="none"/>
                <w:lang w:val="en-US" w:eastAsia="zh-CN"/>
              </w:rPr>
              <w:t>废润滑油</w:t>
            </w:r>
          </w:p>
          <w:p w14:paraId="2476C058">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eastAsia" w:ascii="Times New Roman" w:hAnsi="Times New Roman" w:cs="Times New Roman"/>
                <w:b w:val="0"/>
                <w:bCs w:val="0"/>
                <w:caps w:val="0"/>
                <w:color w:val="auto"/>
                <w:spacing w:val="0"/>
                <w:kern w:val="0"/>
                <w:position w:val="0"/>
                <w:sz w:val="24"/>
                <w:szCs w:val="24"/>
                <w:highlight w:val="none"/>
                <w:lang w:val="en-US" w:eastAsia="zh-CN"/>
              </w:rPr>
              <w:t>根据企业提供资料，</w:t>
            </w:r>
            <w:r>
              <w:rPr>
                <w:rFonts w:hint="default" w:ascii="Times New Roman" w:hAnsi="Times New Roman" w:eastAsia="宋体" w:cs="Times New Roman"/>
                <w:b w:val="0"/>
                <w:bCs w:val="0"/>
                <w:caps w:val="0"/>
                <w:color w:val="auto"/>
                <w:spacing w:val="0"/>
                <w:kern w:val="0"/>
                <w:position w:val="0"/>
                <w:sz w:val="24"/>
                <w:szCs w:val="24"/>
                <w:highlight w:val="none"/>
              </w:rPr>
              <w:t>设备检修时</w:t>
            </w:r>
            <w:r>
              <w:rPr>
                <w:rFonts w:hint="eastAsia" w:ascii="Times New Roman" w:hAnsi="Times New Roman" w:cs="Times New Roman"/>
                <w:b w:val="0"/>
                <w:bCs w:val="0"/>
                <w:caps w:val="0"/>
                <w:color w:val="auto"/>
                <w:spacing w:val="0"/>
                <w:kern w:val="0"/>
                <w:position w:val="0"/>
                <w:sz w:val="24"/>
                <w:szCs w:val="24"/>
                <w:highlight w:val="none"/>
                <w:lang w:val="en-US" w:eastAsia="zh-CN"/>
              </w:rPr>
              <w:t>产生的</w:t>
            </w:r>
            <w:r>
              <w:rPr>
                <w:rFonts w:hint="default" w:ascii="Times New Roman" w:hAnsi="Times New Roman" w:eastAsia="宋体" w:cs="Times New Roman"/>
                <w:b w:val="0"/>
                <w:bCs w:val="0"/>
                <w:caps w:val="0"/>
                <w:color w:val="auto"/>
                <w:spacing w:val="0"/>
                <w:kern w:val="0"/>
                <w:position w:val="0"/>
                <w:sz w:val="24"/>
                <w:szCs w:val="24"/>
                <w:highlight w:val="none"/>
              </w:rPr>
              <w:t>废润滑油约为0.</w:t>
            </w:r>
            <w:r>
              <w:rPr>
                <w:rFonts w:hint="eastAsia" w:ascii="Times New Roman" w:hAnsi="Times New Roman" w:cs="Times New Roman"/>
                <w:b w:val="0"/>
                <w:bCs w:val="0"/>
                <w:caps w:val="0"/>
                <w:color w:val="auto"/>
                <w:spacing w:val="0"/>
                <w:kern w:val="0"/>
                <w:position w:val="0"/>
                <w:sz w:val="24"/>
                <w:szCs w:val="24"/>
                <w:highlight w:val="none"/>
                <w:lang w:val="en-US" w:eastAsia="zh-CN"/>
              </w:rPr>
              <w:t>05</w:t>
            </w:r>
            <w:r>
              <w:rPr>
                <w:rFonts w:hint="default" w:ascii="Times New Roman" w:hAnsi="Times New Roman" w:eastAsia="宋体" w:cs="Times New Roman"/>
                <w:b w:val="0"/>
                <w:bCs w:val="0"/>
                <w:caps w:val="0"/>
                <w:color w:val="auto"/>
                <w:spacing w:val="0"/>
                <w:kern w:val="0"/>
                <w:position w:val="0"/>
                <w:sz w:val="24"/>
                <w:szCs w:val="24"/>
                <w:highlight w:val="none"/>
              </w:rPr>
              <w:t>t/a，根据《国家危险废物名录》（2025年版），</w:t>
            </w:r>
            <w:r>
              <w:rPr>
                <w:rFonts w:hint="eastAsia" w:ascii="Times New Roman" w:hAnsi="Times New Roman" w:cs="Times New Roman"/>
                <w:b w:val="0"/>
                <w:bCs w:val="0"/>
                <w:caps w:val="0"/>
                <w:color w:val="auto"/>
                <w:spacing w:val="0"/>
                <w:kern w:val="0"/>
                <w:position w:val="0"/>
                <w:sz w:val="24"/>
                <w:szCs w:val="24"/>
                <w:highlight w:val="none"/>
                <w:lang w:val="en-US" w:eastAsia="zh-CN"/>
              </w:rPr>
              <w:t>其</w:t>
            </w:r>
            <w:r>
              <w:rPr>
                <w:rFonts w:hint="default" w:ascii="Times New Roman" w:hAnsi="Times New Roman" w:eastAsia="宋体" w:cs="Times New Roman"/>
                <w:b w:val="0"/>
                <w:bCs w:val="0"/>
                <w:caps w:val="0"/>
                <w:color w:val="auto"/>
                <w:spacing w:val="0"/>
                <w:kern w:val="0"/>
                <w:position w:val="0"/>
                <w:sz w:val="24"/>
                <w:szCs w:val="24"/>
                <w:highlight w:val="none"/>
              </w:rPr>
              <w:t>属于危险废物，废物类别</w:t>
            </w:r>
            <w:r>
              <w:rPr>
                <w:rFonts w:hint="eastAsia" w:ascii="Times New Roman" w:hAnsi="Times New Roman" w:cs="Times New Roman"/>
                <w:b w:val="0"/>
                <w:bCs w:val="0"/>
                <w:caps w:val="0"/>
                <w:color w:val="auto"/>
                <w:spacing w:val="0"/>
                <w:kern w:val="0"/>
                <w:position w:val="0"/>
                <w:sz w:val="24"/>
                <w:szCs w:val="24"/>
                <w:highlight w:val="none"/>
                <w:lang w:val="en-US" w:eastAsia="zh-CN"/>
              </w:rPr>
              <w:t>为</w:t>
            </w:r>
            <w:r>
              <w:rPr>
                <w:rFonts w:hint="default" w:ascii="Times New Roman" w:hAnsi="Times New Roman" w:eastAsia="宋体" w:cs="Times New Roman"/>
                <w:b w:val="0"/>
                <w:bCs w:val="0"/>
                <w:caps w:val="0"/>
                <w:color w:val="auto"/>
                <w:spacing w:val="0"/>
                <w:kern w:val="0"/>
                <w:position w:val="0"/>
                <w:sz w:val="24"/>
                <w:szCs w:val="24"/>
                <w:highlight w:val="none"/>
              </w:rPr>
              <w:t>HW08</w:t>
            </w:r>
            <w:r>
              <w:rPr>
                <w:rFonts w:hint="eastAsia" w:ascii="Times New Roman" w:hAnsi="Times New Roman" w:cs="Times New Roman"/>
                <w:b w:val="0"/>
                <w:bCs w:val="0"/>
                <w:caps w:val="0"/>
                <w:color w:val="auto"/>
                <w:spacing w:val="0"/>
                <w:kern w:val="0"/>
                <w:position w:val="0"/>
                <w:sz w:val="24"/>
                <w:szCs w:val="24"/>
                <w:highlight w:val="none"/>
                <w:lang w:eastAsia="zh-CN"/>
              </w:rPr>
              <w:t>，</w:t>
            </w:r>
            <w:r>
              <w:rPr>
                <w:rFonts w:hint="default" w:ascii="Times New Roman" w:hAnsi="Times New Roman" w:eastAsia="宋体" w:cs="Times New Roman"/>
                <w:b w:val="0"/>
                <w:bCs w:val="0"/>
                <w:caps w:val="0"/>
                <w:color w:val="auto"/>
                <w:spacing w:val="0"/>
                <w:kern w:val="0"/>
                <w:position w:val="0"/>
                <w:sz w:val="24"/>
                <w:szCs w:val="24"/>
                <w:highlight w:val="none"/>
              </w:rPr>
              <w:t>废物代码</w:t>
            </w:r>
            <w:r>
              <w:rPr>
                <w:rFonts w:hint="eastAsia" w:ascii="Times New Roman" w:hAnsi="Times New Roman" w:cs="Times New Roman"/>
                <w:b w:val="0"/>
                <w:bCs w:val="0"/>
                <w:caps w:val="0"/>
                <w:color w:val="auto"/>
                <w:spacing w:val="0"/>
                <w:kern w:val="0"/>
                <w:position w:val="0"/>
                <w:sz w:val="24"/>
                <w:szCs w:val="24"/>
                <w:highlight w:val="none"/>
                <w:lang w:val="en-US" w:eastAsia="zh-CN"/>
              </w:rPr>
              <w:t>为</w:t>
            </w:r>
            <w:r>
              <w:rPr>
                <w:rFonts w:hint="default" w:ascii="Times New Roman" w:hAnsi="Times New Roman" w:eastAsia="宋体" w:cs="Times New Roman"/>
                <w:b w:val="0"/>
                <w:bCs w:val="0"/>
                <w:caps w:val="0"/>
                <w:color w:val="auto"/>
                <w:spacing w:val="0"/>
                <w:kern w:val="0"/>
                <w:position w:val="0"/>
                <w:sz w:val="24"/>
                <w:szCs w:val="24"/>
                <w:highlight w:val="none"/>
              </w:rPr>
              <w:t>900-249-08，委托有资质单位处理。</w:t>
            </w:r>
          </w:p>
          <w:p w14:paraId="2548BA30">
            <w:pPr>
              <w:keepNext w:val="0"/>
              <w:keepLines w:val="0"/>
              <w:pageBreakBefore w:val="0"/>
              <w:widowControl w:val="0"/>
              <w:numPr>
                <w:ilvl w:val="2"/>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lang w:val="en-US" w:eastAsia="zh-CN"/>
              </w:rPr>
            </w:pPr>
            <w:r>
              <w:rPr>
                <w:rFonts w:hint="default" w:ascii="Times New Roman" w:hAnsi="Times New Roman" w:eastAsia="宋体" w:cs="Times New Roman"/>
                <w:b w:val="0"/>
                <w:bCs w:val="0"/>
                <w:caps w:val="0"/>
                <w:color w:val="auto"/>
                <w:spacing w:val="0"/>
                <w:kern w:val="0"/>
                <w:position w:val="0"/>
                <w:sz w:val="24"/>
                <w:szCs w:val="24"/>
                <w:highlight w:val="none"/>
                <w:lang w:val="en-US" w:eastAsia="zh-CN"/>
              </w:rPr>
              <w:t>废润滑油桶</w:t>
            </w:r>
          </w:p>
          <w:p w14:paraId="398DE79E">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lang w:eastAsia="zh-CN"/>
              </w:rPr>
            </w:pPr>
            <w:r>
              <w:rPr>
                <w:rFonts w:hint="eastAsia" w:ascii="Times New Roman" w:hAnsi="Times New Roman" w:cs="Times New Roman"/>
                <w:b w:val="0"/>
                <w:bCs w:val="0"/>
                <w:caps w:val="0"/>
                <w:color w:val="auto"/>
                <w:spacing w:val="0"/>
                <w:kern w:val="0"/>
                <w:position w:val="0"/>
                <w:sz w:val="24"/>
                <w:szCs w:val="24"/>
                <w:highlight w:val="none"/>
                <w:lang w:val="en-US" w:eastAsia="zh-CN"/>
              </w:rPr>
              <w:t>根据企业提供资料，</w:t>
            </w:r>
            <w:r>
              <w:rPr>
                <w:rFonts w:hint="default" w:ascii="Times New Roman" w:hAnsi="Times New Roman" w:eastAsia="宋体" w:cs="Times New Roman"/>
                <w:b w:val="0"/>
                <w:bCs w:val="0"/>
                <w:caps w:val="0"/>
                <w:color w:val="auto"/>
                <w:spacing w:val="0"/>
                <w:kern w:val="0"/>
                <w:position w:val="0"/>
                <w:sz w:val="24"/>
                <w:szCs w:val="24"/>
                <w:highlight w:val="none"/>
              </w:rPr>
              <w:t>废润滑油桶</w:t>
            </w:r>
            <w:r>
              <w:rPr>
                <w:rFonts w:hint="eastAsia" w:ascii="Times New Roman" w:hAnsi="Times New Roman" w:cs="Times New Roman"/>
                <w:b w:val="0"/>
                <w:bCs w:val="0"/>
                <w:caps w:val="0"/>
                <w:color w:val="auto"/>
                <w:spacing w:val="0"/>
                <w:kern w:val="0"/>
                <w:position w:val="0"/>
                <w:sz w:val="24"/>
                <w:szCs w:val="24"/>
                <w:highlight w:val="none"/>
                <w:lang w:val="en-US" w:eastAsia="zh-CN"/>
              </w:rPr>
              <w:t>产生量约为10</w:t>
            </w:r>
            <w:r>
              <w:rPr>
                <w:rFonts w:hint="default" w:ascii="Times New Roman" w:hAnsi="Times New Roman" w:eastAsia="宋体" w:cs="Times New Roman"/>
                <w:b w:val="0"/>
                <w:bCs w:val="0"/>
                <w:caps w:val="0"/>
                <w:color w:val="auto"/>
                <w:spacing w:val="0"/>
                <w:kern w:val="0"/>
                <w:position w:val="0"/>
                <w:sz w:val="24"/>
                <w:szCs w:val="24"/>
                <w:highlight w:val="none"/>
              </w:rPr>
              <w:t>个</w:t>
            </w:r>
            <w:r>
              <w:rPr>
                <w:rFonts w:hint="eastAsia" w:ascii="Times New Roman" w:hAnsi="Times New Roman" w:cs="Times New Roman"/>
                <w:b w:val="0"/>
                <w:bCs w:val="0"/>
                <w:caps w:val="0"/>
                <w:color w:val="auto"/>
                <w:spacing w:val="0"/>
                <w:kern w:val="0"/>
                <w:position w:val="0"/>
                <w:sz w:val="24"/>
                <w:szCs w:val="24"/>
                <w:highlight w:val="none"/>
                <w:lang w:val="en-US" w:eastAsia="zh-CN"/>
              </w:rPr>
              <w:t>/a</w:t>
            </w:r>
            <w:r>
              <w:rPr>
                <w:rFonts w:hint="default" w:ascii="Times New Roman" w:hAnsi="Times New Roman" w:eastAsia="宋体" w:cs="Times New Roman"/>
                <w:b w:val="0"/>
                <w:bCs w:val="0"/>
                <w:caps w:val="0"/>
                <w:color w:val="auto"/>
                <w:spacing w:val="0"/>
                <w:kern w:val="0"/>
                <w:position w:val="0"/>
                <w:sz w:val="24"/>
                <w:szCs w:val="24"/>
                <w:highlight w:val="none"/>
              </w:rPr>
              <w:t>，</w:t>
            </w:r>
            <w:r>
              <w:rPr>
                <w:rFonts w:hint="eastAsia" w:ascii="Times New Roman" w:hAnsi="Times New Roman" w:cs="Times New Roman"/>
                <w:b w:val="0"/>
                <w:bCs w:val="0"/>
                <w:caps w:val="0"/>
                <w:color w:val="auto"/>
                <w:spacing w:val="0"/>
                <w:kern w:val="0"/>
                <w:position w:val="0"/>
                <w:sz w:val="24"/>
                <w:szCs w:val="24"/>
                <w:highlight w:val="none"/>
                <w:lang w:val="en-US" w:eastAsia="zh-CN"/>
              </w:rPr>
              <w:t>单</w:t>
            </w:r>
            <w:r>
              <w:rPr>
                <w:rFonts w:hint="default" w:ascii="Times New Roman" w:hAnsi="Times New Roman" w:eastAsia="宋体" w:cs="Times New Roman"/>
                <w:b w:val="0"/>
                <w:bCs w:val="0"/>
                <w:caps w:val="0"/>
                <w:color w:val="auto"/>
                <w:spacing w:val="0"/>
                <w:kern w:val="0"/>
                <w:position w:val="0"/>
                <w:sz w:val="24"/>
                <w:szCs w:val="24"/>
                <w:highlight w:val="none"/>
              </w:rPr>
              <w:t>个废润滑油桶约</w:t>
            </w:r>
            <w:r>
              <w:rPr>
                <w:rFonts w:hint="eastAsia" w:ascii="Times New Roman" w:hAnsi="Times New Roman" w:cs="Times New Roman"/>
                <w:b w:val="0"/>
                <w:bCs w:val="0"/>
                <w:caps w:val="0"/>
                <w:color w:val="auto"/>
                <w:spacing w:val="0"/>
                <w:kern w:val="0"/>
                <w:position w:val="0"/>
                <w:sz w:val="24"/>
                <w:szCs w:val="24"/>
                <w:highlight w:val="none"/>
                <w:lang w:val="en-US" w:eastAsia="zh-CN"/>
              </w:rPr>
              <w:t>为</w:t>
            </w:r>
            <w:r>
              <w:rPr>
                <w:rFonts w:hint="default" w:ascii="Times New Roman" w:hAnsi="Times New Roman" w:eastAsia="宋体" w:cs="Times New Roman"/>
                <w:b w:val="0"/>
                <w:bCs w:val="0"/>
                <w:caps w:val="0"/>
                <w:color w:val="auto"/>
                <w:spacing w:val="0"/>
                <w:kern w:val="0"/>
                <w:position w:val="0"/>
                <w:sz w:val="24"/>
                <w:szCs w:val="24"/>
                <w:highlight w:val="none"/>
              </w:rPr>
              <w:t>1kg，则</w:t>
            </w:r>
            <w:r>
              <w:rPr>
                <w:rFonts w:hint="eastAsia" w:ascii="Times New Roman" w:hAnsi="Times New Roman" w:cs="Times New Roman"/>
                <w:b w:val="0"/>
                <w:bCs w:val="0"/>
                <w:caps w:val="0"/>
                <w:color w:val="auto"/>
                <w:spacing w:val="0"/>
                <w:kern w:val="0"/>
                <w:position w:val="0"/>
                <w:sz w:val="24"/>
                <w:szCs w:val="24"/>
                <w:highlight w:val="none"/>
                <w:lang w:val="en-US" w:eastAsia="zh-CN"/>
              </w:rPr>
              <w:t>废润滑油桶</w:t>
            </w:r>
            <w:r>
              <w:rPr>
                <w:rFonts w:hint="default" w:ascii="Times New Roman" w:hAnsi="Times New Roman" w:eastAsia="宋体" w:cs="Times New Roman"/>
                <w:b w:val="0"/>
                <w:bCs w:val="0"/>
                <w:caps w:val="0"/>
                <w:color w:val="auto"/>
                <w:spacing w:val="0"/>
                <w:kern w:val="0"/>
                <w:position w:val="0"/>
                <w:sz w:val="24"/>
                <w:szCs w:val="24"/>
                <w:highlight w:val="none"/>
              </w:rPr>
              <w:t>产生量为0.0</w:t>
            </w:r>
            <w:r>
              <w:rPr>
                <w:rFonts w:hint="eastAsia" w:ascii="Times New Roman" w:hAnsi="Times New Roman" w:cs="Times New Roman"/>
                <w:b w:val="0"/>
                <w:bCs w:val="0"/>
                <w:caps w:val="0"/>
                <w:color w:val="auto"/>
                <w:spacing w:val="0"/>
                <w:kern w:val="0"/>
                <w:position w:val="0"/>
                <w:sz w:val="24"/>
                <w:szCs w:val="24"/>
                <w:highlight w:val="none"/>
                <w:lang w:val="en-US" w:eastAsia="zh-CN"/>
              </w:rPr>
              <w:t>1</w:t>
            </w:r>
            <w:r>
              <w:rPr>
                <w:rFonts w:hint="default" w:ascii="Times New Roman" w:hAnsi="Times New Roman" w:eastAsia="宋体" w:cs="Times New Roman"/>
                <w:b w:val="0"/>
                <w:bCs w:val="0"/>
                <w:caps w:val="0"/>
                <w:color w:val="auto"/>
                <w:spacing w:val="0"/>
                <w:kern w:val="0"/>
                <w:position w:val="0"/>
                <w:sz w:val="24"/>
                <w:szCs w:val="24"/>
                <w:highlight w:val="none"/>
              </w:rPr>
              <w:t>t/a，根据《国家危险废物名录》（2025年版），</w:t>
            </w:r>
            <w:r>
              <w:rPr>
                <w:rFonts w:hint="eastAsia" w:ascii="Times New Roman" w:hAnsi="Times New Roman" w:cs="Times New Roman"/>
                <w:b w:val="0"/>
                <w:bCs w:val="0"/>
                <w:caps w:val="0"/>
                <w:color w:val="auto"/>
                <w:spacing w:val="0"/>
                <w:kern w:val="0"/>
                <w:position w:val="0"/>
                <w:sz w:val="24"/>
                <w:szCs w:val="24"/>
                <w:highlight w:val="none"/>
                <w:lang w:val="en-US" w:eastAsia="zh-CN"/>
              </w:rPr>
              <w:t>其</w:t>
            </w:r>
            <w:r>
              <w:rPr>
                <w:rFonts w:hint="default" w:ascii="Times New Roman" w:hAnsi="Times New Roman" w:eastAsia="宋体" w:cs="Times New Roman"/>
                <w:b w:val="0"/>
                <w:bCs w:val="0"/>
                <w:caps w:val="0"/>
                <w:color w:val="auto"/>
                <w:spacing w:val="0"/>
                <w:kern w:val="0"/>
                <w:position w:val="0"/>
                <w:sz w:val="24"/>
                <w:szCs w:val="24"/>
                <w:highlight w:val="none"/>
              </w:rPr>
              <w:t>属于危险废物，废物类别</w:t>
            </w:r>
            <w:r>
              <w:rPr>
                <w:rFonts w:hint="eastAsia" w:ascii="Times New Roman" w:hAnsi="Times New Roman" w:cs="Times New Roman"/>
                <w:b w:val="0"/>
                <w:bCs w:val="0"/>
                <w:caps w:val="0"/>
                <w:color w:val="auto"/>
                <w:spacing w:val="0"/>
                <w:kern w:val="0"/>
                <w:position w:val="0"/>
                <w:sz w:val="24"/>
                <w:szCs w:val="24"/>
                <w:highlight w:val="none"/>
                <w:lang w:val="en-US" w:eastAsia="zh-CN"/>
              </w:rPr>
              <w:t>为</w:t>
            </w:r>
            <w:r>
              <w:rPr>
                <w:rFonts w:hint="default" w:ascii="Times New Roman" w:hAnsi="Times New Roman" w:eastAsia="宋体" w:cs="Times New Roman"/>
                <w:b w:val="0"/>
                <w:bCs w:val="0"/>
                <w:caps w:val="0"/>
                <w:color w:val="auto"/>
                <w:spacing w:val="0"/>
                <w:kern w:val="0"/>
                <w:position w:val="0"/>
                <w:sz w:val="24"/>
                <w:szCs w:val="24"/>
                <w:highlight w:val="none"/>
              </w:rPr>
              <w:t>HW49，废物代码</w:t>
            </w:r>
            <w:r>
              <w:rPr>
                <w:rFonts w:hint="eastAsia" w:ascii="Times New Roman" w:hAnsi="Times New Roman" w:cs="Times New Roman"/>
                <w:b w:val="0"/>
                <w:bCs w:val="0"/>
                <w:caps w:val="0"/>
                <w:color w:val="auto"/>
                <w:spacing w:val="0"/>
                <w:kern w:val="0"/>
                <w:position w:val="0"/>
                <w:sz w:val="24"/>
                <w:szCs w:val="24"/>
                <w:highlight w:val="none"/>
                <w:lang w:val="en-US" w:eastAsia="zh-CN"/>
              </w:rPr>
              <w:t>为</w:t>
            </w:r>
            <w:r>
              <w:rPr>
                <w:rFonts w:hint="default" w:ascii="Times New Roman" w:hAnsi="Times New Roman" w:eastAsia="宋体" w:cs="Times New Roman"/>
                <w:b w:val="0"/>
                <w:bCs w:val="0"/>
                <w:caps w:val="0"/>
                <w:color w:val="auto"/>
                <w:spacing w:val="0"/>
                <w:kern w:val="0"/>
                <w:position w:val="0"/>
                <w:sz w:val="24"/>
                <w:szCs w:val="24"/>
                <w:highlight w:val="none"/>
              </w:rPr>
              <w:t>900-041-49，委托有资质单位处理</w:t>
            </w:r>
            <w:r>
              <w:rPr>
                <w:rFonts w:hint="eastAsia" w:ascii="Times New Roman" w:hAnsi="Times New Roman" w:cs="Times New Roman"/>
                <w:b w:val="0"/>
                <w:bCs w:val="0"/>
                <w:caps w:val="0"/>
                <w:color w:val="auto"/>
                <w:spacing w:val="0"/>
                <w:kern w:val="0"/>
                <w:position w:val="0"/>
                <w:sz w:val="24"/>
                <w:szCs w:val="24"/>
                <w:highlight w:val="none"/>
                <w:lang w:eastAsia="zh-CN"/>
              </w:rPr>
              <w:t>。</w:t>
            </w:r>
          </w:p>
          <w:p w14:paraId="00B6E46B">
            <w:pPr>
              <w:keepNext w:val="0"/>
              <w:keepLines w:val="0"/>
              <w:pageBreakBefore w:val="0"/>
              <w:widowControl w:val="0"/>
              <w:numPr>
                <w:ilvl w:val="2"/>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lang w:val="en-US" w:eastAsia="zh-CN"/>
              </w:rPr>
            </w:pPr>
            <w:r>
              <w:rPr>
                <w:rFonts w:hint="eastAsia" w:cs="Times New Roman"/>
                <w:b w:val="0"/>
                <w:bCs w:val="0"/>
                <w:caps w:val="0"/>
                <w:color w:val="auto"/>
                <w:spacing w:val="0"/>
                <w:kern w:val="0"/>
                <w:position w:val="0"/>
                <w:sz w:val="24"/>
                <w:szCs w:val="24"/>
                <w:highlight w:val="none"/>
                <w:lang w:val="en-US" w:eastAsia="zh-CN"/>
              </w:rPr>
              <w:t>废吸油毡</w:t>
            </w:r>
          </w:p>
          <w:p w14:paraId="73F61319">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lang w:eastAsia="zh-CN"/>
              </w:rPr>
            </w:pPr>
            <w:r>
              <w:rPr>
                <w:rFonts w:hint="eastAsia" w:cs="Times New Roman"/>
                <w:b w:val="0"/>
                <w:bCs w:val="0"/>
                <w:caps w:val="0"/>
                <w:color w:val="auto"/>
                <w:spacing w:val="0"/>
                <w:kern w:val="0"/>
                <w:position w:val="0"/>
                <w:sz w:val="24"/>
                <w:szCs w:val="24"/>
                <w:highlight w:val="none"/>
                <w:lang w:val="en-US" w:eastAsia="zh-CN"/>
              </w:rPr>
              <w:t>设备检修过程会产生废弃的废吸油毡，产生量约0.01t/a，根据《国家危险废物名录》(2025年版)，危险废物类别为HW49，废物代码900-041-49，</w:t>
            </w:r>
            <w:r>
              <w:rPr>
                <w:rFonts w:hint="default" w:ascii="Times New Roman" w:hAnsi="Times New Roman" w:eastAsia="宋体" w:cs="Times New Roman"/>
                <w:b w:val="0"/>
                <w:bCs w:val="0"/>
                <w:caps w:val="0"/>
                <w:color w:val="auto"/>
                <w:spacing w:val="0"/>
                <w:kern w:val="0"/>
                <w:position w:val="0"/>
                <w:sz w:val="24"/>
                <w:szCs w:val="24"/>
                <w:highlight w:val="none"/>
              </w:rPr>
              <w:t>委托有资质单位处理</w:t>
            </w:r>
            <w:r>
              <w:rPr>
                <w:rFonts w:hint="eastAsia" w:ascii="Times New Roman" w:hAnsi="Times New Roman" w:cs="Times New Roman"/>
                <w:b w:val="0"/>
                <w:bCs w:val="0"/>
                <w:caps w:val="0"/>
                <w:color w:val="auto"/>
                <w:spacing w:val="0"/>
                <w:kern w:val="0"/>
                <w:position w:val="0"/>
                <w:sz w:val="24"/>
                <w:szCs w:val="24"/>
                <w:highlight w:val="none"/>
                <w:lang w:eastAsia="zh-CN"/>
              </w:rPr>
              <w:t>。</w:t>
            </w:r>
          </w:p>
          <w:p w14:paraId="3AABBC32">
            <w:pPr>
              <w:pStyle w:val="59"/>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val="en-US" w:eastAsia="zh-CN"/>
              </w:rPr>
              <w:t>综上，本项目产生的固体废物情况见下表。</w:t>
            </w:r>
          </w:p>
          <w:p w14:paraId="6AF068D7">
            <w:pPr>
              <w:keepNext w:val="0"/>
              <w:keepLines w:val="0"/>
              <w:pageBreakBefore w:val="0"/>
              <w:widowControl w:val="0"/>
              <w:numPr>
                <w:ilvl w:val="0"/>
                <w:numId w:val="8"/>
              </w:numPr>
              <w:tabs>
                <w:tab w:val="center" w:pos="0"/>
              </w:tabs>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snapToGrid w:val="0"/>
                <w:color w:val="auto"/>
                <w:spacing w:val="0"/>
                <w:kern w:val="0"/>
                <w:sz w:val="24"/>
                <w:lang w:val="en-US" w:eastAsia="zh-CN"/>
              </w:rPr>
            </w:pPr>
            <w:r>
              <w:rPr>
                <w:rFonts w:hint="default" w:ascii="Times New Roman" w:hAnsi="Times New Roman" w:eastAsia="宋体" w:cs="Times New Roman"/>
                <w:b/>
                <w:bCs/>
                <w:snapToGrid w:val="0"/>
                <w:color w:val="auto"/>
                <w:spacing w:val="0"/>
                <w:kern w:val="0"/>
                <w:sz w:val="24"/>
                <w:lang w:val="en-US" w:eastAsia="zh-CN"/>
              </w:rPr>
              <w:t>固体废物产生情况一览表</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1277"/>
              <w:gridCol w:w="1001"/>
              <w:gridCol w:w="1086"/>
              <w:gridCol w:w="1773"/>
              <w:gridCol w:w="1586"/>
            </w:tblGrid>
            <w:tr w14:paraId="4B74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pct"/>
                  <w:noWrap w:val="0"/>
                  <w:vAlign w:val="center"/>
                </w:tcPr>
                <w:p w14:paraId="14E02B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产污环节</w:t>
                  </w:r>
                </w:p>
              </w:tc>
              <w:tc>
                <w:tcPr>
                  <w:tcW w:w="814" w:type="pct"/>
                  <w:noWrap w:val="0"/>
                  <w:vAlign w:val="center"/>
                </w:tcPr>
                <w:p w14:paraId="380522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名称</w:t>
                  </w:r>
                </w:p>
              </w:tc>
              <w:tc>
                <w:tcPr>
                  <w:tcW w:w="638" w:type="pct"/>
                  <w:noWrap w:val="0"/>
                  <w:vAlign w:val="center"/>
                </w:tcPr>
                <w:p w14:paraId="7829D7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产生量</w:t>
                  </w:r>
                </w:p>
                <w:p w14:paraId="37B9CE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ascii="Times New Roman" w:hAnsi="Times New Roman" w:cs="Times New Roman"/>
                      <w:b w:val="0"/>
                      <w:bCs w:val="0"/>
                      <w:caps w:val="0"/>
                      <w:color w:val="auto"/>
                      <w:spacing w:val="0"/>
                      <w:kern w:val="0"/>
                      <w:position w:val="0"/>
                      <w:sz w:val="21"/>
                      <w:szCs w:val="21"/>
                      <w:highlight w:val="none"/>
                      <w:lang w:val="en-US" w:eastAsia="zh-CN"/>
                    </w:rPr>
                    <w:t>t/a</w:t>
                  </w:r>
                </w:p>
              </w:tc>
              <w:tc>
                <w:tcPr>
                  <w:tcW w:w="692" w:type="pct"/>
                  <w:noWrap w:val="0"/>
                  <w:vAlign w:val="center"/>
                </w:tcPr>
                <w:p w14:paraId="49DB38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性质</w:t>
                  </w:r>
                </w:p>
              </w:tc>
              <w:tc>
                <w:tcPr>
                  <w:tcW w:w="1130" w:type="pct"/>
                  <w:noWrap w:val="0"/>
                  <w:vAlign w:val="center"/>
                </w:tcPr>
                <w:p w14:paraId="1E25CE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代码</w:t>
                  </w:r>
                </w:p>
              </w:tc>
              <w:tc>
                <w:tcPr>
                  <w:tcW w:w="1011" w:type="pct"/>
                  <w:noWrap w:val="0"/>
                  <w:vAlign w:val="center"/>
                </w:tcPr>
                <w:p w14:paraId="0C519E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处置方式</w:t>
                  </w:r>
                </w:p>
              </w:tc>
            </w:tr>
            <w:tr w14:paraId="03F2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pct"/>
                  <w:shd w:val="clear" w:color="auto" w:fill="auto"/>
                  <w:noWrap w:val="0"/>
                  <w:vAlign w:val="center"/>
                </w:tcPr>
                <w:p w14:paraId="1BAF497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eastAsia" w:cs="Times New Roman"/>
                      <w:color w:val="auto"/>
                      <w:spacing w:val="0"/>
                      <w:szCs w:val="21"/>
                      <w:highlight w:val="none"/>
                      <w:lang w:val="en-US" w:eastAsia="zh-CN"/>
                    </w:rPr>
                    <w:t>职工生活</w:t>
                  </w:r>
                </w:p>
              </w:tc>
              <w:tc>
                <w:tcPr>
                  <w:tcW w:w="814" w:type="pct"/>
                  <w:shd w:val="clear" w:color="auto" w:fill="auto"/>
                  <w:noWrap w:val="0"/>
                  <w:vAlign w:val="center"/>
                </w:tcPr>
                <w:p w14:paraId="66FFA15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 w:val="21"/>
                      <w:szCs w:val="21"/>
                      <w:lang w:val="en-US" w:eastAsia="zh-CN" w:bidi="ar-SA"/>
                    </w:rPr>
                  </w:pPr>
                  <w:r>
                    <w:rPr>
                      <w:rFonts w:hint="eastAsia" w:cs="Times New Roman"/>
                      <w:color w:val="auto"/>
                      <w:spacing w:val="0"/>
                      <w:kern w:val="0"/>
                      <w:szCs w:val="21"/>
                      <w:lang w:val="en-US" w:eastAsia="zh-CN"/>
                    </w:rPr>
                    <w:t>生活垃圾</w:t>
                  </w:r>
                </w:p>
              </w:tc>
              <w:tc>
                <w:tcPr>
                  <w:tcW w:w="638" w:type="pct"/>
                  <w:noWrap w:val="0"/>
                  <w:vAlign w:val="center"/>
                </w:tcPr>
                <w:p w14:paraId="404C3A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rPr>
                  </w:pPr>
                  <w:r>
                    <w:rPr>
                      <w:rFonts w:hint="eastAsia" w:cs="Times New Roman"/>
                      <w:b w:val="0"/>
                      <w:bCs w:val="0"/>
                      <w:caps w:val="0"/>
                      <w:color w:val="auto"/>
                      <w:spacing w:val="0"/>
                      <w:kern w:val="0"/>
                      <w:position w:val="0"/>
                      <w:sz w:val="21"/>
                      <w:szCs w:val="21"/>
                      <w:highlight w:val="none"/>
                      <w:lang w:val="en-US" w:eastAsia="zh-CN"/>
                    </w:rPr>
                    <w:t>1.8</w:t>
                  </w:r>
                </w:p>
              </w:tc>
              <w:tc>
                <w:tcPr>
                  <w:tcW w:w="692" w:type="pct"/>
                  <w:noWrap w:val="0"/>
                  <w:vAlign w:val="center"/>
                </w:tcPr>
                <w:p w14:paraId="024B8C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cs="Times New Roman"/>
                      <w:b w:val="0"/>
                      <w:bCs w:val="0"/>
                      <w:caps w:val="0"/>
                      <w:color w:val="auto"/>
                      <w:spacing w:val="0"/>
                      <w:kern w:val="0"/>
                      <w:position w:val="0"/>
                      <w:sz w:val="21"/>
                      <w:szCs w:val="21"/>
                      <w:highlight w:val="none"/>
                      <w:lang w:val="en-US" w:eastAsia="zh-CN"/>
                    </w:rPr>
                    <w:t>/</w:t>
                  </w:r>
                </w:p>
              </w:tc>
              <w:tc>
                <w:tcPr>
                  <w:tcW w:w="1130" w:type="pct"/>
                  <w:noWrap w:val="0"/>
                  <w:vAlign w:val="center"/>
                </w:tcPr>
                <w:p w14:paraId="6EA0D6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w:t>
                  </w:r>
                </w:p>
              </w:tc>
              <w:tc>
                <w:tcPr>
                  <w:tcW w:w="1011" w:type="pct"/>
                  <w:shd w:val="clear" w:color="auto" w:fill="auto"/>
                  <w:noWrap w:val="0"/>
                  <w:vAlign w:val="center"/>
                </w:tcPr>
                <w:p w14:paraId="474FB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lang w:val="en-US" w:eastAsia="zh-CN" w:bidi="ar-SA"/>
                    </w:rPr>
                  </w:pPr>
                  <w:r>
                    <w:rPr>
                      <w:rFonts w:hint="eastAsia" w:cs="Times New Roman"/>
                      <w:color w:val="auto"/>
                      <w:spacing w:val="0"/>
                      <w:kern w:val="0"/>
                      <w:szCs w:val="21"/>
                      <w:highlight w:val="none"/>
                      <w:lang w:val="en-US" w:eastAsia="zh-CN"/>
                    </w:rPr>
                    <w:t>环卫部门清运</w:t>
                  </w:r>
                </w:p>
              </w:tc>
            </w:tr>
            <w:tr w14:paraId="4AB51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pct"/>
                  <w:shd w:val="clear" w:color="auto" w:fill="auto"/>
                  <w:noWrap w:val="0"/>
                  <w:vAlign w:val="center"/>
                </w:tcPr>
                <w:p w14:paraId="5D239D8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eastAsia" w:ascii="Times New Roman" w:hAnsi="Times New Roman" w:eastAsia="宋体" w:cs="Times New Roman"/>
                      <w:color w:val="auto"/>
                      <w:spacing w:val="0"/>
                      <w:kern w:val="2"/>
                      <w:sz w:val="21"/>
                      <w:szCs w:val="21"/>
                      <w:highlight w:val="none"/>
                      <w:lang w:val="en-US" w:eastAsia="zh-CN" w:bidi="ar-SA"/>
                    </w:rPr>
                    <w:t>废气处理</w:t>
                  </w:r>
                </w:p>
              </w:tc>
              <w:tc>
                <w:tcPr>
                  <w:tcW w:w="814" w:type="pct"/>
                  <w:shd w:val="clear" w:color="auto" w:fill="auto"/>
                  <w:noWrap w:val="0"/>
                  <w:vAlign w:val="center"/>
                </w:tcPr>
                <w:p w14:paraId="62B84D2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 w:val="21"/>
                      <w:szCs w:val="21"/>
                      <w:lang w:val="en-US" w:eastAsia="zh-CN" w:bidi="ar-SA"/>
                    </w:rPr>
                  </w:pPr>
                  <w:r>
                    <w:rPr>
                      <w:rFonts w:hint="eastAsia" w:cs="Times New Roman"/>
                      <w:color w:val="auto"/>
                      <w:spacing w:val="0"/>
                      <w:kern w:val="0"/>
                      <w:szCs w:val="21"/>
                      <w:highlight w:val="none"/>
                      <w:lang w:val="en-US" w:eastAsia="zh-CN"/>
                    </w:rPr>
                    <w:t>除尘器收</w:t>
                  </w:r>
                  <w:r>
                    <w:rPr>
                      <w:rFonts w:hint="default" w:ascii="Times New Roman" w:hAnsi="Times New Roman" w:eastAsia="宋体" w:cs="Times New Roman"/>
                      <w:color w:val="auto"/>
                      <w:spacing w:val="0"/>
                      <w:kern w:val="0"/>
                      <w:szCs w:val="21"/>
                      <w:highlight w:val="none"/>
                      <w:lang w:val="en-US" w:eastAsia="zh-CN"/>
                    </w:rPr>
                    <w:t>尘</w:t>
                  </w:r>
                  <w:r>
                    <w:rPr>
                      <w:rFonts w:hint="eastAsia" w:ascii="Times New Roman" w:hAnsi="Times New Roman" w:eastAsia="宋体" w:cs="Times New Roman"/>
                      <w:color w:val="auto"/>
                      <w:spacing w:val="0"/>
                      <w:kern w:val="0"/>
                      <w:szCs w:val="21"/>
                      <w:highlight w:val="none"/>
                      <w:lang w:val="en-US" w:eastAsia="zh-CN"/>
                    </w:rPr>
                    <w:t>和车间地面收尘</w:t>
                  </w:r>
                </w:p>
              </w:tc>
              <w:tc>
                <w:tcPr>
                  <w:tcW w:w="638" w:type="pct"/>
                  <w:noWrap w:val="0"/>
                  <w:vAlign w:val="center"/>
                </w:tcPr>
                <w:p w14:paraId="6D0019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cs="Times New Roman"/>
                      <w:b w:val="0"/>
                      <w:bCs w:val="0"/>
                      <w:caps w:val="0"/>
                      <w:color w:val="auto"/>
                      <w:spacing w:val="0"/>
                      <w:kern w:val="0"/>
                      <w:position w:val="0"/>
                      <w:sz w:val="21"/>
                      <w:szCs w:val="21"/>
                      <w:highlight w:val="none"/>
                      <w:lang w:val="en-US" w:eastAsia="zh-CN"/>
                    </w:rPr>
                    <w:t>19.131</w:t>
                  </w:r>
                </w:p>
              </w:tc>
              <w:tc>
                <w:tcPr>
                  <w:tcW w:w="692" w:type="pct"/>
                  <w:vMerge w:val="restart"/>
                  <w:noWrap w:val="0"/>
                  <w:vAlign w:val="center"/>
                </w:tcPr>
                <w:p w14:paraId="397A02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一般</w:t>
                  </w:r>
                  <w:r>
                    <w:rPr>
                      <w:rFonts w:hint="eastAsia" w:cs="Times New Roman"/>
                      <w:b w:val="0"/>
                      <w:bCs w:val="0"/>
                      <w:caps w:val="0"/>
                      <w:color w:val="auto"/>
                      <w:spacing w:val="0"/>
                      <w:kern w:val="0"/>
                      <w:position w:val="0"/>
                      <w:sz w:val="21"/>
                      <w:szCs w:val="21"/>
                      <w:highlight w:val="none"/>
                      <w:lang w:val="en-US" w:eastAsia="zh-CN"/>
                    </w:rPr>
                    <w:t>工业</w:t>
                  </w:r>
                  <w:r>
                    <w:rPr>
                      <w:rFonts w:hint="default" w:ascii="Times New Roman" w:hAnsi="Times New Roman" w:eastAsia="宋体" w:cs="Times New Roman"/>
                      <w:b w:val="0"/>
                      <w:bCs w:val="0"/>
                      <w:caps w:val="0"/>
                      <w:color w:val="auto"/>
                      <w:spacing w:val="0"/>
                      <w:kern w:val="0"/>
                      <w:position w:val="0"/>
                      <w:sz w:val="21"/>
                      <w:szCs w:val="21"/>
                      <w:highlight w:val="none"/>
                    </w:rPr>
                    <w:t>固废</w:t>
                  </w:r>
                </w:p>
              </w:tc>
              <w:tc>
                <w:tcPr>
                  <w:tcW w:w="1130" w:type="pct"/>
                  <w:noWrap w:val="0"/>
                  <w:vAlign w:val="center"/>
                </w:tcPr>
                <w:p w14:paraId="341571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900-099-S59</w:t>
                  </w:r>
                </w:p>
              </w:tc>
              <w:tc>
                <w:tcPr>
                  <w:tcW w:w="1011" w:type="pct"/>
                  <w:shd w:val="clear" w:color="auto" w:fill="auto"/>
                  <w:noWrap w:val="0"/>
                  <w:vAlign w:val="center"/>
                </w:tcPr>
                <w:p w14:paraId="3F54231E">
                  <w:pPr>
                    <w:widowControl/>
                    <w:adjustRightInd w:val="0"/>
                    <w:jc w:val="center"/>
                    <w:textAlignment w:val="baseline"/>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0"/>
                      <w:szCs w:val="21"/>
                      <w:highlight w:val="none"/>
                      <w:lang w:val="en-US" w:eastAsia="zh-CN"/>
                    </w:rPr>
                    <w:t>回用于生产</w:t>
                  </w:r>
                </w:p>
              </w:tc>
            </w:tr>
            <w:tr w14:paraId="5DBE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pct"/>
                  <w:shd w:val="clear" w:color="auto" w:fill="auto"/>
                  <w:noWrap w:val="0"/>
                  <w:vAlign w:val="center"/>
                </w:tcPr>
                <w:p w14:paraId="2732696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0"/>
                      <w:szCs w:val="21"/>
                      <w:highlight w:val="none"/>
                      <w:lang w:val="en-US" w:eastAsia="zh-CN"/>
                    </w:rPr>
                    <w:t>除尘器</w:t>
                  </w:r>
                </w:p>
              </w:tc>
              <w:tc>
                <w:tcPr>
                  <w:tcW w:w="814" w:type="pct"/>
                  <w:shd w:val="clear" w:color="auto" w:fill="auto"/>
                  <w:noWrap w:val="0"/>
                  <w:vAlign w:val="center"/>
                </w:tcPr>
                <w:p w14:paraId="3576C7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pacing w:val="0"/>
                      <w:kern w:val="0"/>
                      <w:sz w:val="21"/>
                      <w:szCs w:val="21"/>
                      <w:lang w:val="en-US" w:eastAsia="zh-CN" w:bidi="ar-SA"/>
                    </w:rPr>
                  </w:pPr>
                  <w:r>
                    <w:rPr>
                      <w:rFonts w:hint="default" w:ascii="Times New Roman" w:hAnsi="Times New Roman" w:eastAsia="宋体" w:cs="Times New Roman"/>
                      <w:color w:val="auto"/>
                      <w:spacing w:val="0"/>
                      <w:kern w:val="0"/>
                      <w:szCs w:val="21"/>
                      <w:highlight w:val="none"/>
                      <w:lang w:val="en-US" w:eastAsia="zh-CN"/>
                    </w:rPr>
                    <w:t>废布袋</w:t>
                  </w:r>
                </w:p>
              </w:tc>
              <w:tc>
                <w:tcPr>
                  <w:tcW w:w="638" w:type="pct"/>
                  <w:shd w:val="clear" w:color="auto" w:fill="auto"/>
                  <w:noWrap w:val="0"/>
                  <w:vAlign w:val="center"/>
                </w:tcPr>
                <w:p w14:paraId="76ACF6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cs="Times New Roman"/>
                      <w:b w:val="0"/>
                      <w:bCs w:val="0"/>
                      <w:caps w:val="0"/>
                      <w:color w:val="auto"/>
                      <w:spacing w:val="0"/>
                      <w:kern w:val="0"/>
                      <w:position w:val="0"/>
                      <w:sz w:val="21"/>
                      <w:szCs w:val="21"/>
                      <w:highlight w:val="none"/>
                      <w:lang w:val="en-US" w:eastAsia="zh-CN"/>
                    </w:rPr>
                    <w:t>0.02</w:t>
                  </w:r>
                </w:p>
              </w:tc>
              <w:tc>
                <w:tcPr>
                  <w:tcW w:w="692" w:type="pct"/>
                  <w:vMerge w:val="continue"/>
                  <w:noWrap w:val="0"/>
                  <w:vAlign w:val="center"/>
                </w:tcPr>
                <w:p w14:paraId="193C5A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p>
              </w:tc>
              <w:tc>
                <w:tcPr>
                  <w:tcW w:w="1130" w:type="pct"/>
                  <w:noWrap w:val="0"/>
                  <w:vAlign w:val="center"/>
                </w:tcPr>
                <w:p w14:paraId="2C72DA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900-009-S59</w:t>
                  </w:r>
                </w:p>
              </w:tc>
              <w:tc>
                <w:tcPr>
                  <w:tcW w:w="1011" w:type="pct"/>
                  <w:shd w:val="clear" w:color="auto" w:fill="auto"/>
                  <w:noWrap w:val="0"/>
                  <w:vAlign w:val="center"/>
                </w:tcPr>
                <w:p w14:paraId="72C27997">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0"/>
                      <w:szCs w:val="21"/>
                      <w:highlight w:val="none"/>
                      <w:lang w:val="en-US" w:eastAsia="zh-CN"/>
                    </w:rPr>
                    <w:t>外售综合利用</w:t>
                  </w:r>
                </w:p>
              </w:tc>
            </w:tr>
            <w:tr w14:paraId="54C89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pct"/>
                  <w:shd w:val="clear" w:color="auto" w:fill="auto"/>
                  <w:noWrap w:val="0"/>
                  <w:vAlign w:val="center"/>
                </w:tcPr>
                <w:p w14:paraId="33A4A8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pacing w:val="0"/>
                      <w:kern w:val="2"/>
                      <w:sz w:val="21"/>
                      <w:szCs w:val="21"/>
                      <w:highlight w:val="none"/>
                      <w:lang w:val="en-US" w:eastAsia="zh-CN" w:bidi="ar-SA"/>
                    </w:rPr>
                  </w:pPr>
                  <w:r>
                    <w:rPr>
                      <w:rFonts w:hint="eastAsia" w:cs="Times New Roman"/>
                      <w:color w:val="auto"/>
                      <w:spacing w:val="0"/>
                      <w:szCs w:val="21"/>
                      <w:highlight w:val="none"/>
                      <w:lang w:val="en-US" w:eastAsia="zh-CN"/>
                    </w:rPr>
                    <w:t>骨架加工</w:t>
                  </w:r>
                </w:p>
              </w:tc>
              <w:tc>
                <w:tcPr>
                  <w:tcW w:w="814" w:type="pct"/>
                  <w:shd w:val="clear" w:color="auto" w:fill="auto"/>
                  <w:noWrap w:val="0"/>
                  <w:vAlign w:val="center"/>
                </w:tcPr>
                <w:p w14:paraId="747F386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pacing w:val="0"/>
                      <w:kern w:val="2"/>
                      <w:sz w:val="21"/>
                      <w:szCs w:val="21"/>
                      <w:highlight w:val="none"/>
                      <w:lang w:val="en-US" w:eastAsia="zh-CN" w:bidi="ar-SA"/>
                    </w:rPr>
                  </w:pPr>
                  <w:r>
                    <w:rPr>
                      <w:rFonts w:hint="eastAsia" w:cs="Times New Roman"/>
                      <w:color w:val="auto"/>
                      <w:spacing w:val="0"/>
                      <w:kern w:val="0"/>
                      <w:szCs w:val="21"/>
                      <w:lang w:eastAsia="zh-CN"/>
                    </w:rPr>
                    <w:t>废钢筋</w:t>
                  </w:r>
                </w:p>
              </w:tc>
              <w:tc>
                <w:tcPr>
                  <w:tcW w:w="638" w:type="pct"/>
                  <w:shd w:val="clear" w:color="auto" w:fill="auto"/>
                  <w:noWrap w:val="0"/>
                  <w:vAlign w:val="center"/>
                </w:tcPr>
                <w:p w14:paraId="650031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cs="Times New Roman"/>
                      <w:b w:val="0"/>
                      <w:bCs w:val="0"/>
                      <w:caps w:val="0"/>
                      <w:color w:val="auto"/>
                      <w:spacing w:val="0"/>
                      <w:kern w:val="0"/>
                      <w:position w:val="0"/>
                      <w:sz w:val="21"/>
                      <w:szCs w:val="21"/>
                      <w:highlight w:val="none"/>
                      <w:lang w:val="en-US" w:eastAsia="zh-CN"/>
                    </w:rPr>
                    <w:t>1</w:t>
                  </w:r>
                </w:p>
              </w:tc>
              <w:tc>
                <w:tcPr>
                  <w:tcW w:w="692" w:type="pct"/>
                  <w:vMerge w:val="continue"/>
                  <w:noWrap w:val="0"/>
                  <w:vAlign w:val="center"/>
                </w:tcPr>
                <w:p w14:paraId="1F4E54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p>
              </w:tc>
              <w:tc>
                <w:tcPr>
                  <w:tcW w:w="1130" w:type="pct"/>
                  <w:noWrap w:val="0"/>
                  <w:vAlign w:val="center"/>
                </w:tcPr>
                <w:p w14:paraId="6B8EA8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aps w:val="0"/>
                      <w:color w:val="auto"/>
                      <w:spacing w:val="0"/>
                      <w:kern w:val="0"/>
                      <w:position w:val="0"/>
                      <w:sz w:val="21"/>
                      <w:szCs w:val="21"/>
                      <w:highlight w:val="none"/>
                      <w:lang w:eastAsia="zh-CN"/>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900-001-S17</w:t>
                  </w:r>
                </w:p>
              </w:tc>
              <w:tc>
                <w:tcPr>
                  <w:tcW w:w="1011" w:type="pct"/>
                  <w:shd w:val="clear" w:color="auto" w:fill="auto"/>
                  <w:noWrap w:val="0"/>
                  <w:vAlign w:val="center"/>
                </w:tcPr>
                <w:p w14:paraId="24E1DBF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0"/>
                      <w:szCs w:val="21"/>
                      <w:highlight w:val="none"/>
                      <w:lang w:val="en-US" w:eastAsia="zh-CN"/>
                    </w:rPr>
                    <w:t>外售综合利用</w:t>
                  </w:r>
                </w:p>
              </w:tc>
            </w:tr>
            <w:tr w14:paraId="2F8C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pct"/>
                  <w:shd w:val="clear" w:color="auto" w:fill="auto"/>
                  <w:noWrap w:val="0"/>
                  <w:vAlign w:val="center"/>
                </w:tcPr>
                <w:p w14:paraId="65B3D08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0"/>
                      <w:szCs w:val="21"/>
                      <w:highlight w:val="none"/>
                      <w:lang w:val="en-US" w:eastAsia="zh-CN"/>
                    </w:rPr>
                    <w:t>沉淀池</w:t>
                  </w:r>
                </w:p>
              </w:tc>
              <w:tc>
                <w:tcPr>
                  <w:tcW w:w="814" w:type="pct"/>
                  <w:shd w:val="clear" w:color="auto" w:fill="auto"/>
                  <w:noWrap w:val="0"/>
                  <w:vAlign w:val="center"/>
                </w:tcPr>
                <w:p w14:paraId="5F52CE59">
                  <w:pPr>
                    <w:jc w:val="center"/>
                    <w:rPr>
                      <w:rFonts w:hint="default" w:ascii="Times New Roman" w:hAnsi="Times New Roman" w:eastAsia="宋体" w:cs="Times New Roman"/>
                      <w:color w:val="auto"/>
                      <w:spacing w:val="0"/>
                      <w:kern w:val="2"/>
                      <w:sz w:val="21"/>
                      <w:szCs w:val="24"/>
                      <w:lang w:val="en-US" w:eastAsia="zh-CN" w:bidi="ar-SA"/>
                    </w:rPr>
                  </w:pPr>
                  <w:r>
                    <w:rPr>
                      <w:rFonts w:hint="default" w:ascii="Times New Roman" w:hAnsi="Times New Roman" w:eastAsia="宋体" w:cs="Times New Roman"/>
                      <w:color w:val="auto"/>
                      <w:spacing w:val="0"/>
                    </w:rPr>
                    <w:t>沉渣</w:t>
                  </w:r>
                </w:p>
              </w:tc>
              <w:tc>
                <w:tcPr>
                  <w:tcW w:w="638" w:type="pct"/>
                  <w:noWrap w:val="0"/>
                  <w:vAlign w:val="center"/>
                </w:tcPr>
                <w:p w14:paraId="57B0B7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cs="Times New Roman"/>
                      <w:b w:val="0"/>
                      <w:bCs w:val="0"/>
                      <w:caps w:val="0"/>
                      <w:color w:val="auto"/>
                      <w:spacing w:val="0"/>
                      <w:kern w:val="0"/>
                      <w:position w:val="0"/>
                      <w:sz w:val="21"/>
                      <w:szCs w:val="21"/>
                      <w:highlight w:val="none"/>
                      <w:lang w:val="en-US" w:eastAsia="zh-CN"/>
                    </w:rPr>
                    <w:t>2</w:t>
                  </w:r>
                </w:p>
              </w:tc>
              <w:tc>
                <w:tcPr>
                  <w:tcW w:w="692" w:type="pct"/>
                  <w:vMerge w:val="continue"/>
                  <w:noWrap w:val="0"/>
                  <w:vAlign w:val="center"/>
                </w:tcPr>
                <w:p w14:paraId="57C0BE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p>
              </w:tc>
              <w:tc>
                <w:tcPr>
                  <w:tcW w:w="1130" w:type="pct"/>
                  <w:noWrap w:val="0"/>
                  <w:vAlign w:val="center"/>
                </w:tcPr>
                <w:p w14:paraId="03595E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900-099-S59</w:t>
                  </w:r>
                </w:p>
              </w:tc>
              <w:tc>
                <w:tcPr>
                  <w:tcW w:w="1011" w:type="pct"/>
                  <w:shd w:val="clear" w:color="auto" w:fill="auto"/>
                  <w:noWrap w:val="0"/>
                  <w:vAlign w:val="center"/>
                </w:tcPr>
                <w:p w14:paraId="239F0D02">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0"/>
                      <w:szCs w:val="21"/>
                      <w:highlight w:val="none"/>
                      <w:lang w:val="en-US" w:eastAsia="zh-CN"/>
                    </w:rPr>
                    <w:t>外售综合利用</w:t>
                  </w:r>
                </w:p>
              </w:tc>
            </w:tr>
            <w:tr w14:paraId="2C33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pct"/>
                  <w:shd w:val="clear" w:color="auto" w:fill="auto"/>
                  <w:noWrap w:val="0"/>
                  <w:vAlign w:val="center"/>
                </w:tcPr>
                <w:p w14:paraId="3255EC07">
                  <w:pPr>
                    <w:jc w:val="center"/>
                    <w:rPr>
                      <w:rFonts w:hint="default" w:ascii="Times New Roman" w:hAnsi="Times New Roman" w:eastAsia="宋体" w:cs="Times New Roman"/>
                      <w:color w:val="auto"/>
                      <w:spacing w:val="0"/>
                      <w:kern w:val="2"/>
                      <w:sz w:val="21"/>
                      <w:szCs w:val="24"/>
                      <w:lang w:val="en-US" w:eastAsia="zh-CN" w:bidi="ar-SA"/>
                    </w:rPr>
                  </w:pPr>
                  <w:r>
                    <w:rPr>
                      <w:rFonts w:hint="eastAsia" w:cs="Times New Roman"/>
                      <w:color w:val="auto"/>
                      <w:spacing w:val="0"/>
                      <w:kern w:val="2"/>
                      <w:sz w:val="21"/>
                      <w:szCs w:val="24"/>
                      <w:lang w:val="en-US" w:eastAsia="zh-CN" w:bidi="ar-SA"/>
                    </w:rPr>
                    <w:t>脱模</w:t>
                  </w:r>
                </w:p>
              </w:tc>
              <w:tc>
                <w:tcPr>
                  <w:tcW w:w="814" w:type="pct"/>
                  <w:shd w:val="clear" w:color="auto" w:fill="auto"/>
                  <w:noWrap w:val="0"/>
                  <w:vAlign w:val="center"/>
                </w:tcPr>
                <w:p w14:paraId="632E3F3A">
                  <w:pPr>
                    <w:jc w:val="center"/>
                    <w:rPr>
                      <w:rFonts w:hint="default" w:ascii="Times New Roman" w:hAnsi="Times New Roman" w:eastAsia="宋体" w:cs="Times New Roman"/>
                      <w:color w:val="auto"/>
                      <w:spacing w:val="0"/>
                      <w:kern w:val="2"/>
                      <w:sz w:val="21"/>
                      <w:szCs w:val="24"/>
                      <w:lang w:val="en-US" w:eastAsia="zh-CN" w:bidi="ar-SA"/>
                    </w:rPr>
                  </w:pPr>
                  <w:r>
                    <w:rPr>
                      <w:rFonts w:hint="default" w:ascii="Times New Roman" w:hAnsi="Times New Roman" w:eastAsia="宋体" w:cs="Times New Roman"/>
                      <w:color w:val="auto"/>
                      <w:spacing w:val="0"/>
                      <w:szCs w:val="21"/>
                    </w:rPr>
                    <w:t>废混凝土渣</w:t>
                  </w:r>
                </w:p>
              </w:tc>
              <w:tc>
                <w:tcPr>
                  <w:tcW w:w="638" w:type="pct"/>
                  <w:noWrap w:val="0"/>
                  <w:vAlign w:val="center"/>
                </w:tcPr>
                <w:p w14:paraId="77E61E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cs="Times New Roman"/>
                      <w:b w:val="0"/>
                      <w:bCs w:val="0"/>
                      <w:caps w:val="0"/>
                      <w:color w:val="auto"/>
                      <w:spacing w:val="0"/>
                      <w:kern w:val="0"/>
                      <w:position w:val="0"/>
                      <w:sz w:val="21"/>
                      <w:szCs w:val="21"/>
                      <w:highlight w:val="none"/>
                      <w:lang w:val="en-US" w:eastAsia="zh-CN"/>
                    </w:rPr>
                    <w:t>3</w:t>
                  </w:r>
                </w:p>
              </w:tc>
              <w:tc>
                <w:tcPr>
                  <w:tcW w:w="692" w:type="pct"/>
                  <w:vMerge w:val="continue"/>
                  <w:noWrap w:val="0"/>
                  <w:vAlign w:val="center"/>
                </w:tcPr>
                <w:p w14:paraId="6C3C7F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p>
              </w:tc>
              <w:tc>
                <w:tcPr>
                  <w:tcW w:w="1130" w:type="pct"/>
                  <w:noWrap w:val="0"/>
                  <w:vAlign w:val="center"/>
                </w:tcPr>
                <w:p w14:paraId="16BB9C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900-099-S59</w:t>
                  </w:r>
                </w:p>
              </w:tc>
              <w:tc>
                <w:tcPr>
                  <w:tcW w:w="1011" w:type="pct"/>
                  <w:shd w:val="clear" w:color="auto" w:fill="auto"/>
                  <w:noWrap w:val="0"/>
                  <w:vAlign w:val="center"/>
                </w:tcPr>
                <w:p w14:paraId="143CF3C5">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0"/>
                      <w:szCs w:val="21"/>
                      <w:highlight w:val="none"/>
                      <w:lang w:val="en-US" w:eastAsia="zh-CN"/>
                    </w:rPr>
                    <w:t>外售综合利用</w:t>
                  </w:r>
                </w:p>
              </w:tc>
            </w:tr>
            <w:tr w14:paraId="2E45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pct"/>
                  <w:shd w:val="clear" w:color="auto" w:fill="auto"/>
                  <w:noWrap w:val="0"/>
                  <w:vAlign w:val="center"/>
                </w:tcPr>
                <w:p w14:paraId="367093E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lang w:val="en-US" w:eastAsia="zh-CN" w:bidi="ar-SA"/>
                    </w:rPr>
                  </w:pPr>
                  <w:r>
                    <w:rPr>
                      <w:rFonts w:hint="eastAsia" w:cs="Times New Roman"/>
                      <w:color w:val="auto"/>
                      <w:spacing w:val="0"/>
                      <w:kern w:val="0"/>
                      <w:sz w:val="21"/>
                      <w:szCs w:val="21"/>
                      <w:highlight w:val="none"/>
                      <w:lang w:val="en-US" w:eastAsia="zh-CN" w:bidi="ar-SA"/>
                    </w:rPr>
                    <w:t>包装物</w:t>
                  </w:r>
                </w:p>
              </w:tc>
              <w:tc>
                <w:tcPr>
                  <w:tcW w:w="814" w:type="pct"/>
                  <w:shd w:val="clear" w:color="auto" w:fill="auto"/>
                  <w:noWrap w:val="0"/>
                  <w:vAlign w:val="center"/>
                </w:tcPr>
                <w:p w14:paraId="7758E7E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0"/>
                      <w:szCs w:val="21"/>
                      <w:highlight w:val="none"/>
                      <w:lang w:val="en-US" w:eastAsia="zh-CN"/>
                    </w:rPr>
                    <w:t>脱模剂装桶</w:t>
                  </w:r>
                </w:p>
              </w:tc>
              <w:tc>
                <w:tcPr>
                  <w:tcW w:w="638" w:type="pct"/>
                  <w:noWrap w:val="0"/>
                  <w:vAlign w:val="center"/>
                </w:tcPr>
                <w:p w14:paraId="193D1B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aps w:val="0"/>
                      <w:color w:val="auto"/>
                      <w:spacing w:val="0"/>
                      <w:kern w:val="0"/>
                      <w:position w:val="0"/>
                      <w:sz w:val="21"/>
                      <w:szCs w:val="21"/>
                      <w:highlight w:val="none"/>
                      <w:lang w:val="en-US" w:eastAsia="zh-CN"/>
                    </w:rPr>
                  </w:pPr>
                  <w:r>
                    <w:rPr>
                      <w:rFonts w:hint="eastAsia" w:cs="Times New Roman"/>
                      <w:b w:val="0"/>
                      <w:bCs w:val="0"/>
                      <w:caps w:val="0"/>
                      <w:color w:val="auto"/>
                      <w:spacing w:val="0"/>
                      <w:kern w:val="0"/>
                      <w:position w:val="0"/>
                      <w:sz w:val="21"/>
                      <w:szCs w:val="21"/>
                      <w:highlight w:val="none"/>
                      <w:lang w:val="en-US" w:eastAsia="zh-CN"/>
                    </w:rPr>
                    <w:t>0.15</w:t>
                  </w:r>
                </w:p>
              </w:tc>
              <w:tc>
                <w:tcPr>
                  <w:tcW w:w="692" w:type="pct"/>
                  <w:vMerge w:val="continue"/>
                  <w:noWrap w:val="0"/>
                  <w:vAlign w:val="center"/>
                </w:tcPr>
                <w:p w14:paraId="3A2289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p>
              </w:tc>
              <w:tc>
                <w:tcPr>
                  <w:tcW w:w="1130" w:type="pct"/>
                  <w:noWrap w:val="0"/>
                  <w:vAlign w:val="center"/>
                </w:tcPr>
                <w:p w14:paraId="599D9A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lang w:val="en-US" w:eastAsia="zh-CN"/>
                    </w:rPr>
                    <w:t>900-003-S17</w:t>
                  </w:r>
                </w:p>
              </w:tc>
              <w:tc>
                <w:tcPr>
                  <w:tcW w:w="1011" w:type="pct"/>
                  <w:shd w:val="clear" w:color="auto" w:fill="auto"/>
                  <w:noWrap w:val="0"/>
                  <w:vAlign w:val="center"/>
                </w:tcPr>
                <w:p w14:paraId="3D24BE60">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0"/>
                      <w:szCs w:val="21"/>
                      <w:highlight w:val="none"/>
                      <w:lang w:val="en-US" w:eastAsia="zh-CN"/>
                    </w:rPr>
                    <w:t>外售综合利用</w:t>
                  </w:r>
                </w:p>
              </w:tc>
            </w:tr>
            <w:tr w14:paraId="09D9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pct"/>
                  <w:shd w:val="clear" w:color="auto" w:fill="auto"/>
                  <w:noWrap w:val="0"/>
                  <w:vAlign w:val="center"/>
                </w:tcPr>
                <w:p w14:paraId="6E8CA3B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0"/>
                      <w:sz w:val="21"/>
                      <w:szCs w:val="21"/>
                      <w:highlight w:val="none"/>
                      <w:lang w:val="en-US" w:eastAsia="zh-CN" w:bidi="ar-SA"/>
                    </w:rPr>
                    <w:t>检查补修</w:t>
                  </w:r>
                </w:p>
              </w:tc>
              <w:tc>
                <w:tcPr>
                  <w:tcW w:w="814" w:type="pct"/>
                  <w:shd w:val="clear" w:color="auto" w:fill="auto"/>
                  <w:noWrap w:val="0"/>
                  <w:vAlign w:val="center"/>
                </w:tcPr>
                <w:p w14:paraId="724352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0"/>
                      <w:szCs w:val="21"/>
                      <w:highlight w:val="none"/>
                      <w:lang w:val="en-US" w:eastAsia="zh-CN"/>
                    </w:rPr>
                    <w:t>不合格品</w:t>
                  </w:r>
                </w:p>
              </w:tc>
              <w:tc>
                <w:tcPr>
                  <w:tcW w:w="638" w:type="pct"/>
                  <w:shd w:val="clear" w:color="auto" w:fill="auto"/>
                  <w:noWrap w:val="0"/>
                  <w:vAlign w:val="center"/>
                </w:tcPr>
                <w:p w14:paraId="0D22F5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cs="Times New Roman"/>
                      <w:b w:val="0"/>
                      <w:bCs w:val="0"/>
                      <w:caps w:val="0"/>
                      <w:color w:val="auto"/>
                      <w:spacing w:val="0"/>
                      <w:kern w:val="0"/>
                      <w:position w:val="0"/>
                      <w:sz w:val="21"/>
                      <w:szCs w:val="21"/>
                      <w:highlight w:val="none"/>
                      <w:lang w:val="en-US" w:eastAsia="zh-CN"/>
                    </w:rPr>
                    <w:t>10</w:t>
                  </w:r>
                </w:p>
              </w:tc>
              <w:tc>
                <w:tcPr>
                  <w:tcW w:w="692" w:type="pct"/>
                  <w:vMerge w:val="continue"/>
                  <w:noWrap w:val="0"/>
                  <w:vAlign w:val="center"/>
                </w:tcPr>
                <w:p w14:paraId="681090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p>
              </w:tc>
              <w:tc>
                <w:tcPr>
                  <w:tcW w:w="1130" w:type="pct"/>
                  <w:shd w:val="clear" w:color="auto" w:fill="auto"/>
                  <w:noWrap w:val="0"/>
                  <w:vAlign w:val="center"/>
                </w:tcPr>
                <w:p w14:paraId="31DB18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t>900-099-S59</w:t>
                  </w:r>
                </w:p>
              </w:tc>
              <w:tc>
                <w:tcPr>
                  <w:tcW w:w="1011" w:type="pct"/>
                  <w:shd w:val="clear" w:color="auto" w:fill="auto"/>
                  <w:noWrap w:val="0"/>
                  <w:vAlign w:val="center"/>
                </w:tcPr>
                <w:p w14:paraId="716CB338">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0"/>
                      <w:szCs w:val="21"/>
                      <w:highlight w:val="none"/>
                      <w:lang w:val="en-US" w:eastAsia="zh-CN"/>
                    </w:rPr>
                    <w:t>外售综合利用</w:t>
                  </w:r>
                </w:p>
              </w:tc>
            </w:tr>
            <w:tr w14:paraId="61A5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pct"/>
                  <w:shd w:val="clear" w:color="auto" w:fill="auto"/>
                  <w:noWrap w:val="0"/>
                  <w:vAlign w:val="center"/>
                </w:tcPr>
                <w:p w14:paraId="20EF3FBA">
                  <w:pPr>
                    <w:jc w:val="center"/>
                    <w:rPr>
                      <w:rFonts w:hint="default" w:ascii="Times New Roman" w:hAnsi="Times New Roman" w:eastAsia="宋体" w:cs="Times New Roman"/>
                      <w:color w:val="auto"/>
                      <w:spacing w:val="0"/>
                      <w:kern w:val="2"/>
                      <w:sz w:val="21"/>
                      <w:szCs w:val="24"/>
                      <w:lang w:val="en-US" w:eastAsia="zh-CN" w:bidi="ar-SA"/>
                    </w:rPr>
                  </w:pPr>
                  <w:r>
                    <w:rPr>
                      <w:rFonts w:hint="default" w:ascii="Times New Roman" w:hAnsi="Times New Roman" w:eastAsia="宋体" w:cs="Times New Roman"/>
                      <w:color w:val="auto"/>
                      <w:spacing w:val="0"/>
                      <w:kern w:val="2"/>
                      <w:sz w:val="21"/>
                      <w:szCs w:val="24"/>
                      <w:lang w:val="en-US" w:eastAsia="zh-CN" w:bidi="ar-SA"/>
                    </w:rPr>
                    <w:t>设备维护</w:t>
                  </w:r>
                </w:p>
              </w:tc>
              <w:tc>
                <w:tcPr>
                  <w:tcW w:w="814" w:type="pct"/>
                  <w:shd w:val="clear" w:color="auto" w:fill="auto"/>
                  <w:noWrap w:val="0"/>
                  <w:vAlign w:val="center"/>
                </w:tcPr>
                <w:p w14:paraId="5B9BD283">
                  <w:pPr>
                    <w:jc w:val="center"/>
                    <w:rPr>
                      <w:rFonts w:hint="default" w:ascii="Times New Roman" w:hAnsi="Times New Roman" w:eastAsia="宋体" w:cs="Times New Roman"/>
                      <w:color w:val="auto"/>
                      <w:spacing w:val="0"/>
                      <w:kern w:val="2"/>
                      <w:sz w:val="21"/>
                      <w:szCs w:val="24"/>
                      <w:lang w:val="en-US" w:eastAsia="zh-CN" w:bidi="ar-SA"/>
                    </w:rPr>
                  </w:pPr>
                  <w:r>
                    <w:rPr>
                      <w:rFonts w:hint="default" w:ascii="Times New Roman" w:hAnsi="Times New Roman" w:eastAsia="宋体" w:cs="Times New Roman"/>
                      <w:color w:val="auto"/>
                      <w:spacing w:val="0"/>
                      <w:lang w:val="en-US" w:eastAsia="zh-CN"/>
                    </w:rPr>
                    <w:t>废润滑油</w:t>
                  </w:r>
                </w:p>
              </w:tc>
              <w:tc>
                <w:tcPr>
                  <w:tcW w:w="638" w:type="pct"/>
                  <w:shd w:val="clear" w:color="auto" w:fill="auto"/>
                  <w:noWrap w:val="0"/>
                  <w:vAlign w:val="center"/>
                </w:tcPr>
                <w:p w14:paraId="69AC3E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cs="Times New Roman"/>
                      <w:b w:val="0"/>
                      <w:bCs w:val="0"/>
                      <w:caps w:val="0"/>
                      <w:color w:val="auto"/>
                      <w:spacing w:val="0"/>
                      <w:kern w:val="0"/>
                      <w:position w:val="0"/>
                      <w:sz w:val="21"/>
                      <w:szCs w:val="21"/>
                      <w:highlight w:val="none"/>
                      <w:lang w:val="en-US" w:eastAsia="zh-CN"/>
                    </w:rPr>
                    <w:t>0.05</w:t>
                  </w:r>
                </w:p>
              </w:tc>
              <w:tc>
                <w:tcPr>
                  <w:tcW w:w="692" w:type="pct"/>
                  <w:vMerge w:val="restart"/>
                  <w:noWrap w:val="0"/>
                  <w:vAlign w:val="center"/>
                </w:tcPr>
                <w:p w14:paraId="26B7FC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危险废物</w:t>
                  </w:r>
                </w:p>
              </w:tc>
              <w:tc>
                <w:tcPr>
                  <w:tcW w:w="1130" w:type="pct"/>
                  <w:shd w:val="clear" w:color="auto" w:fill="auto"/>
                  <w:noWrap w:val="0"/>
                  <w:vAlign w:val="center"/>
                </w:tcPr>
                <w:p w14:paraId="09B9A6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HW49</w:t>
                  </w:r>
                </w:p>
                <w:p w14:paraId="19AA19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default" w:ascii="Times New Roman" w:hAnsi="Times New Roman" w:eastAsia="宋体" w:cs="Times New Roman"/>
                      <w:b w:val="0"/>
                      <w:bCs w:val="0"/>
                      <w:caps w:val="0"/>
                      <w:color w:val="auto"/>
                      <w:spacing w:val="0"/>
                      <w:kern w:val="0"/>
                      <w:position w:val="0"/>
                      <w:sz w:val="21"/>
                      <w:szCs w:val="21"/>
                      <w:highlight w:val="none"/>
                    </w:rPr>
                    <w:t>900-041-49</w:t>
                  </w:r>
                </w:p>
              </w:tc>
              <w:tc>
                <w:tcPr>
                  <w:tcW w:w="1011" w:type="pct"/>
                  <w:shd w:val="clear" w:color="auto" w:fill="auto"/>
                  <w:noWrap w:val="0"/>
                  <w:vAlign w:val="center"/>
                </w:tcPr>
                <w:p w14:paraId="2096D28C">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0"/>
                      <w:szCs w:val="21"/>
                      <w:highlight w:val="none"/>
                      <w:lang w:val="en-US" w:eastAsia="zh-CN"/>
                    </w:rPr>
                    <w:t>委托资质单位处置</w:t>
                  </w:r>
                </w:p>
              </w:tc>
            </w:tr>
            <w:tr w14:paraId="2E22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pct"/>
                  <w:shd w:val="clear" w:color="auto" w:fill="auto"/>
                  <w:noWrap w:val="0"/>
                  <w:vAlign w:val="center"/>
                </w:tcPr>
                <w:p w14:paraId="682090F2">
                  <w:pPr>
                    <w:jc w:val="center"/>
                    <w:rPr>
                      <w:rFonts w:hint="default" w:ascii="Times New Roman" w:hAnsi="Times New Roman" w:eastAsia="宋体" w:cs="Times New Roman"/>
                      <w:color w:val="auto"/>
                      <w:spacing w:val="0"/>
                      <w:kern w:val="2"/>
                      <w:sz w:val="21"/>
                      <w:szCs w:val="21"/>
                      <w:lang w:val="en-US" w:eastAsia="zh-CN" w:bidi="ar-SA"/>
                    </w:rPr>
                  </w:pPr>
                  <w:r>
                    <w:rPr>
                      <w:rFonts w:hint="eastAsia" w:cs="Times New Roman"/>
                      <w:color w:val="auto"/>
                      <w:spacing w:val="0"/>
                      <w:kern w:val="2"/>
                      <w:sz w:val="21"/>
                      <w:szCs w:val="21"/>
                      <w:lang w:val="en-US" w:eastAsia="zh-CN" w:bidi="ar-SA"/>
                    </w:rPr>
                    <w:t>包装物</w:t>
                  </w:r>
                </w:p>
              </w:tc>
              <w:tc>
                <w:tcPr>
                  <w:tcW w:w="814" w:type="pct"/>
                  <w:shd w:val="clear" w:color="auto" w:fill="auto"/>
                  <w:noWrap w:val="0"/>
                  <w:vAlign w:val="center"/>
                </w:tcPr>
                <w:p w14:paraId="2BFB8825">
                  <w:pPr>
                    <w:jc w:val="center"/>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szCs w:val="21"/>
                      <w:lang w:val="en-US" w:eastAsia="zh-CN"/>
                    </w:rPr>
                    <w:t>废润滑油桶</w:t>
                  </w:r>
                </w:p>
              </w:tc>
              <w:tc>
                <w:tcPr>
                  <w:tcW w:w="638" w:type="pct"/>
                  <w:shd w:val="clear" w:color="auto" w:fill="auto"/>
                  <w:noWrap w:val="0"/>
                  <w:vAlign w:val="center"/>
                </w:tcPr>
                <w:p w14:paraId="4C886F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cs="Times New Roman"/>
                      <w:b w:val="0"/>
                      <w:bCs w:val="0"/>
                      <w:caps w:val="0"/>
                      <w:color w:val="auto"/>
                      <w:spacing w:val="0"/>
                      <w:kern w:val="0"/>
                      <w:position w:val="0"/>
                      <w:sz w:val="21"/>
                      <w:szCs w:val="21"/>
                      <w:highlight w:val="none"/>
                      <w:lang w:val="en-US" w:eastAsia="zh-CN"/>
                    </w:rPr>
                    <w:t>0.01</w:t>
                  </w:r>
                </w:p>
              </w:tc>
              <w:tc>
                <w:tcPr>
                  <w:tcW w:w="692" w:type="pct"/>
                  <w:vMerge w:val="continue"/>
                  <w:noWrap w:val="0"/>
                  <w:vAlign w:val="center"/>
                </w:tcPr>
                <w:p w14:paraId="741012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p>
              </w:tc>
              <w:tc>
                <w:tcPr>
                  <w:tcW w:w="1130" w:type="pct"/>
                  <w:noWrap w:val="0"/>
                  <w:vAlign w:val="center"/>
                </w:tcPr>
                <w:p w14:paraId="6DD397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HW08</w:t>
                  </w:r>
                </w:p>
                <w:p w14:paraId="5D9D38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900-249-08</w:t>
                  </w:r>
                </w:p>
              </w:tc>
              <w:tc>
                <w:tcPr>
                  <w:tcW w:w="1011" w:type="pct"/>
                  <w:shd w:val="clear" w:color="auto" w:fill="auto"/>
                  <w:noWrap w:val="0"/>
                  <w:vAlign w:val="center"/>
                </w:tcPr>
                <w:p w14:paraId="704AEED1">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0"/>
                      <w:szCs w:val="21"/>
                      <w:highlight w:val="none"/>
                      <w:lang w:val="en-US" w:eastAsia="zh-CN"/>
                    </w:rPr>
                    <w:t>委托资质单位处置</w:t>
                  </w:r>
                </w:p>
              </w:tc>
            </w:tr>
            <w:tr w14:paraId="0D34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pct"/>
                  <w:shd w:val="clear" w:color="auto" w:fill="auto"/>
                  <w:noWrap w:val="0"/>
                  <w:vAlign w:val="center"/>
                </w:tcPr>
                <w:p w14:paraId="60297C90">
                  <w:pPr>
                    <w:jc w:val="center"/>
                    <w:rPr>
                      <w:rFonts w:hint="eastAsia" w:ascii="Times New Roman" w:hAnsi="Times New Roman" w:eastAsia="宋体" w:cs="Times New Roman"/>
                      <w:color w:val="auto"/>
                      <w:spacing w:val="0"/>
                      <w:kern w:val="2"/>
                      <w:sz w:val="21"/>
                      <w:szCs w:val="24"/>
                      <w:lang w:val="en-US" w:eastAsia="zh-CN" w:bidi="ar-SA"/>
                    </w:rPr>
                  </w:pPr>
                  <w:r>
                    <w:rPr>
                      <w:rFonts w:hint="default" w:ascii="Times New Roman" w:hAnsi="Times New Roman" w:eastAsia="宋体" w:cs="Times New Roman"/>
                      <w:color w:val="auto"/>
                      <w:spacing w:val="0"/>
                      <w:kern w:val="2"/>
                      <w:sz w:val="21"/>
                      <w:szCs w:val="24"/>
                      <w:lang w:val="en-US" w:eastAsia="zh-CN" w:bidi="ar-SA"/>
                    </w:rPr>
                    <w:t>设备维护</w:t>
                  </w:r>
                </w:p>
              </w:tc>
              <w:tc>
                <w:tcPr>
                  <w:tcW w:w="814" w:type="pct"/>
                  <w:shd w:val="clear" w:color="auto" w:fill="auto"/>
                  <w:noWrap w:val="0"/>
                  <w:vAlign w:val="center"/>
                </w:tcPr>
                <w:p w14:paraId="6358741A">
                  <w:pPr>
                    <w:jc w:val="center"/>
                    <w:rPr>
                      <w:rFonts w:hint="default" w:ascii="Times New Roman" w:hAnsi="Times New Roman" w:eastAsia="宋体" w:cs="Times New Roman"/>
                      <w:color w:val="auto"/>
                      <w:spacing w:val="0"/>
                      <w:kern w:val="2"/>
                      <w:sz w:val="21"/>
                      <w:szCs w:val="21"/>
                      <w:lang w:val="en-US" w:eastAsia="zh-CN" w:bidi="ar-SA"/>
                    </w:rPr>
                  </w:pPr>
                  <w:r>
                    <w:rPr>
                      <w:rFonts w:hint="eastAsia" w:cs="Times New Roman"/>
                      <w:color w:val="auto"/>
                      <w:spacing w:val="0"/>
                      <w:szCs w:val="21"/>
                      <w:lang w:val="en-US" w:eastAsia="zh-CN"/>
                    </w:rPr>
                    <w:t>废吸油毡</w:t>
                  </w:r>
                </w:p>
              </w:tc>
              <w:tc>
                <w:tcPr>
                  <w:tcW w:w="638" w:type="pct"/>
                  <w:shd w:val="clear" w:color="auto" w:fill="auto"/>
                  <w:noWrap w:val="0"/>
                  <w:vAlign w:val="center"/>
                </w:tcPr>
                <w:p w14:paraId="7E9E66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cs="Times New Roman"/>
                      <w:b w:val="0"/>
                      <w:bCs w:val="0"/>
                      <w:caps w:val="0"/>
                      <w:color w:val="auto"/>
                      <w:spacing w:val="0"/>
                      <w:kern w:val="0"/>
                      <w:position w:val="0"/>
                      <w:sz w:val="21"/>
                      <w:szCs w:val="21"/>
                      <w:highlight w:val="none"/>
                      <w:lang w:val="en-US" w:eastAsia="zh-CN"/>
                    </w:rPr>
                    <w:t>0.01</w:t>
                  </w:r>
                </w:p>
              </w:tc>
              <w:tc>
                <w:tcPr>
                  <w:tcW w:w="692" w:type="pct"/>
                  <w:vMerge w:val="continue"/>
                  <w:noWrap w:val="0"/>
                  <w:vAlign w:val="center"/>
                </w:tcPr>
                <w:p w14:paraId="16421E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p>
              </w:tc>
              <w:tc>
                <w:tcPr>
                  <w:tcW w:w="1130" w:type="pct"/>
                  <w:shd w:val="clear" w:color="auto" w:fill="auto"/>
                  <w:noWrap w:val="0"/>
                  <w:vAlign w:val="center"/>
                </w:tcPr>
                <w:p w14:paraId="22A33D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default" w:ascii="Times New Roman" w:hAnsi="Times New Roman" w:eastAsia="宋体" w:cs="Times New Roman"/>
                      <w:b w:val="0"/>
                      <w:bCs w:val="0"/>
                      <w:caps w:val="0"/>
                      <w:color w:val="auto"/>
                      <w:spacing w:val="0"/>
                      <w:kern w:val="0"/>
                      <w:position w:val="0"/>
                      <w:sz w:val="21"/>
                      <w:szCs w:val="21"/>
                      <w:highlight w:val="none"/>
                      <w:lang w:val="en-US" w:eastAsia="zh-CN"/>
                    </w:rPr>
                    <w:t>HW49</w:t>
                  </w:r>
                </w:p>
                <w:p w14:paraId="34D2F0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default" w:ascii="Times New Roman" w:hAnsi="Times New Roman" w:eastAsia="宋体" w:cs="Times New Roman"/>
                      <w:b w:val="0"/>
                      <w:bCs w:val="0"/>
                      <w:caps w:val="0"/>
                      <w:color w:val="auto"/>
                      <w:spacing w:val="0"/>
                      <w:kern w:val="0"/>
                      <w:position w:val="0"/>
                      <w:sz w:val="21"/>
                      <w:szCs w:val="21"/>
                      <w:highlight w:val="none"/>
                      <w:lang w:val="en-US" w:eastAsia="zh-CN"/>
                    </w:rPr>
                    <w:t>900-041-49</w:t>
                  </w:r>
                </w:p>
              </w:tc>
              <w:tc>
                <w:tcPr>
                  <w:tcW w:w="1011" w:type="pct"/>
                  <w:shd w:val="clear" w:color="auto" w:fill="auto"/>
                  <w:noWrap w:val="0"/>
                  <w:vAlign w:val="center"/>
                </w:tcPr>
                <w:p w14:paraId="26C93808">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0"/>
                      <w:szCs w:val="21"/>
                      <w:highlight w:val="none"/>
                      <w:lang w:val="en-US" w:eastAsia="zh-CN"/>
                    </w:rPr>
                    <w:t>委托资质单位处置</w:t>
                  </w:r>
                </w:p>
              </w:tc>
            </w:tr>
          </w:tbl>
          <w:p w14:paraId="72A96DB8">
            <w:pPr>
              <w:keepNext w:val="0"/>
              <w:keepLines w:val="0"/>
              <w:pageBreakBefore w:val="0"/>
              <w:widowControl w:val="0"/>
              <w:numPr>
                <w:ilvl w:val="0"/>
                <w:numId w:val="8"/>
              </w:numPr>
              <w:tabs>
                <w:tab w:val="center" w:pos="0"/>
              </w:tabs>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snapToGrid w:val="0"/>
                <w:color w:val="auto"/>
                <w:spacing w:val="0"/>
                <w:kern w:val="0"/>
                <w:sz w:val="24"/>
                <w:lang w:val="en-US" w:eastAsia="zh-CN"/>
              </w:rPr>
            </w:pPr>
            <w:r>
              <w:rPr>
                <w:rFonts w:hint="default" w:ascii="Times New Roman" w:hAnsi="Times New Roman" w:eastAsia="宋体" w:cs="Times New Roman"/>
                <w:b/>
                <w:bCs/>
                <w:snapToGrid w:val="0"/>
                <w:color w:val="auto"/>
                <w:spacing w:val="0"/>
                <w:kern w:val="0"/>
                <w:sz w:val="24"/>
                <w:lang w:val="en-US" w:eastAsia="zh-CN"/>
              </w:rPr>
              <w:t>危险废物产生情况一览表</w:t>
            </w:r>
          </w:p>
          <w:tbl>
            <w:tblPr>
              <w:tblStyle w:val="3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184"/>
              <w:gridCol w:w="1231"/>
              <w:gridCol w:w="765"/>
              <w:gridCol w:w="524"/>
              <w:gridCol w:w="765"/>
              <w:gridCol w:w="800"/>
              <w:gridCol w:w="481"/>
              <w:gridCol w:w="454"/>
              <w:gridCol w:w="799"/>
            </w:tblGrid>
            <w:tr w14:paraId="72AD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noWrap w:val="0"/>
                  <w:vAlign w:val="center"/>
                </w:tcPr>
                <w:p w14:paraId="07608C47">
                  <w:pPr>
                    <w:pStyle w:val="151"/>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center"/>
                    <w:textAlignment w:val="auto"/>
                    <w:rPr>
                      <w:rFonts w:hint="eastAsia" w:ascii="Times New Roman" w:hAnsi="Times New Roman" w:eastAsia="宋体" w:cs="Times New Roman"/>
                      <w:b w:val="0"/>
                      <w:bCs w:val="0"/>
                      <w:caps w:val="0"/>
                      <w:color w:val="auto"/>
                      <w:spacing w:val="0"/>
                      <w:kern w:val="0"/>
                      <w:position w:val="0"/>
                      <w:sz w:val="21"/>
                      <w:szCs w:val="21"/>
                      <w:highlight w:val="none"/>
                      <w:lang w:eastAsia="zh-CN"/>
                    </w:rPr>
                  </w:pPr>
                  <w:r>
                    <w:rPr>
                      <w:rFonts w:hint="eastAsia" w:ascii="Times New Roman" w:hAnsi="Times New Roman" w:eastAsia="宋体" w:cs="Times New Roman"/>
                      <w:b w:val="0"/>
                      <w:bCs w:val="0"/>
                      <w:caps w:val="0"/>
                      <w:color w:val="auto"/>
                      <w:spacing w:val="0"/>
                      <w:kern w:val="0"/>
                      <w:position w:val="0"/>
                      <w:sz w:val="21"/>
                      <w:szCs w:val="21"/>
                      <w:highlight w:val="none"/>
                      <w:lang w:eastAsia="zh-CN"/>
                    </w:rPr>
                    <w:t>产生</w:t>
                  </w:r>
                </w:p>
                <w:p w14:paraId="5686665B">
                  <w:pPr>
                    <w:pStyle w:val="151"/>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center"/>
                    <w:textAlignment w:val="auto"/>
                    <w:rPr>
                      <w:rFonts w:hint="eastAsia" w:ascii="Times New Roman" w:hAnsi="Times New Roman" w:eastAsia="宋体" w:cs="Times New Roman"/>
                      <w:b w:val="0"/>
                      <w:bCs w:val="0"/>
                      <w:caps w:val="0"/>
                      <w:color w:val="auto"/>
                      <w:spacing w:val="0"/>
                      <w:kern w:val="0"/>
                      <w:position w:val="0"/>
                      <w:sz w:val="21"/>
                      <w:szCs w:val="21"/>
                      <w:highlight w:val="none"/>
                      <w:lang w:eastAsia="zh-CN"/>
                    </w:rPr>
                  </w:pPr>
                  <w:r>
                    <w:rPr>
                      <w:rFonts w:hint="eastAsia" w:ascii="Times New Roman" w:hAnsi="Times New Roman" w:eastAsia="宋体" w:cs="Times New Roman"/>
                      <w:b w:val="0"/>
                      <w:bCs w:val="0"/>
                      <w:caps w:val="0"/>
                      <w:color w:val="auto"/>
                      <w:spacing w:val="0"/>
                      <w:kern w:val="0"/>
                      <w:position w:val="0"/>
                      <w:sz w:val="21"/>
                      <w:szCs w:val="21"/>
                      <w:highlight w:val="none"/>
                      <w:lang w:eastAsia="zh-CN"/>
                    </w:rPr>
                    <w:t>环节</w:t>
                  </w:r>
                </w:p>
              </w:tc>
              <w:tc>
                <w:tcPr>
                  <w:tcW w:w="755" w:type="pct"/>
                  <w:noWrap w:val="0"/>
                  <w:vAlign w:val="center"/>
                </w:tcPr>
                <w:p w14:paraId="6DB33D4D">
                  <w:pPr>
                    <w:pStyle w:val="151"/>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eastAsia="zh-CN"/>
                    </w:rPr>
                  </w:pPr>
                  <w:r>
                    <w:rPr>
                      <w:rFonts w:hint="default" w:ascii="Times New Roman" w:hAnsi="Times New Roman" w:eastAsia="宋体" w:cs="Times New Roman"/>
                      <w:b w:val="0"/>
                      <w:bCs w:val="0"/>
                      <w:caps w:val="0"/>
                      <w:color w:val="auto"/>
                      <w:spacing w:val="0"/>
                      <w:kern w:val="0"/>
                      <w:position w:val="0"/>
                      <w:sz w:val="21"/>
                      <w:szCs w:val="21"/>
                      <w:highlight w:val="none"/>
                      <w:lang w:eastAsia="zh-CN"/>
                    </w:rPr>
                    <w:t>名称</w:t>
                  </w:r>
                </w:p>
              </w:tc>
              <w:tc>
                <w:tcPr>
                  <w:tcW w:w="785" w:type="pct"/>
                  <w:noWrap w:val="0"/>
                  <w:vAlign w:val="center"/>
                </w:tcPr>
                <w:p w14:paraId="61BEA866">
                  <w:pPr>
                    <w:pStyle w:val="151"/>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center"/>
                    <w:textAlignment w:val="auto"/>
                    <w:rPr>
                      <w:rFonts w:hint="eastAsia" w:ascii="Times New Roman" w:hAnsi="Times New Roman" w:eastAsia="宋体" w:cs="Times New Roman"/>
                      <w:b w:val="0"/>
                      <w:bCs w:val="0"/>
                      <w:caps w:val="0"/>
                      <w:color w:val="auto"/>
                      <w:spacing w:val="0"/>
                      <w:kern w:val="0"/>
                      <w:position w:val="0"/>
                      <w:sz w:val="21"/>
                      <w:szCs w:val="21"/>
                      <w:highlight w:val="none"/>
                      <w:lang w:eastAsia="zh-CN"/>
                    </w:rPr>
                  </w:pPr>
                  <w:r>
                    <w:rPr>
                      <w:rFonts w:hint="eastAsia" w:ascii="Times New Roman" w:hAnsi="Times New Roman" w:eastAsia="宋体" w:cs="Times New Roman"/>
                      <w:b w:val="0"/>
                      <w:bCs w:val="0"/>
                      <w:caps w:val="0"/>
                      <w:color w:val="auto"/>
                      <w:spacing w:val="0"/>
                      <w:kern w:val="0"/>
                      <w:position w:val="0"/>
                      <w:sz w:val="21"/>
                      <w:szCs w:val="21"/>
                      <w:highlight w:val="none"/>
                      <w:lang w:eastAsia="zh-CN"/>
                    </w:rPr>
                    <w:t>代码</w:t>
                  </w:r>
                </w:p>
              </w:tc>
              <w:tc>
                <w:tcPr>
                  <w:tcW w:w="488" w:type="pct"/>
                  <w:noWrap w:val="0"/>
                  <w:vAlign w:val="center"/>
                </w:tcPr>
                <w:p w14:paraId="184A1774">
                  <w:pPr>
                    <w:pStyle w:val="151"/>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eastAsia="zh-CN"/>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主要有毒有害物质</w:t>
                  </w:r>
                </w:p>
              </w:tc>
              <w:tc>
                <w:tcPr>
                  <w:tcW w:w="334" w:type="pct"/>
                  <w:noWrap w:val="0"/>
                  <w:vAlign w:val="center"/>
                </w:tcPr>
                <w:p w14:paraId="62140607">
                  <w:pPr>
                    <w:pStyle w:val="151"/>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eastAsia="zh-CN"/>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物理性状</w:t>
                  </w:r>
                </w:p>
              </w:tc>
              <w:tc>
                <w:tcPr>
                  <w:tcW w:w="488" w:type="pct"/>
                  <w:noWrap w:val="0"/>
                  <w:vAlign w:val="center"/>
                </w:tcPr>
                <w:p w14:paraId="43D1F421">
                  <w:pPr>
                    <w:pStyle w:val="151"/>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eastAsia="zh-CN"/>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环境危险特性</w:t>
                  </w:r>
                </w:p>
              </w:tc>
              <w:tc>
                <w:tcPr>
                  <w:tcW w:w="510" w:type="pct"/>
                  <w:noWrap w:val="0"/>
                  <w:vAlign w:val="center"/>
                </w:tcPr>
                <w:p w14:paraId="6E295C14">
                  <w:pPr>
                    <w:pStyle w:val="151"/>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eastAsia="zh-CN"/>
                    </w:rPr>
                  </w:pPr>
                  <w:r>
                    <w:rPr>
                      <w:rFonts w:hint="default" w:ascii="Times New Roman" w:hAnsi="Times New Roman" w:eastAsia="宋体" w:cs="Times New Roman"/>
                      <w:b w:val="0"/>
                      <w:bCs w:val="0"/>
                      <w:caps w:val="0"/>
                      <w:color w:val="auto"/>
                      <w:spacing w:val="0"/>
                      <w:kern w:val="0"/>
                      <w:position w:val="0"/>
                      <w:sz w:val="21"/>
                      <w:szCs w:val="21"/>
                      <w:highlight w:val="none"/>
                      <w:lang w:eastAsia="zh-CN"/>
                    </w:rPr>
                    <w:t>产生量</w:t>
                  </w:r>
                </w:p>
                <w:p w14:paraId="7D5E68B5">
                  <w:pPr>
                    <w:pStyle w:val="151"/>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eastAsia="zh-CN"/>
                    </w:rPr>
                  </w:pPr>
                  <w:r>
                    <w:rPr>
                      <w:rFonts w:hint="eastAsia" w:ascii="Times New Roman" w:hAnsi="Times New Roman" w:cs="Times New Roman"/>
                      <w:b w:val="0"/>
                      <w:bCs w:val="0"/>
                      <w:caps w:val="0"/>
                      <w:color w:val="auto"/>
                      <w:spacing w:val="0"/>
                      <w:kern w:val="0"/>
                      <w:position w:val="0"/>
                      <w:sz w:val="21"/>
                      <w:szCs w:val="21"/>
                      <w:highlight w:val="none"/>
                      <w:lang w:val="en-US" w:eastAsia="zh-CN"/>
                    </w:rPr>
                    <w:t>t/a</w:t>
                  </w:r>
                </w:p>
              </w:tc>
              <w:tc>
                <w:tcPr>
                  <w:tcW w:w="306" w:type="pct"/>
                  <w:noWrap w:val="0"/>
                  <w:vAlign w:val="center"/>
                </w:tcPr>
                <w:p w14:paraId="1EAFE058">
                  <w:pPr>
                    <w:pStyle w:val="151"/>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eastAsia="zh-CN"/>
                    </w:rPr>
                  </w:pPr>
                  <w:r>
                    <w:rPr>
                      <w:rFonts w:hint="default" w:ascii="Times New Roman" w:hAnsi="Times New Roman" w:eastAsia="宋体" w:cs="Times New Roman"/>
                      <w:b w:val="0"/>
                      <w:bCs w:val="0"/>
                      <w:caps w:val="0"/>
                      <w:color w:val="auto"/>
                      <w:spacing w:val="0"/>
                      <w:kern w:val="0"/>
                      <w:position w:val="0"/>
                      <w:sz w:val="21"/>
                      <w:szCs w:val="21"/>
                      <w:highlight w:val="none"/>
                      <w:lang w:eastAsia="zh-CN"/>
                    </w:rPr>
                    <w:t>贮存方式</w:t>
                  </w:r>
                </w:p>
              </w:tc>
              <w:tc>
                <w:tcPr>
                  <w:tcW w:w="289" w:type="pct"/>
                  <w:noWrap w:val="0"/>
                  <w:vAlign w:val="center"/>
                </w:tcPr>
                <w:p w14:paraId="6693AD7B">
                  <w:pPr>
                    <w:pStyle w:val="151"/>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eastAsia="zh-CN"/>
                    </w:rPr>
                  </w:pPr>
                  <w:r>
                    <w:rPr>
                      <w:rFonts w:hint="default" w:ascii="Times New Roman" w:hAnsi="Times New Roman" w:eastAsia="宋体" w:cs="Times New Roman"/>
                      <w:b w:val="0"/>
                      <w:bCs w:val="0"/>
                      <w:caps w:val="0"/>
                      <w:color w:val="auto"/>
                      <w:spacing w:val="0"/>
                      <w:kern w:val="0"/>
                      <w:position w:val="0"/>
                      <w:sz w:val="21"/>
                      <w:szCs w:val="21"/>
                      <w:highlight w:val="none"/>
                      <w:lang w:eastAsia="zh-CN"/>
                    </w:rPr>
                    <w:t>处置方式</w:t>
                  </w:r>
                </w:p>
              </w:tc>
              <w:tc>
                <w:tcPr>
                  <w:tcW w:w="509" w:type="pct"/>
                  <w:noWrap w:val="0"/>
                  <w:vAlign w:val="center"/>
                </w:tcPr>
                <w:p w14:paraId="4BA3E9DF">
                  <w:pPr>
                    <w:pStyle w:val="151"/>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center"/>
                    <w:textAlignment w:val="auto"/>
                    <w:rPr>
                      <w:rFonts w:hint="eastAsia"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处置量</w:t>
                  </w:r>
                </w:p>
                <w:p w14:paraId="6E6FAE7B">
                  <w:pPr>
                    <w:pStyle w:val="151"/>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eastAsia="zh-CN"/>
                    </w:rPr>
                  </w:pPr>
                  <w:r>
                    <w:rPr>
                      <w:rFonts w:hint="eastAsia" w:ascii="Times New Roman" w:hAnsi="Times New Roman" w:cs="Times New Roman"/>
                      <w:b w:val="0"/>
                      <w:bCs w:val="0"/>
                      <w:caps w:val="0"/>
                      <w:color w:val="auto"/>
                      <w:spacing w:val="0"/>
                      <w:kern w:val="0"/>
                      <w:position w:val="0"/>
                      <w:sz w:val="21"/>
                      <w:szCs w:val="21"/>
                      <w:highlight w:val="none"/>
                      <w:lang w:val="en-US" w:eastAsia="zh-CN"/>
                    </w:rPr>
                    <w:t>t/a</w:t>
                  </w:r>
                </w:p>
              </w:tc>
            </w:tr>
            <w:tr w14:paraId="520F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noWrap w:val="0"/>
                  <w:vAlign w:val="center"/>
                </w:tcPr>
                <w:p w14:paraId="60EE74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caps w:val="0"/>
                      <w:color w:val="auto"/>
                      <w:spacing w:val="0"/>
                      <w:kern w:val="0"/>
                      <w:position w:val="0"/>
                      <w:sz w:val="21"/>
                      <w:szCs w:val="21"/>
                      <w:highlight w:val="none"/>
                      <w:lang w:eastAsia="zh-CN"/>
                    </w:rPr>
                    <w:t>设备维护</w:t>
                  </w:r>
                </w:p>
              </w:tc>
              <w:tc>
                <w:tcPr>
                  <w:tcW w:w="755" w:type="pct"/>
                  <w:noWrap w:val="0"/>
                  <w:vAlign w:val="center"/>
                </w:tcPr>
                <w:p w14:paraId="6C5307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caps w:val="0"/>
                      <w:color w:val="auto"/>
                      <w:spacing w:val="0"/>
                      <w:kern w:val="0"/>
                      <w:position w:val="0"/>
                      <w:sz w:val="21"/>
                      <w:szCs w:val="21"/>
                      <w:highlight w:val="none"/>
                      <w:lang w:eastAsia="zh-CN"/>
                    </w:rPr>
                    <w:t>废</w:t>
                  </w:r>
                  <w:r>
                    <w:rPr>
                      <w:rFonts w:hint="eastAsia" w:cs="Times New Roman"/>
                      <w:b w:val="0"/>
                      <w:bCs w:val="0"/>
                      <w:caps w:val="0"/>
                      <w:color w:val="auto"/>
                      <w:spacing w:val="0"/>
                      <w:kern w:val="0"/>
                      <w:position w:val="0"/>
                      <w:sz w:val="21"/>
                      <w:szCs w:val="21"/>
                      <w:highlight w:val="none"/>
                      <w:lang w:eastAsia="zh-CN"/>
                    </w:rPr>
                    <w:t>润滑油</w:t>
                  </w:r>
                </w:p>
              </w:tc>
              <w:tc>
                <w:tcPr>
                  <w:tcW w:w="785" w:type="pct"/>
                  <w:noWrap w:val="0"/>
                  <w:vAlign w:val="center"/>
                </w:tcPr>
                <w:p w14:paraId="5DB71F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HW08</w:t>
                  </w:r>
                </w:p>
                <w:p w14:paraId="585193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default" w:ascii="Times New Roman" w:hAnsi="Times New Roman" w:eastAsia="宋体" w:cs="Times New Roman"/>
                      <w:b w:val="0"/>
                      <w:bCs w:val="0"/>
                      <w:caps w:val="0"/>
                      <w:color w:val="auto"/>
                      <w:spacing w:val="0"/>
                      <w:kern w:val="0"/>
                      <w:position w:val="0"/>
                      <w:sz w:val="21"/>
                      <w:szCs w:val="21"/>
                      <w:highlight w:val="none"/>
                    </w:rPr>
                    <w:t>900-214-08</w:t>
                  </w:r>
                </w:p>
              </w:tc>
              <w:tc>
                <w:tcPr>
                  <w:tcW w:w="488" w:type="pct"/>
                  <w:noWrap w:val="0"/>
                  <w:vAlign w:val="center"/>
                </w:tcPr>
                <w:p w14:paraId="3E38B8B9">
                  <w:pPr>
                    <w:keepNext w:val="0"/>
                    <w:keepLines w:val="0"/>
                    <w:pageBreakBefore w:val="0"/>
                    <w:widowControl w:val="0"/>
                    <w:kinsoku/>
                    <w:wordWrap/>
                    <w:overflowPunct/>
                    <w:topLinePunct w:val="0"/>
                    <w:autoSpaceDE/>
                    <w:autoSpaceDN/>
                    <w:bidi w:val="0"/>
                    <w:adjustRightInd w:val="0"/>
                    <w:snapToGrid w:val="0"/>
                    <w:ind w:left="-105" w:leftChars="-50" w:right="-105" w:rightChars="-50" w:firstLine="0" w:firstLineChars="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cs="Times New Roman"/>
                      <w:b w:val="0"/>
                      <w:bCs w:val="0"/>
                      <w:caps w:val="0"/>
                      <w:color w:val="auto"/>
                      <w:spacing w:val="0"/>
                      <w:kern w:val="0"/>
                      <w:position w:val="0"/>
                      <w:sz w:val="21"/>
                      <w:szCs w:val="21"/>
                      <w:highlight w:val="none"/>
                      <w:lang w:val="en-US" w:eastAsia="zh-CN" w:bidi="ar-SA"/>
                    </w:rPr>
                    <w:t>矿物油</w:t>
                  </w:r>
                </w:p>
              </w:tc>
              <w:tc>
                <w:tcPr>
                  <w:tcW w:w="334" w:type="pct"/>
                  <w:noWrap w:val="0"/>
                  <w:vAlign w:val="center"/>
                </w:tcPr>
                <w:p w14:paraId="36F671B3">
                  <w:pPr>
                    <w:keepNext w:val="0"/>
                    <w:keepLines w:val="0"/>
                    <w:pageBreakBefore w:val="0"/>
                    <w:widowControl w:val="0"/>
                    <w:kinsoku/>
                    <w:wordWrap/>
                    <w:overflowPunct/>
                    <w:topLinePunct w:val="0"/>
                    <w:autoSpaceDE/>
                    <w:autoSpaceDN/>
                    <w:bidi w:val="0"/>
                    <w:adjustRightInd w:val="0"/>
                    <w:snapToGrid w:val="0"/>
                    <w:ind w:left="-105" w:leftChars="-50" w:right="-105" w:rightChars="-50" w:firstLine="0" w:firstLineChars="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cs="Times New Roman"/>
                      <w:b w:val="0"/>
                      <w:bCs w:val="0"/>
                      <w:caps w:val="0"/>
                      <w:color w:val="auto"/>
                      <w:spacing w:val="0"/>
                      <w:kern w:val="0"/>
                      <w:position w:val="0"/>
                      <w:sz w:val="21"/>
                      <w:szCs w:val="21"/>
                      <w:highlight w:val="none"/>
                      <w:lang w:val="en-US" w:eastAsia="zh-CN" w:bidi="ar-SA"/>
                    </w:rPr>
                    <w:t>液态</w:t>
                  </w:r>
                </w:p>
              </w:tc>
              <w:tc>
                <w:tcPr>
                  <w:tcW w:w="488" w:type="pct"/>
                  <w:noWrap w:val="0"/>
                  <w:vAlign w:val="center"/>
                </w:tcPr>
                <w:p w14:paraId="2A7B836D">
                  <w:pPr>
                    <w:keepNext w:val="0"/>
                    <w:keepLines w:val="0"/>
                    <w:pageBreakBefore w:val="0"/>
                    <w:widowControl w:val="0"/>
                    <w:kinsoku/>
                    <w:wordWrap/>
                    <w:overflowPunct/>
                    <w:topLinePunct w:val="0"/>
                    <w:autoSpaceDE/>
                    <w:autoSpaceDN/>
                    <w:bidi w:val="0"/>
                    <w:adjustRightInd w:val="0"/>
                    <w:snapToGrid w:val="0"/>
                    <w:ind w:left="-105" w:leftChars="-50" w:right="-105" w:rightChars="-50" w:firstLine="0" w:firstLineChars="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bidi="ar-SA"/>
                    </w:rPr>
                    <w:t>T，I</w:t>
                  </w:r>
                </w:p>
              </w:tc>
              <w:tc>
                <w:tcPr>
                  <w:tcW w:w="510" w:type="pct"/>
                  <w:noWrap w:val="0"/>
                  <w:vAlign w:val="center"/>
                </w:tcPr>
                <w:p w14:paraId="310054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cs="Times New Roman"/>
                      <w:b w:val="0"/>
                      <w:bCs w:val="0"/>
                      <w:caps w:val="0"/>
                      <w:color w:val="auto"/>
                      <w:spacing w:val="0"/>
                      <w:kern w:val="0"/>
                      <w:position w:val="0"/>
                      <w:sz w:val="21"/>
                      <w:szCs w:val="21"/>
                      <w:highlight w:val="none"/>
                      <w:lang w:val="en-US" w:eastAsia="zh-CN"/>
                    </w:rPr>
                    <w:t>0.05</w:t>
                  </w:r>
                </w:p>
              </w:tc>
              <w:tc>
                <w:tcPr>
                  <w:tcW w:w="306" w:type="pct"/>
                  <w:noWrap w:val="0"/>
                  <w:vAlign w:val="center"/>
                </w:tcPr>
                <w:p w14:paraId="207DBD43">
                  <w:pPr>
                    <w:keepNext w:val="0"/>
                    <w:keepLines w:val="0"/>
                    <w:pageBreakBefore w:val="0"/>
                    <w:widowControl w:val="0"/>
                    <w:kinsoku/>
                    <w:wordWrap/>
                    <w:overflowPunct/>
                    <w:topLinePunct w:val="0"/>
                    <w:autoSpaceDE/>
                    <w:autoSpaceDN/>
                    <w:bidi w:val="0"/>
                    <w:adjustRightInd w:val="0"/>
                    <w:snapToGrid w:val="0"/>
                    <w:ind w:left="-105" w:leftChars="-50" w:right="-105" w:rightChars="-50" w:firstLine="0" w:firstLineChars="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bidi="ar-SA"/>
                    </w:rPr>
                    <w:t>密闭桶装</w:t>
                  </w:r>
                </w:p>
              </w:tc>
              <w:tc>
                <w:tcPr>
                  <w:tcW w:w="289" w:type="pct"/>
                  <w:vMerge w:val="restart"/>
                  <w:noWrap w:val="0"/>
                  <w:vAlign w:val="center"/>
                </w:tcPr>
                <w:p w14:paraId="089F2D6C">
                  <w:pPr>
                    <w:keepNext w:val="0"/>
                    <w:keepLines w:val="0"/>
                    <w:pageBreakBefore w:val="0"/>
                    <w:widowControl w:val="0"/>
                    <w:kinsoku/>
                    <w:wordWrap/>
                    <w:overflowPunct/>
                    <w:topLinePunct w:val="0"/>
                    <w:autoSpaceDE/>
                    <w:autoSpaceDN/>
                    <w:bidi w:val="0"/>
                    <w:adjustRightInd w:val="0"/>
                    <w:snapToGrid w:val="0"/>
                    <w:ind w:left="-105" w:leftChars="-50" w:right="-105" w:rightChars="-50" w:firstLine="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bidi="ar-SA"/>
                    </w:rPr>
                    <w:t>委托有资质公司处理</w:t>
                  </w:r>
                </w:p>
              </w:tc>
              <w:tc>
                <w:tcPr>
                  <w:tcW w:w="509" w:type="pct"/>
                  <w:noWrap w:val="0"/>
                  <w:vAlign w:val="center"/>
                </w:tcPr>
                <w:p w14:paraId="130ED8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cs="Times New Roman"/>
                      <w:b w:val="0"/>
                      <w:bCs w:val="0"/>
                      <w:caps w:val="0"/>
                      <w:color w:val="auto"/>
                      <w:spacing w:val="0"/>
                      <w:kern w:val="0"/>
                      <w:position w:val="0"/>
                      <w:sz w:val="21"/>
                      <w:szCs w:val="21"/>
                      <w:highlight w:val="none"/>
                      <w:lang w:val="en-US" w:eastAsia="zh-CN"/>
                    </w:rPr>
                    <w:t>0.05</w:t>
                  </w:r>
                </w:p>
              </w:tc>
            </w:tr>
            <w:tr w14:paraId="1E2E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noWrap w:val="0"/>
                  <w:vAlign w:val="center"/>
                </w:tcPr>
                <w:p w14:paraId="1792C4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default" w:ascii="Times New Roman" w:hAnsi="Times New Roman" w:eastAsia="宋体" w:cs="Times New Roman"/>
                      <w:b w:val="0"/>
                      <w:bCs w:val="0"/>
                      <w:caps w:val="0"/>
                      <w:color w:val="auto"/>
                      <w:spacing w:val="0"/>
                      <w:kern w:val="0"/>
                      <w:position w:val="0"/>
                      <w:sz w:val="21"/>
                      <w:szCs w:val="21"/>
                      <w:highlight w:val="none"/>
                      <w:lang w:eastAsia="zh-CN"/>
                    </w:rPr>
                    <w:t>包装物</w:t>
                  </w:r>
                </w:p>
              </w:tc>
              <w:tc>
                <w:tcPr>
                  <w:tcW w:w="755" w:type="pct"/>
                  <w:noWrap w:val="0"/>
                  <w:vAlign w:val="center"/>
                </w:tcPr>
                <w:p w14:paraId="08D3A9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default" w:ascii="Times New Roman" w:hAnsi="Times New Roman" w:eastAsia="宋体" w:cs="Times New Roman"/>
                      <w:b w:val="0"/>
                      <w:bCs w:val="0"/>
                      <w:caps w:val="0"/>
                      <w:color w:val="auto"/>
                      <w:spacing w:val="0"/>
                      <w:kern w:val="0"/>
                      <w:position w:val="0"/>
                      <w:sz w:val="21"/>
                      <w:szCs w:val="21"/>
                      <w:highlight w:val="none"/>
                    </w:rPr>
                    <w:t>废</w:t>
                  </w:r>
                  <w:r>
                    <w:rPr>
                      <w:rFonts w:hint="eastAsia" w:cs="Times New Roman"/>
                      <w:b w:val="0"/>
                      <w:bCs w:val="0"/>
                      <w:caps w:val="0"/>
                      <w:color w:val="auto"/>
                      <w:spacing w:val="0"/>
                      <w:kern w:val="0"/>
                      <w:position w:val="0"/>
                      <w:sz w:val="21"/>
                      <w:szCs w:val="21"/>
                      <w:highlight w:val="none"/>
                      <w:lang w:eastAsia="zh-CN"/>
                    </w:rPr>
                    <w:t>润滑油</w:t>
                  </w:r>
                  <w:r>
                    <w:rPr>
                      <w:rFonts w:hint="default" w:ascii="Times New Roman" w:hAnsi="Times New Roman" w:eastAsia="宋体" w:cs="Times New Roman"/>
                      <w:b w:val="0"/>
                      <w:bCs w:val="0"/>
                      <w:caps w:val="0"/>
                      <w:color w:val="auto"/>
                      <w:spacing w:val="0"/>
                      <w:kern w:val="0"/>
                      <w:position w:val="0"/>
                      <w:sz w:val="21"/>
                      <w:szCs w:val="21"/>
                      <w:highlight w:val="none"/>
                    </w:rPr>
                    <w:t>桶</w:t>
                  </w:r>
                </w:p>
              </w:tc>
              <w:tc>
                <w:tcPr>
                  <w:tcW w:w="785" w:type="pct"/>
                  <w:noWrap w:val="0"/>
                  <w:vAlign w:val="center"/>
                </w:tcPr>
                <w:p w14:paraId="67A5E8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HW08</w:t>
                  </w:r>
                </w:p>
                <w:p w14:paraId="799C9B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default" w:ascii="Times New Roman" w:hAnsi="Times New Roman" w:eastAsia="宋体" w:cs="Times New Roman"/>
                      <w:b w:val="0"/>
                      <w:bCs w:val="0"/>
                      <w:caps w:val="0"/>
                      <w:color w:val="auto"/>
                      <w:spacing w:val="0"/>
                      <w:kern w:val="0"/>
                      <w:position w:val="0"/>
                      <w:sz w:val="21"/>
                      <w:szCs w:val="21"/>
                      <w:highlight w:val="none"/>
                    </w:rPr>
                    <w:t>900-249-08</w:t>
                  </w:r>
                </w:p>
              </w:tc>
              <w:tc>
                <w:tcPr>
                  <w:tcW w:w="488" w:type="pct"/>
                  <w:noWrap w:val="0"/>
                  <w:vAlign w:val="center"/>
                </w:tcPr>
                <w:p w14:paraId="2B8B0964">
                  <w:pPr>
                    <w:keepNext w:val="0"/>
                    <w:keepLines w:val="0"/>
                    <w:pageBreakBefore w:val="0"/>
                    <w:widowControl w:val="0"/>
                    <w:kinsoku/>
                    <w:wordWrap/>
                    <w:overflowPunct/>
                    <w:topLinePunct w:val="0"/>
                    <w:autoSpaceDE/>
                    <w:autoSpaceDN/>
                    <w:bidi w:val="0"/>
                    <w:adjustRightInd w:val="0"/>
                    <w:snapToGrid w:val="0"/>
                    <w:ind w:left="-105" w:leftChars="-50" w:right="-105" w:rightChars="-50" w:firstLine="0" w:firstLineChars="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cs="Times New Roman"/>
                      <w:b w:val="0"/>
                      <w:bCs w:val="0"/>
                      <w:caps w:val="0"/>
                      <w:color w:val="auto"/>
                      <w:spacing w:val="0"/>
                      <w:kern w:val="0"/>
                      <w:position w:val="0"/>
                      <w:sz w:val="21"/>
                      <w:szCs w:val="21"/>
                      <w:highlight w:val="none"/>
                      <w:lang w:val="en-US" w:eastAsia="zh-CN" w:bidi="ar-SA"/>
                    </w:rPr>
                    <w:t>矿物油</w:t>
                  </w:r>
                </w:p>
              </w:tc>
              <w:tc>
                <w:tcPr>
                  <w:tcW w:w="334" w:type="pct"/>
                  <w:noWrap w:val="0"/>
                  <w:vAlign w:val="center"/>
                </w:tcPr>
                <w:p w14:paraId="79AAB0A0">
                  <w:pPr>
                    <w:keepNext w:val="0"/>
                    <w:keepLines w:val="0"/>
                    <w:pageBreakBefore w:val="0"/>
                    <w:widowControl w:val="0"/>
                    <w:kinsoku/>
                    <w:wordWrap/>
                    <w:overflowPunct/>
                    <w:topLinePunct w:val="0"/>
                    <w:autoSpaceDE/>
                    <w:autoSpaceDN/>
                    <w:bidi w:val="0"/>
                    <w:adjustRightInd w:val="0"/>
                    <w:snapToGrid w:val="0"/>
                    <w:ind w:left="-105" w:leftChars="-50" w:right="-105" w:rightChars="-50" w:firstLine="0" w:firstLineChars="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bidi="ar-SA"/>
                    </w:rPr>
                    <w:t>固态</w:t>
                  </w:r>
                </w:p>
              </w:tc>
              <w:tc>
                <w:tcPr>
                  <w:tcW w:w="488" w:type="pct"/>
                  <w:noWrap w:val="0"/>
                  <w:vAlign w:val="center"/>
                </w:tcPr>
                <w:p w14:paraId="3BBCE7E1">
                  <w:pPr>
                    <w:keepNext w:val="0"/>
                    <w:keepLines w:val="0"/>
                    <w:pageBreakBefore w:val="0"/>
                    <w:widowControl w:val="0"/>
                    <w:kinsoku/>
                    <w:wordWrap/>
                    <w:overflowPunct/>
                    <w:topLinePunct w:val="0"/>
                    <w:autoSpaceDE/>
                    <w:autoSpaceDN/>
                    <w:bidi w:val="0"/>
                    <w:adjustRightInd w:val="0"/>
                    <w:snapToGrid w:val="0"/>
                    <w:ind w:left="-105" w:leftChars="-50" w:right="-105" w:rightChars="-50" w:firstLine="0" w:firstLineChars="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bidi="ar-SA"/>
                    </w:rPr>
                    <w:t>T，I</w:t>
                  </w:r>
                </w:p>
              </w:tc>
              <w:tc>
                <w:tcPr>
                  <w:tcW w:w="510" w:type="pct"/>
                  <w:noWrap w:val="0"/>
                  <w:vAlign w:val="center"/>
                </w:tcPr>
                <w:p w14:paraId="32A741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cs="Times New Roman"/>
                      <w:b w:val="0"/>
                      <w:bCs w:val="0"/>
                      <w:caps w:val="0"/>
                      <w:color w:val="auto"/>
                      <w:spacing w:val="0"/>
                      <w:kern w:val="0"/>
                      <w:position w:val="0"/>
                      <w:sz w:val="21"/>
                      <w:szCs w:val="21"/>
                      <w:highlight w:val="none"/>
                      <w:lang w:val="en-US" w:eastAsia="zh-CN"/>
                    </w:rPr>
                    <w:t>0.01</w:t>
                  </w:r>
                </w:p>
              </w:tc>
              <w:tc>
                <w:tcPr>
                  <w:tcW w:w="306" w:type="pct"/>
                  <w:noWrap w:val="0"/>
                  <w:vAlign w:val="center"/>
                </w:tcPr>
                <w:p w14:paraId="7BBA2013">
                  <w:pPr>
                    <w:keepNext w:val="0"/>
                    <w:keepLines w:val="0"/>
                    <w:pageBreakBefore w:val="0"/>
                    <w:widowControl w:val="0"/>
                    <w:kinsoku/>
                    <w:wordWrap/>
                    <w:overflowPunct/>
                    <w:topLinePunct w:val="0"/>
                    <w:autoSpaceDE/>
                    <w:autoSpaceDN/>
                    <w:bidi w:val="0"/>
                    <w:adjustRightInd w:val="0"/>
                    <w:snapToGrid w:val="0"/>
                    <w:ind w:left="-105" w:leftChars="-50" w:right="-105" w:rightChars="-50" w:firstLine="0" w:firstLineChars="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bidi="ar-SA"/>
                    </w:rPr>
                    <w:t>密闭</w:t>
                  </w:r>
                </w:p>
              </w:tc>
              <w:tc>
                <w:tcPr>
                  <w:tcW w:w="289" w:type="pct"/>
                  <w:vMerge w:val="continue"/>
                  <w:noWrap w:val="0"/>
                  <w:vAlign w:val="center"/>
                </w:tcPr>
                <w:p w14:paraId="1933CAEA">
                  <w:pPr>
                    <w:keepNext w:val="0"/>
                    <w:keepLines w:val="0"/>
                    <w:pageBreakBefore w:val="0"/>
                    <w:widowControl w:val="0"/>
                    <w:kinsoku/>
                    <w:wordWrap/>
                    <w:overflowPunct/>
                    <w:topLinePunct w:val="0"/>
                    <w:autoSpaceDE/>
                    <w:autoSpaceDN/>
                    <w:bidi w:val="0"/>
                    <w:adjustRightInd w:val="0"/>
                    <w:snapToGrid w:val="0"/>
                    <w:ind w:left="-105" w:leftChars="-50" w:right="-105" w:rightChars="-50" w:firstLine="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p>
              </w:tc>
              <w:tc>
                <w:tcPr>
                  <w:tcW w:w="509" w:type="pct"/>
                  <w:noWrap w:val="0"/>
                  <w:vAlign w:val="center"/>
                </w:tcPr>
                <w:p w14:paraId="79BCFE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cs="Times New Roman"/>
                      <w:b w:val="0"/>
                      <w:bCs w:val="0"/>
                      <w:caps w:val="0"/>
                      <w:color w:val="auto"/>
                      <w:spacing w:val="0"/>
                      <w:kern w:val="0"/>
                      <w:position w:val="0"/>
                      <w:sz w:val="21"/>
                      <w:szCs w:val="21"/>
                      <w:highlight w:val="none"/>
                      <w:lang w:val="en-US" w:eastAsia="zh-CN"/>
                    </w:rPr>
                    <w:t>0.01</w:t>
                  </w:r>
                </w:p>
              </w:tc>
            </w:tr>
            <w:tr w14:paraId="1CD4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noWrap w:val="0"/>
                  <w:vAlign w:val="center"/>
                </w:tcPr>
                <w:p w14:paraId="3C317F25">
                  <w:pPr>
                    <w:jc w:val="center"/>
                    <w:rPr>
                      <w:rFonts w:hint="default" w:ascii="Times New Roman" w:hAnsi="Times New Roman" w:eastAsia="宋体" w:cs="Times New Roman"/>
                      <w:b w:val="0"/>
                      <w:bCs w:val="0"/>
                      <w:caps w:val="0"/>
                      <w:color w:val="auto"/>
                      <w:spacing w:val="0"/>
                      <w:kern w:val="0"/>
                      <w:position w:val="0"/>
                      <w:sz w:val="21"/>
                      <w:szCs w:val="21"/>
                      <w:highlight w:val="none"/>
                      <w:lang w:eastAsia="zh-CN"/>
                    </w:rPr>
                  </w:pPr>
                  <w:r>
                    <w:rPr>
                      <w:rFonts w:hint="default" w:ascii="Times New Roman" w:hAnsi="Times New Roman" w:eastAsia="宋体" w:cs="Times New Roman"/>
                      <w:color w:val="auto"/>
                      <w:spacing w:val="0"/>
                      <w:kern w:val="2"/>
                      <w:sz w:val="21"/>
                      <w:szCs w:val="24"/>
                      <w:lang w:val="en-US" w:eastAsia="zh-CN" w:bidi="ar-SA"/>
                    </w:rPr>
                    <w:t>设备维护</w:t>
                  </w:r>
                </w:p>
              </w:tc>
              <w:tc>
                <w:tcPr>
                  <w:tcW w:w="755" w:type="pct"/>
                  <w:noWrap w:val="0"/>
                  <w:vAlign w:val="center"/>
                </w:tcPr>
                <w:p w14:paraId="2F90C083">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eastAsia" w:cs="Times New Roman"/>
                      <w:color w:val="auto"/>
                      <w:spacing w:val="0"/>
                      <w:szCs w:val="21"/>
                      <w:lang w:val="en-US" w:eastAsia="zh-CN"/>
                    </w:rPr>
                    <w:t>废吸油毡</w:t>
                  </w:r>
                </w:p>
              </w:tc>
              <w:tc>
                <w:tcPr>
                  <w:tcW w:w="785" w:type="pct"/>
                  <w:noWrap w:val="0"/>
                  <w:vAlign w:val="center"/>
                </w:tcPr>
                <w:p w14:paraId="534846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default" w:ascii="Times New Roman" w:hAnsi="Times New Roman" w:eastAsia="宋体" w:cs="Times New Roman"/>
                      <w:b w:val="0"/>
                      <w:bCs w:val="0"/>
                      <w:caps w:val="0"/>
                      <w:color w:val="auto"/>
                      <w:spacing w:val="0"/>
                      <w:kern w:val="0"/>
                      <w:position w:val="0"/>
                      <w:sz w:val="21"/>
                      <w:szCs w:val="21"/>
                      <w:highlight w:val="none"/>
                      <w:lang w:val="en-US" w:eastAsia="zh-CN"/>
                    </w:rPr>
                    <w:t>HW49</w:t>
                  </w:r>
                </w:p>
                <w:p w14:paraId="2C25FF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lang w:val="en-US" w:eastAsia="zh-CN"/>
                    </w:rPr>
                    <w:t>900-041-49</w:t>
                  </w:r>
                </w:p>
              </w:tc>
              <w:tc>
                <w:tcPr>
                  <w:tcW w:w="488" w:type="pct"/>
                  <w:noWrap w:val="0"/>
                  <w:vAlign w:val="center"/>
                </w:tcPr>
                <w:p w14:paraId="4C85CAE0">
                  <w:pPr>
                    <w:keepNext w:val="0"/>
                    <w:keepLines w:val="0"/>
                    <w:pageBreakBefore w:val="0"/>
                    <w:widowControl w:val="0"/>
                    <w:kinsoku/>
                    <w:wordWrap/>
                    <w:overflowPunct/>
                    <w:topLinePunct w:val="0"/>
                    <w:autoSpaceDE/>
                    <w:autoSpaceDN/>
                    <w:bidi w:val="0"/>
                    <w:adjustRightInd w:val="0"/>
                    <w:snapToGrid w:val="0"/>
                    <w:ind w:left="-105" w:leftChars="-50" w:right="-105" w:rightChars="-50" w:firstLine="0" w:firstLineChars="0"/>
                    <w:jc w:val="center"/>
                    <w:textAlignment w:val="auto"/>
                    <w:rPr>
                      <w:rFonts w:hint="eastAsia" w:cs="Times New Roman"/>
                      <w:b w:val="0"/>
                      <w:bCs w:val="0"/>
                      <w:caps w:val="0"/>
                      <w:color w:val="auto"/>
                      <w:spacing w:val="0"/>
                      <w:kern w:val="0"/>
                      <w:position w:val="0"/>
                      <w:sz w:val="21"/>
                      <w:szCs w:val="21"/>
                      <w:highlight w:val="none"/>
                      <w:lang w:val="en-US" w:eastAsia="zh-CN" w:bidi="ar-SA"/>
                    </w:rPr>
                  </w:pPr>
                  <w:r>
                    <w:rPr>
                      <w:rFonts w:hint="eastAsia" w:cs="Times New Roman"/>
                      <w:b w:val="0"/>
                      <w:bCs w:val="0"/>
                      <w:caps w:val="0"/>
                      <w:color w:val="auto"/>
                      <w:spacing w:val="0"/>
                      <w:kern w:val="0"/>
                      <w:position w:val="0"/>
                      <w:sz w:val="21"/>
                      <w:szCs w:val="21"/>
                      <w:highlight w:val="none"/>
                      <w:lang w:val="en-US" w:eastAsia="zh-CN" w:bidi="ar-SA"/>
                    </w:rPr>
                    <w:t>矿物油</w:t>
                  </w:r>
                </w:p>
              </w:tc>
              <w:tc>
                <w:tcPr>
                  <w:tcW w:w="334" w:type="pct"/>
                  <w:noWrap w:val="0"/>
                  <w:vAlign w:val="center"/>
                </w:tcPr>
                <w:p w14:paraId="59AF417B">
                  <w:pPr>
                    <w:keepNext w:val="0"/>
                    <w:keepLines w:val="0"/>
                    <w:pageBreakBefore w:val="0"/>
                    <w:widowControl w:val="0"/>
                    <w:kinsoku/>
                    <w:wordWrap/>
                    <w:overflowPunct/>
                    <w:topLinePunct w:val="0"/>
                    <w:autoSpaceDE/>
                    <w:autoSpaceDN/>
                    <w:bidi w:val="0"/>
                    <w:adjustRightInd w:val="0"/>
                    <w:snapToGrid w:val="0"/>
                    <w:ind w:left="-105" w:leftChars="-50" w:right="-105" w:rightChars="-50" w:firstLine="0" w:firstLineChars="0"/>
                    <w:jc w:val="center"/>
                    <w:textAlignment w:val="auto"/>
                    <w:rPr>
                      <w:rFonts w:hint="eastAsia"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bidi="ar-SA"/>
                    </w:rPr>
                    <w:t>固态</w:t>
                  </w:r>
                </w:p>
              </w:tc>
              <w:tc>
                <w:tcPr>
                  <w:tcW w:w="488" w:type="pct"/>
                  <w:noWrap w:val="0"/>
                  <w:vAlign w:val="center"/>
                </w:tcPr>
                <w:p w14:paraId="02EED8B8">
                  <w:pPr>
                    <w:keepNext w:val="0"/>
                    <w:keepLines w:val="0"/>
                    <w:pageBreakBefore w:val="0"/>
                    <w:widowControl w:val="0"/>
                    <w:kinsoku/>
                    <w:wordWrap/>
                    <w:overflowPunct/>
                    <w:topLinePunct w:val="0"/>
                    <w:autoSpaceDE/>
                    <w:autoSpaceDN/>
                    <w:bidi w:val="0"/>
                    <w:adjustRightInd w:val="0"/>
                    <w:snapToGrid w:val="0"/>
                    <w:ind w:left="-105" w:leftChars="-50" w:right="-105" w:rightChars="-50" w:firstLine="0" w:firstLineChars="0"/>
                    <w:jc w:val="center"/>
                    <w:textAlignment w:val="auto"/>
                    <w:rPr>
                      <w:rFonts w:hint="eastAsia"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bidi="ar-SA"/>
                    </w:rPr>
                    <w:t>T/In</w:t>
                  </w:r>
                </w:p>
              </w:tc>
              <w:tc>
                <w:tcPr>
                  <w:tcW w:w="510" w:type="pct"/>
                  <w:noWrap w:val="0"/>
                  <w:vAlign w:val="center"/>
                </w:tcPr>
                <w:p w14:paraId="3A4F5B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val="0"/>
                      <w:caps w:val="0"/>
                      <w:color w:val="auto"/>
                      <w:spacing w:val="0"/>
                      <w:kern w:val="0"/>
                      <w:position w:val="0"/>
                      <w:sz w:val="21"/>
                      <w:szCs w:val="21"/>
                      <w:highlight w:val="none"/>
                      <w:lang w:val="en-US" w:eastAsia="zh-CN"/>
                    </w:rPr>
                  </w:pPr>
                  <w:r>
                    <w:rPr>
                      <w:rFonts w:hint="eastAsia" w:cs="Times New Roman"/>
                      <w:b w:val="0"/>
                      <w:bCs w:val="0"/>
                      <w:caps w:val="0"/>
                      <w:color w:val="auto"/>
                      <w:spacing w:val="0"/>
                      <w:kern w:val="0"/>
                      <w:position w:val="0"/>
                      <w:sz w:val="21"/>
                      <w:szCs w:val="21"/>
                      <w:highlight w:val="none"/>
                      <w:lang w:val="en-US" w:eastAsia="zh-CN"/>
                    </w:rPr>
                    <w:t>0.01</w:t>
                  </w:r>
                </w:p>
              </w:tc>
              <w:tc>
                <w:tcPr>
                  <w:tcW w:w="306" w:type="pct"/>
                  <w:noWrap w:val="0"/>
                  <w:vAlign w:val="center"/>
                </w:tcPr>
                <w:p w14:paraId="7B590590">
                  <w:pPr>
                    <w:keepNext w:val="0"/>
                    <w:keepLines w:val="0"/>
                    <w:pageBreakBefore w:val="0"/>
                    <w:widowControl w:val="0"/>
                    <w:kinsoku/>
                    <w:wordWrap/>
                    <w:overflowPunct/>
                    <w:topLinePunct w:val="0"/>
                    <w:autoSpaceDE/>
                    <w:autoSpaceDN/>
                    <w:bidi w:val="0"/>
                    <w:adjustRightInd w:val="0"/>
                    <w:snapToGrid w:val="0"/>
                    <w:ind w:left="-105" w:leftChars="-50" w:right="-105" w:rightChars="-50" w:firstLine="0" w:firstLineChars="0"/>
                    <w:jc w:val="center"/>
                    <w:textAlignment w:val="auto"/>
                    <w:rPr>
                      <w:rFonts w:hint="eastAsia"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bidi="ar-SA"/>
                    </w:rPr>
                    <w:t>密闭桶装</w:t>
                  </w:r>
                </w:p>
              </w:tc>
              <w:tc>
                <w:tcPr>
                  <w:tcW w:w="289" w:type="pct"/>
                  <w:vMerge w:val="continue"/>
                  <w:noWrap w:val="0"/>
                  <w:vAlign w:val="center"/>
                </w:tcPr>
                <w:p w14:paraId="33A6BF7C">
                  <w:pPr>
                    <w:keepNext w:val="0"/>
                    <w:keepLines w:val="0"/>
                    <w:pageBreakBefore w:val="0"/>
                    <w:widowControl w:val="0"/>
                    <w:kinsoku/>
                    <w:wordWrap/>
                    <w:overflowPunct/>
                    <w:topLinePunct w:val="0"/>
                    <w:autoSpaceDE/>
                    <w:autoSpaceDN/>
                    <w:bidi w:val="0"/>
                    <w:adjustRightInd w:val="0"/>
                    <w:snapToGrid w:val="0"/>
                    <w:ind w:left="-105" w:leftChars="-50" w:right="-105" w:rightChars="-50" w:firstLine="0" w:firstLineChars="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p>
              </w:tc>
              <w:tc>
                <w:tcPr>
                  <w:tcW w:w="509" w:type="pct"/>
                  <w:noWrap w:val="0"/>
                  <w:vAlign w:val="center"/>
                </w:tcPr>
                <w:p w14:paraId="79656C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val="0"/>
                      <w:caps w:val="0"/>
                      <w:color w:val="auto"/>
                      <w:spacing w:val="0"/>
                      <w:kern w:val="0"/>
                      <w:position w:val="0"/>
                      <w:sz w:val="21"/>
                      <w:szCs w:val="21"/>
                      <w:highlight w:val="none"/>
                      <w:lang w:val="en-US" w:eastAsia="zh-CN"/>
                    </w:rPr>
                  </w:pPr>
                  <w:r>
                    <w:rPr>
                      <w:rFonts w:hint="eastAsia" w:cs="Times New Roman"/>
                      <w:b w:val="0"/>
                      <w:bCs w:val="0"/>
                      <w:caps w:val="0"/>
                      <w:color w:val="auto"/>
                      <w:spacing w:val="0"/>
                      <w:kern w:val="0"/>
                      <w:position w:val="0"/>
                      <w:sz w:val="21"/>
                      <w:szCs w:val="21"/>
                      <w:highlight w:val="none"/>
                      <w:lang w:val="en-US" w:eastAsia="zh-CN"/>
                    </w:rPr>
                    <w:t>0.01</w:t>
                  </w:r>
                </w:p>
              </w:tc>
            </w:tr>
          </w:tbl>
          <w:p w14:paraId="6AB2E439">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2、环境管理要求</w:t>
            </w:r>
          </w:p>
          <w:p w14:paraId="72D1B010">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（1）一般固废</w:t>
            </w:r>
          </w:p>
          <w:p w14:paraId="004D3C38">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lang w:val="sq-AL"/>
              </w:rPr>
            </w:pPr>
            <w:r>
              <w:rPr>
                <w:rFonts w:hint="default" w:ascii="Times New Roman" w:hAnsi="Times New Roman" w:eastAsia="宋体" w:cs="Times New Roman"/>
                <w:b w:val="0"/>
                <w:bCs w:val="0"/>
                <w:caps w:val="0"/>
                <w:color w:val="auto"/>
                <w:spacing w:val="0"/>
                <w:kern w:val="0"/>
                <w:position w:val="0"/>
                <w:sz w:val="24"/>
                <w:szCs w:val="24"/>
                <w:highlight w:val="none"/>
              </w:rPr>
              <w:t>一般固废按照</w:t>
            </w:r>
            <w:r>
              <w:rPr>
                <w:rFonts w:hint="default" w:ascii="Times New Roman" w:hAnsi="Times New Roman" w:eastAsia="宋体" w:cs="Times New Roman"/>
                <w:b w:val="0"/>
                <w:bCs w:val="0"/>
                <w:caps w:val="0"/>
                <w:color w:val="auto"/>
                <w:spacing w:val="0"/>
                <w:kern w:val="0"/>
                <w:position w:val="0"/>
                <w:sz w:val="24"/>
                <w:szCs w:val="24"/>
                <w:highlight w:val="none"/>
                <w:lang w:val="sq-AL"/>
              </w:rPr>
              <w:t>《一般工业固体废物贮存和填埋污染控制标准》（GB18599-2020）标准要求</w:t>
            </w:r>
            <w:r>
              <w:rPr>
                <w:rFonts w:hint="default" w:ascii="Times New Roman" w:hAnsi="Times New Roman" w:eastAsia="宋体" w:cs="Times New Roman"/>
                <w:b w:val="0"/>
                <w:bCs w:val="0"/>
                <w:caps w:val="0"/>
                <w:color w:val="auto"/>
                <w:spacing w:val="0"/>
                <w:kern w:val="0"/>
                <w:position w:val="0"/>
                <w:sz w:val="24"/>
                <w:szCs w:val="24"/>
                <w:highlight w:val="none"/>
              </w:rPr>
              <w:t>制定防渗措施：</w:t>
            </w:r>
            <w:r>
              <w:rPr>
                <w:rFonts w:hint="default" w:ascii="Times New Roman" w:hAnsi="Times New Roman" w:eastAsia="宋体" w:cs="Times New Roman"/>
                <w:b w:val="0"/>
                <w:bCs w:val="0"/>
                <w:caps w:val="0"/>
                <w:color w:val="auto"/>
                <w:spacing w:val="0"/>
                <w:kern w:val="0"/>
                <w:position w:val="0"/>
                <w:sz w:val="24"/>
                <w:szCs w:val="24"/>
                <w:highlight w:val="none"/>
                <w:lang w:val="sq-AL"/>
              </w:rPr>
              <w:t>等效黏</w:t>
            </w:r>
            <w:r>
              <w:rPr>
                <w:rFonts w:hint="default" w:ascii="Times New Roman" w:hAnsi="Times New Roman" w:eastAsia="宋体" w:cs="Times New Roman"/>
                <w:b w:val="0"/>
                <w:bCs w:val="0"/>
                <w:caps w:val="0"/>
                <w:color w:val="auto"/>
                <w:spacing w:val="0"/>
                <w:kern w:val="0"/>
                <w:position w:val="0"/>
                <w:sz w:val="24"/>
                <w:szCs w:val="24"/>
                <w:highlight w:val="none"/>
              </w:rPr>
              <w:t>土防渗层Mb≥1.5m，K≤1×10</w:t>
            </w:r>
            <w:r>
              <w:rPr>
                <w:rFonts w:hint="default" w:ascii="Times New Roman" w:hAnsi="Times New Roman" w:eastAsia="宋体" w:cs="Times New Roman"/>
                <w:b w:val="0"/>
                <w:bCs w:val="0"/>
                <w:caps w:val="0"/>
                <w:color w:val="auto"/>
                <w:spacing w:val="0"/>
                <w:kern w:val="0"/>
                <w:position w:val="0"/>
                <w:sz w:val="24"/>
                <w:szCs w:val="24"/>
                <w:highlight w:val="none"/>
                <w:vertAlign w:val="superscript"/>
              </w:rPr>
              <w:t>-7</w:t>
            </w:r>
            <w:r>
              <w:rPr>
                <w:rFonts w:hint="default" w:ascii="Times New Roman" w:hAnsi="Times New Roman" w:eastAsia="宋体" w:cs="Times New Roman"/>
                <w:b w:val="0"/>
                <w:bCs w:val="0"/>
                <w:caps w:val="0"/>
                <w:color w:val="auto"/>
                <w:spacing w:val="0"/>
                <w:kern w:val="0"/>
                <w:position w:val="0"/>
                <w:sz w:val="24"/>
                <w:szCs w:val="24"/>
                <w:highlight w:val="none"/>
              </w:rPr>
              <w:t>cm/s或</w:t>
            </w:r>
            <w:r>
              <w:rPr>
                <w:rFonts w:hint="default" w:ascii="Times New Roman" w:hAnsi="Times New Roman" w:eastAsia="宋体" w:cs="Times New Roman"/>
                <w:b w:val="0"/>
                <w:bCs w:val="0"/>
                <w:caps w:val="0"/>
                <w:color w:val="auto"/>
                <w:spacing w:val="0"/>
                <w:kern w:val="0"/>
                <w:position w:val="0"/>
                <w:sz w:val="24"/>
                <w:szCs w:val="24"/>
                <w:highlight w:val="none"/>
                <w:lang w:val="sq-AL"/>
              </w:rPr>
              <w:t>抗渗混凝土的抗渗等级不宜小于P8，其厚度不宜小于100mm。</w:t>
            </w:r>
          </w:p>
          <w:p w14:paraId="27B6122C">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eastAsia="zh-CN"/>
              </w:rPr>
              <w:t>（</w:t>
            </w:r>
            <w:r>
              <w:rPr>
                <w:rFonts w:hint="eastAsia" w:cs="Times New Roman"/>
                <w:b w:val="0"/>
                <w:bCs w:val="0"/>
                <w:caps w:val="0"/>
                <w:color w:val="auto"/>
                <w:spacing w:val="0"/>
                <w:kern w:val="0"/>
                <w:position w:val="0"/>
                <w:sz w:val="24"/>
                <w:szCs w:val="24"/>
                <w:highlight w:val="none"/>
                <w:lang w:val="en-US" w:eastAsia="zh-CN"/>
              </w:rPr>
              <w:t>2</w:t>
            </w:r>
            <w:r>
              <w:rPr>
                <w:rFonts w:hint="eastAsia" w:cs="Times New Roman"/>
                <w:b w:val="0"/>
                <w:bCs w:val="0"/>
                <w:caps w:val="0"/>
                <w:color w:val="auto"/>
                <w:spacing w:val="0"/>
                <w:kern w:val="0"/>
                <w:position w:val="0"/>
                <w:sz w:val="24"/>
                <w:szCs w:val="24"/>
                <w:highlight w:val="none"/>
                <w:lang w:eastAsia="zh-CN"/>
              </w:rPr>
              <w:t>）</w:t>
            </w:r>
            <w:r>
              <w:rPr>
                <w:rFonts w:hint="default" w:ascii="Times New Roman" w:hAnsi="Times New Roman" w:eastAsia="宋体" w:cs="Times New Roman"/>
                <w:b w:val="0"/>
                <w:bCs w:val="0"/>
                <w:caps w:val="0"/>
                <w:color w:val="auto"/>
                <w:spacing w:val="0"/>
                <w:kern w:val="0"/>
                <w:position w:val="0"/>
                <w:sz w:val="24"/>
                <w:szCs w:val="24"/>
                <w:highlight w:val="none"/>
              </w:rPr>
              <w:t>危险废物</w:t>
            </w:r>
          </w:p>
          <w:p w14:paraId="3AA9B1C5">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1）危险废物的收集要求</w:t>
            </w:r>
          </w:p>
          <w:p w14:paraId="4AE8C2CD">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及时将生产过程产生的各种危险废物进行处理，在未处理期间，应集中收集，专人管理，集中贮存，各类危废应按性质不同分类进行贮存。</w:t>
            </w:r>
          </w:p>
          <w:p w14:paraId="6CB4C5C5">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危险废物的收集须严格按照《危险废物收集贮存运输技术规范》（HJ2025-2012）的要求：</w:t>
            </w:r>
          </w:p>
          <w:p w14:paraId="7483B83C">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①根据危险废物产生的工艺特征、排放周期、特性、管理计划等因素制定详细的收集计划。收集计划包括收集任务概述、收集目标及原则、危险废物特性评估、危险废物收集量估算、收集作业范围和方法、收集设备与包装容器、安全生产与个人防护、工程防护与事故应急、进度安排与组织管理等。</w:t>
            </w:r>
          </w:p>
          <w:p w14:paraId="61542FFD">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②制定危险废物收集操作规程，内容包括适用范围、操作程序和方法、专用设备和工具、转移和交接、安全保障和应急防护等。</w:t>
            </w:r>
          </w:p>
          <w:p w14:paraId="7E818F0C">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③危险废物收集和转运作业人员根据工作需要配备必要的个人防护装备，如手套、防护镜、防护服、防毒面具或口罩等。</w:t>
            </w:r>
          </w:p>
          <w:p w14:paraId="60022586">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④在危险废物收集和转运过程中，采取相应的安全防护和污染防治措施，包括防爆、防火、防泄漏、防飞扬、防雨或其他防治污染环境的措施。</w:t>
            </w:r>
          </w:p>
          <w:p w14:paraId="44BD222F">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⑤危险废物收集时应根据危险废物的种类、数量、危险特性、物理形态、运输要求等因素选择合适的包装形式。</w:t>
            </w:r>
          </w:p>
          <w:p w14:paraId="1C726FF4">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2）危险废物的暂存要求</w:t>
            </w:r>
          </w:p>
          <w:p w14:paraId="60FCD858">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A、设置危废库1间，用于存放危险废物，危废库严格按照《危险废物贮存污染控制标准》（GB18597-2023）和《危险废物收集贮存运输技术规范》（HJ2025-2012）的相关要求采取相应的防渗防腐硬化处理。</w:t>
            </w:r>
          </w:p>
          <w:p w14:paraId="66529C9D">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B、企业须健全危险废物相关管理制度，并严格落实。</w:t>
            </w:r>
          </w:p>
          <w:p w14:paraId="765559B7">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①企业须配备专业技术人员和管理人员专门负责企业危险废物统计、收集、暂存、转运和管理工作，并对有关危废产生部门员工进行定期教育和培训，强化危险废物管理；</w:t>
            </w:r>
          </w:p>
          <w:p w14:paraId="5BE5FE58">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②企业须建立危险废物收集操作规程、危险废物转运操作规程、危险废物暂存管理规程等相关制度，并认真落实；</w:t>
            </w:r>
          </w:p>
          <w:p w14:paraId="06869943">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③企业须对危险废物储运场所张贴警示标示，危险废物包装物张贴警示标签；</w:t>
            </w:r>
          </w:p>
          <w:p w14:paraId="68C45C68">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④规范危险废物统计、建立危险废物收集及储运有关档案，认真填写《危险废物项目区内转运记录表》，作好危险废物情况的记录，记录上须注明危险废物的名称、来源、数量、特性和包装容器的类别、入库日期、存放库位、废物出库日期及接收单位名称等，并即时存档以备查阅。</w:t>
            </w:r>
          </w:p>
          <w:p w14:paraId="7DD18311">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C、危险废物在危废库房内暂存期间应严格按照《危险废物贮存污染控制标准》（GB18596-2023）和《危险废物收集 贮存 运输技术规范》（HJ2025-2012）的相关要求进行存储和管理。</w:t>
            </w:r>
          </w:p>
          <w:p w14:paraId="650394C5">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①必须将危险废物装入容器内进行密封装运，禁止将不相容（相互反应）的危险废物在同一容器内混装；</w:t>
            </w:r>
          </w:p>
          <w:p w14:paraId="365230A9">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②盛装危险废物的容器应当符合标准，材质要满足相应的强度要求且必须完好无损，容器材质和衬里要与危险废物相容（不相互反应）；</w:t>
            </w:r>
          </w:p>
          <w:p w14:paraId="22702BFC">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③危险废物贮存前应进行检验，确保同预定接收的危险废物一致，并登记注册，不得接收未粘贴符合规定的标签或标签没按规定填写的危险废物；</w:t>
            </w:r>
          </w:p>
          <w:p w14:paraId="355F219B">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④必须定期对所贮存的危险废物包装容器及贮存设施进行检查，发现破损，应及时采取措施清理更换。</w:t>
            </w:r>
          </w:p>
          <w:p w14:paraId="24E4CF30">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3）危险废物的转运</w:t>
            </w:r>
          </w:p>
          <w:p w14:paraId="1FEB55E2">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转运过程中采取篷布遮盖、防滴漏等措施，减少固体废物运输过程给环境带来污染。危险废物的转运还按照《危险废物收集贮存运输技术规范》（HJ2025-2012）的要求进行，运输过程中必须采取密闭运输等防止污染环境的措施，遵守国家有关危险货物运输管理的规定。严禁在雨天进行危废的运输和转运工作。</w:t>
            </w:r>
          </w:p>
          <w:p w14:paraId="08CB1900">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（4）危废仓库的建设要求</w:t>
            </w:r>
          </w:p>
          <w:p w14:paraId="08E06ACE">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根据《危险废物贮存污染控制标准》（GB18597-2023）中的规定，危废要有专门的容器进行分类贮存，装载危险废物的容器及材质要满足相应的强度要求；必须定期对所贮存的危险废物包装容器及贮存设施进行检查，发现破损，应及时采取措施清理更换；危险废物贮存设施都必须按GB15562.2的规定设置警示标志；危险废物贮存设施内清理出来的泄漏物，一律按危废处理；管理及运输人员必须采取必要的安全防护措施。</w:t>
            </w:r>
          </w:p>
          <w:p w14:paraId="3CC1DA3D">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5）危废库应按照以下要求进行设置：</w:t>
            </w:r>
          </w:p>
          <w:p w14:paraId="1C4D6936">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①在仓库内设置托盘，应进行防雨设计。</w:t>
            </w:r>
          </w:p>
          <w:p w14:paraId="7E7A3B77">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②</w:t>
            </w:r>
            <w:r>
              <w:rPr>
                <w:rFonts w:hint="eastAsia" w:ascii="Times New Roman" w:hAnsi="Times New Roman" w:cs="Times New Roman"/>
                <w:b w:val="0"/>
                <w:bCs w:val="0"/>
                <w:caps w:val="0"/>
                <w:color w:val="auto"/>
                <w:spacing w:val="0"/>
                <w:kern w:val="0"/>
                <w:position w:val="0"/>
                <w:sz w:val="24"/>
                <w:szCs w:val="24"/>
                <w:highlight w:val="none"/>
                <w:lang w:val="en-US" w:eastAsia="zh-CN"/>
              </w:rPr>
              <w:t>危废库</w:t>
            </w:r>
            <w:r>
              <w:rPr>
                <w:rFonts w:hint="default" w:ascii="Times New Roman" w:hAnsi="Times New Roman" w:eastAsia="宋体" w:cs="Times New Roman"/>
                <w:b w:val="0"/>
                <w:bCs w:val="0"/>
                <w:caps w:val="0"/>
                <w:color w:val="auto"/>
                <w:spacing w:val="0"/>
                <w:kern w:val="0"/>
                <w:position w:val="0"/>
                <w:sz w:val="24"/>
                <w:szCs w:val="24"/>
                <w:highlight w:val="none"/>
              </w:rPr>
              <w:t>内部场地均要进行人工材料的防渗处理，场地防渗处理后，渗透系数要小于1×10</w:t>
            </w:r>
            <w:r>
              <w:rPr>
                <w:rFonts w:hint="default" w:ascii="Times New Roman" w:hAnsi="Times New Roman" w:eastAsia="宋体" w:cs="Times New Roman"/>
                <w:b w:val="0"/>
                <w:bCs w:val="0"/>
                <w:caps w:val="0"/>
                <w:color w:val="auto"/>
                <w:spacing w:val="0"/>
                <w:kern w:val="0"/>
                <w:position w:val="0"/>
                <w:sz w:val="24"/>
                <w:szCs w:val="24"/>
                <w:highlight w:val="none"/>
                <w:vertAlign w:val="superscript"/>
              </w:rPr>
              <w:t>-10</w:t>
            </w:r>
            <w:r>
              <w:rPr>
                <w:rFonts w:hint="default" w:ascii="Times New Roman" w:hAnsi="Times New Roman" w:eastAsia="宋体" w:cs="Times New Roman"/>
                <w:b w:val="0"/>
                <w:bCs w:val="0"/>
                <w:caps w:val="0"/>
                <w:color w:val="auto"/>
                <w:spacing w:val="0"/>
                <w:kern w:val="0"/>
                <w:position w:val="0"/>
                <w:sz w:val="24"/>
                <w:szCs w:val="24"/>
                <w:highlight w:val="none"/>
              </w:rPr>
              <w:t>cm/s。</w:t>
            </w:r>
          </w:p>
          <w:p w14:paraId="03E930EF">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③</w:t>
            </w:r>
            <w:r>
              <w:rPr>
                <w:rFonts w:hint="eastAsia" w:ascii="Times New Roman" w:hAnsi="Times New Roman" w:cs="Times New Roman"/>
                <w:b w:val="0"/>
                <w:bCs w:val="0"/>
                <w:caps w:val="0"/>
                <w:color w:val="auto"/>
                <w:spacing w:val="0"/>
                <w:kern w:val="0"/>
                <w:position w:val="0"/>
                <w:sz w:val="24"/>
                <w:szCs w:val="24"/>
                <w:highlight w:val="none"/>
                <w:lang w:val="en-US" w:eastAsia="zh-CN"/>
              </w:rPr>
              <w:t>危废库</w:t>
            </w:r>
            <w:r>
              <w:rPr>
                <w:rFonts w:hint="default" w:ascii="Times New Roman" w:hAnsi="Times New Roman" w:eastAsia="宋体" w:cs="Times New Roman"/>
                <w:b w:val="0"/>
                <w:bCs w:val="0"/>
                <w:caps w:val="0"/>
                <w:color w:val="auto"/>
                <w:spacing w:val="0"/>
                <w:kern w:val="0"/>
                <w:position w:val="0"/>
                <w:sz w:val="24"/>
                <w:szCs w:val="24"/>
                <w:highlight w:val="none"/>
              </w:rPr>
              <w:t>门外要按照GB15562.2-1995的要求设置提示性和和警示性图形标志。</w:t>
            </w:r>
          </w:p>
          <w:p w14:paraId="508844B8">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④建立档案制度，将存放的固体废物的种类和数量，以及存放设施的检查维护等资料详细记录在案，长期保存，供随时查阅。除此之外，还要记录危险废物的名称、来源、数量、特性和包装容器的类别、入库日期、存放库位、出库日期及接受单位名称。</w:t>
            </w:r>
          </w:p>
          <w:p w14:paraId="398508F7">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⑤</w:t>
            </w:r>
            <w:r>
              <w:rPr>
                <w:rFonts w:hint="eastAsia" w:ascii="Times New Roman" w:hAnsi="Times New Roman" w:cs="Times New Roman"/>
                <w:b w:val="0"/>
                <w:bCs w:val="0"/>
                <w:caps w:val="0"/>
                <w:color w:val="auto"/>
                <w:spacing w:val="0"/>
                <w:kern w:val="0"/>
                <w:position w:val="0"/>
                <w:sz w:val="24"/>
                <w:szCs w:val="24"/>
                <w:highlight w:val="none"/>
                <w:lang w:val="en-US" w:eastAsia="zh-CN"/>
              </w:rPr>
              <w:t>危废库</w:t>
            </w:r>
            <w:r>
              <w:rPr>
                <w:rFonts w:hint="default" w:ascii="Times New Roman" w:hAnsi="Times New Roman" w:eastAsia="宋体" w:cs="Times New Roman"/>
                <w:b w:val="0"/>
                <w:bCs w:val="0"/>
                <w:caps w:val="0"/>
                <w:color w:val="auto"/>
                <w:spacing w:val="0"/>
                <w:kern w:val="0"/>
                <w:position w:val="0"/>
                <w:sz w:val="24"/>
                <w:szCs w:val="24"/>
                <w:highlight w:val="none"/>
              </w:rPr>
              <w:t>特定要求</w:t>
            </w:r>
          </w:p>
          <w:p w14:paraId="38532D6F">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a.在常温常压下不水解、不挥发的固体废物可在暂存区内分别堆放，其它危险废物要装入容器内，并禁止将不相容（相互反应）的危险废物在同一容器内混装。装载液体、半固体危险废物的容器顶部与液体表面之间保留100mm以上的空间；无法装入正常容器的危险废物可用防漏胶袋盛装。</w:t>
            </w:r>
          </w:p>
          <w:p w14:paraId="60159B51">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b.装载危险废物的容器必须完好无损，材质要满足相应的强度要求，容器材质与衬里要与危险废物相容（不相互反应），液体危险废物可注入开孔直径不超过70mm并有放气孔的桶中。</w:t>
            </w:r>
          </w:p>
          <w:p w14:paraId="196CCFB5">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c.</w:t>
            </w:r>
            <w:r>
              <w:rPr>
                <w:rFonts w:hint="eastAsia" w:ascii="Times New Roman" w:hAnsi="Times New Roman" w:cs="Times New Roman"/>
                <w:b w:val="0"/>
                <w:bCs w:val="0"/>
                <w:caps w:val="0"/>
                <w:color w:val="auto"/>
                <w:spacing w:val="0"/>
                <w:kern w:val="0"/>
                <w:position w:val="0"/>
                <w:sz w:val="24"/>
                <w:szCs w:val="24"/>
                <w:highlight w:val="none"/>
                <w:lang w:val="en-US" w:eastAsia="zh-CN"/>
              </w:rPr>
              <w:t>危废库</w:t>
            </w:r>
            <w:r>
              <w:rPr>
                <w:rFonts w:hint="default" w:ascii="Times New Roman" w:hAnsi="Times New Roman" w:eastAsia="宋体" w:cs="Times New Roman"/>
                <w:b w:val="0"/>
                <w:bCs w:val="0"/>
                <w:caps w:val="0"/>
                <w:color w:val="auto"/>
                <w:spacing w:val="0"/>
                <w:kern w:val="0"/>
                <w:position w:val="0"/>
                <w:sz w:val="24"/>
                <w:szCs w:val="24"/>
                <w:highlight w:val="none"/>
              </w:rPr>
              <w:t>地面与墙裙要用坚固、防渗的材料建筑，并必须与危险废物相容；必须有泄漏液体的收集装置；内部要有安全照明设施和观察窗口；内部场地要有耐腐蚀的硬化地面且表面无裂隙；不相容的危险废物必须分开存放并设有隔离间隔离。</w:t>
            </w:r>
          </w:p>
          <w:p w14:paraId="34EF6CED">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采取以上措施，</w:t>
            </w:r>
            <w:r>
              <w:rPr>
                <w:rFonts w:hint="eastAsia" w:ascii="Times New Roman" w:hAnsi="Times New Roman" w:cs="Times New Roman"/>
                <w:b w:val="0"/>
                <w:bCs w:val="0"/>
                <w:caps w:val="0"/>
                <w:color w:val="auto"/>
                <w:spacing w:val="0"/>
                <w:kern w:val="0"/>
                <w:position w:val="0"/>
                <w:sz w:val="24"/>
                <w:szCs w:val="24"/>
                <w:highlight w:val="none"/>
                <w:lang w:val="en-US" w:eastAsia="zh-CN"/>
              </w:rPr>
              <w:t>一般固废的</w:t>
            </w:r>
            <w:r>
              <w:rPr>
                <w:rFonts w:hint="default" w:ascii="Times New Roman" w:hAnsi="Times New Roman" w:eastAsia="宋体" w:cs="Times New Roman"/>
                <w:b w:val="0"/>
                <w:bCs w:val="0"/>
                <w:caps w:val="0"/>
                <w:color w:val="auto"/>
                <w:spacing w:val="0"/>
                <w:kern w:val="0"/>
                <w:position w:val="0"/>
                <w:sz w:val="24"/>
                <w:szCs w:val="24"/>
                <w:highlight w:val="none"/>
              </w:rPr>
              <w:t>处置满足</w:t>
            </w:r>
            <w:r>
              <w:rPr>
                <w:rFonts w:hint="default" w:ascii="Times New Roman" w:hAnsi="Times New Roman" w:eastAsia="宋体" w:cs="Times New Roman"/>
                <w:b w:val="0"/>
                <w:bCs w:val="0"/>
                <w:color w:val="auto"/>
                <w:spacing w:val="0"/>
                <w:sz w:val="24"/>
                <w:szCs w:val="24"/>
                <w:highlight w:val="none"/>
              </w:rPr>
              <w:t>《中华人民共和国固体废物污染环境防治法》的相关要求</w:t>
            </w:r>
            <w:r>
              <w:rPr>
                <w:rFonts w:hint="eastAsia" w:ascii="Times New Roman" w:hAnsi="Times New Roman" w:cs="Times New Roman"/>
                <w:b w:val="0"/>
                <w:bCs w:val="0"/>
                <w:color w:val="auto"/>
                <w:spacing w:val="0"/>
                <w:sz w:val="24"/>
                <w:szCs w:val="24"/>
                <w:highlight w:val="none"/>
                <w:lang w:val="en-US" w:eastAsia="zh-CN"/>
              </w:rPr>
              <w:t>和</w:t>
            </w:r>
            <w:r>
              <w:rPr>
                <w:rFonts w:hint="default" w:ascii="Times New Roman" w:hAnsi="Times New Roman" w:eastAsia="宋体" w:cs="Times New Roman"/>
                <w:b w:val="0"/>
                <w:bCs w:val="0"/>
                <w:caps w:val="0"/>
                <w:color w:val="auto"/>
                <w:spacing w:val="0"/>
                <w:kern w:val="0"/>
                <w:position w:val="0"/>
                <w:sz w:val="24"/>
                <w:szCs w:val="24"/>
                <w:highlight w:val="none"/>
              </w:rPr>
              <w:t>《一般工业固体废物贮存和填埋污染控制标准》（GB18599-2020）要求</w:t>
            </w:r>
            <w:r>
              <w:rPr>
                <w:rFonts w:hint="eastAsia" w:ascii="Times New Roman" w:hAnsi="Times New Roman" w:cs="Times New Roman"/>
                <w:b w:val="0"/>
                <w:bCs w:val="0"/>
                <w:caps w:val="0"/>
                <w:color w:val="auto"/>
                <w:spacing w:val="0"/>
                <w:kern w:val="0"/>
                <w:position w:val="0"/>
                <w:sz w:val="24"/>
                <w:szCs w:val="24"/>
                <w:highlight w:val="none"/>
                <w:lang w:eastAsia="zh-CN"/>
              </w:rPr>
              <w:t>，</w:t>
            </w:r>
            <w:r>
              <w:rPr>
                <w:rFonts w:hint="eastAsia" w:ascii="Times New Roman" w:hAnsi="Times New Roman" w:cs="Times New Roman"/>
                <w:b w:val="0"/>
                <w:bCs w:val="0"/>
                <w:caps w:val="0"/>
                <w:color w:val="auto"/>
                <w:spacing w:val="0"/>
                <w:kern w:val="0"/>
                <w:position w:val="0"/>
                <w:sz w:val="24"/>
                <w:szCs w:val="24"/>
                <w:highlight w:val="none"/>
                <w:lang w:val="en-US" w:eastAsia="zh-CN"/>
              </w:rPr>
              <w:t>危险废物的处置满足</w:t>
            </w:r>
            <w:r>
              <w:rPr>
                <w:rFonts w:hint="default" w:ascii="Times New Roman" w:hAnsi="Times New Roman" w:eastAsia="宋体" w:cs="Times New Roman"/>
                <w:b w:val="0"/>
                <w:bCs w:val="0"/>
                <w:caps w:val="0"/>
                <w:color w:val="auto"/>
                <w:spacing w:val="0"/>
                <w:kern w:val="0"/>
                <w:position w:val="0"/>
                <w:sz w:val="24"/>
                <w:szCs w:val="24"/>
                <w:highlight w:val="none"/>
              </w:rPr>
              <w:t>《危险废物贮存污染控制标准》（GB18597-2023），对周围环境影响较小。</w:t>
            </w:r>
          </w:p>
          <w:p w14:paraId="1E04603F">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aps w:val="0"/>
                <w:color w:val="auto"/>
                <w:spacing w:val="0"/>
                <w:kern w:val="0"/>
                <w:position w:val="0"/>
                <w:sz w:val="24"/>
                <w:szCs w:val="24"/>
                <w:highlight w:val="none"/>
              </w:rPr>
            </w:pPr>
            <w:r>
              <w:rPr>
                <w:rFonts w:hint="default" w:ascii="Times New Roman" w:hAnsi="Times New Roman" w:eastAsia="宋体" w:cs="Times New Roman"/>
                <w:b/>
                <w:bCs/>
                <w:caps w:val="0"/>
                <w:color w:val="auto"/>
                <w:spacing w:val="0"/>
                <w:kern w:val="0"/>
                <w:position w:val="0"/>
                <w:sz w:val="24"/>
                <w:szCs w:val="24"/>
                <w:highlight w:val="none"/>
              </w:rPr>
              <w:t>五、地下水和土壤</w:t>
            </w:r>
          </w:p>
          <w:p w14:paraId="355B7E80">
            <w:pPr>
              <w:keepNext w:val="0"/>
              <w:keepLines w:val="0"/>
              <w:pageBreakBefore w:val="0"/>
              <w:tabs>
                <w:tab w:val="left" w:pos="900"/>
              </w:tabs>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1、污染途径</w:t>
            </w:r>
          </w:p>
          <w:p w14:paraId="245C85CD">
            <w:pPr>
              <w:keepNext w:val="0"/>
              <w:keepLines w:val="0"/>
              <w:pageBreakBefore w:val="0"/>
              <w:tabs>
                <w:tab w:val="left" w:pos="900"/>
              </w:tabs>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本项目采取防渗措施，正常情况下无污染途径，对地下水和土壤均无影响，主要是在事故状态下。</w:t>
            </w:r>
          </w:p>
          <w:p w14:paraId="3D1EA2AA">
            <w:pPr>
              <w:keepNext w:val="0"/>
              <w:keepLines w:val="0"/>
              <w:pageBreakBefore w:val="0"/>
              <w:tabs>
                <w:tab w:val="left" w:pos="900"/>
              </w:tabs>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通常而言，污染物质可以通过多种途径进入土壤，主要类型有以下途径：大气沉降、地面漫流、</w:t>
            </w:r>
            <w:r>
              <w:rPr>
                <w:rFonts w:hint="eastAsia" w:cs="Times New Roman"/>
                <w:b w:val="0"/>
                <w:bCs w:val="0"/>
                <w:caps w:val="0"/>
                <w:color w:val="auto"/>
                <w:spacing w:val="0"/>
                <w:kern w:val="0"/>
                <w:position w:val="0"/>
                <w:sz w:val="24"/>
                <w:szCs w:val="24"/>
                <w:highlight w:val="none"/>
                <w:lang w:val="en-US" w:eastAsia="zh-CN"/>
              </w:rPr>
              <w:t>垂直入渗</w:t>
            </w:r>
            <w:r>
              <w:rPr>
                <w:rFonts w:hint="default" w:ascii="Times New Roman" w:hAnsi="Times New Roman" w:eastAsia="宋体" w:cs="Times New Roman"/>
                <w:b w:val="0"/>
                <w:bCs w:val="0"/>
                <w:caps w:val="0"/>
                <w:color w:val="auto"/>
                <w:spacing w:val="0"/>
                <w:kern w:val="0"/>
                <w:position w:val="0"/>
                <w:sz w:val="24"/>
                <w:szCs w:val="24"/>
                <w:highlight w:val="none"/>
              </w:rPr>
              <w:t>等。</w:t>
            </w:r>
            <w:r>
              <w:rPr>
                <w:rFonts w:hint="eastAsia" w:cs="Times New Roman"/>
                <w:b w:val="0"/>
                <w:bCs w:val="0"/>
                <w:caps w:val="0"/>
                <w:color w:val="auto"/>
                <w:spacing w:val="0"/>
                <w:kern w:val="0"/>
                <w:position w:val="0"/>
                <w:sz w:val="24"/>
                <w:szCs w:val="24"/>
                <w:highlight w:val="none"/>
                <w:lang w:val="en-US" w:eastAsia="zh-CN"/>
              </w:rPr>
              <w:t>厂区内的液态物料和废水量很小，</w:t>
            </w:r>
            <w:r>
              <w:rPr>
                <w:rFonts w:hint="default" w:ascii="Times New Roman" w:hAnsi="Times New Roman" w:eastAsia="宋体" w:cs="Times New Roman"/>
                <w:b w:val="0"/>
                <w:bCs w:val="0"/>
                <w:caps w:val="0"/>
                <w:color w:val="auto"/>
                <w:spacing w:val="0"/>
                <w:kern w:val="0"/>
                <w:position w:val="0"/>
                <w:sz w:val="24"/>
                <w:szCs w:val="24"/>
                <w:highlight w:val="none"/>
              </w:rPr>
              <w:t>不容易通过漫流的方式流出厂区，进入土壤，因此本项目对土壤的污染主要为</w:t>
            </w:r>
            <w:r>
              <w:rPr>
                <w:rFonts w:hint="eastAsia" w:cs="Times New Roman"/>
                <w:b w:val="0"/>
                <w:bCs w:val="0"/>
                <w:caps w:val="0"/>
                <w:color w:val="auto"/>
                <w:spacing w:val="0"/>
                <w:kern w:val="0"/>
                <w:position w:val="0"/>
                <w:sz w:val="24"/>
                <w:szCs w:val="24"/>
                <w:highlight w:val="none"/>
                <w:lang w:val="en-US" w:eastAsia="zh-CN"/>
              </w:rPr>
              <w:t>垂直入渗</w:t>
            </w:r>
            <w:r>
              <w:rPr>
                <w:rFonts w:hint="default" w:ascii="Times New Roman" w:hAnsi="Times New Roman" w:eastAsia="宋体" w:cs="Times New Roman"/>
                <w:b w:val="0"/>
                <w:bCs w:val="0"/>
                <w:caps w:val="0"/>
                <w:color w:val="auto"/>
                <w:spacing w:val="0"/>
                <w:kern w:val="0"/>
                <w:position w:val="0"/>
                <w:sz w:val="24"/>
                <w:szCs w:val="24"/>
                <w:highlight w:val="none"/>
              </w:rPr>
              <w:t>。</w:t>
            </w:r>
          </w:p>
          <w:p w14:paraId="0C9068F6">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2、污染物类型及危害</w:t>
            </w:r>
          </w:p>
          <w:p w14:paraId="515D971C">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本项目可能对地下水和土壤造成影响的途径为事故状态下泄漏物料或泄漏废水下渗影响地下水和土壤，可能产生的渗漏环节见</w:t>
            </w:r>
            <w:r>
              <w:rPr>
                <w:rFonts w:hint="eastAsia" w:ascii="Times New Roman" w:hAnsi="Times New Roman" w:eastAsia="宋体" w:cs="Times New Roman"/>
                <w:b w:val="0"/>
                <w:bCs w:val="0"/>
                <w:caps w:val="0"/>
                <w:color w:val="auto"/>
                <w:spacing w:val="0"/>
                <w:kern w:val="0"/>
                <w:position w:val="0"/>
                <w:sz w:val="24"/>
                <w:szCs w:val="24"/>
                <w:highlight w:val="none"/>
                <w:lang w:eastAsia="zh-CN"/>
              </w:rPr>
              <w:t>下表</w:t>
            </w:r>
            <w:r>
              <w:rPr>
                <w:rFonts w:hint="default" w:ascii="Times New Roman" w:hAnsi="Times New Roman" w:eastAsia="宋体" w:cs="Times New Roman"/>
                <w:b w:val="0"/>
                <w:bCs w:val="0"/>
                <w:caps w:val="0"/>
                <w:color w:val="auto"/>
                <w:spacing w:val="0"/>
                <w:kern w:val="0"/>
                <w:position w:val="0"/>
                <w:sz w:val="24"/>
                <w:szCs w:val="24"/>
                <w:highlight w:val="none"/>
              </w:rPr>
              <w:t>。</w:t>
            </w:r>
          </w:p>
          <w:p w14:paraId="38738AD6">
            <w:pPr>
              <w:keepNext w:val="0"/>
              <w:keepLines w:val="0"/>
              <w:pageBreakBefore w:val="0"/>
              <w:widowControl w:val="0"/>
              <w:numPr>
                <w:ilvl w:val="0"/>
                <w:numId w:val="8"/>
              </w:numPr>
              <w:tabs>
                <w:tab w:val="center" w:pos="0"/>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b/>
                <w:bCs/>
                <w:snapToGrid w:val="0"/>
                <w:color w:val="auto"/>
                <w:spacing w:val="0"/>
                <w:kern w:val="0"/>
                <w:sz w:val="24"/>
                <w:szCs w:val="24"/>
                <w:highlight w:val="none"/>
                <w:lang w:val="en-US" w:eastAsia="zh-CN" w:bidi="ar-SA"/>
              </w:rPr>
            </w:pPr>
            <w:r>
              <w:rPr>
                <w:rFonts w:hint="default" w:ascii="Times New Roman" w:hAnsi="Times New Roman" w:eastAsia="宋体" w:cs="Times New Roman"/>
                <w:b/>
                <w:bCs/>
                <w:snapToGrid w:val="0"/>
                <w:color w:val="auto"/>
                <w:spacing w:val="0"/>
                <w:kern w:val="0"/>
                <w:sz w:val="24"/>
                <w:szCs w:val="24"/>
                <w:highlight w:val="none"/>
                <w:lang w:val="en-US" w:eastAsia="zh-CN" w:bidi="ar-SA"/>
              </w:rPr>
              <w:t>污染物类型及危害</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115"/>
              <w:gridCol w:w="1577"/>
              <w:gridCol w:w="1996"/>
              <w:gridCol w:w="2139"/>
            </w:tblGrid>
            <w:tr w14:paraId="6B36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tcBorders>
                    <w:tl2br w:val="nil"/>
                    <w:tr2bl w:val="nil"/>
                  </w:tcBorders>
                  <w:noWrap w:val="0"/>
                  <w:vAlign w:val="center"/>
                </w:tcPr>
                <w:p w14:paraId="22CA2696">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序号</w:t>
                  </w:r>
                </w:p>
              </w:tc>
              <w:tc>
                <w:tcPr>
                  <w:tcW w:w="711" w:type="pct"/>
                  <w:tcBorders>
                    <w:tl2br w:val="nil"/>
                    <w:tr2bl w:val="nil"/>
                  </w:tcBorders>
                  <w:noWrap w:val="0"/>
                  <w:vAlign w:val="center"/>
                </w:tcPr>
                <w:p w14:paraId="755315E8">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污染源</w:t>
                  </w:r>
                </w:p>
              </w:tc>
              <w:tc>
                <w:tcPr>
                  <w:tcW w:w="1006" w:type="pct"/>
                  <w:tcBorders>
                    <w:tl2br w:val="nil"/>
                    <w:tr2bl w:val="nil"/>
                  </w:tcBorders>
                  <w:noWrap w:val="0"/>
                  <w:vAlign w:val="center"/>
                </w:tcPr>
                <w:p w14:paraId="5335E5E5">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污染物类型</w:t>
                  </w:r>
                </w:p>
              </w:tc>
              <w:tc>
                <w:tcPr>
                  <w:tcW w:w="1273" w:type="pct"/>
                  <w:tcBorders>
                    <w:tl2br w:val="nil"/>
                    <w:tr2bl w:val="nil"/>
                  </w:tcBorders>
                  <w:noWrap w:val="0"/>
                  <w:vAlign w:val="center"/>
                </w:tcPr>
                <w:p w14:paraId="00D7F34C">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事故类型</w:t>
                  </w:r>
                </w:p>
              </w:tc>
              <w:tc>
                <w:tcPr>
                  <w:tcW w:w="1364" w:type="pct"/>
                  <w:tcBorders>
                    <w:tl2br w:val="nil"/>
                    <w:tr2bl w:val="nil"/>
                  </w:tcBorders>
                  <w:noWrap w:val="0"/>
                  <w:vAlign w:val="center"/>
                </w:tcPr>
                <w:p w14:paraId="462F8612">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可能发生的危害</w:t>
                  </w:r>
                </w:p>
              </w:tc>
            </w:tr>
            <w:tr w14:paraId="30B8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tcBorders>
                    <w:tl2br w:val="nil"/>
                    <w:tr2bl w:val="nil"/>
                  </w:tcBorders>
                  <w:noWrap w:val="0"/>
                  <w:vAlign w:val="center"/>
                </w:tcPr>
                <w:p w14:paraId="7D4E0DFF">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1</w:t>
                  </w:r>
                </w:p>
              </w:tc>
              <w:tc>
                <w:tcPr>
                  <w:tcW w:w="711" w:type="pct"/>
                  <w:tcBorders>
                    <w:tl2br w:val="nil"/>
                    <w:tr2bl w:val="nil"/>
                  </w:tcBorders>
                  <w:noWrap w:val="0"/>
                  <w:vAlign w:val="center"/>
                </w:tcPr>
                <w:p w14:paraId="197C5B62">
                  <w:pPr>
                    <w:jc w:val="center"/>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cs="Times New Roman"/>
                      <w:b w:val="0"/>
                      <w:bCs w:val="0"/>
                      <w:caps w:val="0"/>
                      <w:color w:val="auto"/>
                      <w:spacing w:val="0"/>
                      <w:kern w:val="0"/>
                      <w:position w:val="0"/>
                      <w:sz w:val="21"/>
                      <w:szCs w:val="21"/>
                      <w:highlight w:val="none"/>
                      <w:lang w:val="en-US" w:eastAsia="zh-CN"/>
                    </w:rPr>
                    <w:t>化粪池</w:t>
                  </w:r>
                </w:p>
              </w:tc>
              <w:tc>
                <w:tcPr>
                  <w:tcW w:w="1006" w:type="pct"/>
                  <w:tcBorders>
                    <w:tl2br w:val="nil"/>
                    <w:tr2bl w:val="nil"/>
                  </w:tcBorders>
                  <w:noWrap w:val="0"/>
                  <w:vAlign w:val="center"/>
                </w:tcPr>
                <w:p w14:paraId="06C9B6D5">
                  <w:pPr>
                    <w:jc w:val="center"/>
                    <w:rPr>
                      <w:rFonts w:hint="eastAsia" w:ascii="Times New Roman" w:hAnsi="Times New Roman" w:eastAsia="宋体" w:cs="Times New Roman"/>
                      <w:b w:val="0"/>
                      <w:bCs w:val="0"/>
                      <w:caps w:val="0"/>
                      <w:color w:val="auto"/>
                      <w:spacing w:val="0"/>
                      <w:kern w:val="0"/>
                      <w:position w:val="0"/>
                      <w:sz w:val="21"/>
                      <w:szCs w:val="21"/>
                      <w:highlight w:val="none"/>
                      <w:lang w:eastAsia="zh-CN"/>
                    </w:rPr>
                  </w:pPr>
                  <w:r>
                    <w:rPr>
                      <w:rFonts w:hint="eastAsia" w:cs="Times New Roman"/>
                      <w:b w:val="0"/>
                      <w:bCs w:val="0"/>
                      <w:caps w:val="0"/>
                      <w:color w:val="auto"/>
                      <w:spacing w:val="0"/>
                      <w:kern w:val="0"/>
                      <w:position w:val="0"/>
                      <w:sz w:val="21"/>
                      <w:szCs w:val="21"/>
                      <w:highlight w:val="none"/>
                      <w:lang w:val="en-US" w:eastAsia="zh-CN"/>
                    </w:rPr>
                    <w:t>生活污水</w:t>
                  </w:r>
                </w:p>
              </w:tc>
              <w:tc>
                <w:tcPr>
                  <w:tcW w:w="1273" w:type="pct"/>
                  <w:tcBorders>
                    <w:tl2br w:val="nil"/>
                    <w:tr2bl w:val="nil"/>
                  </w:tcBorders>
                  <w:noWrap w:val="0"/>
                  <w:vAlign w:val="center"/>
                </w:tcPr>
                <w:p w14:paraId="567F7366">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防渗层</w:t>
                  </w:r>
                  <w:r>
                    <w:rPr>
                      <w:rFonts w:hint="eastAsia" w:cs="Times New Roman"/>
                      <w:b w:val="0"/>
                      <w:bCs w:val="0"/>
                      <w:caps w:val="0"/>
                      <w:color w:val="auto"/>
                      <w:spacing w:val="0"/>
                      <w:kern w:val="0"/>
                      <w:position w:val="0"/>
                      <w:sz w:val="21"/>
                      <w:szCs w:val="21"/>
                      <w:highlight w:val="none"/>
                      <w:lang w:val="en-US" w:eastAsia="zh-CN"/>
                    </w:rPr>
                    <w:t>损坏</w:t>
                  </w:r>
                  <w:r>
                    <w:rPr>
                      <w:rFonts w:hint="default" w:ascii="Times New Roman" w:hAnsi="Times New Roman" w:eastAsia="宋体" w:cs="Times New Roman"/>
                      <w:b w:val="0"/>
                      <w:bCs w:val="0"/>
                      <w:caps w:val="0"/>
                      <w:color w:val="auto"/>
                      <w:spacing w:val="0"/>
                      <w:kern w:val="0"/>
                      <w:position w:val="0"/>
                      <w:sz w:val="21"/>
                      <w:szCs w:val="21"/>
                      <w:highlight w:val="none"/>
                    </w:rPr>
                    <w:t>，污水泄漏</w:t>
                  </w:r>
                </w:p>
              </w:tc>
              <w:tc>
                <w:tcPr>
                  <w:tcW w:w="1364" w:type="pct"/>
                  <w:tcBorders>
                    <w:tl2br w:val="nil"/>
                    <w:tr2bl w:val="nil"/>
                  </w:tcBorders>
                  <w:noWrap w:val="0"/>
                  <w:vAlign w:val="center"/>
                </w:tcPr>
                <w:p w14:paraId="42109FE2">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污水泄漏污染地下水和土壤</w:t>
                  </w:r>
                </w:p>
              </w:tc>
            </w:tr>
            <w:tr w14:paraId="105D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tcBorders>
                    <w:tl2br w:val="nil"/>
                    <w:tr2bl w:val="nil"/>
                  </w:tcBorders>
                  <w:noWrap w:val="0"/>
                  <w:vAlign w:val="center"/>
                </w:tcPr>
                <w:p w14:paraId="5086B737">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2</w:t>
                  </w:r>
                </w:p>
              </w:tc>
              <w:tc>
                <w:tcPr>
                  <w:tcW w:w="711" w:type="pct"/>
                  <w:tcBorders>
                    <w:tl2br w:val="nil"/>
                    <w:tr2bl w:val="nil"/>
                  </w:tcBorders>
                  <w:noWrap w:val="0"/>
                  <w:vAlign w:val="center"/>
                </w:tcPr>
                <w:p w14:paraId="733BB2BD">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危废库</w:t>
                  </w:r>
                </w:p>
              </w:tc>
              <w:tc>
                <w:tcPr>
                  <w:tcW w:w="1006" w:type="pct"/>
                  <w:tcBorders>
                    <w:tl2br w:val="nil"/>
                    <w:tr2bl w:val="nil"/>
                  </w:tcBorders>
                  <w:noWrap w:val="0"/>
                  <w:vAlign w:val="center"/>
                </w:tcPr>
                <w:p w14:paraId="09A37C22">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危险废物</w:t>
                  </w:r>
                </w:p>
              </w:tc>
              <w:tc>
                <w:tcPr>
                  <w:tcW w:w="1273" w:type="pct"/>
                  <w:tcBorders>
                    <w:tl2br w:val="nil"/>
                    <w:tr2bl w:val="nil"/>
                  </w:tcBorders>
                  <w:noWrap w:val="0"/>
                  <w:vAlign w:val="center"/>
                </w:tcPr>
                <w:p w14:paraId="5935D971">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eastAsia" w:cs="Times New Roman"/>
                      <w:b w:val="0"/>
                      <w:bCs w:val="0"/>
                      <w:caps w:val="0"/>
                      <w:color w:val="auto"/>
                      <w:spacing w:val="0"/>
                      <w:kern w:val="0"/>
                      <w:position w:val="0"/>
                      <w:sz w:val="21"/>
                      <w:szCs w:val="21"/>
                      <w:highlight w:val="none"/>
                      <w:lang w:val="en-US" w:eastAsia="zh-CN"/>
                    </w:rPr>
                    <w:t>包装物损坏，</w:t>
                  </w:r>
                  <w:r>
                    <w:rPr>
                      <w:rFonts w:hint="default" w:ascii="Times New Roman" w:hAnsi="Times New Roman" w:eastAsia="宋体" w:cs="Times New Roman"/>
                      <w:b w:val="0"/>
                      <w:bCs w:val="0"/>
                      <w:caps w:val="0"/>
                      <w:color w:val="auto"/>
                      <w:spacing w:val="0"/>
                      <w:kern w:val="0"/>
                      <w:position w:val="0"/>
                      <w:sz w:val="21"/>
                      <w:szCs w:val="21"/>
                      <w:highlight w:val="none"/>
                    </w:rPr>
                    <w:t>危废泄漏</w:t>
                  </w:r>
                </w:p>
              </w:tc>
              <w:tc>
                <w:tcPr>
                  <w:tcW w:w="1364" w:type="pct"/>
                  <w:tcBorders>
                    <w:tl2br w:val="nil"/>
                    <w:tr2bl w:val="nil"/>
                  </w:tcBorders>
                  <w:noWrap w:val="0"/>
                  <w:vAlign w:val="center"/>
                </w:tcPr>
                <w:p w14:paraId="18DCC3A4">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危废泄漏污染地下水和土壤</w:t>
                  </w:r>
                </w:p>
              </w:tc>
            </w:tr>
            <w:tr w14:paraId="4C08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tcBorders>
                    <w:tl2br w:val="nil"/>
                    <w:tr2bl w:val="nil"/>
                  </w:tcBorders>
                  <w:noWrap w:val="0"/>
                  <w:vAlign w:val="center"/>
                </w:tcPr>
                <w:p w14:paraId="3AAA5B88">
                  <w:pPr>
                    <w:jc w:val="center"/>
                    <w:rPr>
                      <w:rFonts w:hint="eastAsia"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cs="Times New Roman"/>
                      <w:b w:val="0"/>
                      <w:bCs w:val="0"/>
                      <w:caps w:val="0"/>
                      <w:color w:val="auto"/>
                      <w:spacing w:val="0"/>
                      <w:kern w:val="0"/>
                      <w:position w:val="0"/>
                      <w:sz w:val="21"/>
                      <w:szCs w:val="21"/>
                      <w:highlight w:val="none"/>
                      <w:lang w:val="en-US" w:eastAsia="zh-CN"/>
                    </w:rPr>
                    <w:t>3</w:t>
                  </w:r>
                </w:p>
              </w:tc>
              <w:tc>
                <w:tcPr>
                  <w:tcW w:w="1115" w:type="dxa"/>
                  <w:tcBorders>
                    <w:tl2br w:val="nil"/>
                    <w:tr2bl w:val="nil"/>
                  </w:tcBorders>
                  <w:noWrap w:val="0"/>
                  <w:vAlign w:val="center"/>
                </w:tcPr>
                <w:p w14:paraId="09DD1EA3">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eastAsia" w:cs="Times New Roman"/>
                      <w:b w:val="0"/>
                      <w:bCs w:val="0"/>
                      <w:caps w:val="0"/>
                      <w:color w:val="auto"/>
                      <w:spacing w:val="0"/>
                      <w:kern w:val="0"/>
                      <w:position w:val="0"/>
                      <w:sz w:val="21"/>
                      <w:szCs w:val="21"/>
                      <w:highlight w:val="none"/>
                      <w:lang w:val="en-US" w:eastAsia="zh-CN"/>
                    </w:rPr>
                    <w:t>沉淀池</w:t>
                  </w:r>
                </w:p>
              </w:tc>
              <w:tc>
                <w:tcPr>
                  <w:tcW w:w="1577" w:type="dxa"/>
                  <w:tcBorders>
                    <w:tl2br w:val="nil"/>
                    <w:tr2bl w:val="nil"/>
                  </w:tcBorders>
                  <w:noWrap w:val="0"/>
                  <w:vAlign w:val="center"/>
                </w:tcPr>
                <w:p w14:paraId="7E204F6E">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eastAsia" w:cs="Times New Roman"/>
                      <w:b w:val="0"/>
                      <w:bCs w:val="0"/>
                      <w:caps w:val="0"/>
                      <w:color w:val="auto"/>
                      <w:spacing w:val="0"/>
                      <w:kern w:val="0"/>
                      <w:position w:val="0"/>
                      <w:sz w:val="21"/>
                      <w:szCs w:val="21"/>
                      <w:highlight w:val="none"/>
                      <w:lang w:val="en-US" w:eastAsia="zh-CN"/>
                    </w:rPr>
                    <w:t>清洗废水</w:t>
                  </w:r>
                </w:p>
              </w:tc>
              <w:tc>
                <w:tcPr>
                  <w:tcW w:w="1996" w:type="dxa"/>
                  <w:tcBorders>
                    <w:tl2br w:val="nil"/>
                    <w:tr2bl w:val="nil"/>
                  </w:tcBorders>
                  <w:noWrap w:val="0"/>
                  <w:vAlign w:val="center"/>
                </w:tcPr>
                <w:p w14:paraId="68D503FF">
                  <w:pPr>
                    <w:jc w:val="center"/>
                    <w:rPr>
                      <w:rFonts w:hint="eastAsia" w:cs="Times New Roman"/>
                      <w:b w:val="0"/>
                      <w:bCs w:val="0"/>
                      <w:caps w:val="0"/>
                      <w:color w:val="auto"/>
                      <w:spacing w:val="0"/>
                      <w:kern w:val="0"/>
                      <w:position w:val="0"/>
                      <w:sz w:val="21"/>
                      <w:szCs w:val="21"/>
                      <w:highlight w:val="none"/>
                      <w:lang w:val="en-US" w:eastAsia="zh-CN"/>
                    </w:rPr>
                  </w:pPr>
                  <w:r>
                    <w:rPr>
                      <w:rFonts w:hint="default" w:ascii="Times New Roman" w:hAnsi="Times New Roman" w:eastAsia="宋体" w:cs="Times New Roman"/>
                      <w:b w:val="0"/>
                      <w:bCs w:val="0"/>
                      <w:caps w:val="0"/>
                      <w:color w:val="auto"/>
                      <w:spacing w:val="0"/>
                      <w:kern w:val="0"/>
                      <w:position w:val="0"/>
                      <w:sz w:val="21"/>
                      <w:szCs w:val="21"/>
                      <w:highlight w:val="none"/>
                    </w:rPr>
                    <w:t>防渗层</w:t>
                  </w:r>
                  <w:r>
                    <w:rPr>
                      <w:rFonts w:hint="eastAsia" w:cs="Times New Roman"/>
                      <w:b w:val="0"/>
                      <w:bCs w:val="0"/>
                      <w:caps w:val="0"/>
                      <w:color w:val="auto"/>
                      <w:spacing w:val="0"/>
                      <w:kern w:val="0"/>
                      <w:position w:val="0"/>
                      <w:sz w:val="21"/>
                      <w:szCs w:val="21"/>
                      <w:highlight w:val="none"/>
                      <w:lang w:val="en-US" w:eastAsia="zh-CN"/>
                    </w:rPr>
                    <w:t>损坏</w:t>
                  </w:r>
                  <w:r>
                    <w:rPr>
                      <w:rFonts w:hint="default" w:ascii="Times New Roman" w:hAnsi="Times New Roman" w:eastAsia="宋体" w:cs="Times New Roman"/>
                      <w:b w:val="0"/>
                      <w:bCs w:val="0"/>
                      <w:caps w:val="0"/>
                      <w:color w:val="auto"/>
                      <w:spacing w:val="0"/>
                      <w:kern w:val="0"/>
                      <w:position w:val="0"/>
                      <w:sz w:val="21"/>
                      <w:szCs w:val="21"/>
                      <w:highlight w:val="none"/>
                    </w:rPr>
                    <w:t>，污水泄漏</w:t>
                  </w:r>
                </w:p>
              </w:tc>
              <w:tc>
                <w:tcPr>
                  <w:tcW w:w="2139" w:type="dxa"/>
                  <w:tcBorders>
                    <w:tl2br w:val="nil"/>
                    <w:tr2bl w:val="nil"/>
                  </w:tcBorders>
                  <w:noWrap w:val="0"/>
                  <w:vAlign w:val="center"/>
                </w:tcPr>
                <w:p w14:paraId="254FEB76">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污水泄漏污染地下水和土壤</w:t>
                  </w:r>
                </w:p>
              </w:tc>
            </w:tr>
          </w:tbl>
          <w:p w14:paraId="3FBA4D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本项目为防止厂区污水对地下水和土壤造成污染，应建设严格的防渗漏设施，使可能产生渗漏的环节均得到有效控制，从而避免跑、冒、滴、漏现象的发生。依据厂址所在地含水层和隔水层分布特征，本项目的建设对地下水和土壤的影响如下：</w:t>
            </w:r>
          </w:p>
          <w:p w14:paraId="7EB6A6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（1）正常生产状况下对地下水和土壤的影响分析</w:t>
            </w:r>
          </w:p>
          <w:p w14:paraId="6C7B9E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val="en-US" w:eastAsia="zh-CN"/>
              </w:rPr>
              <w:t>本项目所在地</w:t>
            </w:r>
            <w:r>
              <w:rPr>
                <w:rFonts w:hint="default" w:ascii="Times New Roman" w:hAnsi="Times New Roman" w:eastAsia="宋体" w:cs="Times New Roman"/>
                <w:b w:val="0"/>
                <w:bCs w:val="0"/>
                <w:caps w:val="0"/>
                <w:color w:val="auto"/>
                <w:spacing w:val="0"/>
                <w:kern w:val="0"/>
                <w:position w:val="0"/>
                <w:sz w:val="24"/>
                <w:szCs w:val="24"/>
                <w:highlight w:val="none"/>
              </w:rPr>
              <w:t>具有较厚的粘土和粉质粘土层，对废水中的污染物具有较好的防渗效果。建设单位生产过程中应充分注意地下水和土壤的污染防护措施的落实，以预防为主，防止废水排放对地下水和土壤的污染，并严格确保各种固体废物的妥善处置，在此基础上，本项目不会对地下水水质和土壤产生明显的影响。</w:t>
            </w:r>
          </w:p>
          <w:p w14:paraId="6239FD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（2）事故状况下地下水和土壤的影响分析</w:t>
            </w:r>
          </w:p>
          <w:p w14:paraId="3BBAB1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如果防渗措施不完善，可能</w:t>
            </w:r>
            <w:r>
              <w:rPr>
                <w:rFonts w:hint="eastAsia" w:cs="Times New Roman"/>
                <w:b w:val="0"/>
                <w:bCs w:val="0"/>
                <w:caps w:val="0"/>
                <w:color w:val="auto"/>
                <w:spacing w:val="0"/>
                <w:kern w:val="0"/>
                <w:position w:val="0"/>
                <w:sz w:val="24"/>
                <w:szCs w:val="24"/>
                <w:highlight w:val="none"/>
                <w:lang w:eastAsia="zh-CN"/>
              </w:rPr>
              <w:t>因</w:t>
            </w:r>
            <w:r>
              <w:rPr>
                <w:rFonts w:hint="default" w:ascii="Times New Roman" w:hAnsi="Times New Roman" w:eastAsia="宋体" w:cs="Times New Roman"/>
                <w:b w:val="0"/>
                <w:bCs w:val="0"/>
                <w:caps w:val="0"/>
                <w:color w:val="auto"/>
                <w:spacing w:val="0"/>
                <w:kern w:val="0"/>
                <w:position w:val="0"/>
                <w:sz w:val="24"/>
                <w:szCs w:val="24"/>
                <w:highlight w:val="none"/>
              </w:rPr>
              <w:t>泄漏导致土壤污染，从而进一步污染地下水。</w:t>
            </w:r>
          </w:p>
          <w:p w14:paraId="00163E28">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3、采取的防渗措施</w:t>
            </w:r>
          </w:p>
          <w:p w14:paraId="2CBB1E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val="en-US" w:eastAsia="zh-CN"/>
              </w:rPr>
              <w:t>建设单位</w:t>
            </w:r>
            <w:r>
              <w:rPr>
                <w:rFonts w:hint="default" w:ascii="Times New Roman" w:hAnsi="Times New Roman" w:eastAsia="宋体" w:cs="Times New Roman"/>
                <w:b w:val="0"/>
                <w:bCs w:val="0"/>
                <w:caps w:val="0"/>
                <w:color w:val="auto"/>
                <w:spacing w:val="0"/>
                <w:kern w:val="0"/>
                <w:position w:val="0"/>
                <w:sz w:val="24"/>
                <w:szCs w:val="24"/>
                <w:highlight w:val="none"/>
              </w:rPr>
              <w:t>定期对</w:t>
            </w:r>
            <w:r>
              <w:rPr>
                <w:rFonts w:hint="eastAsia" w:cs="Times New Roman"/>
                <w:b w:val="0"/>
                <w:bCs w:val="0"/>
                <w:caps w:val="0"/>
                <w:color w:val="auto"/>
                <w:spacing w:val="0"/>
                <w:kern w:val="0"/>
                <w:position w:val="0"/>
                <w:sz w:val="24"/>
                <w:szCs w:val="24"/>
                <w:highlight w:val="none"/>
                <w:lang w:val="en-US" w:eastAsia="zh-CN"/>
              </w:rPr>
              <w:t>以上污染源</w:t>
            </w:r>
            <w:r>
              <w:rPr>
                <w:rFonts w:hint="default" w:ascii="Times New Roman" w:hAnsi="Times New Roman" w:eastAsia="宋体" w:cs="Times New Roman"/>
                <w:b w:val="0"/>
                <w:bCs w:val="0"/>
                <w:caps w:val="0"/>
                <w:color w:val="auto"/>
                <w:spacing w:val="0"/>
                <w:kern w:val="0"/>
                <w:position w:val="0"/>
                <w:sz w:val="24"/>
                <w:szCs w:val="24"/>
                <w:highlight w:val="none"/>
              </w:rPr>
              <w:t>渗漏性进行检查，观察是否有污染物下渗地下水和土壤的情况。根据项目区可能泄漏至地面区域、污染物的性质和建筑物的构筑方式，结合所建项目总平面布置情况，将所建项目区分为重点</w:t>
            </w:r>
            <w:r>
              <w:rPr>
                <w:rFonts w:hint="eastAsia" w:cs="Times New Roman"/>
                <w:b w:val="0"/>
                <w:bCs w:val="0"/>
                <w:caps w:val="0"/>
                <w:color w:val="auto"/>
                <w:spacing w:val="0"/>
                <w:kern w:val="0"/>
                <w:position w:val="0"/>
                <w:sz w:val="24"/>
                <w:szCs w:val="24"/>
                <w:highlight w:val="none"/>
                <w:lang w:val="en-US" w:eastAsia="zh-CN"/>
              </w:rPr>
              <w:t>防渗</w:t>
            </w:r>
            <w:r>
              <w:rPr>
                <w:rFonts w:hint="default" w:ascii="Times New Roman" w:hAnsi="Times New Roman" w:eastAsia="宋体" w:cs="Times New Roman"/>
                <w:b w:val="0"/>
                <w:bCs w:val="0"/>
                <w:caps w:val="0"/>
                <w:color w:val="auto"/>
                <w:spacing w:val="0"/>
                <w:kern w:val="0"/>
                <w:position w:val="0"/>
                <w:sz w:val="24"/>
                <w:szCs w:val="24"/>
                <w:highlight w:val="none"/>
              </w:rPr>
              <w:t>区、一般</w:t>
            </w:r>
            <w:r>
              <w:rPr>
                <w:rFonts w:hint="eastAsia" w:cs="Times New Roman"/>
                <w:b w:val="0"/>
                <w:bCs w:val="0"/>
                <w:caps w:val="0"/>
                <w:color w:val="auto"/>
                <w:spacing w:val="0"/>
                <w:kern w:val="0"/>
                <w:position w:val="0"/>
                <w:sz w:val="24"/>
                <w:szCs w:val="24"/>
                <w:highlight w:val="none"/>
                <w:lang w:val="en-US" w:eastAsia="zh-CN"/>
              </w:rPr>
              <w:t>防渗区、简单防渗</w:t>
            </w:r>
            <w:r>
              <w:rPr>
                <w:rFonts w:hint="default" w:ascii="Times New Roman" w:hAnsi="Times New Roman" w:eastAsia="宋体" w:cs="Times New Roman"/>
                <w:b w:val="0"/>
                <w:bCs w:val="0"/>
                <w:caps w:val="0"/>
                <w:color w:val="auto"/>
                <w:spacing w:val="0"/>
                <w:kern w:val="0"/>
                <w:position w:val="0"/>
                <w:sz w:val="24"/>
                <w:szCs w:val="24"/>
                <w:highlight w:val="none"/>
              </w:rPr>
              <w:t>区。</w:t>
            </w:r>
          </w:p>
          <w:p w14:paraId="7D47EBB0">
            <w:pPr>
              <w:keepNext w:val="0"/>
              <w:keepLines w:val="0"/>
              <w:pageBreakBefore w:val="0"/>
              <w:widowControl w:val="0"/>
              <w:numPr>
                <w:ilvl w:val="0"/>
                <w:numId w:val="8"/>
              </w:numPr>
              <w:tabs>
                <w:tab w:val="center" w:pos="0"/>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b/>
                <w:bCs/>
                <w:snapToGrid w:val="0"/>
                <w:color w:val="auto"/>
                <w:spacing w:val="0"/>
                <w:kern w:val="0"/>
                <w:sz w:val="24"/>
                <w:szCs w:val="24"/>
                <w:highlight w:val="none"/>
                <w:lang w:val="en-US" w:eastAsia="zh-CN" w:bidi="ar-SA"/>
              </w:rPr>
            </w:pPr>
            <w:r>
              <w:rPr>
                <w:rFonts w:hint="eastAsia" w:ascii="Times New Roman" w:hAnsi="Times New Roman" w:eastAsia="宋体" w:cs="Times New Roman"/>
                <w:b/>
                <w:bCs/>
                <w:snapToGrid w:val="0"/>
                <w:color w:val="auto"/>
                <w:spacing w:val="0"/>
                <w:kern w:val="0"/>
                <w:sz w:val="24"/>
                <w:szCs w:val="24"/>
                <w:highlight w:val="none"/>
                <w:lang w:val="en-US" w:eastAsia="zh-CN" w:bidi="ar-SA"/>
              </w:rPr>
              <w:t>分区防渗要求</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436"/>
              <w:gridCol w:w="740"/>
              <w:gridCol w:w="4979"/>
            </w:tblGrid>
            <w:tr w14:paraId="13F7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pct"/>
                  <w:tcBorders>
                    <w:tl2br w:val="nil"/>
                    <w:tr2bl w:val="nil"/>
                  </w:tcBorders>
                  <w:noWrap w:val="0"/>
                  <w:vAlign w:val="center"/>
                </w:tcPr>
                <w:p w14:paraId="6FDFAD6A">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序号</w:t>
                  </w:r>
                </w:p>
              </w:tc>
              <w:tc>
                <w:tcPr>
                  <w:tcW w:w="916" w:type="pct"/>
                  <w:tcBorders>
                    <w:tl2br w:val="nil"/>
                    <w:tr2bl w:val="nil"/>
                  </w:tcBorders>
                  <w:noWrap w:val="0"/>
                  <w:vAlign w:val="center"/>
                </w:tcPr>
                <w:p w14:paraId="41D3EBC5">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主要环节</w:t>
                  </w:r>
                </w:p>
              </w:tc>
              <w:tc>
                <w:tcPr>
                  <w:tcW w:w="472" w:type="pct"/>
                  <w:tcBorders>
                    <w:tl2br w:val="nil"/>
                    <w:tr2bl w:val="nil"/>
                  </w:tcBorders>
                  <w:noWrap w:val="0"/>
                  <w:vAlign w:val="center"/>
                </w:tcPr>
                <w:p w14:paraId="18FFC0C5">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分类</w:t>
                  </w:r>
                </w:p>
              </w:tc>
              <w:tc>
                <w:tcPr>
                  <w:tcW w:w="3175" w:type="pct"/>
                  <w:tcBorders>
                    <w:tl2br w:val="nil"/>
                    <w:tr2bl w:val="nil"/>
                  </w:tcBorders>
                  <w:noWrap w:val="0"/>
                  <w:vAlign w:val="center"/>
                </w:tcPr>
                <w:p w14:paraId="705DE33D">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防渗措施</w:t>
                  </w:r>
                </w:p>
              </w:tc>
            </w:tr>
            <w:tr w14:paraId="2C8AE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pct"/>
                  <w:tcBorders>
                    <w:tl2br w:val="nil"/>
                    <w:tr2bl w:val="nil"/>
                  </w:tcBorders>
                  <w:noWrap w:val="0"/>
                  <w:vAlign w:val="center"/>
                </w:tcPr>
                <w:p w14:paraId="702BE26F">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1</w:t>
                  </w:r>
                </w:p>
              </w:tc>
              <w:tc>
                <w:tcPr>
                  <w:tcW w:w="916" w:type="pct"/>
                  <w:tcBorders>
                    <w:tl2br w:val="nil"/>
                    <w:tr2bl w:val="nil"/>
                  </w:tcBorders>
                  <w:noWrap w:val="0"/>
                  <w:vAlign w:val="center"/>
                </w:tcPr>
                <w:p w14:paraId="5C4309C5">
                  <w:pPr>
                    <w:jc w:val="center"/>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cs="Times New Roman"/>
                      <w:b w:val="0"/>
                      <w:bCs w:val="0"/>
                      <w:caps w:val="0"/>
                      <w:color w:val="auto"/>
                      <w:spacing w:val="0"/>
                      <w:kern w:val="0"/>
                      <w:position w:val="0"/>
                      <w:sz w:val="21"/>
                      <w:szCs w:val="21"/>
                      <w:highlight w:val="none"/>
                      <w:lang w:val="en-US" w:eastAsia="zh-CN"/>
                    </w:rPr>
                    <w:t>化粪池、</w:t>
                  </w:r>
                  <w:r>
                    <w:rPr>
                      <w:rFonts w:hint="default" w:ascii="Times New Roman" w:hAnsi="Times New Roman" w:eastAsia="宋体" w:cs="Times New Roman"/>
                      <w:b w:val="0"/>
                      <w:bCs w:val="0"/>
                      <w:caps w:val="0"/>
                      <w:color w:val="auto"/>
                      <w:spacing w:val="0"/>
                      <w:kern w:val="0"/>
                      <w:position w:val="0"/>
                      <w:sz w:val="21"/>
                      <w:szCs w:val="21"/>
                      <w:highlight w:val="none"/>
                    </w:rPr>
                    <w:t>危废库</w:t>
                  </w:r>
                  <w:r>
                    <w:rPr>
                      <w:rFonts w:hint="eastAsia" w:cs="Times New Roman"/>
                      <w:b w:val="0"/>
                      <w:bCs w:val="0"/>
                      <w:caps w:val="0"/>
                      <w:color w:val="auto"/>
                      <w:spacing w:val="0"/>
                      <w:kern w:val="0"/>
                      <w:position w:val="0"/>
                      <w:sz w:val="21"/>
                      <w:szCs w:val="21"/>
                      <w:highlight w:val="none"/>
                      <w:lang w:eastAsia="zh-CN"/>
                    </w:rPr>
                    <w:t>、</w:t>
                  </w:r>
                  <w:r>
                    <w:rPr>
                      <w:rFonts w:hint="eastAsia" w:cs="Times New Roman"/>
                      <w:b w:val="0"/>
                      <w:bCs w:val="0"/>
                      <w:caps w:val="0"/>
                      <w:color w:val="auto"/>
                      <w:spacing w:val="0"/>
                      <w:kern w:val="0"/>
                      <w:position w:val="0"/>
                      <w:sz w:val="21"/>
                      <w:szCs w:val="21"/>
                      <w:highlight w:val="none"/>
                      <w:lang w:val="en-US" w:eastAsia="zh-CN"/>
                    </w:rPr>
                    <w:t>沉淀池</w:t>
                  </w:r>
                </w:p>
              </w:tc>
              <w:tc>
                <w:tcPr>
                  <w:tcW w:w="472" w:type="pct"/>
                  <w:tcBorders>
                    <w:tl2br w:val="nil"/>
                    <w:tr2bl w:val="nil"/>
                  </w:tcBorders>
                  <w:noWrap w:val="0"/>
                  <w:vAlign w:val="center"/>
                </w:tcPr>
                <w:p w14:paraId="0C273CBF">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重点</w:t>
                  </w:r>
                </w:p>
                <w:p w14:paraId="1B67C204">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防渗</w:t>
                  </w:r>
                </w:p>
              </w:tc>
              <w:tc>
                <w:tcPr>
                  <w:tcW w:w="3175" w:type="pct"/>
                  <w:tcBorders>
                    <w:tl2br w:val="nil"/>
                    <w:tr2bl w:val="nil"/>
                  </w:tcBorders>
                  <w:noWrap w:val="0"/>
                  <w:vAlign w:val="center"/>
                </w:tcPr>
                <w:p w14:paraId="6560E27A">
                  <w:pPr>
                    <w:jc w:val="both"/>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lang w:val="sq-AL"/>
                    </w:rPr>
                    <w:t>采用抗渗钢筋混凝土管沟或HDPE膜防渗层。抗渗钢筋混凝土管沟中应掺加水泥基渗透结晶型防水剂，掺加量宜为0.8%</w:t>
                  </w:r>
                  <w:r>
                    <w:rPr>
                      <w:rFonts w:hint="eastAsia" w:ascii="Times New Roman" w:hAnsi="Times New Roman" w:eastAsia="宋体" w:cs="Times New Roman"/>
                      <w:b w:val="0"/>
                      <w:bCs w:val="0"/>
                      <w:caps w:val="0"/>
                      <w:color w:val="auto"/>
                      <w:spacing w:val="0"/>
                      <w:kern w:val="0"/>
                      <w:position w:val="0"/>
                      <w:sz w:val="21"/>
                      <w:szCs w:val="21"/>
                      <w:highlight w:val="none"/>
                      <w:lang w:val="sq-AL" w:eastAsia="zh-CN"/>
                    </w:rPr>
                    <w:t>～</w:t>
                  </w:r>
                  <w:r>
                    <w:rPr>
                      <w:rFonts w:hint="default" w:ascii="Times New Roman" w:hAnsi="Times New Roman" w:eastAsia="宋体" w:cs="Times New Roman"/>
                      <w:b w:val="0"/>
                      <w:bCs w:val="0"/>
                      <w:caps w:val="0"/>
                      <w:color w:val="auto"/>
                      <w:spacing w:val="0"/>
                      <w:kern w:val="0"/>
                      <w:position w:val="0"/>
                      <w:sz w:val="21"/>
                      <w:szCs w:val="21"/>
                      <w:highlight w:val="none"/>
                      <w:lang w:val="sq-AL"/>
                    </w:rPr>
                    <w:t>1.5%，渗透系数≤1.0×10</w:t>
                  </w:r>
                  <w:r>
                    <w:rPr>
                      <w:rFonts w:hint="default" w:ascii="Times New Roman" w:hAnsi="Times New Roman" w:eastAsia="宋体" w:cs="Times New Roman"/>
                      <w:b w:val="0"/>
                      <w:bCs w:val="0"/>
                      <w:caps w:val="0"/>
                      <w:color w:val="auto"/>
                      <w:spacing w:val="0"/>
                      <w:kern w:val="0"/>
                      <w:position w:val="0"/>
                      <w:sz w:val="21"/>
                      <w:szCs w:val="21"/>
                      <w:highlight w:val="none"/>
                      <w:vertAlign w:val="superscript"/>
                      <w:lang w:val="sq-AL"/>
                    </w:rPr>
                    <w:t>-10</w:t>
                  </w:r>
                  <w:r>
                    <w:rPr>
                      <w:rFonts w:hint="default" w:ascii="Times New Roman" w:hAnsi="Times New Roman" w:eastAsia="宋体" w:cs="Times New Roman"/>
                      <w:b w:val="0"/>
                      <w:bCs w:val="0"/>
                      <w:caps w:val="0"/>
                      <w:color w:val="auto"/>
                      <w:spacing w:val="0"/>
                      <w:kern w:val="0"/>
                      <w:position w:val="0"/>
                      <w:sz w:val="21"/>
                      <w:szCs w:val="21"/>
                      <w:highlight w:val="none"/>
                      <w:lang w:val="sq-AL"/>
                    </w:rPr>
                    <w:t>cm/s，HDPE的渗透系数≤1.0×10</w:t>
                  </w:r>
                  <w:r>
                    <w:rPr>
                      <w:rFonts w:hint="default" w:ascii="Times New Roman" w:hAnsi="Times New Roman" w:eastAsia="宋体" w:cs="Times New Roman"/>
                      <w:b w:val="0"/>
                      <w:bCs w:val="0"/>
                      <w:caps w:val="0"/>
                      <w:color w:val="auto"/>
                      <w:spacing w:val="0"/>
                      <w:kern w:val="0"/>
                      <w:position w:val="0"/>
                      <w:sz w:val="21"/>
                      <w:szCs w:val="21"/>
                      <w:highlight w:val="none"/>
                      <w:vertAlign w:val="superscript"/>
                      <w:lang w:val="sq-AL"/>
                    </w:rPr>
                    <w:t>-12</w:t>
                  </w:r>
                  <w:r>
                    <w:rPr>
                      <w:rFonts w:hint="default" w:ascii="Times New Roman" w:hAnsi="Times New Roman" w:eastAsia="宋体" w:cs="Times New Roman"/>
                      <w:b w:val="0"/>
                      <w:bCs w:val="0"/>
                      <w:caps w:val="0"/>
                      <w:color w:val="auto"/>
                      <w:spacing w:val="0"/>
                      <w:kern w:val="0"/>
                      <w:position w:val="0"/>
                      <w:sz w:val="21"/>
                      <w:szCs w:val="21"/>
                      <w:highlight w:val="none"/>
                      <w:lang w:val="sq-AL"/>
                    </w:rPr>
                    <w:t>cm/s，厚度不应小于1.5mm。</w:t>
                  </w:r>
                </w:p>
              </w:tc>
            </w:tr>
            <w:tr w14:paraId="659A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pct"/>
                  <w:tcBorders>
                    <w:tl2br w:val="nil"/>
                    <w:tr2bl w:val="nil"/>
                  </w:tcBorders>
                  <w:noWrap w:val="0"/>
                  <w:vAlign w:val="center"/>
                </w:tcPr>
                <w:p w14:paraId="4C426425">
                  <w:pPr>
                    <w:jc w:val="center"/>
                    <w:rPr>
                      <w:rFonts w:hint="eastAsia" w:ascii="Times New Roman" w:hAnsi="Times New Roman" w:eastAsia="宋体" w:cs="Times New Roman"/>
                      <w:b w:val="0"/>
                      <w:bCs w:val="0"/>
                      <w:caps w:val="0"/>
                      <w:color w:val="auto"/>
                      <w:spacing w:val="0"/>
                      <w:kern w:val="0"/>
                      <w:position w:val="0"/>
                      <w:sz w:val="21"/>
                      <w:szCs w:val="21"/>
                      <w:highlight w:val="none"/>
                      <w:lang w:eastAsia="zh-CN"/>
                    </w:rPr>
                  </w:pPr>
                  <w:r>
                    <w:rPr>
                      <w:rFonts w:hint="eastAsia" w:cs="Times New Roman"/>
                      <w:b w:val="0"/>
                      <w:bCs w:val="0"/>
                      <w:caps w:val="0"/>
                      <w:color w:val="auto"/>
                      <w:spacing w:val="0"/>
                      <w:kern w:val="0"/>
                      <w:position w:val="0"/>
                      <w:sz w:val="21"/>
                      <w:szCs w:val="21"/>
                      <w:highlight w:val="none"/>
                      <w:lang w:val="en-US" w:eastAsia="zh-CN"/>
                    </w:rPr>
                    <w:t>2</w:t>
                  </w:r>
                </w:p>
              </w:tc>
              <w:tc>
                <w:tcPr>
                  <w:tcW w:w="916" w:type="pct"/>
                  <w:tcBorders>
                    <w:tl2br w:val="nil"/>
                    <w:tr2bl w:val="nil"/>
                  </w:tcBorders>
                  <w:noWrap w:val="0"/>
                  <w:vAlign w:val="center"/>
                </w:tcPr>
                <w:p w14:paraId="1588832C">
                  <w:pPr>
                    <w:adjustRightInd w:val="0"/>
                    <w:snapToGrid w:val="0"/>
                    <w:jc w:val="center"/>
                    <w:textAlignment w:val="baseline"/>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cs="Times New Roman"/>
                      <w:b w:val="0"/>
                      <w:bCs w:val="0"/>
                      <w:caps w:val="0"/>
                      <w:color w:val="auto"/>
                      <w:spacing w:val="0"/>
                      <w:kern w:val="0"/>
                      <w:position w:val="0"/>
                      <w:sz w:val="21"/>
                      <w:szCs w:val="21"/>
                      <w:highlight w:val="none"/>
                      <w:lang w:eastAsia="zh-CN"/>
                    </w:rPr>
                    <w:t>生产</w:t>
                  </w:r>
                  <w:r>
                    <w:rPr>
                      <w:rFonts w:hint="eastAsia" w:cs="Times New Roman"/>
                      <w:b w:val="0"/>
                      <w:bCs w:val="0"/>
                      <w:caps w:val="0"/>
                      <w:color w:val="auto"/>
                      <w:spacing w:val="0"/>
                      <w:kern w:val="0"/>
                      <w:position w:val="0"/>
                      <w:sz w:val="21"/>
                      <w:szCs w:val="21"/>
                      <w:highlight w:val="none"/>
                      <w:lang w:val="en-US" w:eastAsia="zh-CN"/>
                    </w:rPr>
                    <w:t>车间、焊接车间</w:t>
                  </w:r>
                </w:p>
              </w:tc>
              <w:tc>
                <w:tcPr>
                  <w:tcW w:w="472" w:type="pct"/>
                  <w:tcBorders>
                    <w:tl2br w:val="nil"/>
                    <w:tr2bl w:val="nil"/>
                  </w:tcBorders>
                  <w:noWrap w:val="0"/>
                  <w:vAlign w:val="center"/>
                </w:tcPr>
                <w:p w14:paraId="11799FE1">
                  <w:pPr>
                    <w:adjustRightInd w:val="0"/>
                    <w:snapToGrid w:val="0"/>
                    <w:jc w:val="center"/>
                    <w:textAlignment w:val="baseline"/>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一般防渗</w:t>
                  </w:r>
                </w:p>
              </w:tc>
              <w:tc>
                <w:tcPr>
                  <w:tcW w:w="3175" w:type="pct"/>
                  <w:tcBorders>
                    <w:tl2br w:val="nil"/>
                    <w:tr2bl w:val="nil"/>
                  </w:tcBorders>
                  <w:noWrap w:val="0"/>
                  <w:vAlign w:val="center"/>
                </w:tcPr>
                <w:p w14:paraId="08FE8A2C">
                  <w:pP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一般固废按照《一般工业固体废物贮存和填埋污染控制标准》（GB18599-2020）标准要求制定防渗措施：</w:t>
                  </w:r>
                </w:p>
                <w:p w14:paraId="2C5990D7">
                  <w:pP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①等效黏土防渗层Mb≥1.5m，K≤1×10</w:t>
                  </w:r>
                  <w:r>
                    <w:rPr>
                      <w:rFonts w:hint="default" w:ascii="Times New Roman" w:hAnsi="Times New Roman" w:eastAsia="宋体" w:cs="Times New Roman"/>
                      <w:b w:val="0"/>
                      <w:bCs w:val="0"/>
                      <w:caps w:val="0"/>
                      <w:color w:val="auto"/>
                      <w:spacing w:val="0"/>
                      <w:kern w:val="0"/>
                      <w:position w:val="0"/>
                      <w:sz w:val="21"/>
                      <w:szCs w:val="21"/>
                      <w:highlight w:val="none"/>
                      <w:vertAlign w:val="superscript"/>
                    </w:rPr>
                    <w:t>-7</w:t>
                  </w:r>
                  <w:r>
                    <w:rPr>
                      <w:rFonts w:hint="default" w:ascii="Times New Roman" w:hAnsi="Times New Roman" w:eastAsia="宋体" w:cs="Times New Roman"/>
                      <w:b w:val="0"/>
                      <w:bCs w:val="0"/>
                      <w:caps w:val="0"/>
                      <w:color w:val="auto"/>
                      <w:spacing w:val="0"/>
                      <w:kern w:val="0"/>
                      <w:position w:val="0"/>
                      <w:sz w:val="21"/>
                      <w:szCs w:val="21"/>
                      <w:highlight w:val="none"/>
                    </w:rPr>
                    <w:t>cm/s。</w:t>
                  </w:r>
                </w:p>
                <w:p w14:paraId="5A08CAE3">
                  <w:pP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②</w:t>
                  </w:r>
                  <w:r>
                    <w:rPr>
                      <w:rFonts w:hint="default" w:ascii="Times New Roman" w:hAnsi="Times New Roman" w:eastAsia="宋体" w:cs="Times New Roman"/>
                      <w:b w:val="0"/>
                      <w:bCs w:val="0"/>
                      <w:caps w:val="0"/>
                      <w:color w:val="auto"/>
                      <w:spacing w:val="0"/>
                      <w:kern w:val="0"/>
                      <w:position w:val="0"/>
                      <w:sz w:val="21"/>
                      <w:szCs w:val="21"/>
                      <w:highlight w:val="none"/>
                      <w:lang w:val="sq-AL"/>
                    </w:rPr>
                    <w:t>抗渗混凝土的抗渗等级不宜小于P8，其厚度不宜小于100mm。</w:t>
                  </w:r>
                </w:p>
              </w:tc>
            </w:tr>
            <w:tr w14:paraId="7594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pct"/>
                  <w:tcBorders>
                    <w:tl2br w:val="nil"/>
                    <w:tr2bl w:val="nil"/>
                  </w:tcBorders>
                  <w:noWrap w:val="0"/>
                  <w:vAlign w:val="center"/>
                </w:tcPr>
                <w:p w14:paraId="26B6B9E8">
                  <w:pPr>
                    <w:jc w:val="center"/>
                    <w:rPr>
                      <w:rFonts w:hint="default" w:ascii="Times New Roman" w:hAnsi="Times New Roman" w:eastAsia="宋体" w:cs="Times New Roman"/>
                      <w:b w:val="0"/>
                      <w:bCs w:val="0"/>
                      <w:caps w:val="0"/>
                      <w:color w:val="auto"/>
                      <w:spacing w:val="0"/>
                      <w:kern w:val="0"/>
                      <w:position w:val="0"/>
                      <w:sz w:val="21"/>
                      <w:szCs w:val="21"/>
                      <w:highlight w:val="none"/>
                      <w:lang w:val="en-US"/>
                    </w:rPr>
                  </w:pPr>
                  <w:r>
                    <w:rPr>
                      <w:rFonts w:hint="eastAsia" w:cs="Times New Roman"/>
                      <w:b w:val="0"/>
                      <w:bCs w:val="0"/>
                      <w:caps w:val="0"/>
                      <w:color w:val="auto"/>
                      <w:spacing w:val="0"/>
                      <w:kern w:val="0"/>
                      <w:position w:val="0"/>
                      <w:sz w:val="21"/>
                      <w:szCs w:val="21"/>
                      <w:highlight w:val="none"/>
                      <w:lang w:val="en-US" w:eastAsia="zh-CN"/>
                    </w:rPr>
                    <w:t>3</w:t>
                  </w:r>
                </w:p>
              </w:tc>
              <w:tc>
                <w:tcPr>
                  <w:tcW w:w="916" w:type="pct"/>
                  <w:tcBorders>
                    <w:tl2br w:val="nil"/>
                    <w:tr2bl w:val="nil"/>
                  </w:tcBorders>
                  <w:noWrap w:val="0"/>
                  <w:vAlign w:val="center"/>
                </w:tcPr>
                <w:p w14:paraId="1A85F29B">
                  <w:pPr>
                    <w:adjustRightInd w:val="0"/>
                    <w:snapToGrid w:val="0"/>
                    <w:jc w:val="center"/>
                    <w:textAlignment w:val="baseline"/>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cs="Times New Roman"/>
                      <w:b w:val="0"/>
                      <w:bCs w:val="0"/>
                      <w:caps w:val="0"/>
                      <w:color w:val="auto"/>
                      <w:spacing w:val="0"/>
                      <w:kern w:val="0"/>
                      <w:position w:val="0"/>
                      <w:sz w:val="21"/>
                      <w:szCs w:val="21"/>
                      <w:highlight w:val="none"/>
                      <w:lang w:val="en-US" w:eastAsia="zh-CN"/>
                    </w:rPr>
                    <w:t>其他区域</w:t>
                  </w:r>
                </w:p>
              </w:tc>
              <w:tc>
                <w:tcPr>
                  <w:tcW w:w="472" w:type="pct"/>
                  <w:tcBorders>
                    <w:tl2br w:val="nil"/>
                    <w:tr2bl w:val="nil"/>
                  </w:tcBorders>
                  <w:noWrap w:val="0"/>
                  <w:vAlign w:val="center"/>
                </w:tcPr>
                <w:p w14:paraId="007C1CA9">
                  <w:pPr>
                    <w:adjustRightInd w:val="0"/>
                    <w:snapToGrid w:val="0"/>
                    <w:jc w:val="center"/>
                    <w:textAlignment w:val="baseline"/>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简单防渗</w:t>
                  </w:r>
                </w:p>
              </w:tc>
              <w:tc>
                <w:tcPr>
                  <w:tcW w:w="3175" w:type="pct"/>
                  <w:tcBorders>
                    <w:tl2br w:val="nil"/>
                    <w:tr2bl w:val="nil"/>
                  </w:tcBorders>
                  <w:noWrap w:val="0"/>
                  <w:vAlign w:val="center"/>
                </w:tcPr>
                <w:p w14:paraId="67E6720F">
                  <w:pP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一般地面硬化</w:t>
                  </w:r>
                </w:p>
              </w:tc>
            </w:tr>
          </w:tbl>
          <w:p w14:paraId="6E90F236">
            <w:pPr>
              <w:keepNext w:val="0"/>
              <w:keepLines w:val="0"/>
              <w:pageBreakBefore w:val="0"/>
              <w:tabs>
                <w:tab w:val="left" w:pos="900"/>
              </w:tabs>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综上，本项目在完善项目区防渗措施下，对周围地下水和土壤的环境影响较小，从环境角度是可行的，项目运营过程对其附近区域地下水和土壤不会造成较大影响。</w:t>
            </w:r>
          </w:p>
          <w:p w14:paraId="43E38762">
            <w:pPr>
              <w:keepNext w:val="0"/>
              <w:keepLines w:val="0"/>
              <w:pageBreakBefore w:val="0"/>
              <w:tabs>
                <w:tab w:val="left" w:pos="900"/>
              </w:tabs>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4、土壤和地下水跟踪监测</w:t>
            </w:r>
          </w:p>
          <w:p w14:paraId="1559222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《排污许可证申请与核发技术规范 总则》（HJ942-2018）、</w:t>
            </w:r>
            <w:r>
              <w:rPr>
                <w:rFonts w:hint="eastAsia" w:cs="Times New Roman"/>
                <w:b w:val="0"/>
                <w:bCs w:val="0"/>
                <w:caps w:val="0"/>
                <w:color w:val="auto"/>
                <w:spacing w:val="0"/>
                <w:kern w:val="0"/>
                <w:position w:val="0"/>
                <w:sz w:val="24"/>
                <w:szCs w:val="24"/>
                <w:highlight w:val="none"/>
                <w:lang w:eastAsia="zh-CN"/>
              </w:rPr>
              <w:t>《排污单位自行监测技术指南 砖瓦工业》（HJ1254-2022）</w:t>
            </w:r>
            <w:r>
              <w:rPr>
                <w:rFonts w:hint="default" w:ascii="Times New Roman" w:hAnsi="Times New Roman" w:eastAsia="宋体" w:cs="Times New Roman"/>
                <w:b w:val="0"/>
                <w:bCs w:val="0"/>
                <w:caps w:val="0"/>
                <w:color w:val="auto"/>
                <w:spacing w:val="0"/>
                <w:kern w:val="0"/>
                <w:position w:val="0"/>
                <w:sz w:val="24"/>
                <w:szCs w:val="24"/>
                <w:highlight w:val="none"/>
              </w:rPr>
              <w:t>等文件均未提及跟踪监测要求，企业按照要求进行严格防渗，因此本次评价不再要求土壤和地下水的跟踪监测。</w:t>
            </w:r>
          </w:p>
          <w:p w14:paraId="711E3990">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aps w:val="0"/>
                <w:color w:val="auto"/>
                <w:spacing w:val="0"/>
                <w:kern w:val="0"/>
                <w:position w:val="0"/>
                <w:sz w:val="24"/>
                <w:szCs w:val="24"/>
                <w:highlight w:val="none"/>
              </w:rPr>
            </w:pPr>
            <w:r>
              <w:rPr>
                <w:rFonts w:hint="default" w:ascii="Times New Roman" w:hAnsi="Times New Roman" w:eastAsia="宋体" w:cs="Times New Roman"/>
                <w:b/>
                <w:bCs/>
                <w:caps w:val="0"/>
                <w:color w:val="auto"/>
                <w:spacing w:val="0"/>
                <w:kern w:val="0"/>
                <w:position w:val="0"/>
                <w:sz w:val="24"/>
                <w:szCs w:val="24"/>
                <w:highlight w:val="none"/>
              </w:rPr>
              <w:t>六、生态</w:t>
            </w:r>
          </w:p>
          <w:p w14:paraId="40C8A25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本项目占地范围内</w:t>
            </w:r>
            <w:r>
              <w:rPr>
                <w:rFonts w:hint="default" w:ascii="Times New Roman" w:hAnsi="Times New Roman" w:eastAsia="宋体" w:cs="Times New Roman"/>
                <w:b w:val="0"/>
                <w:bCs w:val="0"/>
                <w:caps w:val="0"/>
                <w:color w:val="auto"/>
                <w:spacing w:val="0"/>
                <w:kern w:val="0"/>
                <w:position w:val="0"/>
                <w:sz w:val="24"/>
                <w:szCs w:val="24"/>
                <w:highlight w:val="none"/>
                <w:lang w:eastAsia="zh-CN"/>
              </w:rPr>
              <w:t>无</w:t>
            </w:r>
            <w:r>
              <w:rPr>
                <w:rFonts w:hint="default" w:ascii="Times New Roman" w:hAnsi="Times New Roman" w:eastAsia="宋体" w:cs="Times New Roman"/>
                <w:b w:val="0"/>
                <w:bCs w:val="0"/>
                <w:caps w:val="0"/>
                <w:color w:val="auto"/>
                <w:spacing w:val="0"/>
                <w:kern w:val="0"/>
                <w:position w:val="0"/>
                <w:sz w:val="24"/>
                <w:szCs w:val="24"/>
                <w:highlight w:val="none"/>
              </w:rPr>
              <w:t>生态环境保护目标。</w:t>
            </w:r>
          </w:p>
          <w:p w14:paraId="057F9D7E">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aps w:val="0"/>
                <w:color w:val="auto"/>
                <w:spacing w:val="0"/>
                <w:kern w:val="0"/>
                <w:position w:val="0"/>
                <w:sz w:val="24"/>
                <w:szCs w:val="24"/>
                <w:highlight w:val="none"/>
              </w:rPr>
            </w:pPr>
            <w:r>
              <w:rPr>
                <w:rFonts w:hint="default" w:ascii="Times New Roman" w:hAnsi="Times New Roman" w:eastAsia="宋体" w:cs="Times New Roman"/>
                <w:b/>
                <w:bCs/>
                <w:caps w:val="0"/>
                <w:color w:val="auto"/>
                <w:spacing w:val="0"/>
                <w:kern w:val="0"/>
                <w:position w:val="0"/>
                <w:sz w:val="24"/>
                <w:szCs w:val="24"/>
                <w:highlight w:val="none"/>
              </w:rPr>
              <w:t>七、环境风险</w:t>
            </w:r>
          </w:p>
          <w:p w14:paraId="76153914">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color w:val="auto"/>
                <w:spacing w:val="0"/>
                <w:kern w:val="0"/>
                <w:sz w:val="24"/>
                <w:szCs w:val="24"/>
                <w:highlight w:val="none"/>
              </w:rPr>
            </w:pPr>
            <w:r>
              <w:rPr>
                <w:rFonts w:hint="default" w:ascii="Times New Roman" w:hAnsi="Times New Roman" w:eastAsia="宋体" w:cs="Times New Roman"/>
                <w:b w:val="0"/>
                <w:bCs w:val="0"/>
                <w:color w:val="auto"/>
                <w:spacing w:val="0"/>
                <w:kern w:val="0"/>
                <w:sz w:val="24"/>
                <w:szCs w:val="24"/>
                <w:highlight w:val="none"/>
              </w:rPr>
              <w:t>1、</w:t>
            </w:r>
            <w:r>
              <w:rPr>
                <w:rFonts w:hint="eastAsia" w:cs="Times New Roman"/>
                <w:b w:val="0"/>
                <w:bCs w:val="0"/>
                <w:color w:val="auto"/>
                <w:spacing w:val="0"/>
                <w:kern w:val="0"/>
                <w:sz w:val="24"/>
                <w:szCs w:val="24"/>
                <w:highlight w:val="none"/>
                <w:lang w:val="en-US" w:eastAsia="zh-CN"/>
              </w:rPr>
              <w:t>明确有毒有害和易燃易爆等危险物质</w:t>
            </w:r>
          </w:p>
          <w:p w14:paraId="7DDE94E3">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color w:val="auto"/>
                <w:spacing w:val="0"/>
                <w:kern w:val="0"/>
                <w:sz w:val="24"/>
                <w:szCs w:val="24"/>
                <w:highlight w:val="none"/>
                <w:lang w:val="en-US" w:eastAsia="zh-CN"/>
              </w:rPr>
            </w:pPr>
            <w:r>
              <w:rPr>
                <w:rFonts w:hint="default" w:ascii="Times New Roman" w:hAnsi="Times New Roman" w:eastAsia="宋体" w:cs="Times New Roman"/>
                <w:b w:val="0"/>
                <w:bCs w:val="0"/>
                <w:color w:val="auto"/>
                <w:spacing w:val="0"/>
                <w:kern w:val="0"/>
                <w:sz w:val="24"/>
                <w:szCs w:val="24"/>
                <w:highlight w:val="none"/>
              </w:rPr>
              <w:t>对照</w:t>
            </w:r>
            <w:r>
              <w:rPr>
                <w:rFonts w:hint="default" w:ascii="Times New Roman" w:hAnsi="Times New Roman" w:eastAsia="宋体" w:cs="Times New Roman"/>
                <w:b w:val="0"/>
                <w:bCs w:val="0"/>
                <w:color w:val="auto"/>
                <w:spacing w:val="0"/>
                <w:kern w:val="0"/>
                <w:sz w:val="24"/>
                <w:szCs w:val="24"/>
                <w:highlight w:val="none"/>
                <w:lang w:val="en-US" w:eastAsia="zh-CN"/>
              </w:rPr>
              <w:t>《建设项目环境风险评价技术导则》（HJ169-2018）附录B</w:t>
            </w:r>
            <w:r>
              <w:rPr>
                <w:rFonts w:hint="default" w:ascii="Times New Roman" w:hAnsi="Times New Roman" w:eastAsia="宋体" w:cs="Times New Roman"/>
                <w:b w:val="0"/>
                <w:bCs w:val="0"/>
                <w:color w:val="auto"/>
                <w:spacing w:val="0"/>
                <w:kern w:val="0"/>
                <w:sz w:val="24"/>
                <w:szCs w:val="24"/>
                <w:highlight w:val="none"/>
              </w:rPr>
              <w:t>，</w:t>
            </w:r>
            <w:r>
              <w:rPr>
                <w:rFonts w:hint="eastAsia" w:cs="Times New Roman"/>
                <w:b w:val="0"/>
                <w:bCs w:val="0"/>
                <w:color w:val="auto"/>
                <w:spacing w:val="0"/>
                <w:kern w:val="0"/>
                <w:sz w:val="24"/>
                <w:szCs w:val="24"/>
                <w:highlight w:val="none"/>
                <w:lang w:val="en-US" w:eastAsia="zh-CN"/>
              </w:rPr>
              <w:t>本</w:t>
            </w:r>
            <w:r>
              <w:rPr>
                <w:rFonts w:hint="default" w:ascii="Times New Roman" w:hAnsi="Times New Roman" w:eastAsia="宋体" w:cs="Times New Roman"/>
                <w:b w:val="0"/>
                <w:bCs w:val="0"/>
                <w:color w:val="auto"/>
                <w:spacing w:val="0"/>
                <w:kern w:val="0"/>
                <w:sz w:val="24"/>
                <w:szCs w:val="24"/>
                <w:highlight w:val="none"/>
              </w:rPr>
              <w:t>项目涉及的</w:t>
            </w:r>
            <w:r>
              <w:rPr>
                <w:rFonts w:hint="eastAsia" w:cs="Times New Roman"/>
                <w:b w:val="0"/>
                <w:bCs w:val="0"/>
                <w:color w:val="auto"/>
                <w:spacing w:val="0"/>
                <w:kern w:val="0"/>
                <w:sz w:val="24"/>
                <w:szCs w:val="24"/>
                <w:highlight w:val="none"/>
                <w:lang w:val="en-US" w:eastAsia="zh-CN"/>
              </w:rPr>
              <w:t>危险</w:t>
            </w:r>
            <w:r>
              <w:rPr>
                <w:rFonts w:hint="default" w:ascii="Times New Roman" w:hAnsi="Times New Roman" w:eastAsia="宋体" w:cs="Times New Roman"/>
                <w:b w:val="0"/>
                <w:bCs w:val="0"/>
                <w:color w:val="auto"/>
                <w:spacing w:val="0"/>
                <w:kern w:val="0"/>
                <w:sz w:val="24"/>
                <w:szCs w:val="24"/>
                <w:highlight w:val="none"/>
              </w:rPr>
              <w:t>物质为</w:t>
            </w:r>
            <w:r>
              <w:rPr>
                <w:rFonts w:hint="eastAsia" w:cs="Times New Roman"/>
                <w:b w:val="0"/>
                <w:bCs w:val="0"/>
                <w:color w:val="auto"/>
                <w:spacing w:val="0"/>
                <w:kern w:val="0"/>
                <w:sz w:val="24"/>
                <w:szCs w:val="24"/>
                <w:highlight w:val="none"/>
                <w:lang w:val="en-US" w:eastAsia="zh-CN"/>
              </w:rPr>
              <w:t>油类物质，厂区内存储量远低于其临界量2500t，O&lt;1，因此不设置风险专项评价</w:t>
            </w:r>
            <w:r>
              <w:rPr>
                <w:rFonts w:hint="default" w:ascii="Times New Roman" w:hAnsi="Times New Roman" w:eastAsia="宋体" w:cs="Times New Roman"/>
                <w:b w:val="0"/>
                <w:bCs w:val="0"/>
                <w:color w:val="auto"/>
                <w:spacing w:val="0"/>
                <w:kern w:val="0"/>
                <w:sz w:val="24"/>
                <w:szCs w:val="24"/>
                <w:highlight w:val="none"/>
              </w:rPr>
              <w:t>。</w:t>
            </w:r>
          </w:p>
          <w:p w14:paraId="4C54617B">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color w:val="auto"/>
                <w:spacing w:val="0"/>
                <w:kern w:val="0"/>
                <w:sz w:val="24"/>
                <w:szCs w:val="24"/>
                <w:highlight w:val="none"/>
                <w:lang w:val="en-US" w:eastAsia="zh-CN"/>
              </w:rPr>
            </w:pPr>
            <w:r>
              <w:rPr>
                <w:rFonts w:hint="eastAsia" w:ascii="Times New Roman" w:hAnsi="Times New Roman" w:eastAsia="宋体" w:cs="Times New Roman"/>
                <w:b w:val="0"/>
                <w:bCs w:val="0"/>
                <w:color w:val="auto"/>
                <w:spacing w:val="0"/>
                <w:kern w:val="0"/>
                <w:sz w:val="24"/>
                <w:szCs w:val="24"/>
                <w:highlight w:val="none"/>
                <w:lang w:val="en-US" w:eastAsia="zh-CN"/>
              </w:rPr>
              <w:t>2、风险源分布情况及可能影响途径</w:t>
            </w:r>
          </w:p>
          <w:p w14:paraId="7CE1AE7A">
            <w:pPr>
              <w:keepNext w:val="0"/>
              <w:keepLines w:val="0"/>
              <w:pageBreakBefore w:val="0"/>
              <w:widowControl w:val="0"/>
              <w:numPr>
                <w:ilvl w:val="0"/>
                <w:numId w:val="8"/>
              </w:numPr>
              <w:tabs>
                <w:tab w:val="center" w:pos="0"/>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b/>
                <w:bCs/>
                <w:snapToGrid w:val="0"/>
                <w:color w:val="auto"/>
                <w:spacing w:val="0"/>
                <w:kern w:val="0"/>
                <w:sz w:val="24"/>
                <w:szCs w:val="24"/>
                <w:highlight w:val="none"/>
                <w:lang w:val="en-US" w:eastAsia="zh-CN" w:bidi="ar-SA"/>
              </w:rPr>
            </w:pPr>
            <w:r>
              <w:rPr>
                <w:rFonts w:hint="default" w:ascii="Times New Roman" w:hAnsi="Times New Roman" w:eastAsia="宋体" w:cs="Times New Roman"/>
                <w:b/>
                <w:bCs/>
                <w:snapToGrid w:val="0"/>
                <w:color w:val="auto"/>
                <w:spacing w:val="0"/>
                <w:kern w:val="0"/>
                <w:sz w:val="24"/>
                <w:szCs w:val="24"/>
                <w:highlight w:val="none"/>
                <w:lang w:val="en-US" w:eastAsia="zh-CN" w:bidi="ar-SA"/>
              </w:rPr>
              <w:t>分布情况及可能影响途径一览表</w:t>
            </w:r>
          </w:p>
          <w:tbl>
            <w:tblPr>
              <w:tblStyle w:val="36"/>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3036"/>
              <w:gridCol w:w="1984"/>
              <w:gridCol w:w="2807"/>
            </w:tblGrid>
            <w:tr w14:paraId="264C7F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939" w:type="pct"/>
                  <w:noWrap w:val="0"/>
                  <w:vAlign w:val="center"/>
                </w:tcPr>
                <w:p w14:paraId="09CED8A8">
                  <w:pPr>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名称</w:t>
                  </w:r>
                </w:p>
              </w:tc>
              <w:tc>
                <w:tcPr>
                  <w:tcW w:w="1267" w:type="pct"/>
                  <w:noWrap w:val="0"/>
                  <w:vAlign w:val="center"/>
                </w:tcPr>
                <w:p w14:paraId="717D208B">
                  <w:pPr>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lang w:eastAsia="zh-CN"/>
                    </w:rPr>
                  </w:pPr>
                  <w:r>
                    <w:rPr>
                      <w:rFonts w:hint="default" w:ascii="Times New Roman" w:hAnsi="Times New Roman" w:eastAsia="宋体" w:cs="Times New Roman"/>
                      <w:b w:val="0"/>
                      <w:bCs w:val="0"/>
                      <w:caps w:val="0"/>
                      <w:color w:val="auto"/>
                      <w:spacing w:val="0"/>
                      <w:kern w:val="0"/>
                      <w:position w:val="0"/>
                      <w:sz w:val="21"/>
                      <w:szCs w:val="21"/>
                      <w:highlight w:val="none"/>
                      <w:lang w:eastAsia="zh-CN"/>
                    </w:rPr>
                    <w:t>分布情况</w:t>
                  </w:r>
                </w:p>
              </w:tc>
              <w:tc>
                <w:tcPr>
                  <w:tcW w:w="1793" w:type="pct"/>
                  <w:noWrap w:val="0"/>
                  <w:vAlign w:val="center"/>
                </w:tcPr>
                <w:p w14:paraId="484BA3C7">
                  <w:pPr>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lang w:eastAsia="zh-CN"/>
                    </w:rPr>
                  </w:pPr>
                  <w:r>
                    <w:rPr>
                      <w:rFonts w:hint="default" w:ascii="Times New Roman" w:hAnsi="Times New Roman" w:eastAsia="宋体" w:cs="Times New Roman"/>
                      <w:b w:val="0"/>
                      <w:bCs w:val="0"/>
                      <w:caps w:val="0"/>
                      <w:color w:val="auto"/>
                      <w:spacing w:val="0"/>
                      <w:kern w:val="0"/>
                      <w:position w:val="0"/>
                      <w:sz w:val="21"/>
                      <w:szCs w:val="21"/>
                      <w:highlight w:val="none"/>
                      <w:lang w:eastAsia="zh-CN"/>
                    </w:rPr>
                    <w:t>可能影响途径</w:t>
                  </w:r>
                </w:p>
              </w:tc>
            </w:tr>
            <w:tr w14:paraId="2AC04F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939" w:type="pct"/>
                  <w:noWrap w:val="0"/>
                  <w:vAlign w:val="center"/>
                </w:tcPr>
                <w:p w14:paraId="3A6875D4">
                  <w:pPr>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ascii="Times New Roman" w:hAnsi="Times New Roman" w:eastAsia="宋体" w:cs="Times New Roman"/>
                      <w:b w:val="0"/>
                      <w:bCs w:val="0"/>
                      <w:caps w:val="0"/>
                      <w:color w:val="auto"/>
                      <w:spacing w:val="0"/>
                      <w:kern w:val="0"/>
                      <w:position w:val="0"/>
                      <w:sz w:val="21"/>
                      <w:szCs w:val="21"/>
                      <w:highlight w:val="none"/>
                      <w:lang w:eastAsia="zh-CN"/>
                    </w:rPr>
                    <w:t>油类物质（废</w:t>
                  </w:r>
                  <w:r>
                    <w:rPr>
                      <w:rFonts w:hint="eastAsia" w:cs="Times New Roman"/>
                      <w:b w:val="0"/>
                      <w:bCs w:val="0"/>
                      <w:caps w:val="0"/>
                      <w:color w:val="auto"/>
                      <w:spacing w:val="0"/>
                      <w:kern w:val="0"/>
                      <w:position w:val="0"/>
                      <w:sz w:val="21"/>
                      <w:szCs w:val="21"/>
                      <w:highlight w:val="none"/>
                      <w:lang w:eastAsia="zh-CN"/>
                    </w:rPr>
                    <w:t>润滑油</w:t>
                  </w:r>
                  <w:r>
                    <w:rPr>
                      <w:rFonts w:hint="eastAsia" w:ascii="Times New Roman" w:hAnsi="Times New Roman" w:eastAsia="宋体" w:cs="Times New Roman"/>
                      <w:b w:val="0"/>
                      <w:bCs w:val="0"/>
                      <w:caps w:val="0"/>
                      <w:color w:val="auto"/>
                      <w:spacing w:val="0"/>
                      <w:kern w:val="0"/>
                      <w:position w:val="0"/>
                      <w:sz w:val="21"/>
                      <w:szCs w:val="21"/>
                      <w:highlight w:val="none"/>
                      <w:lang w:eastAsia="zh-CN"/>
                    </w:rPr>
                    <w:t>）</w:t>
                  </w:r>
                </w:p>
              </w:tc>
              <w:tc>
                <w:tcPr>
                  <w:tcW w:w="1267" w:type="pct"/>
                  <w:noWrap w:val="0"/>
                  <w:vAlign w:val="center"/>
                </w:tcPr>
                <w:p w14:paraId="38DAA834">
                  <w:pPr>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危废库</w:t>
                  </w:r>
                </w:p>
              </w:tc>
              <w:tc>
                <w:tcPr>
                  <w:tcW w:w="1793" w:type="pct"/>
                  <w:noWrap w:val="0"/>
                  <w:vAlign w:val="center"/>
                </w:tcPr>
                <w:p w14:paraId="6FE911B8">
                  <w:pPr>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泄漏</w:t>
                  </w:r>
                </w:p>
              </w:tc>
            </w:tr>
            <w:tr w14:paraId="7F955D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939" w:type="pct"/>
                  <w:noWrap w:val="0"/>
                  <w:vAlign w:val="center"/>
                </w:tcPr>
                <w:p w14:paraId="5500C9EE">
                  <w:pPr>
                    <w:adjustRightInd w:val="0"/>
                    <w:snapToGrid w:val="0"/>
                    <w:jc w:val="center"/>
                    <w:rPr>
                      <w:rFonts w:hint="eastAsia"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废气污染物</w:t>
                  </w:r>
                </w:p>
              </w:tc>
              <w:tc>
                <w:tcPr>
                  <w:tcW w:w="1267" w:type="pct"/>
                  <w:noWrap w:val="0"/>
                  <w:vAlign w:val="center"/>
                </w:tcPr>
                <w:p w14:paraId="4CC7415B">
                  <w:pPr>
                    <w:adjustRightInd w:val="0"/>
                    <w:snapToGrid w:val="0"/>
                    <w:jc w:val="center"/>
                    <w:rPr>
                      <w:rFonts w:hint="eastAsia"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ascii="Times New Roman" w:hAnsi="Times New Roman" w:cs="Times New Roman"/>
                      <w:b w:val="0"/>
                      <w:bCs w:val="0"/>
                      <w:caps w:val="0"/>
                      <w:color w:val="auto"/>
                      <w:spacing w:val="0"/>
                      <w:kern w:val="0"/>
                      <w:position w:val="0"/>
                      <w:sz w:val="21"/>
                      <w:szCs w:val="21"/>
                      <w:highlight w:val="none"/>
                      <w:lang w:val="en-US" w:eastAsia="zh-CN"/>
                    </w:rPr>
                    <w:t>厂区</w:t>
                  </w: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内</w:t>
                  </w:r>
                </w:p>
              </w:tc>
              <w:tc>
                <w:tcPr>
                  <w:tcW w:w="1793" w:type="pct"/>
                  <w:noWrap w:val="0"/>
                  <w:vAlign w:val="center"/>
                </w:tcPr>
                <w:p w14:paraId="6F4A69D9">
                  <w:pPr>
                    <w:adjustRightInd w:val="0"/>
                    <w:snapToGrid w:val="0"/>
                    <w:jc w:val="center"/>
                    <w:rPr>
                      <w:rFonts w:hint="eastAsia"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超标排放</w:t>
                  </w:r>
                </w:p>
              </w:tc>
            </w:tr>
            <w:tr w14:paraId="4A27BF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939" w:type="pct"/>
                  <w:noWrap w:val="0"/>
                  <w:vAlign w:val="center"/>
                </w:tcPr>
                <w:p w14:paraId="533FFC93">
                  <w:pPr>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可燃物</w:t>
                  </w:r>
                </w:p>
              </w:tc>
              <w:tc>
                <w:tcPr>
                  <w:tcW w:w="1267" w:type="pct"/>
                  <w:noWrap w:val="0"/>
                  <w:vAlign w:val="center"/>
                </w:tcPr>
                <w:p w14:paraId="0E1EC974">
                  <w:pPr>
                    <w:adjustRightInd w:val="0"/>
                    <w:snapToGrid w:val="0"/>
                    <w:jc w:val="center"/>
                    <w:rPr>
                      <w:rFonts w:hint="eastAsia"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厂区内</w:t>
                  </w:r>
                </w:p>
              </w:tc>
              <w:tc>
                <w:tcPr>
                  <w:tcW w:w="1793" w:type="pct"/>
                  <w:noWrap w:val="0"/>
                  <w:vAlign w:val="center"/>
                </w:tcPr>
                <w:p w14:paraId="737ED285">
                  <w:pPr>
                    <w:adjustRightInd w:val="0"/>
                    <w:snapToGrid w:val="0"/>
                    <w:jc w:val="center"/>
                    <w:rPr>
                      <w:rFonts w:hint="eastAsia"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火灾</w:t>
                  </w:r>
                </w:p>
              </w:tc>
            </w:tr>
          </w:tbl>
          <w:p w14:paraId="11CCA8A6">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olor w:val="auto"/>
                <w:spacing w:val="0"/>
                <w:kern w:val="0"/>
                <w:sz w:val="24"/>
                <w:szCs w:val="24"/>
                <w:highlight w:val="none"/>
                <w:lang w:val="en-US" w:eastAsia="zh-CN"/>
              </w:rPr>
            </w:pPr>
            <w:r>
              <w:rPr>
                <w:rFonts w:hint="eastAsia" w:cs="Times New Roman"/>
                <w:b w:val="0"/>
                <w:bCs w:val="0"/>
                <w:color w:val="auto"/>
                <w:spacing w:val="0"/>
                <w:kern w:val="0"/>
                <w:sz w:val="24"/>
                <w:szCs w:val="24"/>
                <w:highlight w:val="none"/>
                <w:lang w:val="en-US" w:eastAsia="zh-CN"/>
              </w:rPr>
              <w:t>3、环境风险防范措施</w:t>
            </w:r>
          </w:p>
          <w:p w14:paraId="1A692B66">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eastAsia="zh-CN"/>
              </w:rPr>
              <w:t>（</w:t>
            </w:r>
            <w:r>
              <w:rPr>
                <w:rFonts w:hint="eastAsia" w:cs="Times New Roman"/>
                <w:b w:val="0"/>
                <w:bCs w:val="0"/>
                <w:caps w:val="0"/>
                <w:color w:val="auto"/>
                <w:spacing w:val="0"/>
                <w:kern w:val="0"/>
                <w:position w:val="0"/>
                <w:sz w:val="24"/>
                <w:szCs w:val="24"/>
                <w:highlight w:val="none"/>
                <w:lang w:val="en-US" w:eastAsia="zh-CN"/>
              </w:rPr>
              <w:t>1</w:t>
            </w:r>
            <w:r>
              <w:rPr>
                <w:rFonts w:hint="eastAsia" w:cs="Times New Roman"/>
                <w:b w:val="0"/>
                <w:bCs w:val="0"/>
                <w:caps w:val="0"/>
                <w:color w:val="auto"/>
                <w:spacing w:val="0"/>
                <w:kern w:val="0"/>
                <w:position w:val="0"/>
                <w:sz w:val="24"/>
                <w:szCs w:val="24"/>
                <w:highlight w:val="none"/>
                <w:lang w:eastAsia="zh-CN"/>
              </w:rPr>
              <w:t>）</w:t>
            </w:r>
            <w:r>
              <w:rPr>
                <w:rFonts w:hint="eastAsia" w:ascii="Times New Roman" w:hAnsi="Times New Roman" w:eastAsia="宋体" w:cs="Times New Roman"/>
                <w:b w:val="0"/>
                <w:bCs w:val="0"/>
                <w:caps w:val="0"/>
                <w:color w:val="auto"/>
                <w:spacing w:val="0"/>
                <w:kern w:val="0"/>
                <w:position w:val="0"/>
                <w:sz w:val="24"/>
                <w:szCs w:val="24"/>
                <w:highlight w:val="none"/>
              </w:rPr>
              <w:t>火灾、</w:t>
            </w:r>
            <w:r>
              <w:rPr>
                <w:rFonts w:hint="eastAsia" w:ascii="Times New Roman" w:hAnsi="Times New Roman" w:eastAsia="宋体" w:cs="Times New Roman"/>
                <w:b w:val="0"/>
                <w:bCs w:val="0"/>
                <w:caps w:val="0"/>
                <w:color w:val="auto"/>
                <w:spacing w:val="0"/>
                <w:kern w:val="0"/>
                <w:position w:val="0"/>
                <w:sz w:val="24"/>
                <w:szCs w:val="24"/>
                <w:highlight w:val="none"/>
                <w:lang w:eastAsia="zh-CN"/>
              </w:rPr>
              <w:t>泄露</w:t>
            </w:r>
            <w:r>
              <w:rPr>
                <w:rFonts w:hint="eastAsia" w:ascii="Times New Roman" w:hAnsi="Times New Roman" w:eastAsia="宋体" w:cs="Times New Roman"/>
                <w:b w:val="0"/>
                <w:bCs w:val="0"/>
                <w:caps w:val="0"/>
                <w:color w:val="auto"/>
                <w:spacing w:val="0"/>
                <w:kern w:val="0"/>
                <w:position w:val="0"/>
                <w:sz w:val="24"/>
                <w:szCs w:val="24"/>
                <w:highlight w:val="none"/>
              </w:rPr>
              <w:t>风险防范</w:t>
            </w:r>
            <w:r>
              <w:rPr>
                <w:rFonts w:hint="eastAsia" w:ascii="Times New Roman" w:hAnsi="Times New Roman" w:eastAsia="宋体" w:cs="Times New Roman"/>
                <w:b w:val="0"/>
                <w:bCs w:val="0"/>
                <w:caps w:val="0"/>
                <w:color w:val="auto"/>
                <w:spacing w:val="0"/>
                <w:kern w:val="0"/>
                <w:position w:val="0"/>
                <w:sz w:val="24"/>
                <w:szCs w:val="24"/>
                <w:highlight w:val="none"/>
                <w:lang w:eastAsia="zh-CN"/>
              </w:rPr>
              <w:t>及</w:t>
            </w:r>
            <w:r>
              <w:rPr>
                <w:rFonts w:hint="eastAsia" w:ascii="Times New Roman" w:hAnsi="Times New Roman" w:eastAsia="宋体" w:cs="Times New Roman"/>
                <w:b w:val="0"/>
                <w:bCs w:val="0"/>
                <w:caps w:val="0"/>
                <w:color w:val="auto"/>
                <w:spacing w:val="0"/>
                <w:kern w:val="0"/>
                <w:position w:val="0"/>
                <w:sz w:val="24"/>
                <w:szCs w:val="24"/>
                <w:highlight w:val="none"/>
              </w:rPr>
              <w:t>应急处置措施</w:t>
            </w:r>
          </w:p>
          <w:p w14:paraId="21B9F3B3">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val="en-US" w:eastAsia="zh-CN"/>
              </w:rPr>
              <w:t>①</w:t>
            </w:r>
            <w:r>
              <w:rPr>
                <w:rFonts w:hint="eastAsia" w:ascii="Times New Roman" w:hAnsi="Times New Roman" w:eastAsia="宋体" w:cs="Times New Roman"/>
                <w:b w:val="0"/>
                <w:bCs w:val="0"/>
                <w:caps w:val="0"/>
                <w:color w:val="auto"/>
                <w:spacing w:val="0"/>
                <w:kern w:val="0"/>
                <w:position w:val="0"/>
                <w:sz w:val="24"/>
                <w:szCs w:val="24"/>
                <w:highlight w:val="none"/>
              </w:rPr>
              <w:t>厂区按照要求配置足够的灭火器及相应的其它消防器材。灭火器不得随意挪用，检验到期或失效的灭火器要及时更换。</w:t>
            </w:r>
          </w:p>
          <w:p w14:paraId="32310A34">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val="en-US" w:eastAsia="zh-CN"/>
              </w:rPr>
              <w:t>②生产车间、仓库等区域</w:t>
            </w:r>
            <w:r>
              <w:rPr>
                <w:rFonts w:hint="eastAsia" w:ascii="Times New Roman" w:hAnsi="Times New Roman" w:eastAsia="宋体" w:cs="Times New Roman"/>
                <w:b w:val="0"/>
                <w:bCs w:val="0"/>
                <w:caps w:val="0"/>
                <w:color w:val="auto"/>
                <w:spacing w:val="0"/>
                <w:kern w:val="0"/>
                <w:position w:val="0"/>
                <w:sz w:val="24"/>
                <w:szCs w:val="24"/>
                <w:highlight w:val="none"/>
              </w:rPr>
              <w:t>禁止吸烟。</w:t>
            </w:r>
          </w:p>
          <w:p w14:paraId="5099624B">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lang w:eastAsia="zh-CN"/>
              </w:rPr>
            </w:pPr>
            <w:r>
              <w:rPr>
                <w:rFonts w:hint="eastAsia" w:cs="Times New Roman"/>
                <w:b w:val="0"/>
                <w:bCs w:val="0"/>
                <w:caps w:val="0"/>
                <w:color w:val="auto"/>
                <w:spacing w:val="0"/>
                <w:kern w:val="0"/>
                <w:position w:val="0"/>
                <w:sz w:val="24"/>
                <w:szCs w:val="24"/>
                <w:highlight w:val="none"/>
                <w:lang w:val="en-US" w:eastAsia="zh-CN"/>
              </w:rPr>
              <w:t>③危废库</w:t>
            </w:r>
            <w:r>
              <w:rPr>
                <w:rFonts w:hint="eastAsia" w:ascii="Times New Roman" w:hAnsi="Times New Roman" w:eastAsia="宋体" w:cs="Times New Roman"/>
                <w:b w:val="0"/>
                <w:bCs w:val="0"/>
                <w:caps w:val="0"/>
                <w:color w:val="auto"/>
                <w:spacing w:val="0"/>
                <w:kern w:val="0"/>
                <w:position w:val="0"/>
                <w:sz w:val="24"/>
                <w:szCs w:val="24"/>
                <w:highlight w:val="none"/>
              </w:rPr>
              <w:t>设置围堰，防止风险物质泄漏流入外环境</w:t>
            </w:r>
            <w:r>
              <w:rPr>
                <w:rFonts w:hint="eastAsia" w:ascii="Times New Roman" w:hAnsi="Times New Roman" w:eastAsia="宋体" w:cs="Times New Roman"/>
                <w:b w:val="0"/>
                <w:bCs w:val="0"/>
                <w:caps w:val="0"/>
                <w:color w:val="auto"/>
                <w:spacing w:val="0"/>
                <w:kern w:val="0"/>
                <w:position w:val="0"/>
                <w:sz w:val="24"/>
                <w:szCs w:val="24"/>
                <w:highlight w:val="none"/>
                <w:lang w:eastAsia="zh-CN"/>
              </w:rPr>
              <w:t>。</w:t>
            </w:r>
          </w:p>
          <w:p w14:paraId="1E0CEC37">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val="en-US" w:eastAsia="zh-CN"/>
              </w:rPr>
              <w:t>④</w:t>
            </w:r>
            <w:r>
              <w:rPr>
                <w:rFonts w:hint="eastAsia" w:ascii="Times New Roman" w:hAnsi="Times New Roman" w:eastAsia="宋体" w:cs="Times New Roman"/>
                <w:b w:val="0"/>
                <w:bCs w:val="0"/>
                <w:caps w:val="0"/>
                <w:color w:val="auto"/>
                <w:spacing w:val="0"/>
                <w:kern w:val="0"/>
                <w:position w:val="0"/>
                <w:sz w:val="24"/>
                <w:szCs w:val="24"/>
                <w:highlight w:val="none"/>
              </w:rPr>
              <w:t>厂区雨水总排口设置切断措施，防止事故情况下废水经雨水及污水管线进入地表水水体。</w:t>
            </w:r>
          </w:p>
          <w:p w14:paraId="548BA467">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val="en-US" w:eastAsia="zh-CN"/>
              </w:rPr>
              <w:t>⑤</w:t>
            </w:r>
            <w:r>
              <w:rPr>
                <w:rFonts w:hint="eastAsia" w:ascii="Times New Roman" w:hAnsi="Times New Roman" w:eastAsia="宋体" w:cs="Times New Roman"/>
                <w:b w:val="0"/>
                <w:bCs w:val="0"/>
                <w:caps w:val="0"/>
                <w:color w:val="auto"/>
                <w:spacing w:val="0"/>
                <w:kern w:val="0"/>
                <w:position w:val="0"/>
                <w:sz w:val="24"/>
                <w:szCs w:val="24"/>
                <w:highlight w:val="none"/>
              </w:rPr>
              <w:t>厂区内张贴应急疏散图，一旦发生火灾、爆炸等事故，能够按照既定路线有序撤离。</w:t>
            </w:r>
          </w:p>
          <w:p w14:paraId="7FBFA6BC">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val="en-US" w:eastAsia="zh-CN"/>
              </w:rPr>
              <w:t>⑥</w:t>
            </w:r>
            <w:r>
              <w:rPr>
                <w:rFonts w:hint="eastAsia" w:ascii="Times New Roman" w:hAnsi="Times New Roman" w:eastAsia="宋体" w:cs="Times New Roman"/>
                <w:b w:val="0"/>
                <w:bCs w:val="0"/>
                <w:caps w:val="0"/>
                <w:color w:val="auto"/>
                <w:spacing w:val="0"/>
                <w:kern w:val="0"/>
                <w:position w:val="0"/>
                <w:sz w:val="24"/>
                <w:szCs w:val="24"/>
                <w:highlight w:val="none"/>
              </w:rPr>
              <w:t>配备应急物资，如防护服、呼吸器、消防服、消防靴等器材，一旦发生火灾，能够及时使用。</w:t>
            </w:r>
          </w:p>
          <w:p w14:paraId="50EC01F0">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lang w:eastAsia="zh-CN"/>
              </w:rPr>
            </w:pPr>
            <w:r>
              <w:rPr>
                <w:rFonts w:hint="eastAsia" w:cs="Times New Roman"/>
                <w:b w:val="0"/>
                <w:bCs w:val="0"/>
                <w:caps w:val="0"/>
                <w:color w:val="auto"/>
                <w:spacing w:val="0"/>
                <w:kern w:val="0"/>
                <w:position w:val="0"/>
                <w:sz w:val="24"/>
                <w:szCs w:val="24"/>
                <w:highlight w:val="none"/>
                <w:lang w:val="en-US" w:eastAsia="zh-CN"/>
              </w:rPr>
              <w:t>⑦</w:t>
            </w:r>
            <w:r>
              <w:rPr>
                <w:rFonts w:hint="eastAsia" w:ascii="Times New Roman" w:hAnsi="Times New Roman" w:eastAsia="宋体" w:cs="Times New Roman"/>
                <w:b w:val="0"/>
                <w:bCs w:val="0"/>
                <w:caps w:val="0"/>
                <w:color w:val="auto"/>
                <w:spacing w:val="0"/>
                <w:kern w:val="0"/>
                <w:position w:val="0"/>
                <w:sz w:val="24"/>
                <w:szCs w:val="24"/>
                <w:highlight w:val="none"/>
              </w:rPr>
              <w:t>当</w:t>
            </w:r>
            <w:r>
              <w:rPr>
                <w:rFonts w:hint="eastAsia" w:ascii="Times New Roman" w:hAnsi="Times New Roman" w:eastAsia="宋体" w:cs="Times New Roman"/>
                <w:b w:val="0"/>
                <w:bCs w:val="0"/>
                <w:caps w:val="0"/>
                <w:color w:val="auto"/>
                <w:spacing w:val="0"/>
                <w:kern w:val="0"/>
                <w:position w:val="0"/>
                <w:sz w:val="24"/>
                <w:szCs w:val="24"/>
                <w:highlight w:val="none"/>
                <w:lang w:eastAsia="zh-CN"/>
              </w:rPr>
              <w:t>风险物质</w:t>
            </w:r>
            <w:r>
              <w:rPr>
                <w:rFonts w:hint="eastAsia" w:ascii="Times New Roman" w:hAnsi="Times New Roman" w:eastAsia="宋体" w:cs="Times New Roman"/>
                <w:b w:val="0"/>
                <w:bCs w:val="0"/>
                <w:caps w:val="0"/>
                <w:color w:val="auto"/>
                <w:spacing w:val="0"/>
                <w:kern w:val="0"/>
                <w:position w:val="0"/>
                <w:sz w:val="24"/>
                <w:szCs w:val="24"/>
                <w:highlight w:val="none"/>
              </w:rPr>
              <w:t>发生泄漏时，用沙子将泄漏的物料进行覆盖吸附后，收至容器内，泄漏物收集后暂存在</w:t>
            </w:r>
            <w:r>
              <w:rPr>
                <w:rFonts w:hint="eastAsia" w:cs="Times New Roman"/>
                <w:b w:val="0"/>
                <w:bCs w:val="0"/>
                <w:caps w:val="0"/>
                <w:color w:val="auto"/>
                <w:spacing w:val="0"/>
                <w:kern w:val="0"/>
                <w:position w:val="0"/>
                <w:sz w:val="24"/>
                <w:szCs w:val="24"/>
                <w:highlight w:val="none"/>
                <w:lang w:val="en-US" w:eastAsia="zh-CN"/>
              </w:rPr>
              <w:t>危废库</w:t>
            </w:r>
            <w:r>
              <w:rPr>
                <w:rFonts w:hint="eastAsia" w:ascii="Times New Roman" w:hAnsi="Times New Roman" w:eastAsia="宋体" w:cs="Times New Roman"/>
                <w:b w:val="0"/>
                <w:bCs w:val="0"/>
                <w:caps w:val="0"/>
                <w:color w:val="auto"/>
                <w:spacing w:val="0"/>
                <w:kern w:val="0"/>
                <w:position w:val="0"/>
                <w:sz w:val="24"/>
                <w:szCs w:val="24"/>
                <w:highlight w:val="none"/>
              </w:rPr>
              <w:t>内，委托给有资质</w:t>
            </w:r>
            <w:r>
              <w:rPr>
                <w:rFonts w:hint="eastAsia" w:cs="Times New Roman"/>
                <w:b w:val="0"/>
                <w:bCs w:val="0"/>
                <w:caps w:val="0"/>
                <w:color w:val="auto"/>
                <w:spacing w:val="0"/>
                <w:kern w:val="0"/>
                <w:position w:val="0"/>
                <w:sz w:val="24"/>
                <w:szCs w:val="24"/>
                <w:highlight w:val="none"/>
                <w:lang w:val="en-US" w:eastAsia="zh-CN"/>
              </w:rPr>
              <w:t>公司</w:t>
            </w:r>
            <w:r>
              <w:rPr>
                <w:rFonts w:hint="eastAsia" w:ascii="Times New Roman" w:hAnsi="Times New Roman" w:eastAsia="宋体" w:cs="Times New Roman"/>
                <w:b w:val="0"/>
                <w:bCs w:val="0"/>
                <w:caps w:val="0"/>
                <w:color w:val="auto"/>
                <w:spacing w:val="0"/>
                <w:kern w:val="0"/>
                <w:position w:val="0"/>
                <w:sz w:val="24"/>
                <w:szCs w:val="24"/>
                <w:highlight w:val="none"/>
              </w:rPr>
              <w:t>处理，任何个人和部门不得擅自处理；当危险废物发生洒落时，用洁净的铲子收集于有盖的容器中，避免扬尘，禁止直接用自来水冲洗。</w:t>
            </w:r>
          </w:p>
          <w:p w14:paraId="122BDE01">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val="en-US" w:eastAsia="zh-CN"/>
              </w:rPr>
              <w:t>⑧</w:t>
            </w:r>
            <w:r>
              <w:rPr>
                <w:rFonts w:hint="eastAsia" w:ascii="Times New Roman" w:hAnsi="Times New Roman" w:eastAsia="宋体" w:cs="Times New Roman"/>
                <w:b w:val="0"/>
                <w:bCs w:val="0"/>
                <w:caps w:val="0"/>
                <w:color w:val="auto"/>
                <w:spacing w:val="0"/>
                <w:kern w:val="0"/>
                <w:position w:val="0"/>
                <w:sz w:val="24"/>
                <w:szCs w:val="24"/>
                <w:highlight w:val="none"/>
                <w:lang w:eastAsia="zh-CN"/>
              </w:rPr>
              <w:t>发生火灾后，</w:t>
            </w:r>
            <w:r>
              <w:rPr>
                <w:rFonts w:hint="eastAsia" w:ascii="Times New Roman" w:hAnsi="Times New Roman" w:eastAsia="宋体" w:cs="Times New Roman"/>
                <w:b w:val="0"/>
                <w:bCs w:val="0"/>
                <w:caps w:val="0"/>
                <w:color w:val="auto"/>
                <w:spacing w:val="0"/>
                <w:kern w:val="0"/>
                <w:position w:val="0"/>
                <w:sz w:val="24"/>
                <w:szCs w:val="24"/>
                <w:highlight w:val="none"/>
              </w:rPr>
              <w:t>迅速撤离人员至安全区，并进行隔离，隔离火灾爆炸区周边200m范围，严禁无关人员进入隔离区；现场班组人员在报警后，即进行初期事故的抢险。主要是初期小规模火灾的扑救、停止作业、堵漏、设备复位灯等抢险工作；对火灾区域喷射干粉灭火；在液体流淌时，可用沙袋或其他材料筑堤拦截飘散流淌的液体，或挖沟导流将物料导向安全地点</w:t>
            </w:r>
            <w:r>
              <w:rPr>
                <w:rFonts w:hint="default" w:ascii="Times New Roman" w:hAnsi="Times New Roman" w:eastAsia="宋体" w:cs="Times New Roman"/>
                <w:b w:val="0"/>
                <w:bCs w:val="0"/>
                <w:caps w:val="0"/>
                <w:color w:val="auto"/>
                <w:spacing w:val="0"/>
                <w:kern w:val="0"/>
                <w:position w:val="0"/>
                <w:sz w:val="24"/>
                <w:szCs w:val="24"/>
                <w:highlight w:val="none"/>
              </w:rPr>
              <w:t>。</w:t>
            </w:r>
          </w:p>
          <w:p w14:paraId="431B1AD0">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eastAsia="zh-CN"/>
              </w:rPr>
              <w:t>（</w:t>
            </w:r>
            <w:r>
              <w:rPr>
                <w:rFonts w:hint="eastAsia" w:cs="Times New Roman"/>
                <w:b w:val="0"/>
                <w:bCs w:val="0"/>
                <w:caps w:val="0"/>
                <w:color w:val="auto"/>
                <w:spacing w:val="0"/>
                <w:kern w:val="0"/>
                <w:position w:val="0"/>
                <w:sz w:val="24"/>
                <w:szCs w:val="24"/>
                <w:highlight w:val="none"/>
                <w:lang w:val="en-US" w:eastAsia="zh-CN"/>
              </w:rPr>
              <w:t>2</w:t>
            </w:r>
            <w:r>
              <w:rPr>
                <w:rFonts w:hint="eastAsia" w:cs="Times New Roman"/>
                <w:b w:val="0"/>
                <w:bCs w:val="0"/>
                <w:caps w:val="0"/>
                <w:color w:val="auto"/>
                <w:spacing w:val="0"/>
                <w:kern w:val="0"/>
                <w:position w:val="0"/>
                <w:sz w:val="24"/>
                <w:szCs w:val="24"/>
                <w:highlight w:val="none"/>
                <w:lang w:eastAsia="zh-CN"/>
              </w:rPr>
              <w:t>）</w:t>
            </w:r>
            <w:r>
              <w:rPr>
                <w:rFonts w:hint="eastAsia" w:ascii="Times New Roman" w:hAnsi="Times New Roman" w:eastAsia="宋体" w:cs="Times New Roman"/>
                <w:b w:val="0"/>
                <w:bCs w:val="0"/>
                <w:caps w:val="0"/>
                <w:color w:val="auto"/>
                <w:spacing w:val="0"/>
                <w:kern w:val="0"/>
                <w:position w:val="0"/>
                <w:sz w:val="24"/>
                <w:szCs w:val="24"/>
                <w:highlight w:val="none"/>
                <w:lang w:eastAsia="zh-CN"/>
              </w:rPr>
              <w:t>治污设施故障</w:t>
            </w:r>
            <w:r>
              <w:rPr>
                <w:rFonts w:hint="eastAsia" w:ascii="Times New Roman" w:hAnsi="Times New Roman" w:eastAsia="宋体" w:cs="Times New Roman"/>
                <w:b w:val="0"/>
                <w:bCs w:val="0"/>
                <w:caps w:val="0"/>
                <w:color w:val="auto"/>
                <w:spacing w:val="0"/>
                <w:kern w:val="0"/>
                <w:position w:val="0"/>
                <w:sz w:val="24"/>
                <w:szCs w:val="24"/>
                <w:highlight w:val="none"/>
              </w:rPr>
              <w:t>风险防范</w:t>
            </w:r>
            <w:r>
              <w:rPr>
                <w:rFonts w:hint="eastAsia" w:ascii="Times New Roman" w:hAnsi="Times New Roman" w:eastAsia="宋体" w:cs="Times New Roman"/>
                <w:b w:val="0"/>
                <w:bCs w:val="0"/>
                <w:caps w:val="0"/>
                <w:color w:val="auto"/>
                <w:spacing w:val="0"/>
                <w:kern w:val="0"/>
                <w:position w:val="0"/>
                <w:sz w:val="24"/>
                <w:szCs w:val="24"/>
                <w:highlight w:val="none"/>
                <w:lang w:eastAsia="zh-CN"/>
              </w:rPr>
              <w:t>及</w:t>
            </w:r>
            <w:r>
              <w:rPr>
                <w:rFonts w:hint="eastAsia" w:ascii="Times New Roman" w:hAnsi="Times New Roman" w:eastAsia="宋体" w:cs="Times New Roman"/>
                <w:b w:val="0"/>
                <w:bCs w:val="0"/>
                <w:caps w:val="0"/>
                <w:color w:val="auto"/>
                <w:spacing w:val="0"/>
                <w:kern w:val="0"/>
                <w:position w:val="0"/>
                <w:sz w:val="24"/>
                <w:szCs w:val="24"/>
                <w:highlight w:val="none"/>
              </w:rPr>
              <w:t>应急处置措施</w:t>
            </w:r>
          </w:p>
          <w:p w14:paraId="225C82B4">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val="en-US" w:eastAsia="zh-CN"/>
              </w:rPr>
              <w:t>①</w:t>
            </w:r>
            <w:r>
              <w:rPr>
                <w:rFonts w:hint="eastAsia" w:ascii="Times New Roman" w:hAnsi="Times New Roman" w:eastAsia="宋体" w:cs="Times New Roman"/>
                <w:b w:val="0"/>
                <w:bCs w:val="0"/>
                <w:caps w:val="0"/>
                <w:color w:val="auto"/>
                <w:spacing w:val="0"/>
                <w:kern w:val="0"/>
                <w:position w:val="0"/>
                <w:sz w:val="24"/>
                <w:szCs w:val="24"/>
                <w:highlight w:val="none"/>
              </w:rPr>
              <w:t>按照</w:t>
            </w:r>
            <w:r>
              <w:rPr>
                <w:rFonts w:hint="eastAsia" w:ascii="Times New Roman" w:hAnsi="Times New Roman" w:eastAsia="宋体" w:cs="Times New Roman"/>
                <w:b w:val="0"/>
                <w:bCs w:val="0"/>
                <w:caps w:val="0"/>
                <w:color w:val="auto"/>
                <w:spacing w:val="0"/>
                <w:kern w:val="0"/>
                <w:position w:val="0"/>
                <w:sz w:val="24"/>
                <w:szCs w:val="24"/>
                <w:highlight w:val="none"/>
                <w:lang w:val="en-US" w:eastAsia="zh-CN"/>
              </w:rPr>
              <w:t>前文监测</w:t>
            </w:r>
            <w:r>
              <w:rPr>
                <w:rFonts w:hint="eastAsia" w:cs="Times New Roman"/>
                <w:b w:val="0"/>
                <w:bCs w:val="0"/>
                <w:caps w:val="0"/>
                <w:color w:val="auto"/>
                <w:spacing w:val="0"/>
                <w:kern w:val="0"/>
                <w:position w:val="0"/>
                <w:sz w:val="24"/>
                <w:szCs w:val="24"/>
                <w:highlight w:val="none"/>
                <w:lang w:val="en-US" w:eastAsia="zh-CN"/>
              </w:rPr>
              <w:t>要求</w:t>
            </w:r>
            <w:r>
              <w:rPr>
                <w:rFonts w:hint="eastAsia" w:ascii="Times New Roman" w:hAnsi="Times New Roman" w:eastAsia="宋体" w:cs="Times New Roman"/>
                <w:b w:val="0"/>
                <w:bCs w:val="0"/>
                <w:caps w:val="0"/>
                <w:color w:val="auto"/>
                <w:spacing w:val="0"/>
                <w:kern w:val="0"/>
                <w:position w:val="0"/>
                <w:sz w:val="24"/>
                <w:szCs w:val="24"/>
                <w:highlight w:val="none"/>
              </w:rPr>
              <w:t>，定期对废气进行监测，确保废气达标排放。</w:t>
            </w:r>
          </w:p>
          <w:p w14:paraId="69A9D74D">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val="en-US" w:eastAsia="zh-CN"/>
              </w:rPr>
              <w:t>②</w:t>
            </w:r>
            <w:r>
              <w:rPr>
                <w:rFonts w:hint="eastAsia" w:ascii="Times New Roman" w:hAnsi="Times New Roman" w:eastAsia="宋体" w:cs="Times New Roman"/>
                <w:b w:val="0"/>
                <w:bCs w:val="0"/>
                <w:caps w:val="0"/>
                <w:color w:val="auto"/>
                <w:spacing w:val="0"/>
                <w:kern w:val="0"/>
                <w:position w:val="0"/>
                <w:sz w:val="24"/>
                <w:szCs w:val="24"/>
                <w:highlight w:val="none"/>
              </w:rPr>
              <w:t>定期进行废气处理设备等相关设备系统的检查、维护，发现异常立即汇报处理。</w:t>
            </w:r>
            <w:r>
              <w:rPr>
                <w:rFonts w:hint="eastAsia" w:ascii="Times New Roman" w:hAnsi="Times New Roman" w:cs="Times New Roman"/>
                <w:b w:val="0"/>
                <w:bCs w:val="0"/>
                <w:caps w:val="0"/>
                <w:color w:val="auto"/>
                <w:spacing w:val="0"/>
                <w:kern w:val="0"/>
                <w:position w:val="0"/>
                <w:sz w:val="24"/>
                <w:szCs w:val="24"/>
                <w:highlight w:val="none"/>
                <w:lang w:val="en-US" w:eastAsia="zh-CN"/>
              </w:rPr>
              <w:t>除尘器的布袋</w:t>
            </w:r>
            <w:r>
              <w:rPr>
                <w:rFonts w:hint="eastAsia" w:ascii="Times New Roman" w:hAnsi="Times New Roman" w:eastAsia="宋体" w:cs="Times New Roman"/>
                <w:b w:val="0"/>
                <w:bCs w:val="0"/>
                <w:caps w:val="0"/>
                <w:color w:val="auto"/>
                <w:spacing w:val="0"/>
                <w:kern w:val="0"/>
                <w:position w:val="0"/>
                <w:sz w:val="24"/>
                <w:szCs w:val="24"/>
                <w:highlight w:val="none"/>
              </w:rPr>
              <w:t>等按照寿命要求定期更换，检查过程中发现问题立即更换。</w:t>
            </w:r>
          </w:p>
          <w:p w14:paraId="4401B7D6">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val="en-US" w:eastAsia="zh-CN"/>
              </w:rPr>
              <w:t>③</w:t>
            </w:r>
            <w:r>
              <w:rPr>
                <w:rFonts w:hint="eastAsia" w:ascii="Times New Roman" w:hAnsi="Times New Roman" w:eastAsia="宋体" w:cs="Times New Roman"/>
                <w:b w:val="0"/>
                <w:bCs w:val="0"/>
                <w:caps w:val="0"/>
                <w:color w:val="auto"/>
                <w:spacing w:val="0"/>
                <w:kern w:val="0"/>
                <w:position w:val="0"/>
                <w:sz w:val="24"/>
                <w:szCs w:val="24"/>
                <w:highlight w:val="none"/>
              </w:rPr>
              <w:t>制定严格的工艺技术操作规程和管理制度，对工段操作人员进行定期培训。</w:t>
            </w:r>
          </w:p>
          <w:p w14:paraId="6C0DD79F">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val="en-US" w:eastAsia="zh-CN"/>
              </w:rPr>
              <w:t>④</w:t>
            </w:r>
            <w:r>
              <w:rPr>
                <w:rFonts w:hint="eastAsia" w:ascii="Times New Roman" w:hAnsi="Times New Roman" w:eastAsia="宋体" w:cs="Times New Roman"/>
                <w:b w:val="0"/>
                <w:bCs w:val="0"/>
                <w:caps w:val="0"/>
                <w:color w:val="auto"/>
                <w:spacing w:val="0"/>
                <w:kern w:val="0"/>
                <w:position w:val="0"/>
                <w:sz w:val="24"/>
                <w:szCs w:val="24"/>
                <w:highlight w:val="none"/>
              </w:rPr>
              <w:t>工作前应对设备的每个部位进行一次全面检查，在确认安全的条件下方可进入工作状态。</w:t>
            </w:r>
          </w:p>
          <w:p w14:paraId="50709AB8">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val="en-US" w:eastAsia="zh-CN"/>
              </w:rPr>
              <w:t>⑤</w:t>
            </w:r>
            <w:r>
              <w:rPr>
                <w:rFonts w:hint="eastAsia" w:ascii="Times New Roman" w:hAnsi="Times New Roman" w:eastAsia="宋体" w:cs="Times New Roman"/>
                <w:b w:val="0"/>
                <w:bCs w:val="0"/>
                <w:caps w:val="0"/>
                <w:color w:val="auto"/>
                <w:spacing w:val="0"/>
                <w:kern w:val="0"/>
                <w:position w:val="0"/>
                <w:sz w:val="24"/>
                <w:szCs w:val="24"/>
                <w:highlight w:val="none"/>
              </w:rPr>
              <w:t>一旦发现废气处理装置故障，立即停止该工序的生产，并查找原因，及时检修或更换，委托具有监测能力</w:t>
            </w:r>
            <w:r>
              <w:rPr>
                <w:rFonts w:hint="eastAsia" w:ascii="Times New Roman" w:hAnsi="Times New Roman" w:eastAsia="宋体" w:cs="Times New Roman"/>
                <w:b w:val="0"/>
                <w:bCs w:val="0"/>
                <w:caps w:val="0"/>
                <w:color w:val="auto"/>
                <w:spacing w:val="0"/>
                <w:kern w:val="0"/>
                <w:position w:val="0"/>
                <w:sz w:val="24"/>
                <w:szCs w:val="24"/>
                <w:highlight w:val="none"/>
                <w:lang w:eastAsia="zh-CN"/>
              </w:rPr>
              <w:t>的</w:t>
            </w:r>
            <w:r>
              <w:rPr>
                <w:rFonts w:hint="eastAsia" w:ascii="Times New Roman" w:hAnsi="Times New Roman" w:eastAsia="宋体" w:cs="Times New Roman"/>
                <w:b w:val="0"/>
                <w:bCs w:val="0"/>
                <w:caps w:val="0"/>
                <w:color w:val="auto"/>
                <w:spacing w:val="0"/>
                <w:kern w:val="0"/>
                <w:position w:val="0"/>
                <w:sz w:val="24"/>
                <w:szCs w:val="24"/>
                <w:highlight w:val="none"/>
                <w:lang w:val="en-US" w:eastAsia="zh-CN"/>
              </w:rPr>
              <w:t>公司</w:t>
            </w:r>
            <w:r>
              <w:rPr>
                <w:rFonts w:hint="eastAsia" w:ascii="Times New Roman" w:hAnsi="Times New Roman" w:eastAsia="宋体" w:cs="Times New Roman"/>
                <w:b w:val="0"/>
                <w:bCs w:val="0"/>
                <w:caps w:val="0"/>
                <w:color w:val="auto"/>
                <w:spacing w:val="0"/>
                <w:kern w:val="0"/>
                <w:position w:val="0"/>
                <w:sz w:val="24"/>
                <w:szCs w:val="24"/>
                <w:highlight w:val="none"/>
              </w:rPr>
              <w:t>对</w:t>
            </w:r>
            <w:r>
              <w:rPr>
                <w:rFonts w:hint="eastAsia" w:ascii="Times New Roman" w:hAnsi="Times New Roman" w:cs="Times New Roman"/>
                <w:b w:val="0"/>
                <w:bCs w:val="0"/>
                <w:caps w:val="0"/>
                <w:color w:val="auto"/>
                <w:spacing w:val="0"/>
                <w:kern w:val="0"/>
                <w:position w:val="0"/>
                <w:sz w:val="24"/>
                <w:szCs w:val="24"/>
                <w:highlight w:val="none"/>
                <w:lang w:val="en-US" w:eastAsia="zh-CN"/>
              </w:rPr>
              <w:t>厂界和</w:t>
            </w:r>
            <w:r>
              <w:rPr>
                <w:rFonts w:hint="eastAsia" w:cs="Times New Roman"/>
                <w:b w:val="0"/>
                <w:bCs w:val="0"/>
                <w:caps w:val="0"/>
                <w:color w:val="auto"/>
                <w:spacing w:val="0"/>
                <w:kern w:val="0"/>
                <w:position w:val="0"/>
                <w:sz w:val="24"/>
                <w:szCs w:val="24"/>
                <w:highlight w:val="none"/>
                <w:lang w:val="en-US" w:eastAsia="zh-CN"/>
              </w:rPr>
              <w:t>排气筒</w:t>
            </w:r>
            <w:r>
              <w:rPr>
                <w:rFonts w:hint="eastAsia" w:ascii="Times New Roman" w:hAnsi="Times New Roman" w:eastAsia="宋体" w:cs="Times New Roman"/>
                <w:b w:val="0"/>
                <w:bCs w:val="0"/>
                <w:caps w:val="0"/>
                <w:color w:val="auto"/>
                <w:spacing w:val="0"/>
                <w:kern w:val="0"/>
                <w:position w:val="0"/>
                <w:sz w:val="24"/>
                <w:szCs w:val="24"/>
                <w:highlight w:val="none"/>
              </w:rPr>
              <w:t>废气进行监测，监测达标后进行方可正常生产</w:t>
            </w:r>
            <w:r>
              <w:rPr>
                <w:rFonts w:hint="eastAsia" w:ascii="Times New Roman" w:hAnsi="Times New Roman" w:eastAsia="宋体" w:cs="Times New Roman"/>
                <w:b w:val="0"/>
                <w:bCs w:val="0"/>
                <w:caps w:val="0"/>
                <w:color w:val="auto"/>
                <w:spacing w:val="0"/>
                <w:kern w:val="0"/>
                <w:position w:val="0"/>
                <w:sz w:val="24"/>
                <w:szCs w:val="24"/>
                <w:highlight w:val="none"/>
                <w:lang w:eastAsia="zh-CN"/>
              </w:rPr>
              <w:t>，</w:t>
            </w:r>
            <w:r>
              <w:rPr>
                <w:rFonts w:hint="eastAsia" w:ascii="Times New Roman" w:hAnsi="Times New Roman" w:eastAsia="宋体" w:cs="Times New Roman"/>
                <w:b w:val="0"/>
                <w:bCs w:val="0"/>
                <w:caps w:val="0"/>
                <w:color w:val="auto"/>
                <w:spacing w:val="0"/>
                <w:kern w:val="0"/>
                <w:position w:val="0"/>
                <w:sz w:val="24"/>
                <w:szCs w:val="24"/>
                <w:highlight w:val="none"/>
              </w:rPr>
              <w:t>避免废气超标排放对环境空气的影响。</w:t>
            </w:r>
          </w:p>
          <w:p w14:paraId="3CF5F6D1">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olor w:val="auto"/>
                <w:spacing w:val="0"/>
                <w:kern w:val="0"/>
                <w:sz w:val="24"/>
                <w:szCs w:val="24"/>
                <w:highlight w:val="none"/>
                <w:lang w:val="en-US" w:eastAsia="zh-CN"/>
              </w:rPr>
            </w:pPr>
            <w:r>
              <w:rPr>
                <w:rFonts w:hint="eastAsia" w:cs="Times New Roman"/>
                <w:b w:val="0"/>
                <w:bCs w:val="0"/>
                <w:color w:val="auto"/>
                <w:spacing w:val="0"/>
                <w:kern w:val="0"/>
                <w:sz w:val="24"/>
                <w:szCs w:val="24"/>
                <w:highlight w:val="none"/>
                <w:lang w:val="en-US" w:eastAsia="zh-CN"/>
              </w:rPr>
              <w:t>4</w:t>
            </w:r>
            <w:r>
              <w:rPr>
                <w:rFonts w:hint="default" w:ascii="Times New Roman" w:hAnsi="Times New Roman" w:eastAsia="宋体" w:cs="Times New Roman"/>
                <w:b w:val="0"/>
                <w:bCs w:val="0"/>
                <w:color w:val="auto"/>
                <w:spacing w:val="0"/>
                <w:kern w:val="0"/>
                <w:sz w:val="24"/>
                <w:szCs w:val="24"/>
                <w:highlight w:val="none"/>
                <w:lang w:val="en-US" w:eastAsia="zh-CN"/>
              </w:rPr>
              <w:t>、区域联动</w:t>
            </w:r>
          </w:p>
          <w:p w14:paraId="0A32C922">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①做好事件报警、报告、通报情况工作，配合政府做好周边村民的安置工作；</w:t>
            </w:r>
          </w:p>
          <w:p w14:paraId="68F15EEB">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②做好周边企业的联合应急工作，本企业若发生较大突发环境事件时，此时应及时获取周边企业的援助；</w:t>
            </w:r>
          </w:p>
          <w:p w14:paraId="04C502B1">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③负责灭火、治安、警戒、疏散人员和联络通讯工作的指挥；</w:t>
            </w:r>
          </w:p>
          <w:p w14:paraId="572075F6">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④负责抢救受伤、中毒人员和生活必需品的组织；</w:t>
            </w:r>
          </w:p>
          <w:p w14:paraId="364AE63D">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⑤加强公共宣传，有重点的将环境污染事故安全教育、防护知识宣传等内容纳入宣教工作当中；</w:t>
            </w:r>
          </w:p>
          <w:p w14:paraId="6C1F76AE">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⑥发生事件时应及时与</w:t>
            </w:r>
            <w:r>
              <w:rPr>
                <w:rFonts w:hint="eastAsia" w:cs="Times New Roman"/>
                <w:b w:val="0"/>
                <w:bCs w:val="0"/>
                <w:caps w:val="0"/>
                <w:color w:val="auto"/>
                <w:spacing w:val="0"/>
                <w:kern w:val="0"/>
                <w:position w:val="0"/>
                <w:sz w:val="24"/>
                <w:szCs w:val="24"/>
                <w:highlight w:val="none"/>
                <w:lang w:val="en-US" w:eastAsia="zh-CN"/>
              </w:rPr>
              <w:t>当地的生态环境部门和</w:t>
            </w:r>
            <w:r>
              <w:rPr>
                <w:rFonts w:hint="default" w:ascii="Times New Roman" w:hAnsi="Times New Roman" w:eastAsia="宋体" w:cs="Times New Roman"/>
                <w:b w:val="0"/>
                <w:bCs w:val="0"/>
                <w:caps w:val="0"/>
                <w:color w:val="auto"/>
                <w:spacing w:val="0"/>
                <w:kern w:val="0"/>
                <w:position w:val="0"/>
                <w:sz w:val="24"/>
                <w:szCs w:val="24"/>
                <w:highlight w:val="none"/>
              </w:rPr>
              <w:t>应急管理</w:t>
            </w:r>
            <w:r>
              <w:rPr>
                <w:rFonts w:hint="eastAsia" w:cs="Times New Roman"/>
                <w:b w:val="0"/>
                <w:bCs w:val="0"/>
                <w:caps w:val="0"/>
                <w:color w:val="auto"/>
                <w:spacing w:val="0"/>
                <w:kern w:val="0"/>
                <w:position w:val="0"/>
                <w:sz w:val="24"/>
                <w:szCs w:val="24"/>
                <w:highlight w:val="none"/>
                <w:lang w:val="en-US" w:eastAsia="zh-CN"/>
              </w:rPr>
              <w:t>部门</w:t>
            </w:r>
            <w:r>
              <w:rPr>
                <w:rFonts w:hint="default" w:ascii="Times New Roman" w:hAnsi="Times New Roman" w:eastAsia="宋体" w:cs="Times New Roman"/>
                <w:b w:val="0"/>
                <w:bCs w:val="0"/>
                <w:caps w:val="0"/>
                <w:color w:val="auto"/>
                <w:spacing w:val="0"/>
                <w:kern w:val="0"/>
                <w:position w:val="0"/>
                <w:sz w:val="24"/>
                <w:szCs w:val="24"/>
                <w:highlight w:val="none"/>
              </w:rPr>
              <w:t>联系。</w:t>
            </w:r>
          </w:p>
          <w:p w14:paraId="51F3DD11">
            <w:pPr>
              <w:keepNext w:val="0"/>
              <w:keepLines w:val="0"/>
              <w:pageBreakBefore w:val="0"/>
              <w:tabs>
                <w:tab w:val="left" w:pos="900"/>
              </w:tabs>
              <w:kinsoku/>
              <w:wordWrap/>
              <w:overflowPunct/>
              <w:topLinePunct w:val="0"/>
              <w:bidi w:val="0"/>
              <w:adjustRightInd/>
              <w:snapToGrid/>
              <w:spacing w:line="360" w:lineRule="auto"/>
              <w:ind w:left="0" w:leftChars="0" w:firstLine="482" w:firstLineChars="200"/>
              <w:jc w:val="both"/>
              <w:textAlignment w:val="auto"/>
              <w:rPr>
                <w:rFonts w:hint="default" w:ascii="Times New Roman" w:hAnsi="Times New Roman" w:eastAsia="宋体" w:cs="Times New Roman"/>
                <w:b/>
                <w:bCs/>
                <w:caps w:val="0"/>
                <w:color w:val="auto"/>
                <w:spacing w:val="0"/>
                <w:kern w:val="0"/>
                <w:position w:val="0"/>
                <w:sz w:val="24"/>
                <w:szCs w:val="24"/>
                <w:highlight w:val="none"/>
              </w:rPr>
            </w:pPr>
            <w:r>
              <w:rPr>
                <w:rFonts w:hint="default" w:ascii="Times New Roman" w:hAnsi="Times New Roman" w:eastAsia="宋体" w:cs="Times New Roman"/>
                <w:b/>
                <w:bCs/>
                <w:caps w:val="0"/>
                <w:color w:val="auto"/>
                <w:spacing w:val="0"/>
                <w:kern w:val="0"/>
                <w:position w:val="0"/>
                <w:sz w:val="24"/>
                <w:szCs w:val="24"/>
                <w:highlight w:val="none"/>
              </w:rPr>
              <w:t>八、环保设施安全评价</w:t>
            </w:r>
          </w:p>
          <w:p w14:paraId="31270B96">
            <w:pPr>
              <w:pStyle w:val="152"/>
              <w:keepNext w:val="0"/>
              <w:keepLines w:val="0"/>
              <w:pageBreakBefore w:val="0"/>
              <w:numPr>
                <w:ilvl w:val="0"/>
                <w:numId w:val="0"/>
              </w:numPr>
              <w:kinsoku/>
              <w:wordWrap/>
              <w:overflowPunct/>
              <w:topLinePunct w:val="0"/>
              <w:bidi w:val="0"/>
              <w:adjustRightInd/>
              <w:snapToGrid/>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根据《国务院安委会办公室生态环境部应急管理部关于进一步加强环保设备设施安全生产工作的通知》安委办明电〔2022〕17号文的要求，需开展环保设备设施安全风险辨识评估和隐患排查治理，落实安全生产各项责任措施。</w:t>
            </w:r>
          </w:p>
          <w:p w14:paraId="354BA7C6">
            <w:pPr>
              <w:pStyle w:val="152"/>
              <w:keepNext w:val="0"/>
              <w:keepLines w:val="0"/>
              <w:pageBreakBefore w:val="0"/>
              <w:numPr>
                <w:ilvl w:val="0"/>
                <w:numId w:val="0"/>
              </w:numPr>
              <w:kinsoku/>
              <w:wordWrap/>
              <w:overflowPunct/>
              <w:topLinePunct w:val="0"/>
              <w:bidi w:val="0"/>
              <w:adjustRightInd/>
              <w:snapToGrid/>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安全管理是一个系统工程，穿插在企业的生产全过程，包含在工艺管理、操作管理、设备管理、检修作业等方面，任何一个过程出现缺陷都有可能引发事故的发生。因此，安全管理在生产过程中非常重要。为保证本项目环保设施生产过程安全运行，需进行以下安全管理措施：</w:t>
            </w:r>
          </w:p>
          <w:p w14:paraId="27B60E0B">
            <w:pPr>
              <w:pStyle w:val="152"/>
              <w:keepNext w:val="0"/>
              <w:keepLines w:val="0"/>
              <w:pageBreakBefore w:val="0"/>
              <w:numPr>
                <w:ilvl w:val="0"/>
                <w:numId w:val="0"/>
              </w:numPr>
              <w:kinsoku/>
              <w:wordWrap/>
              <w:overflowPunct/>
              <w:topLinePunct w:val="0"/>
              <w:bidi w:val="0"/>
              <w:adjustRightInd/>
              <w:snapToGrid/>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①负责人、安全管理员</w:t>
            </w:r>
            <w:r>
              <w:rPr>
                <w:rFonts w:hint="eastAsia" w:ascii="Times New Roman" w:hAnsi="Times New Roman" w:eastAsia="宋体" w:cs="Times New Roman"/>
                <w:b w:val="0"/>
                <w:bCs w:val="0"/>
                <w:caps w:val="0"/>
                <w:color w:val="auto"/>
                <w:spacing w:val="0"/>
                <w:kern w:val="0"/>
                <w:position w:val="0"/>
                <w:sz w:val="24"/>
                <w:szCs w:val="24"/>
                <w:highlight w:val="none"/>
                <w:lang w:eastAsia="zh-CN"/>
              </w:rPr>
              <w:t>和其他</w:t>
            </w:r>
            <w:r>
              <w:rPr>
                <w:rFonts w:hint="default" w:ascii="Times New Roman" w:hAnsi="Times New Roman" w:eastAsia="宋体" w:cs="Times New Roman"/>
                <w:b w:val="0"/>
                <w:bCs w:val="0"/>
                <w:caps w:val="0"/>
                <w:color w:val="auto"/>
                <w:spacing w:val="0"/>
                <w:kern w:val="0"/>
                <w:position w:val="0"/>
                <w:sz w:val="24"/>
                <w:szCs w:val="24"/>
                <w:highlight w:val="none"/>
              </w:rPr>
              <w:t>从业人员需培训上岗作业，从业人员需持证上岗，执行三级安全教育，开展技术培训和安全教育均可</w:t>
            </w:r>
            <w:r>
              <w:rPr>
                <w:rFonts w:hint="eastAsia" w:ascii="Times New Roman" w:hAnsi="Times New Roman" w:eastAsia="宋体" w:cs="Times New Roman"/>
                <w:b w:val="0"/>
                <w:bCs w:val="0"/>
                <w:caps w:val="0"/>
                <w:color w:val="auto"/>
                <w:spacing w:val="0"/>
                <w:kern w:val="0"/>
                <w:position w:val="0"/>
                <w:sz w:val="24"/>
                <w:szCs w:val="24"/>
                <w:highlight w:val="none"/>
                <w:lang w:eastAsia="zh-CN"/>
              </w:rPr>
              <w:t>减少</w:t>
            </w:r>
            <w:r>
              <w:rPr>
                <w:rFonts w:hint="default" w:ascii="Times New Roman" w:hAnsi="Times New Roman" w:eastAsia="宋体" w:cs="Times New Roman"/>
                <w:b w:val="0"/>
                <w:bCs w:val="0"/>
                <w:caps w:val="0"/>
                <w:color w:val="auto"/>
                <w:spacing w:val="0"/>
                <w:kern w:val="0"/>
                <w:position w:val="0"/>
                <w:sz w:val="24"/>
                <w:szCs w:val="24"/>
                <w:highlight w:val="none"/>
              </w:rPr>
              <w:t>引发事故的</w:t>
            </w:r>
            <w:r>
              <w:rPr>
                <w:rFonts w:hint="eastAsia" w:ascii="Times New Roman" w:hAnsi="Times New Roman" w:eastAsia="宋体" w:cs="Times New Roman"/>
                <w:b w:val="0"/>
                <w:bCs w:val="0"/>
                <w:caps w:val="0"/>
                <w:color w:val="auto"/>
                <w:spacing w:val="0"/>
                <w:kern w:val="0"/>
                <w:position w:val="0"/>
                <w:sz w:val="24"/>
                <w:szCs w:val="24"/>
                <w:highlight w:val="none"/>
                <w:lang w:eastAsia="zh-CN"/>
              </w:rPr>
              <w:t>概率</w:t>
            </w:r>
            <w:r>
              <w:rPr>
                <w:rFonts w:hint="default" w:ascii="Times New Roman" w:hAnsi="Times New Roman" w:eastAsia="宋体" w:cs="Times New Roman"/>
                <w:b w:val="0"/>
                <w:bCs w:val="0"/>
                <w:caps w:val="0"/>
                <w:color w:val="auto"/>
                <w:spacing w:val="0"/>
                <w:kern w:val="0"/>
                <w:position w:val="0"/>
                <w:sz w:val="24"/>
                <w:szCs w:val="24"/>
                <w:highlight w:val="none"/>
              </w:rPr>
              <w:t>，增加从业人员对行业、岗位危险性进行了解，避免引起事故。</w:t>
            </w:r>
          </w:p>
          <w:p w14:paraId="63811C15">
            <w:pPr>
              <w:pStyle w:val="152"/>
              <w:keepNext w:val="0"/>
              <w:keepLines w:val="0"/>
              <w:pageBreakBefore w:val="0"/>
              <w:numPr>
                <w:ilvl w:val="0"/>
                <w:numId w:val="0"/>
              </w:numPr>
              <w:kinsoku/>
              <w:wordWrap/>
              <w:overflowPunct/>
              <w:topLinePunct w:val="0"/>
              <w:bidi w:val="0"/>
              <w:adjustRightInd/>
              <w:snapToGrid/>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②制定适宜的安全操作规程及检查频次，生产过程中严格按操作规程进行操作，按要求进行巡回检查，及时发现现场隐患等存在的问题，避免因此引发各类事故。</w:t>
            </w:r>
          </w:p>
          <w:p w14:paraId="007EC392">
            <w:pPr>
              <w:pStyle w:val="152"/>
              <w:keepNext w:val="0"/>
              <w:keepLines w:val="0"/>
              <w:pageBreakBefore w:val="0"/>
              <w:numPr>
                <w:ilvl w:val="0"/>
                <w:numId w:val="0"/>
              </w:numPr>
              <w:kinsoku/>
              <w:wordWrap/>
              <w:overflowPunct/>
              <w:topLinePunct w:val="0"/>
              <w:bidi w:val="0"/>
              <w:adjustRightInd/>
              <w:snapToGrid/>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③配套废气处理装置按规定进行定期清理，避免因油灰积聚导致的火灾事故的发生；</w:t>
            </w:r>
          </w:p>
          <w:p w14:paraId="29EB5DB5">
            <w:pPr>
              <w:pStyle w:val="152"/>
              <w:keepNext w:val="0"/>
              <w:keepLines w:val="0"/>
              <w:pageBreakBefore w:val="0"/>
              <w:numPr>
                <w:ilvl w:val="0"/>
                <w:numId w:val="0"/>
              </w:numPr>
              <w:kinsoku/>
              <w:wordWrap/>
              <w:overflowPunct/>
              <w:topLinePunct w:val="0"/>
              <w:bidi w:val="0"/>
              <w:adjustRightInd/>
              <w:snapToGrid/>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④设备及时进行维护保养，及时进行检查，及时消除隐患，避免设备疲劳运行，导致发生故障，引起事故的发生。</w:t>
            </w:r>
          </w:p>
          <w:p w14:paraId="29CF800B">
            <w:pPr>
              <w:pStyle w:val="152"/>
              <w:keepNext w:val="0"/>
              <w:keepLines w:val="0"/>
              <w:pageBreakBefore w:val="0"/>
              <w:numPr>
                <w:ilvl w:val="0"/>
                <w:numId w:val="0"/>
              </w:numPr>
              <w:kinsoku/>
              <w:wordWrap/>
              <w:overflowPunct/>
              <w:topLinePunct w:val="0"/>
              <w:bidi w:val="0"/>
              <w:adjustRightInd/>
              <w:snapToGrid/>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⑤环保设备管理按要求进行，避免引发事故的发生。如防护设施未定期检查、绝缘测试等未按要求进行，存在的隐患不能及时发现，易导致事故的发生。</w:t>
            </w:r>
          </w:p>
          <w:p w14:paraId="62B249FE">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⑥明确并落实安全管理责任、完善安全管理制度及安全操作规程，避免产生安全管理漏洞，隐患整改到不到位等，导致事故的发生。</w:t>
            </w:r>
          </w:p>
          <w:p w14:paraId="36361F61">
            <w:pPr>
              <w:keepNext w:val="0"/>
              <w:keepLines w:val="0"/>
              <w:pageBreakBefore w:val="0"/>
              <w:widowControl/>
              <w:kinsoku/>
              <w:wordWrap/>
              <w:overflowPunct/>
              <w:topLinePunct w:val="0"/>
              <w:bidi w:val="0"/>
              <w:adjustRightInd/>
              <w:snapToGrid/>
              <w:spacing w:line="360" w:lineRule="auto"/>
              <w:ind w:left="0" w:leftChars="0" w:firstLine="482" w:firstLineChars="200"/>
              <w:jc w:val="both"/>
              <w:textAlignment w:val="auto"/>
              <w:rPr>
                <w:rFonts w:hint="default" w:ascii="Times New Roman" w:hAnsi="Times New Roman" w:eastAsia="宋体" w:cs="Times New Roman"/>
                <w:b/>
                <w:bCs/>
                <w:caps w:val="0"/>
                <w:color w:val="auto"/>
                <w:spacing w:val="0"/>
                <w:kern w:val="0"/>
                <w:position w:val="0"/>
                <w:sz w:val="24"/>
                <w:szCs w:val="24"/>
                <w:highlight w:val="none"/>
              </w:rPr>
            </w:pPr>
            <w:r>
              <w:rPr>
                <w:rFonts w:hint="default" w:ascii="Times New Roman" w:hAnsi="Times New Roman" w:eastAsia="宋体" w:cs="Times New Roman"/>
                <w:b/>
                <w:bCs/>
                <w:caps w:val="0"/>
                <w:color w:val="auto"/>
                <w:spacing w:val="0"/>
                <w:kern w:val="0"/>
                <w:position w:val="0"/>
                <w:sz w:val="24"/>
                <w:szCs w:val="24"/>
                <w:highlight w:val="none"/>
              </w:rPr>
              <w:t>九、电磁辐射</w:t>
            </w:r>
          </w:p>
          <w:p w14:paraId="3FD073BF">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本项目不涉及电磁辐射。</w:t>
            </w:r>
          </w:p>
          <w:p w14:paraId="54DA7EAA">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p>
          <w:p w14:paraId="6C8AABE3">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p>
          <w:p w14:paraId="0823245F">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p>
          <w:p w14:paraId="02D5FD71">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p>
          <w:p w14:paraId="5A54CE34">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p>
          <w:p w14:paraId="7B9928C8">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p>
          <w:p w14:paraId="78757BE0">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p>
          <w:p w14:paraId="60BAF9F5">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p>
          <w:p w14:paraId="6F15696B">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p>
          <w:p w14:paraId="1A315BD4">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p>
          <w:p w14:paraId="27BE521A">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p>
          <w:p w14:paraId="1A97DAB3">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p>
          <w:p w14:paraId="2F0B0140">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olor w:val="auto"/>
                <w:spacing w:val="0"/>
                <w:sz w:val="24"/>
                <w:szCs w:val="24"/>
                <w:highlight w:val="none"/>
              </w:rPr>
            </w:pPr>
          </w:p>
        </w:tc>
      </w:tr>
    </w:tbl>
    <w:p w14:paraId="26C3DB95">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outlineLvl w:val="0"/>
        <w:rPr>
          <w:rFonts w:hint="default" w:ascii="Times New Roman" w:hAnsi="Times New Roman" w:eastAsia="宋体" w:cs="Times New Roman"/>
          <w:snapToGrid w:val="0"/>
          <w:color w:val="auto"/>
          <w:spacing w:val="0"/>
          <w:sz w:val="30"/>
          <w:szCs w:val="30"/>
        </w:rPr>
      </w:pPr>
      <w:r>
        <w:rPr>
          <w:rFonts w:hint="default" w:ascii="Times New Roman" w:hAnsi="Times New Roman" w:eastAsia="宋体" w:cs="Times New Roman"/>
          <w:b w:val="0"/>
          <w:bCs w:val="0"/>
          <w:color w:val="auto"/>
          <w:spacing w:val="0"/>
          <w:sz w:val="24"/>
          <w:szCs w:val="24"/>
          <w:highlight w:val="none"/>
        </w:rPr>
        <w:br w:type="page"/>
      </w:r>
      <w:r>
        <w:rPr>
          <w:rFonts w:hint="default" w:ascii="Times New Roman" w:hAnsi="Times New Roman" w:eastAsia="宋体" w:cs="Times New Roman"/>
          <w:b/>
          <w:bCs/>
          <w:snapToGrid w:val="0"/>
          <w:color w:val="auto"/>
          <w:spacing w:val="0"/>
          <w:sz w:val="30"/>
          <w:szCs w:val="30"/>
          <w:lang w:val="en-US" w:eastAsia="zh-CN"/>
        </w:rPr>
        <w:t>五、</w:t>
      </w:r>
      <w:bookmarkStart w:id="11" w:name="_Hlk54167917"/>
      <w:r>
        <w:rPr>
          <w:rFonts w:hint="default" w:ascii="Times New Roman" w:hAnsi="Times New Roman" w:eastAsia="宋体" w:cs="Times New Roman"/>
          <w:b/>
          <w:bCs/>
          <w:snapToGrid w:val="0"/>
          <w:color w:val="auto"/>
          <w:spacing w:val="0"/>
          <w:sz w:val="30"/>
          <w:szCs w:val="30"/>
          <w:lang w:val="en-US" w:eastAsia="zh-CN"/>
        </w:rPr>
        <w:t>环境保护措施监督检查清单</w:t>
      </w:r>
      <w:bookmarkEnd w:id="9"/>
      <w:bookmarkEnd w:id="11"/>
    </w:p>
    <w:tbl>
      <w:tblPr>
        <w:tblStyle w:val="36"/>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471"/>
        <w:gridCol w:w="1193"/>
        <w:gridCol w:w="2190"/>
        <w:gridCol w:w="2474"/>
      </w:tblGrid>
      <w:tr w14:paraId="6FF23D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tcBorders>
              <w:tl2br w:val="single" w:color="auto" w:sz="4" w:space="0"/>
            </w:tcBorders>
            <w:noWrap w:val="0"/>
            <w:vAlign w:val="top"/>
          </w:tcPr>
          <w:p w14:paraId="60A7A2D0">
            <w:pPr>
              <w:keepNext w:val="0"/>
              <w:keepLines w:val="0"/>
              <w:pageBreakBefore w:val="0"/>
              <w:widowControl w:val="0"/>
              <w:kinsoku/>
              <w:overflowPunct/>
              <w:bidi w:val="0"/>
              <w:adjustRightInd w:val="0"/>
              <w:snapToGrid w:val="0"/>
              <w:jc w:val="right"/>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内容</w:t>
            </w:r>
          </w:p>
          <w:p w14:paraId="525BEC2A">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p>
          <w:p w14:paraId="46282F46">
            <w:pPr>
              <w:keepNext w:val="0"/>
              <w:keepLines w:val="0"/>
              <w:pageBreakBefore w:val="0"/>
              <w:widowControl w:val="0"/>
              <w:kinsoku/>
              <w:overflowPunct/>
              <w:bidi w:val="0"/>
              <w:adjustRightInd w:val="0"/>
              <w:snapToGrid w:val="0"/>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要素</w:t>
            </w:r>
          </w:p>
        </w:tc>
        <w:tc>
          <w:tcPr>
            <w:tcW w:w="863" w:type="pct"/>
            <w:noWrap w:val="0"/>
            <w:vAlign w:val="center"/>
          </w:tcPr>
          <w:p w14:paraId="14CF0ADC">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排放口(编号、名称)/污染源</w:t>
            </w:r>
          </w:p>
        </w:tc>
        <w:tc>
          <w:tcPr>
            <w:tcW w:w="700" w:type="pct"/>
            <w:noWrap w:val="0"/>
            <w:vAlign w:val="center"/>
          </w:tcPr>
          <w:p w14:paraId="685EB06D">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污染物</w:t>
            </w:r>
          </w:p>
          <w:p w14:paraId="15D7AE6B">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项目</w:t>
            </w:r>
          </w:p>
        </w:tc>
        <w:tc>
          <w:tcPr>
            <w:tcW w:w="1285" w:type="pct"/>
            <w:noWrap w:val="0"/>
            <w:vAlign w:val="center"/>
          </w:tcPr>
          <w:p w14:paraId="04DE5AAF">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环境保护措施</w:t>
            </w:r>
          </w:p>
        </w:tc>
        <w:tc>
          <w:tcPr>
            <w:tcW w:w="1452" w:type="pct"/>
            <w:noWrap w:val="0"/>
            <w:vAlign w:val="center"/>
          </w:tcPr>
          <w:p w14:paraId="3500A60E">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执行标准</w:t>
            </w:r>
          </w:p>
        </w:tc>
      </w:tr>
      <w:tr w14:paraId="2B2AE7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vMerge w:val="restart"/>
            <w:noWrap w:val="0"/>
            <w:vAlign w:val="center"/>
          </w:tcPr>
          <w:p w14:paraId="6D66599D">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大气环境</w:t>
            </w:r>
          </w:p>
        </w:tc>
        <w:tc>
          <w:tcPr>
            <w:tcW w:w="863" w:type="pct"/>
            <w:tcBorders>
              <w:bottom w:val="single" w:color="000000" w:sz="4" w:space="0"/>
            </w:tcBorders>
            <w:noWrap w:val="0"/>
            <w:vAlign w:val="center"/>
          </w:tcPr>
          <w:p w14:paraId="608DB2F5">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DA001</w:t>
            </w:r>
          </w:p>
        </w:tc>
        <w:tc>
          <w:tcPr>
            <w:tcW w:w="700" w:type="pct"/>
            <w:tcBorders>
              <w:bottom w:val="single" w:color="000000" w:sz="4" w:space="0"/>
            </w:tcBorders>
            <w:noWrap w:val="0"/>
            <w:vAlign w:val="center"/>
          </w:tcPr>
          <w:p w14:paraId="590B6C20">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颗粒物</w:t>
            </w:r>
          </w:p>
        </w:tc>
        <w:tc>
          <w:tcPr>
            <w:tcW w:w="1285" w:type="pct"/>
            <w:tcBorders>
              <w:bottom w:val="single" w:color="000000" w:sz="4" w:space="0"/>
            </w:tcBorders>
            <w:noWrap w:val="0"/>
            <w:vAlign w:val="center"/>
          </w:tcPr>
          <w:p w14:paraId="0F5F0DD9">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集气罩/密闭管道收集后，通过</w:t>
            </w:r>
            <w:r>
              <w:rPr>
                <w:rFonts w:hint="eastAsia" w:ascii="Times New Roman" w:hAnsi="Times New Roman" w:eastAsia="宋体" w:cs="Times New Roman"/>
                <w:color w:val="auto"/>
                <w:spacing w:val="0"/>
                <w:sz w:val="21"/>
                <w:szCs w:val="21"/>
                <w:lang w:val="en-US" w:eastAsia="zh-CN"/>
              </w:rPr>
              <w:t>1</w:t>
            </w:r>
            <w:r>
              <w:rPr>
                <w:rFonts w:hint="default" w:ascii="Times New Roman" w:hAnsi="Times New Roman" w:eastAsia="宋体" w:cs="Times New Roman"/>
                <w:color w:val="auto"/>
                <w:spacing w:val="0"/>
                <w:sz w:val="21"/>
                <w:szCs w:val="21"/>
                <w:lang w:val="en-US" w:eastAsia="zh-CN"/>
              </w:rPr>
              <w:t>套袋式除尘器处理</w:t>
            </w:r>
            <w:r>
              <w:rPr>
                <w:rFonts w:hint="eastAsia" w:ascii="Times New Roman" w:hAnsi="Times New Roman" w:eastAsia="宋体" w:cs="Times New Roman"/>
                <w:color w:val="auto"/>
                <w:spacing w:val="0"/>
                <w:sz w:val="21"/>
                <w:szCs w:val="21"/>
                <w:lang w:val="en-US" w:eastAsia="zh-CN"/>
              </w:rPr>
              <w:t>后</w:t>
            </w:r>
            <w:r>
              <w:rPr>
                <w:rFonts w:hint="default" w:ascii="Times New Roman" w:hAnsi="Times New Roman" w:eastAsia="宋体" w:cs="Times New Roman"/>
                <w:color w:val="auto"/>
                <w:spacing w:val="0"/>
                <w:sz w:val="21"/>
                <w:szCs w:val="21"/>
                <w:lang w:val="en-US" w:eastAsia="zh-CN"/>
              </w:rPr>
              <w:t>经</w:t>
            </w:r>
            <w:r>
              <w:rPr>
                <w:rFonts w:hint="eastAsia" w:ascii="Times New Roman" w:hAnsi="Times New Roman" w:eastAsia="宋体" w:cs="Times New Roman"/>
                <w:color w:val="auto"/>
                <w:spacing w:val="0"/>
                <w:sz w:val="21"/>
                <w:szCs w:val="21"/>
                <w:lang w:val="en-US" w:eastAsia="zh-CN"/>
              </w:rPr>
              <w:t>1</w:t>
            </w:r>
            <w:r>
              <w:rPr>
                <w:rFonts w:hint="default" w:ascii="Times New Roman" w:hAnsi="Times New Roman" w:eastAsia="宋体" w:cs="Times New Roman"/>
                <w:color w:val="auto"/>
                <w:spacing w:val="0"/>
                <w:sz w:val="21"/>
                <w:szCs w:val="21"/>
                <w:lang w:val="en-US" w:eastAsia="zh-CN"/>
              </w:rPr>
              <w:t>根15m排气筒DA001</w:t>
            </w:r>
            <w:r>
              <w:rPr>
                <w:rFonts w:hint="eastAsia" w:ascii="Times New Roman" w:hAnsi="Times New Roman" w:eastAsia="宋体" w:cs="Times New Roman"/>
                <w:color w:val="auto"/>
                <w:spacing w:val="0"/>
                <w:sz w:val="21"/>
                <w:szCs w:val="21"/>
                <w:lang w:val="en-US" w:eastAsia="zh-CN"/>
              </w:rPr>
              <w:t>排放</w:t>
            </w:r>
          </w:p>
        </w:tc>
        <w:tc>
          <w:tcPr>
            <w:tcW w:w="1452" w:type="pct"/>
            <w:vMerge w:val="restart"/>
            <w:noWrap w:val="0"/>
            <w:vAlign w:val="center"/>
          </w:tcPr>
          <w:p w14:paraId="300DD853">
            <w:pPr>
              <w:keepNext w:val="0"/>
              <w:keepLines w:val="0"/>
              <w:pageBreakBefore w:val="0"/>
              <w:widowControl w:val="0"/>
              <w:kinsoku/>
              <w:overflowPunct/>
              <w:bidi w:val="0"/>
              <w:adjustRightInd w:val="0"/>
              <w:snapToGrid w:val="0"/>
              <w:jc w:val="center"/>
              <w:textAlignment w:val="auto"/>
              <w:rPr>
                <w:rFonts w:hint="eastAsia"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highlight w:val="none"/>
                <w:lang w:val="en-US" w:eastAsia="zh-CN"/>
              </w:rPr>
              <w:t>《建材工业大气污染物综合排放标准》（DB37/2373-2018）表2重点控制区标准</w:t>
            </w:r>
            <w:r>
              <w:rPr>
                <w:rFonts w:hint="eastAsia" w:cs="Times New Roman"/>
                <w:color w:val="auto"/>
                <w:spacing w:val="0"/>
                <w:sz w:val="21"/>
                <w:szCs w:val="21"/>
                <w:highlight w:val="none"/>
                <w:lang w:val="en-US" w:eastAsia="zh-CN"/>
              </w:rPr>
              <w:t>和</w:t>
            </w:r>
            <w:r>
              <w:rPr>
                <w:rFonts w:hint="default" w:ascii="Times New Roman" w:hAnsi="Times New Roman" w:eastAsia="宋体" w:cs="Times New Roman"/>
                <w:color w:val="auto"/>
                <w:spacing w:val="0"/>
                <w:sz w:val="21"/>
                <w:szCs w:val="21"/>
                <w:highlight w:val="none"/>
              </w:rPr>
              <w:t>《大气污染物综合排放标准》（GB16297-1996）表2</w:t>
            </w:r>
            <w:r>
              <w:rPr>
                <w:rFonts w:hint="default" w:ascii="Times New Roman" w:hAnsi="Times New Roman" w:eastAsia="宋体" w:cs="Times New Roman"/>
                <w:color w:val="auto"/>
                <w:spacing w:val="0"/>
                <w:sz w:val="21"/>
                <w:szCs w:val="21"/>
                <w:highlight w:val="none"/>
                <w:lang w:val="en-US" w:eastAsia="zh-CN"/>
              </w:rPr>
              <w:t>二级</w:t>
            </w:r>
            <w:r>
              <w:rPr>
                <w:rFonts w:hint="default" w:ascii="Times New Roman" w:hAnsi="Times New Roman" w:eastAsia="宋体" w:cs="Times New Roman"/>
                <w:color w:val="auto"/>
                <w:spacing w:val="0"/>
                <w:sz w:val="21"/>
                <w:szCs w:val="21"/>
                <w:highlight w:val="none"/>
              </w:rPr>
              <w:t>标准</w:t>
            </w:r>
            <w:r>
              <w:rPr>
                <w:rFonts w:hint="eastAsia" w:cs="Times New Roman"/>
                <w:color w:val="auto"/>
                <w:spacing w:val="0"/>
                <w:sz w:val="21"/>
                <w:szCs w:val="21"/>
                <w:highlight w:val="none"/>
                <w:lang w:val="en-US" w:eastAsia="zh-CN"/>
              </w:rPr>
              <w:t>要求</w:t>
            </w:r>
          </w:p>
        </w:tc>
      </w:tr>
      <w:tr w14:paraId="61E994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vMerge w:val="continue"/>
            <w:noWrap w:val="0"/>
            <w:vAlign w:val="center"/>
          </w:tcPr>
          <w:p w14:paraId="735B9F67">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p>
        </w:tc>
        <w:tc>
          <w:tcPr>
            <w:tcW w:w="863" w:type="pct"/>
            <w:tcBorders>
              <w:top w:val="single" w:color="000000" w:sz="4" w:space="0"/>
              <w:bottom w:val="single" w:color="000000" w:sz="4" w:space="0"/>
            </w:tcBorders>
            <w:noWrap w:val="0"/>
            <w:vAlign w:val="center"/>
          </w:tcPr>
          <w:p w14:paraId="467FC028">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沙石装卸</w:t>
            </w:r>
          </w:p>
        </w:tc>
        <w:tc>
          <w:tcPr>
            <w:tcW w:w="700" w:type="pct"/>
            <w:noWrap w:val="0"/>
            <w:vAlign w:val="center"/>
          </w:tcPr>
          <w:p w14:paraId="6FF1A73D">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颗粒物</w:t>
            </w:r>
          </w:p>
        </w:tc>
        <w:tc>
          <w:tcPr>
            <w:tcW w:w="1285" w:type="pct"/>
            <w:noWrap w:val="0"/>
            <w:vAlign w:val="center"/>
          </w:tcPr>
          <w:p w14:paraId="254E588C">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车间密闭，喷淋降尘</w:t>
            </w:r>
          </w:p>
        </w:tc>
        <w:tc>
          <w:tcPr>
            <w:tcW w:w="1452" w:type="pct"/>
            <w:vMerge w:val="continue"/>
            <w:noWrap w:val="0"/>
            <w:vAlign w:val="center"/>
          </w:tcPr>
          <w:p w14:paraId="2DE526D3">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highlight w:val="none"/>
              </w:rPr>
            </w:pPr>
          </w:p>
        </w:tc>
      </w:tr>
      <w:tr w14:paraId="12CEB4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vMerge w:val="continue"/>
            <w:noWrap w:val="0"/>
            <w:vAlign w:val="center"/>
          </w:tcPr>
          <w:p w14:paraId="34C0CA49">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highlight w:val="none"/>
              </w:rPr>
            </w:pPr>
          </w:p>
        </w:tc>
        <w:tc>
          <w:tcPr>
            <w:tcW w:w="863" w:type="pct"/>
            <w:tcBorders>
              <w:top w:val="single" w:color="000000" w:sz="4" w:space="0"/>
            </w:tcBorders>
            <w:noWrap w:val="0"/>
            <w:vAlign w:val="center"/>
          </w:tcPr>
          <w:p w14:paraId="7CA4DA84">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汽运运输</w:t>
            </w:r>
          </w:p>
        </w:tc>
        <w:tc>
          <w:tcPr>
            <w:tcW w:w="700" w:type="pct"/>
            <w:noWrap w:val="0"/>
            <w:vAlign w:val="center"/>
          </w:tcPr>
          <w:p w14:paraId="411C8AD4">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颗粒物</w:t>
            </w:r>
          </w:p>
        </w:tc>
        <w:tc>
          <w:tcPr>
            <w:tcW w:w="1285" w:type="pct"/>
            <w:noWrap w:val="0"/>
            <w:vAlign w:val="center"/>
          </w:tcPr>
          <w:p w14:paraId="3F137E35">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车辆冲洗，路面硬化洒水</w:t>
            </w:r>
          </w:p>
        </w:tc>
        <w:tc>
          <w:tcPr>
            <w:tcW w:w="1452" w:type="pct"/>
            <w:vMerge w:val="continue"/>
            <w:noWrap w:val="0"/>
            <w:vAlign w:val="center"/>
          </w:tcPr>
          <w:p w14:paraId="50CB0250">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highlight w:val="none"/>
              </w:rPr>
            </w:pPr>
          </w:p>
        </w:tc>
      </w:tr>
      <w:tr w14:paraId="22A2CE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vMerge w:val="restart"/>
            <w:noWrap w:val="0"/>
            <w:vAlign w:val="center"/>
          </w:tcPr>
          <w:p w14:paraId="1E83C60F">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地表水环境</w:t>
            </w:r>
          </w:p>
        </w:tc>
        <w:tc>
          <w:tcPr>
            <w:tcW w:w="863" w:type="pct"/>
            <w:noWrap w:val="0"/>
            <w:vAlign w:val="center"/>
          </w:tcPr>
          <w:p w14:paraId="0C1AB652">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生活污水</w:t>
            </w:r>
          </w:p>
        </w:tc>
        <w:tc>
          <w:tcPr>
            <w:tcW w:w="700" w:type="pct"/>
            <w:noWrap w:val="0"/>
            <w:vAlign w:val="center"/>
          </w:tcPr>
          <w:p w14:paraId="3BEDDC1F">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highlight w:val="none"/>
                <w:vertAlign w:val="subscript"/>
              </w:rPr>
            </w:pPr>
            <w:r>
              <w:rPr>
                <w:rFonts w:hint="default" w:ascii="Times New Roman" w:hAnsi="Times New Roman" w:eastAsia="宋体" w:cs="Times New Roman"/>
                <w:color w:val="auto"/>
                <w:spacing w:val="0"/>
                <w:sz w:val="21"/>
                <w:szCs w:val="21"/>
                <w:highlight w:val="none"/>
              </w:rPr>
              <w:t>COD</w:t>
            </w:r>
            <w:r>
              <w:rPr>
                <w:rFonts w:hint="default" w:ascii="Times New Roman" w:hAnsi="Times New Roman" w:eastAsia="宋体" w:cs="Times New Roman"/>
                <w:color w:val="auto"/>
                <w:spacing w:val="0"/>
                <w:sz w:val="21"/>
                <w:szCs w:val="21"/>
                <w:highlight w:val="none"/>
                <w:vertAlign w:val="subscript"/>
              </w:rPr>
              <w:t>Cr</w:t>
            </w:r>
          </w:p>
          <w:p w14:paraId="0025D6CB">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lang w:val="en-US" w:eastAsia="zh-CN"/>
              </w:rPr>
              <w:t>BOD</w:t>
            </w:r>
            <w:r>
              <w:rPr>
                <w:rFonts w:hint="default" w:ascii="Times New Roman" w:hAnsi="Times New Roman" w:eastAsia="宋体" w:cs="Times New Roman"/>
                <w:color w:val="auto"/>
                <w:spacing w:val="0"/>
                <w:sz w:val="21"/>
                <w:szCs w:val="21"/>
                <w:highlight w:val="none"/>
                <w:vertAlign w:val="subscript"/>
                <w:lang w:val="en-US" w:eastAsia="zh-CN"/>
              </w:rPr>
              <w:t>5</w:t>
            </w:r>
          </w:p>
          <w:p w14:paraId="6EBE1BA7">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氨氮</w:t>
            </w:r>
          </w:p>
          <w:p w14:paraId="20E2AEB3">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highlight w:val="none"/>
              </w:rPr>
              <w:t>SS</w:t>
            </w:r>
          </w:p>
        </w:tc>
        <w:tc>
          <w:tcPr>
            <w:tcW w:w="1285" w:type="pct"/>
            <w:noWrap w:val="0"/>
            <w:vAlign w:val="center"/>
          </w:tcPr>
          <w:p w14:paraId="7D0DB468">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rPr>
              <w:t>化粪池处理后</w:t>
            </w:r>
            <w:r>
              <w:rPr>
                <w:rFonts w:hint="default" w:ascii="Times New Roman" w:hAnsi="Times New Roman" w:eastAsia="宋体" w:cs="Times New Roman"/>
                <w:color w:val="auto"/>
                <w:spacing w:val="0"/>
                <w:sz w:val="21"/>
                <w:szCs w:val="21"/>
                <w:lang w:val="en-US" w:eastAsia="zh-CN"/>
              </w:rPr>
              <w:t>委托环卫部门清运</w:t>
            </w:r>
          </w:p>
        </w:tc>
        <w:tc>
          <w:tcPr>
            <w:tcW w:w="1452" w:type="pct"/>
            <w:vMerge w:val="restart"/>
            <w:noWrap w:val="0"/>
            <w:vAlign w:val="center"/>
          </w:tcPr>
          <w:p w14:paraId="3EC4E7C3">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eastAsia" w:cs="Times New Roman"/>
                <w:color w:val="auto"/>
                <w:spacing w:val="0"/>
                <w:sz w:val="21"/>
                <w:szCs w:val="21"/>
                <w:highlight w:val="none"/>
                <w:lang w:val="en-US" w:eastAsia="zh-CN"/>
              </w:rPr>
              <w:t>不外排</w:t>
            </w:r>
          </w:p>
        </w:tc>
      </w:tr>
      <w:tr w14:paraId="79D225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vMerge w:val="continue"/>
            <w:noWrap w:val="0"/>
            <w:vAlign w:val="center"/>
          </w:tcPr>
          <w:p w14:paraId="34061A79">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p>
        </w:tc>
        <w:tc>
          <w:tcPr>
            <w:tcW w:w="863" w:type="pct"/>
            <w:noWrap w:val="0"/>
            <w:vAlign w:val="center"/>
          </w:tcPr>
          <w:p w14:paraId="6F5C5234">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highlight w:val="none"/>
                <w:lang w:eastAsia="zh-CN"/>
              </w:rPr>
              <w:t>生产废水</w:t>
            </w:r>
          </w:p>
        </w:tc>
        <w:tc>
          <w:tcPr>
            <w:tcW w:w="700" w:type="pct"/>
            <w:noWrap w:val="0"/>
            <w:vAlign w:val="center"/>
          </w:tcPr>
          <w:p w14:paraId="03A7DFD5">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kern w:val="0"/>
                <w:sz w:val="21"/>
                <w:szCs w:val="21"/>
                <w:highlight w:val="none"/>
                <w:lang w:val="en-US" w:eastAsia="zh-CN"/>
              </w:rPr>
            </w:pPr>
            <w:r>
              <w:rPr>
                <w:rFonts w:hint="default" w:ascii="Times New Roman" w:hAnsi="Times New Roman" w:eastAsia="宋体" w:cs="Times New Roman"/>
                <w:color w:val="auto"/>
                <w:spacing w:val="0"/>
                <w:kern w:val="0"/>
                <w:sz w:val="21"/>
                <w:szCs w:val="21"/>
                <w:highlight w:val="none"/>
                <w:lang w:val="en-US" w:eastAsia="zh-CN"/>
              </w:rPr>
              <w:t>SS</w:t>
            </w:r>
          </w:p>
        </w:tc>
        <w:tc>
          <w:tcPr>
            <w:tcW w:w="1285" w:type="pct"/>
            <w:noWrap w:val="0"/>
            <w:vAlign w:val="center"/>
          </w:tcPr>
          <w:p w14:paraId="5C77B5B9">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设备、模具清洗废水经沉淀后用于搅拌工段，不外排。车辆冲洗废水经配套沉淀池沉淀后回用，不外排</w:t>
            </w:r>
          </w:p>
        </w:tc>
        <w:tc>
          <w:tcPr>
            <w:tcW w:w="1452" w:type="pct"/>
            <w:vMerge w:val="continue"/>
            <w:noWrap w:val="0"/>
            <w:vAlign w:val="center"/>
          </w:tcPr>
          <w:p w14:paraId="67BB03C6">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p>
        </w:tc>
      </w:tr>
      <w:tr w14:paraId="2B2DF1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noWrap w:val="0"/>
            <w:vAlign w:val="center"/>
          </w:tcPr>
          <w:p w14:paraId="0C156487">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声环境</w:t>
            </w:r>
          </w:p>
        </w:tc>
        <w:tc>
          <w:tcPr>
            <w:tcW w:w="863" w:type="pct"/>
            <w:noWrap w:val="0"/>
            <w:vAlign w:val="center"/>
          </w:tcPr>
          <w:p w14:paraId="0C219519">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kern w:val="0"/>
                <w:sz w:val="21"/>
                <w:szCs w:val="21"/>
                <w:highlight w:val="none"/>
                <w:lang w:val="en-US" w:eastAsia="zh-CN"/>
              </w:rPr>
            </w:pPr>
            <w:r>
              <w:rPr>
                <w:rFonts w:hint="default" w:ascii="Times New Roman" w:hAnsi="Times New Roman" w:eastAsia="宋体" w:cs="Times New Roman"/>
                <w:color w:val="auto"/>
                <w:spacing w:val="0"/>
                <w:kern w:val="0"/>
                <w:sz w:val="21"/>
                <w:szCs w:val="21"/>
                <w:highlight w:val="none"/>
                <w:lang w:val="en-US" w:eastAsia="zh-CN"/>
              </w:rPr>
              <w:t>生产设备</w:t>
            </w:r>
          </w:p>
        </w:tc>
        <w:tc>
          <w:tcPr>
            <w:tcW w:w="700" w:type="pct"/>
            <w:noWrap w:val="0"/>
            <w:vAlign w:val="center"/>
          </w:tcPr>
          <w:p w14:paraId="500C0081">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kern w:val="0"/>
                <w:sz w:val="21"/>
                <w:szCs w:val="21"/>
                <w:highlight w:val="none"/>
                <w:lang w:val="en-US" w:eastAsia="zh-CN"/>
              </w:rPr>
            </w:pPr>
            <w:r>
              <w:rPr>
                <w:rFonts w:hint="eastAsia" w:ascii="Times New Roman" w:hAnsi="Times New Roman" w:eastAsia="宋体" w:cs="Times New Roman"/>
                <w:color w:val="auto"/>
                <w:spacing w:val="0"/>
                <w:kern w:val="0"/>
                <w:sz w:val="21"/>
                <w:szCs w:val="21"/>
                <w:highlight w:val="none"/>
                <w:lang w:val="en-US" w:eastAsia="zh-CN"/>
              </w:rPr>
              <w:t>Leq</w:t>
            </w:r>
          </w:p>
        </w:tc>
        <w:tc>
          <w:tcPr>
            <w:tcW w:w="1285" w:type="pct"/>
            <w:noWrap w:val="0"/>
            <w:vAlign w:val="center"/>
          </w:tcPr>
          <w:p w14:paraId="0A3A6E47">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kern w:val="0"/>
                <w:sz w:val="21"/>
                <w:szCs w:val="21"/>
                <w:highlight w:val="none"/>
                <w:lang w:val="en-US" w:eastAsia="zh-CN"/>
              </w:rPr>
            </w:pPr>
            <w:r>
              <w:rPr>
                <w:rFonts w:hint="default" w:ascii="Times New Roman" w:hAnsi="Times New Roman" w:eastAsia="宋体" w:cs="Times New Roman"/>
                <w:color w:val="auto"/>
                <w:spacing w:val="0"/>
                <w:kern w:val="0"/>
                <w:sz w:val="21"/>
                <w:szCs w:val="21"/>
                <w:highlight w:val="none"/>
                <w:lang w:val="en-US" w:eastAsia="zh-CN"/>
              </w:rPr>
              <w:t>车间隔声，设备减振</w:t>
            </w:r>
          </w:p>
        </w:tc>
        <w:tc>
          <w:tcPr>
            <w:tcW w:w="1452" w:type="pct"/>
            <w:noWrap w:val="0"/>
            <w:vAlign w:val="center"/>
          </w:tcPr>
          <w:p w14:paraId="48401F3D">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kern w:val="0"/>
                <w:sz w:val="21"/>
                <w:szCs w:val="21"/>
                <w:highlight w:val="none"/>
                <w:lang w:val="en-US" w:eastAsia="zh-CN"/>
              </w:rPr>
            </w:pPr>
            <w:r>
              <w:rPr>
                <w:rFonts w:hint="default" w:ascii="Times New Roman" w:hAnsi="Times New Roman" w:eastAsia="宋体" w:cs="Times New Roman"/>
                <w:color w:val="auto"/>
                <w:spacing w:val="0"/>
                <w:kern w:val="0"/>
                <w:sz w:val="21"/>
                <w:szCs w:val="21"/>
                <w:highlight w:val="none"/>
                <w:lang w:val="en-US" w:eastAsia="zh-CN"/>
              </w:rPr>
              <w:t>《工业企业厂界环境噪声排放标准》（GB12348-2008）</w:t>
            </w:r>
            <w:r>
              <w:rPr>
                <w:rFonts w:hint="eastAsia" w:ascii="Times New Roman" w:hAnsi="Times New Roman" w:eastAsia="宋体" w:cs="Times New Roman"/>
                <w:color w:val="auto"/>
                <w:spacing w:val="0"/>
                <w:kern w:val="0"/>
                <w:sz w:val="21"/>
                <w:szCs w:val="21"/>
                <w:highlight w:val="none"/>
                <w:lang w:val="en-US" w:eastAsia="zh-CN"/>
              </w:rPr>
              <w:t>2</w:t>
            </w:r>
            <w:r>
              <w:rPr>
                <w:rFonts w:hint="default" w:ascii="Times New Roman" w:hAnsi="Times New Roman" w:eastAsia="宋体" w:cs="Times New Roman"/>
                <w:color w:val="auto"/>
                <w:spacing w:val="0"/>
                <w:kern w:val="0"/>
                <w:sz w:val="21"/>
                <w:szCs w:val="21"/>
                <w:highlight w:val="none"/>
                <w:lang w:val="en-US" w:eastAsia="zh-CN"/>
              </w:rPr>
              <w:t>类标准</w:t>
            </w:r>
          </w:p>
        </w:tc>
      </w:tr>
      <w:tr w14:paraId="4B0BDE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noWrap w:val="0"/>
            <w:vAlign w:val="center"/>
          </w:tcPr>
          <w:p w14:paraId="132F1B3A">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电磁辐射</w:t>
            </w:r>
          </w:p>
        </w:tc>
        <w:tc>
          <w:tcPr>
            <w:tcW w:w="4300" w:type="pct"/>
            <w:gridSpan w:val="4"/>
            <w:noWrap w:val="0"/>
            <w:vAlign w:val="center"/>
          </w:tcPr>
          <w:p w14:paraId="6CA5FDC5">
            <w:pPr>
              <w:keepNext w:val="0"/>
              <w:keepLines w:val="0"/>
              <w:pageBreakBefore w:val="0"/>
              <w:widowControl w:val="0"/>
              <w:kinsoku/>
              <w:overflowPunct/>
              <w:bidi w:val="0"/>
              <w:adjustRightInd w:val="0"/>
              <w:snapToGrid w:val="0"/>
              <w:jc w:val="center"/>
              <w:textAlignment w:val="auto"/>
              <w:rPr>
                <w:rFonts w:hint="eastAsia" w:ascii="Times New Roman" w:hAnsi="Times New Roman" w:eastAsia="宋体" w:cs="Times New Roman"/>
                <w:color w:val="auto"/>
                <w:spacing w:val="0"/>
                <w:sz w:val="21"/>
                <w:szCs w:val="21"/>
                <w:lang w:eastAsia="zh-CN"/>
              </w:rPr>
            </w:pPr>
            <w:r>
              <w:rPr>
                <w:rFonts w:hint="eastAsia" w:cs="Times New Roman"/>
                <w:color w:val="auto"/>
                <w:spacing w:val="0"/>
                <w:sz w:val="21"/>
                <w:szCs w:val="21"/>
                <w:lang w:val="en-US" w:eastAsia="zh-CN"/>
              </w:rPr>
              <w:t>/</w:t>
            </w:r>
          </w:p>
        </w:tc>
      </w:tr>
      <w:tr w14:paraId="72D0AA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noWrap w:val="0"/>
            <w:vAlign w:val="center"/>
          </w:tcPr>
          <w:p w14:paraId="60BD970E">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固体废物</w:t>
            </w:r>
          </w:p>
        </w:tc>
        <w:tc>
          <w:tcPr>
            <w:tcW w:w="4300" w:type="pct"/>
            <w:gridSpan w:val="4"/>
            <w:noWrap w:val="0"/>
            <w:vAlign w:val="center"/>
          </w:tcPr>
          <w:p w14:paraId="31D76A7D">
            <w:pPr>
              <w:keepNext w:val="0"/>
              <w:keepLines w:val="0"/>
              <w:pageBreakBefore w:val="0"/>
              <w:widowControl w:val="0"/>
              <w:kinsoku/>
              <w:overflowPunct/>
              <w:autoSpaceDE w:val="0"/>
              <w:autoSpaceDN w:val="0"/>
              <w:bidi w:val="0"/>
              <w:adjustRightInd w:val="0"/>
              <w:snapToGrid w:val="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生活垃圾委托环卫部门清运；收集的原料粉尘（包括除尘器收尘和车间地面收尘）回用于生产；废布袋、</w:t>
            </w:r>
            <w:r>
              <w:rPr>
                <w:rFonts w:hint="eastAsia" w:cs="Times New Roman"/>
                <w:color w:val="auto"/>
                <w:spacing w:val="0"/>
                <w:sz w:val="21"/>
                <w:szCs w:val="21"/>
                <w:lang w:eastAsia="zh-CN"/>
              </w:rPr>
              <w:t>废钢筋</w:t>
            </w:r>
            <w:r>
              <w:rPr>
                <w:rFonts w:hint="default" w:ascii="Times New Roman" w:hAnsi="Times New Roman" w:eastAsia="宋体" w:cs="Times New Roman"/>
                <w:color w:val="auto"/>
                <w:spacing w:val="0"/>
                <w:sz w:val="21"/>
                <w:szCs w:val="21"/>
              </w:rPr>
              <w:t>、沉渣、废混凝土渣、废脱模剂包装桶、不合格品外售；废润滑油、废润滑油桶</w:t>
            </w:r>
            <w:r>
              <w:rPr>
                <w:rFonts w:hint="default" w:ascii="Times New Roman" w:hAnsi="Times New Roman" w:eastAsia="宋体" w:cs="Times New Roman"/>
                <w:color w:val="auto"/>
                <w:spacing w:val="0"/>
                <w:sz w:val="21"/>
                <w:szCs w:val="21"/>
                <w:lang w:val="en-US" w:eastAsia="zh-CN"/>
              </w:rPr>
              <w:t>、</w:t>
            </w:r>
            <w:r>
              <w:rPr>
                <w:rFonts w:hint="eastAsia" w:cs="Times New Roman"/>
                <w:color w:val="auto"/>
                <w:spacing w:val="0"/>
                <w:sz w:val="21"/>
                <w:szCs w:val="21"/>
                <w:lang w:val="en-US" w:eastAsia="zh-CN"/>
              </w:rPr>
              <w:t>废吸油毡</w:t>
            </w:r>
            <w:r>
              <w:rPr>
                <w:rFonts w:hint="default" w:ascii="Times New Roman" w:hAnsi="Times New Roman" w:eastAsia="宋体" w:cs="Times New Roman"/>
                <w:color w:val="auto"/>
                <w:spacing w:val="0"/>
                <w:sz w:val="21"/>
                <w:szCs w:val="21"/>
              </w:rPr>
              <w:t>委托资质单位处置</w:t>
            </w:r>
          </w:p>
        </w:tc>
      </w:tr>
      <w:tr w14:paraId="2459F6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noWrap w:val="0"/>
            <w:vAlign w:val="center"/>
          </w:tcPr>
          <w:p w14:paraId="174CE1ED">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土壤及地下水污染防治措施</w:t>
            </w:r>
          </w:p>
        </w:tc>
        <w:tc>
          <w:tcPr>
            <w:tcW w:w="4300" w:type="pct"/>
            <w:gridSpan w:val="4"/>
            <w:noWrap w:val="0"/>
            <w:vAlign w:val="center"/>
          </w:tcPr>
          <w:p w14:paraId="23CB50BD">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b w:val="0"/>
                <w:bCs w:val="0"/>
                <w:color w:val="auto"/>
                <w:spacing w:val="0"/>
                <w:kern w:val="0"/>
                <w:sz w:val="21"/>
                <w:szCs w:val="21"/>
                <w:highlight w:val="none"/>
              </w:rPr>
              <w:t>源头控制</w:t>
            </w:r>
            <w:r>
              <w:rPr>
                <w:rFonts w:hint="eastAsia" w:ascii="Times New Roman" w:hAnsi="Times New Roman" w:eastAsia="宋体" w:cs="Times New Roman"/>
                <w:b w:val="0"/>
                <w:bCs w:val="0"/>
                <w:color w:val="auto"/>
                <w:spacing w:val="0"/>
                <w:kern w:val="0"/>
                <w:sz w:val="21"/>
                <w:szCs w:val="21"/>
                <w:highlight w:val="none"/>
                <w:lang w:eastAsia="zh-CN"/>
              </w:rPr>
              <w:t>，</w:t>
            </w:r>
            <w:r>
              <w:rPr>
                <w:rFonts w:hint="default" w:ascii="Times New Roman" w:hAnsi="Times New Roman" w:eastAsia="宋体" w:cs="Times New Roman"/>
                <w:b w:val="0"/>
                <w:bCs w:val="0"/>
                <w:color w:val="auto"/>
                <w:spacing w:val="0"/>
                <w:kern w:val="0"/>
                <w:sz w:val="21"/>
                <w:szCs w:val="21"/>
                <w:highlight w:val="none"/>
              </w:rPr>
              <w:t>分区防渗</w:t>
            </w:r>
          </w:p>
        </w:tc>
      </w:tr>
      <w:tr w14:paraId="75C518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noWrap w:val="0"/>
            <w:vAlign w:val="center"/>
          </w:tcPr>
          <w:p w14:paraId="52CE10A8">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生态保护措施</w:t>
            </w:r>
          </w:p>
        </w:tc>
        <w:tc>
          <w:tcPr>
            <w:tcW w:w="4300" w:type="pct"/>
            <w:gridSpan w:val="4"/>
            <w:noWrap w:val="0"/>
            <w:vAlign w:val="center"/>
          </w:tcPr>
          <w:p w14:paraId="205583CF">
            <w:pPr>
              <w:keepNext w:val="0"/>
              <w:keepLines w:val="0"/>
              <w:pageBreakBefore w:val="0"/>
              <w:widowControl w:val="0"/>
              <w:kinsoku/>
              <w:overflowPunct/>
              <w:bidi w:val="0"/>
              <w:adjustRightInd w:val="0"/>
              <w:snapToGrid w:val="0"/>
              <w:jc w:val="center"/>
              <w:textAlignment w:val="auto"/>
              <w:rPr>
                <w:rFonts w:hint="eastAsia" w:ascii="Times New Roman" w:hAnsi="Times New Roman" w:eastAsia="宋体" w:cs="Times New Roman"/>
                <w:color w:val="auto"/>
                <w:spacing w:val="0"/>
                <w:sz w:val="21"/>
                <w:szCs w:val="21"/>
                <w:lang w:eastAsia="zh-CN"/>
              </w:rPr>
            </w:pPr>
            <w:r>
              <w:rPr>
                <w:rFonts w:hint="eastAsia" w:cs="Times New Roman"/>
                <w:color w:val="auto"/>
                <w:spacing w:val="0"/>
                <w:sz w:val="21"/>
                <w:szCs w:val="21"/>
                <w:lang w:val="en-US" w:eastAsia="zh-CN"/>
              </w:rPr>
              <w:t>/</w:t>
            </w:r>
          </w:p>
        </w:tc>
      </w:tr>
      <w:tr w14:paraId="6A9E36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noWrap w:val="0"/>
            <w:vAlign w:val="center"/>
          </w:tcPr>
          <w:p w14:paraId="7BAFE62A">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环境风险防范措施</w:t>
            </w:r>
          </w:p>
        </w:tc>
        <w:tc>
          <w:tcPr>
            <w:tcW w:w="4300" w:type="pct"/>
            <w:gridSpan w:val="4"/>
            <w:noWrap w:val="0"/>
            <w:vAlign w:val="center"/>
          </w:tcPr>
          <w:p w14:paraId="09AEF621">
            <w:pPr>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val="0"/>
                <w:bCs w:val="0"/>
                <w:color w:val="auto"/>
                <w:spacing w:val="0"/>
                <w:kern w:val="0"/>
                <w:sz w:val="21"/>
                <w:szCs w:val="21"/>
                <w:highlight w:val="none"/>
              </w:rPr>
              <w:t>严格落实前文提出的各项环境风险防范措施，配备必要的应急物资，对员工进行消防培训</w:t>
            </w:r>
          </w:p>
        </w:tc>
      </w:tr>
      <w:tr w14:paraId="4C0CDD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noWrap w:val="0"/>
            <w:vAlign w:val="center"/>
          </w:tcPr>
          <w:p w14:paraId="36E49519">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其他环境管理要求</w:t>
            </w:r>
          </w:p>
        </w:tc>
        <w:tc>
          <w:tcPr>
            <w:tcW w:w="4300" w:type="pct"/>
            <w:gridSpan w:val="4"/>
            <w:noWrap w:val="0"/>
            <w:vAlign w:val="center"/>
          </w:tcPr>
          <w:p w14:paraId="496B2321">
            <w:pPr>
              <w:keepNext w:val="0"/>
              <w:keepLines w:val="0"/>
              <w:pageBreakBefore w:val="0"/>
              <w:widowControl w:val="0"/>
              <w:kinsoku/>
              <w:overflowPunct/>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val="0"/>
                <w:bCs w:val="0"/>
                <w:color w:val="auto"/>
                <w:spacing w:val="0"/>
                <w:kern w:val="0"/>
                <w:sz w:val="21"/>
                <w:szCs w:val="21"/>
                <w:highlight w:val="none"/>
                <w:lang w:eastAsia="zh-CN"/>
              </w:rPr>
              <w:t>取得</w:t>
            </w:r>
            <w:r>
              <w:rPr>
                <w:rFonts w:hint="eastAsia" w:cs="Times New Roman"/>
                <w:b w:val="0"/>
                <w:bCs w:val="0"/>
                <w:color w:val="auto"/>
                <w:spacing w:val="0"/>
                <w:kern w:val="0"/>
                <w:sz w:val="21"/>
                <w:szCs w:val="21"/>
                <w:highlight w:val="none"/>
                <w:lang w:val="en-US" w:eastAsia="zh-CN"/>
              </w:rPr>
              <w:t>审批意见后申请</w:t>
            </w:r>
            <w:r>
              <w:rPr>
                <w:rFonts w:hint="default" w:ascii="Times New Roman" w:hAnsi="Times New Roman" w:eastAsia="宋体" w:cs="Times New Roman"/>
                <w:b w:val="0"/>
                <w:bCs w:val="0"/>
                <w:color w:val="auto"/>
                <w:spacing w:val="0"/>
                <w:kern w:val="0"/>
                <w:sz w:val="21"/>
                <w:szCs w:val="21"/>
                <w:highlight w:val="none"/>
                <w:lang w:eastAsia="zh-CN"/>
              </w:rPr>
              <w:t>排污许可</w:t>
            </w:r>
            <w:r>
              <w:rPr>
                <w:rFonts w:hint="eastAsia" w:cs="Times New Roman"/>
                <w:b w:val="0"/>
                <w:bCs w:val="0"/>
                <w:color w:val="auto"/>
                <w:spacing w:val="0"/>
                <w:kern w:val="0"/>
                <w:sz w:val="21"/>
                <w:szCs w:val="21"/>
                <w:highlight w:val="none"/>
                <w:lang w:val="en-US" w:eastAsia="zh-CN"/>
              </w:rPr>
              <w:t>手续，环保竣工</w:t>
            </w:r>
            <w:r>
              <w:rPr>
                <w:rFonts w:hint="default" w:ascii="Times New Roman" w:hAnsi="Times New Roman" w:eastAsia="宋体" w:cs="Times New Roman"/>
                <w:b w:val="0"/>
                <w:bCs w:val="0"/>
                <w:color w:val="auto"/>
                <w:spacing w:val="0"/>
                <w:kern w:val="0"/>
                <w:sz w:val="21"/>
                <w:szCs w:val="21"/>
                <w:highlight w:val="none"/>
                <w:lang w:eastAsia="zh-CN"/>
              </w:rPr>
              <w:t>验收合格后方能正式投入生产；按照</w:t>
            </w:r>
            <w:r>
              <w:rPr>
                <w:rFonts w:hint="eastAsia" w:cs="Times New Roman"/>
                <w:b w:val="0"/>
                <w:bCs w:val="0"/>
                <w:color w:val="auto"/>
                <w:spacing w:val="0"/>
                <w:kern w:val="0"/>
                <w:sz w:val="21"/>
                <w:szCs w:val="21"/>
                <w:highlight w:val="none"/>
                <w:lang w:val="en-US" w:eastAsia="zh-CN"/>
              </w:rPr>
              <w:t>报告中的自行监测要求开展监测，</w:t>
            </w:r>
            <w:r>
              <w:rPr>
                <w:rFonts w:hint="eastAsia" w:ascii="Times New Roman" w:hAnsi="Times New Roman" w:eastAsia="宋体" w:cs="Times New Roman"/>
                <w:b w:val="0"/>
                <w:bCs w:val="0"/>
                <w:color w:val="auto"/>
                <w:spacing w:val="0"/>
                <w:kern w:val="0"/>
                <w:sz w:val="21"/>
                <w:szCs w:val="21"/>
                <w:highlight w:val="none"/>
                <w:lang w:eastAsia="zh-CN"/>
              </w:rPr>
              <w:t>如实</w:t>
            </w:r>
            <w:r>
              <w:rPr>
                <w:rFonts w:hint="default" w:ascii="Times New Roman" w:hAnsi="Times New Roman" w:eastAsia="宋体" w:cs="Times New Roman"/>
                <w:b w:val="0"/>
                <w:bCs w:val="0"/>
                <w:color w:val="auto"/>
                <w:spacing w:val="0"/>
                <w:kern w:val="0"/>
                <w:sz w:val="21"/>
                <w:szCs w:val="21"/>
                <w:highlight w:val="none"/>
                <w:lang w:eastAsia="zh-CN"/>
              </w:rPr>
              <w:t>记录生产、排污、管理等信息台账</w:t>
            </w:r>
            <w:r>
              <w:rPr>
                <w:rFonts w:hint="eastAsia" w:ascii="Times New Roman" w:hAnsi="Times New Roman" w:eastAsia="宋体" w:cs="Times New Roman"/>
                <w:b w:val="0"/>
                <w:bCs w:val="0"/>
                <w:color w:val="auto"/>
                <w:spacing w:val="0"/>
                <w:kern w:val="0"/>
                <w:sz w:val="21"/>
                <w:szCs w:val="21"/>
                <w:highlight w:val="none"/>
                <w:lang w:eastAsia="zh-CN"/>
              </w:rPr>
              <w:t>。</w:t>
            </w:r>
          </w:p>
        </w:tc>
      </w:tr>
    </w:tbl>
    <w:p w14:paraId="445C4C50">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outlineLvl w:val="0"/>
        <w:rPr>
          <w:rFonts w:hint="default" w:ascii="Times New Roman" w:hAnsi="Times New Roman" w:eastAsia="宋体" w:cs="Times New Roman"/>
          <w:snapToGrid w:val="0"/>
          <w:color w:val="auto"/>
          <w:spacing w:val="0"/>
          <w:sz w:val="30"/>
          <w:szCs w:val="30"/>
        </w:rPr>
      </w:pPr>
      <w:r>
        <w:rPr>
          <w:rFonts w:hint="default" w:ascii="Times New Roman" w:hAnsi="Times New Roman" w:eastAsia="宋体" w:cs="Times New Roman"/>
          <w:snapToGrid w:val="0"/>
          <w:color w:val="auto"/>
          <w:spacing w:val="0"/>
        </w:rPr>
        <w:br w:type="page"/>
      </w:r>
      <w:bookmarkStart w:id="12" w:name="_Toc12707"/>
      <w:r>
        <w:rPr>
          <w:rFonts w:hint="default" w:ascii="Times New Roman" w:hAnsi="Times New Roman" w:eastAsia="宋体" w:cs="Times New Roman"/>
          <w:b/>
          <w:bCs/>
          <w:snapToGrid w:val="0"/>
          <w:color w:val="auto"/>
          <w:spacing w:val="0"/>
          <w:sz w:val="30"/>
          <w:szCs w:val="30"/>
        </w:rPr>
        <w:t>六、结论</w:t>
      </w:r>
      <w:bookmarkEnd w:id="12"/>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401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6" w:hRule="atLeast"/>
          <w:jc w:val="center"/>
        </w:trPr>
        <w:tc>
          <w:tcPr>
            <w:tcW w:w="5000" w:type="pct"/>
            <w:tcBorders>
              <w:tl2br w:val="nil"/>
              <w:tr2bl w:val="nil"/>
            </w:tcBorders>
            <w:noWrap w:val="0"/>
            <w:vAlign w:val="center"/>
          </w:tcPr>
          <w:p w14:paraId="2D3CF994">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r>
              <w:rPr>
                <w:rFonts w:hint="default" w:ascii="Times New Roman" w:hAnsi="Times New Roman" w:eastAsia="宋体" w:cs="Times New Roman"/>
                <w:color w:val="auto"/>
                <w:spacing w:val="0"/>
                <w:sz w:val="24"/>
                <w:szCs w:val="24"/>
                <w:lang w:bidi="ar"/>
              </w:rPr>
              <w:t>综上所述，</w:t>
            </w:r>
            <w:r>
              <w:rPr>
                <w:rFonts w:hint="default" w:ascii="Times New Roman" w:hAnsi="Times New Roman" w:eastAsia="宋体" w:cs="Times New Roman"/>
                <w:color w:val="auto"/>
                <w:spacing w:val="0"/>
                <w:sz w:val="24"/>
                <w:szCs w:val="24"/>
                <w:lang w:val="en-GB" w:bidi="ar"/>
              </w:rPr>
              <w:t>本项目符合国家产业政策，符合相关环保政策，选址符合当地规划。在严格加强管理、落实各项污染防治措施后，项目污染物排放可以满足国家规定的相应排放标准要求，对周围环境影响较小。从环境保护的角度分析，本项目是可行的</w:t>
            </w:r>
            <w:r>
              <w:rPr>
                <w:rFonts w:hint="eastAsia" w:cs="Times New Roman"/>
                <w:color w:val="auto"/>
                <w:spacing w:val="0"/>
                <w:sz w:val="24"/>
                <w:szCs w:val="24"/>
                <w:lang w:val="en-GB" w:eastAsia="zh-CN" w:bidi="ar"/>
              </w:rPr>
              <w:t>。</w:t>
            </w:r>
          </w:p>
          <w:p w14:paraId="4D0D6A54">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315C333B">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2A15B1C8">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5A2AFE14">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30BD3B14">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620C03B9">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162DB236">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04EF90E4">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176ED6F9">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76EE30B1">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193EF5D0">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7DE6F7CF">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041F9F68">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2D40D4EF">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531233D3">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05939A8E">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13AA17E0">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3923FCAE">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0B0ABD94">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009EAE21">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1A3DC91E">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01D3076F">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54C4D73F">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384E893D">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224921B3">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782CE678">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658C2226">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0D649BD5">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auto"/>
                <w:spacing w:val="0"/>
                <w:sz w:val="24"/>
                <w:szCs w:val="24"/>
              </w:rPr>
            </w:pPr>
          </w:p>
        </w:tc>
      </w:tr>
    </w:tbl>
    <w:p w14:paraId="7B11B14E">
      <w:pPr>
        <w:rPr>
          <w:rFonts w:hint="default" w:ascii="Times New Roman" w:hAnsi="Times New Roman" w:eastAsia="宋体" w:cs="Times New Roman"/>
          <w:color w:val="auto"/>
          <w:spacing w:val="0"/>
        </w:rPr>
        <w:sectPr>
          <w:pgSz w:w="11906" w:h="16838"/>
          <w:pgMar w:top="1440" w:right="1800" w:bottom="1440" w:left="1800" w:header="851" w:footer="851" w:gutter="0"/>
          <w:pgBorders>
            <w:top w:val="none" w:sz="0" w:space="0"/>
            <w:left w:val="none" w:sz="0" w:space="0"/>
            <w:bottom w:val="none" w:sz="0" w:space="0"/>
            <w:right w:val="none" w:sz="0" w:space="0"/>
          </w:pgBorders>
          <w:pgNumType w:fmt="decimal"/>
          <w:cols w:space="720" w:num="1"/>
          <w:docGrid w:linePitch="312" w:charSpace="0"/>
        </w:sectPr>
      </w:pPr>
    </w:p>
    <w:p w14:paraId="28990966">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outlineLvl w:val="0"/>
        <w:rPr>
          <w:rFonts w:hint="default" w:ascii="Times New Roman" w:hAnsi="Times New Roman" w:eastAsia="宋体" w:cs="Times New Roman"/>
          <w:b/>
          <w:bCs/>
          <w:snapToGrid w:val="0"/>
          <w:color w:val="auto"/>
          <w:spacing w:val="0"/>
          <w:sz w:val="30"/>
          <w:szCs w:val="30"/>
        </w:rPr>
      </w:pPr>
      <w:bookmarkStart w:id="13" w:name="_Toc15794"/>
      <w:r>
        <w:rPr>
          <w:rFonts w:hint="default" w:ascii="Times New Roman" w:hAnsi="Times New Roman" w:eastAsia="宋体" w:cs="Times New Roman"/>
          <w:b/>
          <w:bCs/>
          <w:snapToGrid w:val="0"/>
          <w:color w:val="auto"/>
          <w:spacing w:val="0"/>
          <w:sz w:val="30"/>
          <w:szCs w:val="30"/>
        </w:rPr>
        <w:t>附表</w:t>
      </w:r>
      <w:bookmarkEnd w:id="13"/>
    </w:p>
    <w:p w14:paraId="4ED0AFDC">
      <w:pPr>
        <w:widowControl/>
        <w:adjustRightInd w:val="0"/>
        <w:snapToGrid w:val="0"/>
        <w:jc w:val="center"/>
        <w:outlineLvl w:val="0"/>
        <w:rPr>
          <w:rFonts w:hint="default" w:ascii="Times New Roman" w:hAnsi="Times New Roman" w:eastAsia="宋体" w:cs="Times New Roman"/>
          <w:snapToGrid w:val="0"/>
          <w:color w:val="auto"/>
          <w:spacing w:val="0"/>
          <w:kern w:val="0"/>
          <w:sz w:val="38"/>
          <w:szCs w:val="38"/>
        </w:rPr>
      </w:pPr>
      <w:bookmarkStart w:id="14" w:name="_Toc10621"/>
      <w:r>
        <w:rPr>
          <w:rFonts w:hint="default" w:ascii="Times New Roman" w:hAnsi="Times New Roman" w:eastAsia="宋体" w:cs="Times New Roman"/>
          <w:snapToGrid w:val="0"/>
          <w:color w:val="auto"/>
          <w:spacing w:val="0"/>
          <w:kern w:val="0"/>
          <w:sz w:val="38"/>
          <w:szCs w:val="38"/>
        </w:rPr>
        <w:t>建设项目污染物排放量汇总表</w:t>
      </w:r>
      <w:bookmarkEnd w:id="14"/>
      <w:r>
        <w:rPr>
          <w:rFonts w:hint="default" w:ascii="Times New Roman" w:hAnsi="Times New Roman" w:eastAsia="宋体" w:cs="Times New Roman"/>
          <w:snapToGrid w:val="0"/>
          <w:color w:val="auto"/>
          <w:spacing w:val="0"/>
          <w:kern w:val="0"/>
          <w:sz w:val="38"/>
          <w:szCs w:val="38"/>
        </w:rPr>
        <w:t>（单位t/a）</w:t>
      </w:r>
    </w:p>
    <w:tbl>
      <w:tblPr>
        <w:tblStyle w:val="36"/>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1696"/>
        <w:gridCol w:w="1794"/>
        <w:gridCol w:w="1343"/>
        <w:gridCol w:w="1794"/>
        <w:gridCol w:w="1643"/>
        <w:gridCol w:w="1855"/>
        <w:gridCol w:w="1820"/>
        <w:gridCol w:w="1302"/>
      </w:tblGrid>
      <w:tr w14:paraId="22DFFF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tcBorders>
              <w:tl2br w:val="single" w:color="auto" w:sz="4" w:space="0"/>
            </w:tcBorders>
            <w:noWrap w:val="0"/>
            <w:tcMar>
              <w:left w:w="28" w:type="dxa"/>
              <w:right w:w="28" w:type="dxa"/>
            </w:tcMar>
            <w:vAlign w:val="center"/>
          </w:tcPr>
          <w:p w14:paraId="68F7AFFE">
            <w:pPr>
              <w:keepNext w:val="0"/>
              <w:keepLines w:val="0"/>
              <w:pageBreakBefore w:val="0"/>
              <w:kinsoku/>
              <w:wordWrap/>
              <w:overflowPunct/>
              <w:topLinePunct w:val="0"/>
              <w:autoSpaceDE/>
              <w:autoSpaceDN/>
              <w:bidi w:val="0"/>
              <w:adjustRightInd w:val="0"/>
              <w:snapToGrid w:val="0"/>
              <w:ind w:firstLine="0" w:firstLineChars="0"/>
              <w:jc w:val="right"/>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项目</w:t>
            </w:r>
          </w:p>
          <w:p w14:paraId="27A26319">
            <w:pPr>
              <w:keepNext w:val="0"/>
              <w:keepLines w:val="0"/>
              <w:pageBreakBefore w:val="0"/>
              <w:kinsoku/>
              <w:wordWrap/>
              <w:overflowPunct/>
              <w:topLinePunct w:val="0"/>
              <w:autoSpaceDE/>
              <w:autoSpaceDN/>
              <w:bidi w:val="0"/>
              <w:adjustRightInd w:val="0"/>
              <w:snapToGrid w:val="0"/>
              <w:ind w:firstLine="0" w:firstLineChars="0"/>
              <w:jc w:val="both"/>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分类</w:t>
            </w:r>
          </w:p>
        </w:tc>
        <w:tc>
          <w:tcPr>
            <w:tcW w:w="576" w:type="pct"/>
            <w:noWrap w:val="0"/>
            <w:tcMar>
              <w:left w:w="28" w:type="dxa"/>
              <w:right w:w="28" w:type="dxa"/>
            </w:tcMar>
            <w:vAlign w:val="center"/>
          </w:tcPr>
          <w:p w14:paraId="0DB94C38">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污染物名称</w:t>
            </w:r>
          </w:p>
        </w:tc>
        <w:tc>
          <w:tcPr>
            <w:tcW w:w="609" w:type="pct"/>
            <w:noWrap w:val="0"/>
            <w:tcMar>
              <w:left w:w="28" w:type="dxa"/>
              <w:right w:w="28" w:type="dxa"/>
            </w:tcMar>
            <w:vAlign w:val="center"/>
          </w:tcPr>
          <w:p w14:paraId="330E51E4">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现有工程排放量（固体废物产生量）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=1\*GB3\*MERGEFORMAT</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sz w:val="21"/>
                <w:szCs w:val="21"/>
              </w:rPr>
              <w:t>①</w:t>
            </w:r>
            <w:r>
              <w:rPr>
                <w:rFonts w:hint="default" w:ascii="Times New Roman" w:hAnsi="Times New Roman" w:eastAsia="宋体" w:cs="Times New Roman"/>
                <w:snapToGrid w:val="0"/>
                <w:color w:val="auto"/>
                <w:spacing w:val="0"/>
                <w:kern w:val="21"/>
                <w:sz w:val="21"/>
                <w:szCs w:val="21"/>
              </w:rPr>
              <w:fldChar w:fldCharType="end"/>
            </w:r>
          </w:p>
        </w:tc>
        <w:tc>
          <w:tcPr>
            <w:tcW w:w="456" w:type="pct"/>
            <w:noWrap w:val="0"/>
            <w:tcMar>
              <w:left w:w="28" w:type="dxa"/>
              <w:right w:w="28" w:type="dxa"/>
            </w:tcMar>
            <w:vAlign w:val="center"/>
          </w:tcPr>
          <w:p w14:paraId="7B88079F">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现有工程许可排放量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=2\*GB3\*MERGEFORMAT</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snapToGrid w:val="0"/>
                <w:color w:val="auto"/>
                <w:spacing w:val="0"/>
                <w:kern w:val="21"/>
                <w:sz w:val="21"/>
                <w:szCs w:val="21"/>
              </w:rPr>
              <w:t>②</w:t>
            </w:r>
            <w:r>
              <w:rPr>
                <w:rFonts w:hint="default" w:ascii="Times New Roman" w:hAnsi="Times New Roman" w:eastAsia="宋体" w:cs="Times New Roman"/>
                <w:snapToGrid w:val="0"/>
                <w:color w:val="auto"/>
                <w:spacing w:val="0"/>
                <w:kern w:val="21"/>
                <w:sz w:val="21"/>
                <w:szCs w:val="21"/>
              </w:rPr>
              <w:fldChar w:fldCharType="end"/>
            </w:r>
          </w:p>
        </w:tc>
        <w:tc>
          <w:tcPr>
            <w:tcW w:w="609" w:type="pct"/>
            <w:noWrap w:val="0"/>
            <w:tcMar>
              <w:left w:w="28" w:type="dxa"/>
              <w:right w:w="28" w:type="dxa"/>
            </w:tcMar>
            <w:vAlign w:val="center"/>
          </w:tcPr>
          <w:p w14:paraId="60A8E4D8">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在建工程排放量（固体废物产生量）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=3\*GB3\*MERGEFORMAT</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sz w:val="21"/>
                <w:szCs w:val="21"/>
              </w:rPr>
              <w:t>③</w:t>
            </w:r>
            <w:r>
              <w:rPr>
                <w:rFonts w:hint="default" w:ascii="Times New Roman" w:hAnsi="Times New Roman" w:eastAsia="宋体" w:cs="Times New Roman"/>
                <w:snapToGrid w:val="0"/>
                <w:color w:val="auto"/>
                <w:spacing w:val="0"/>
                <w:kern w:val="21"/>
                <w:sz w:val="21"/>
                <w:szCs w:val="21"/>
              </w:rPr>
              <w:fldChar w:fldCharType="end"/>
            </w:r>
          </w:p>
        </w:tc>
        <w:tc>
          <w:tcPr>
            <w:tcW w:w="558" w:type="pct"/>
            <w:noWrap w:val="0"/>
            <w:tcMar>
              <w:left w:w="28" w:type="dxa"/>
              <w:right w:w="28" w:type="dxa"/>
            </w:tcMar>
            <w:vAlign w:val="center"/>
          </w:tcPr>
          <w:p w14:paraId="1C828292">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本项目排放量（固体废物产生量）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=4\*GB3\*MERGEFORMAT</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sz w:val="21"/>
                <w:szCs w:val="21"/>
              </w:rPr>
              <w:t>④</w:t>
            </w:r>
            <w:r>
              <w:rPr>
                <w:rFonts w:hint="default" w:ascii="Times New Roman" w:hAnsi="Times New Roman" w:eastAsia="宋体" w:cs="Times New Roman"/>
                <w:snapToGrid w:val="0"/>
                <w:color w:val="auto"/>
                <w:spacing w:val="0"/>
                <w:kern w:val="21"/>
                <w:sz w:val="21"/>
                <w:szCs w:val="21"/>
              </w:rPr>
              <w:fldChar w:fldCharType="end"/>
            </w:r>
          </w:p>
        </w:tc>
        <w:tc>
          <w:tcPr>
            <w:tcW w:w="630" w:type="pct"/>
            <w:noWrap w:val="0"/>
            <w:tcMar>
              <w:left w:w="28" w:type="dxa"/>
              <w:right w:w="28" w:type="dxa"/>
            </w:tcMar>
            <w:vAlign w:val="center"/>
          </w:tcPr>
          <w:p w14:paraId="362E5FDB">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以新带老削减量</w:t>
            </w:r>
          </w:p>
          <w:p w14:paraId="35C63948">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（新建项目不填）</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=5\*GB3\*MERGEFORMAT</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sz w:val="21"/>
                <w:szCs w:val="21"/>
              </w:rPr>
              <w:t>⑤</w:t>
            </w:r>
            <w:r>
              <w:rPr>
                <w:rFonts w:hint="default" w:ascii="Times New Roman" w:hAnsi="Times New Roman" w:eastAsia="宋体" w:cs="Times New Roman"/>
                <w:snapToGrid w:val="0"/>
                <w:color w:val="auto"/>
                <w:spacing w:val="0"/>
                <w:kern w:val="21"/>
                <w:sz w:val="21"/>
                <w:szCs w:val="21"/>
              </w:rPr>
              <w:fldChar w:fldCharType="end"/>
            </w:r>
          </w:p>
        </w:tc>
        <w:tc>
          <w:tcPr>
            <w:tcW w:w="618" w:type="pct"/>
            <w:noWrap w:val="0"/>
            <w:tcMar>
              <w:left w:w="28" w:type="dxa"/>
              <w:right w:w="28" w:type="dxa"/>
            </w:tcMar>
            <w:vAlign w:val="center"/>
          </w:tcPr>
          <w:p w14:paraId="19CC7C9A">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本项目建成后全厂排放量（固体废物产生量）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=6\*GB3\*MERGEFORMAT</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sz w:val="21"/>
                <w:szCs w:val="21"/>
              </w:rPr>
              <w:t>⑥</w:t>
            </w:r>
            <w:r>
              <w:rPr>
                <w:rFonts w:hint="default" w:ascii="Times New Roman" w:hAnsi="Times New Roman" w:eastAsia="宋体" w:cs="Times New Roman"/>
                <w:snapToGrid w:val="0"/>
                <w:color w:val="auto"/>
                <w:spacing w:val="0"/>
                <w:kern w:val="21"/>
                <w:sz w:val="21"/>
                <w:szCs w:val="21"/>
              </w:rPr>
              <w:fldChar w:fldCharType="end"/>
            </w:r>
          </w:p>
        </w:tc>
        <w:tc>
          <w:tcPr>
            <w:tcW w:w="442" w:type="pct"/>
            <w:noWrap w:val="0"/>
            <w:tcMar>
              <w:left w:w="28" w:type="dxa"/>
              <w:right w:w="28" w:type="dxa"/>
            </w:tcMar>
            <w:vAlign w:val="center"/>
          </w:tcPr>
          <w:p w14:paraId="465DBD10">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变化量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=7\*GB3\*MERGEFORMAT</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sz w:val="21"/>
                <w:szCs w:val="21"/>
              </w:rPr>
              <w:t>⑦</w:t>
            </w:r>
            <w:r>
              <w:rPr>
                <w:rFonts w:hint="default" w:ascii="Times New Roman" w:hAnsi="Times New Roman" w:eastAsia="宋体" w:cs="Times New Roman"/>
                <w:snapToGrid w:val="0"/>
                <w:color w:val="auto"/>
                <w:spacing w:val="0"/>
                <w:kern w:val="21"/>
                <w:sz w:val="21"/>
                <w:szCs w:val="21"/>
              </w:rPr>
              <w:fldChar w:fldCharType="end"/>
            </w:r>
          </w:p>
        </w:tc>
      </w:tr>
      <w:tr w14:paraId="777AD0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noWrap w:val="0"/>
            <w:vAlign w:val="center"/>
          </w:tcPr>
          <w:p w14:paraId="393A2B86">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废气</w:t>
            </w:r>
          </w:p>
        </w:tc>
        <w:tc>
          <w:tcPr>
            <w:tcW w:w="576" w:type="pct"/>
            <w:noWrap w:val="0"/>
            <w:vAlign w:val="center"/>
          </w:tcPr>
          <w:p w14:paraId="0910E2D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颗粒物</w:t>
            </w:r>
          </w:p>
        </w:tc>
        <w:tc>
          <w:tcPr>
            <w:tcW w:w="609" w:type="pct"/>
            <w:noWrap w:val="0"/>
            <w:vAlign w:val="center"/>
          </w:tcPr>
          <w:p w14:paraId="2A8D55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456" w:type="pct"/>
            <w:noWrap w:val="0"/>
            <w:vAlign w:val="center"/>
          </w:tcPr>
          <w:p w14:paraId="7D6A4C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09" w:type="pct"/>
            <w:noWrap w:val="0"/>
            <w:vAlign w:val="center"/>
          </w:tcPr>
          <w:p w14:paraId="208284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558" w:type="pct"/>
            <w:noWrap w:val="0"/>
            <w:vAlign w:val="center"/>
          </w:tcPr>
          <w:p w14:paraId="7395605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color w:val="auto"/>
                <w:spacing w:val="0"/>
                <w:sz w:val="21"/>
                <w:szCs w:val="21"/>
                <w:lang w:val="en-US" w:eastAsia="zh-CN"/>
              </w:rPr>
            </w:pPr>
            <w:r>
              <w:rPr>
                <w:rFonts w:hint="eastAsia" w:cs="Times New Roman"/>
                <w:snapToGrid w:val="0"/>
                <w:color w:val="auto"/>
                <w:spacing w:val="0"/>
                <w:kern w:val="21"/>
                <w:sz w:val="21"/>
                <w:szCs w:val="21"/>
                <w:lang w:val="en-US" w:eastAsia="zh-CN"/>
              </w:rPr>
              <w:t>0.184</w:t>
            </w:r>
          </w:p>
        </w:tc>
        <w:tc>
          <w:tcPr>
            <w:tcW w:w="630" w:type="pct"/>
            <w:noWrap w:val="0"/>
            <w:vAlign w:val="center"/>
          </w:tcPr>
          <w:p w14:paraId="3DAEE7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18" w:type="pct"/>
            <w:noWrap w:val="0"/>
            <w:vAlign w:val="center"/>
          </w:tcPr>
          <w:p w14:paraId="6F042A4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color w:val="auto"/>
                <w:spacing w:val="0"/>
                <w:kern w:val="2"/>
                <w:sz w:val="21"/>
                <w:szCs w:val="21"/>
                <w:lang w:val="en-US" w:eastAsia="zh-CN" w:bidi="ar-SA"/>
              </w:rPr>
            </w:pPr>
            <w:r>
              <w:rPr>
                <w:rFonts w:hint="eastAsia" w:cs="Times New Roman"/>
                <w:snapToGrid w:val="0"/>
                <w:color w:val="auto"/>
                <w:spacing w:val="0"/>
                <w:kern w:val="21"/>
                <w:sz w:val="21"/>
                <w:szCs w:val="21"/>
                <w:lang w:val="en-US" w:eastAsia="zh-CN"/>
              </w:rPr>
              <w:t>0.184</w:t>
            </w:r>
          </w:p>
        </w:tc>
        <w:tc>
          <w:tcPr>
            <w:tcW w:w="442" w:type="pct"/>
            <w:noWrap w:val="0"/>
            <w:vAlign w:val="center"/>
          </w:tcPr>
          <w:p w14:paraId="654C583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color w:val="auto"/>
                <w:spacing w:val="0"/>
                <w:kern w:val="2"/>
                <w:sz w:val="21"/>
                <w:szCs w:val="21"/>
                <w:lang w:val="en-US" w:eastAsia="zh-CN" w:bidi="ar-SA"/>
              </w:rPr>
            </w:pPr>
            <w:r>
              <w:rPr>
                <w:rFonts w:hint="eastAsia" w:cs="Times New Roman"/>
                <w:snapToGrid w:val="0"/>
                <w:color w:val="auto"/>
                <w:spacing w:val="0"/>
                <w:kern w:val="21"/>
                <w:sz w:val="21"/>
                <w:szCs w:val="21"/>
                <w:lang w:val="en-US" w:eastAsia="zh-CN"/>
              </w:rPr>
              <w:t>+0.184</w:t>
            </w:r>
          </w:p>
        </w:tc>
      </w:tr>
      <w:tr w14:paraId="382CE6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restart"/>
            <w:noWrap w:val="0"/>
            <w:vAlign w:val="center"/>
          </w:tcPr>
          <w:p w14:paraId="5C8EA6B9">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废水</w:t>
            </w:r>
          </w:p>
        </w:tc>
        <w:tc>
          <w:tcPr>
            <w:tcW w:w="576" w:type="pct"/>
            <w:noWrap w:val="0"/>
            <w:vAlign w:val="center"/>
          </w:tcPr>
          <w:p w14:paraId="187A294D">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COD</w:t>
            </w:r>
          </w:p>
        </w:tc>
        <w:tc>
          <w:tcPr>
            <w:tcW w:w="609" w:type="pct"/>
            <w:noWrap w:val="0"/>
            <w:vAlign w:val="center"/>
          </w:tcPr>
          <w:p w14:paraId="22D652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456" w:type="pct"/>
            <w:noWrap w:val="0"/>
            <w:vAlign w:val="center"/>
          </w:tcPr>
          <w:p w14:paraId="583A40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09" w:type="pct"/>
            <w:noWrap w:val="0"/>
            <w:vAlign w:val="center"/>
          </w:tcPr>
          <w:p w14:paraId="5696B3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558" w:type="pct"/>
            <w:noWrap w:val="0"/>
            <w:vAlign w:val="center"/>
          </w:tcPr>
          <w:p w14:paraId="2F7079F0">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0</w:t>
            </w:r>
          </w:p>
        </w:tc>
        <w:tc>
          <w:tcPr>
            <w:tcW w:w="630" w:type="pct"/>
            <w:noWrap w:val="0"/>
            <w:vAlign w:val="center"/>
          </w:tcPr>
          <w:p w14:paraId="08CCA1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18" w:type="pct"/>
            <w:noWrap w:val="0"/>
            <w:vAlign w:val="center"/>
          </w:tcPr>
          <w:p w14:paraId="6E3CFE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val="0"/>
                <w:bCs w:val="0"/>
                <w:color w:val="auto"/>
                <w:spacing w:val="0"/>
                <w:kern w:val="0"/>
                <w:sz w:val="21"/>
                <w:szCs w:val="21"/>
                <w:highlight w:val="none"/>
              </w:rPr>
              <w:t>/</w:t>
            </w:r>
          </w:p>
        </w:tc>
        <w:tc>
          <w:tcPr>
            <w:tcW w:w="442" w:type="pct"/>
            <w:noWrap w:val="0"/>
            <w:vAlign w:val="center"/>
          </w:tcPr>
          <w:p w14:paraId="527860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val="0"/>
                <w:bCs w:val="0"/>
                <w:color w:val="auto"/>
                <w:spacing w:val="0"/>
                <w:kern w:val="0"/>
                <w:sz w:val="21"/>
                <w:szCs w:val="21"/>
                <w:highlight w:val="none"/>
              </w:rPr>
              <w:t>/</w:t>
            </w:r>
          </w:p>
        </w:tc>
      </w:tr>
      <w:tr w14:paraId="47A0F1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noWrap w:val="0"/>
            <w:vAlign w:val="center"/>
          </w:tcPr>
          <w:p w14:paraId="1A3513AB">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p>
        </w:tc>
        <w:tc>
          <w:tcPr>
            <w:tcW w:w="576" w:type="pct"/>
            <w:noWrap w:val="0"/>
            <w:vAlign w:val="center"/>
          </w:tcPr>
          <w:p w14:paraId="4BF7BFF4">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氨氮</w:t>
            </w:r>
          </w:p>
        </w:tc>
        <w:tc>
          <w:tcPr>
            <w:tcW w:w="609" w:type="pct"/>
            <w:noWrap w:val="0"/>
            <w:vAlign w:val="center"/>
          </w:tcPr>
          <w:p w14:paraId="5309D1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456" w:type="pct"/>
            <w:noWrap w:val="0"/>
            <w:vAlign w:val="center"/>
          </w:tcPr>
          <w:p w14:paraId="745F1B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09" w:type="pct"/>
            <w:noWrap w:val="0"/>
            <w:vAlign w:val="center"/>
          </w:tcPr>
          <w:p w14:paraId="608153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558" w:type="pct"/>
            <w:noWrap w:val="0"/>
            <w:vAlign w:val="center"/>
          </w:tcPr>
          <w:p w14:paraId="1CBC7C15">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0</w:t>
            </w:r>
          </w:p>
        </w:tc>
        <w:tc>
          <w:tcPr>
            <w:tcW w:w="630" w:type="pct"/>
            <w:noWrap w:val="0"/>
            <w:vAlign w:val="center"/>
          </w:tcPr>
          <w:p w14:paraId="2EE1BC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18" w:type="pct"/>
            <w:noWrap w:val="0"/>
            <w:vAlign w:val="center"/>
          </w:tcPr>
          <w:p w14:paraId="7E6798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val="0"/>
                <w:bCs w:val="0"/>
                <w:color w:val="auto"/>
                <w:spacing w:val="0"/>
                <w:kern w:val="0"/>
                <w:sz w:val="21"/>
                <w:szCs w:val="21"/>
                <w:highlight w:val="none"/>
              </w:rPr>
              <w:t>/</w:t>
            </w:r>
          </w:p>
        </w:tc>
        <w:tc>
          <w:tcPr>
            <w:tcW w:w="442" w:type="pct"/>
            <w:noWrap w:val="0"/>
            <w:vAlign w:val="center"/>
          </w:tcPr>
          <w:p w14:paraId="0AF087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val="0"/>
                <w:bCs w:val="0"/>
                <w:color w:val="auto"/>
                <w:spacing w:val="0"/>
                <w:kern w:val="0"/>
                <w:sz w:val="21"/>
                <w:szCs w:val="21"/>
                <w:highlight w:val="none"/>
              </w:rPr>
              <w:t>/</w:t>
            </w:r>
          </w:p>
        </w:tc>
      </w:tr>
      <w:tr w14:paraId="4C8A75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restart"/>
            <w:noWrap w:val="0"/>
            <w:vAlign w:val="center"/>
          </w:tcPr>
          <w:p w14:paraId="216029C7">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一般工业固体废物</w:t>
            </w:r>
          </w:p>
        </w:tc>
        <w:tc>
          <w:tcPr>
            <w:tcW w:w="576" w:type="pct"/>
            <w:shd w:val="clear" w:color="auto" w:fill="auto"/>
            <w:noWrap w:val="0"/>
            <w:vAlign w:val="center"/>
          </w:tcPr>
          <w:p w14:paraId="75DDD79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 w:val="21"/>
                <w:szCs w:val="21"/>
                <w:lang w:val="en-US" w:eastAsia="zh-CN" w:bidi="ar-SA"/>
              </w:rPr>
            </w:pPr>
            <w:r>
              <w:rPr>
                <w:rFonts w:hint="eastAsia" w:cs="Times New Roman"/>
                <w:color w:val="auto"/>
                <w:spacing w:val="0"/>
                <w:kern w:val="0"/>
                <w:szCs w:val="21"/>
                <w:highlight w:val="none"/>
                <w:lang w:val="en-US" w:eastAsia="zh-CN"/>
              </w:rPr>
              <w:t>除尘器收</w:t>
            </w:r>
            <w:r>
              <w:rPr>
                <w:rFonts w:hint="default" w:ascii="Times New Roman" w:hAnsi="Times New Roman" w:eastAsia="宋体" w:cs="Times New Roman"/>
                <w:color w:val="auto"/>
                <w:spacing w:val="0"/>
                <w:kern w:val="0"/>
                <w:szCs w:val="21"/>
                <w:highlight w:val="none"/>
                <w:lang w:val="en-US" w:eastAsia="zh-CN"/>
              </w:rPr>
              <w:t>尘</w:t>
            </w:r>
            <w:r>
              <w:rPr>
                <w:rFonts w:hint="eastAsia" w:ascii="Times New Roman" w:hAnsi="Times New Roman" w:eastAsia="宋体" w:cs="Times New Roman"/>
                <w:color w:val="auto"/>
                <w:spacing w:val="0"/>
                <w:kern w:val="0"/>
                <w:szCs w:val="21"/>
                <w:highlight w:val="none"/>
                <w:lang w:val="en-US" w:eastAsia="zh-CN"/>
              </w:rPr>
              <w:t>和车间地面收尘</w:t>
            </w:r>
          </w:p>
        </w:tc>
        <w:tc>
          <w:tcPr>
            <w:tcW w:w="609" w:type="pct"/>
            <w:shd w:val="clear" w:color="auto" w:fill="auto"/>
            <w:noWrap w:val="0"/>
            <w:vAlign w:val="center"/>
          </w:tcPr>
          <w:p w14:paraId="426111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default" w:ascii="Times New Roman" w:hAnsi="Times New Roman" w:eastAsia="宋体" w:cs="Times New Roman"/>
                <w:b w:val="0"/>
                <w:bCs w:val="0"/>
                <w:color w:val="auto"/>
                <w:spacing w:val="0"/>
                <w:kern w:val="0"/>
                <w:sz w:val="21"/>
                <w:szCs w:val="21"/>
                <w:highlight w:val="none"/>
              </w:rPr>
              <w:t>/</w:t>
            </w:r>
          </w:p>
        </w:tc>
        <w:tc>
          <w:tcPr>
            <w:tcW w:w="456" w:type="pct"/>
            <w:noWrap w:val="0"/>
            <w:vAlign w:val="center"/>
          </w:tcPr>
          <w:p w14:paraId="168E40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09" w:type="pct"/>
            <w:noWrap w:val="0"/>
            <w:vAlign w:val="center"/>
          </w:tcPr>
          <w:p w14:paraId="416ABA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558" w:type="pct"/>
            <w:noWrap w:val="0"/>
            <w:vAlign w:val="center"/>
          </w:tcPr>
          <w:p w14:paraId="4F5065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b w:val="0"/>
                <w:bCs w:val="0"/>
                <w:caps w:val="0"/>
                <w:color w:val="auto"/>
                <w:spacing w:val="0"/>
                <w:kern w:val="0"/>
                <w:position w:val="0"/>
                <w:sz w:val="21"/>
                <w:szCs w:val="21"/>
                <w:highlight w:val="none"/>
                <w:lang w:val="en-US" w:eastAsia="zh-CN"/>
              </w:rPr>
              <w:t>19.131</w:t>
            </w:r>
          </w:p>
        </w:tc>
        <w:tc>
          <w:tcPr>
            <w:tcW w:w="630" w:type="pct"/>
            <w:noWrap w:val="0"/>
            <w:vAlign w:val="center"/>
          </w:tcPr>
          <w:p w14:paraId="72EEF5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18" w:type="pct"/>
            <w:noWrap w:val="0"/>
            <w:vAlign w:val="center"/>
          </w:tcPr>
          <w:p w14:paraId="7D7B39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b w:val="0"/>
                <w:bCs w:val="0"/>
                <w:caps w:val="0"/>
                <w:color w:val="auto"/>
                <w:spacing w:val="0"/>
                <w:kern w:val="0"/>
                <w:position w:val="0"/>
                <w:sz w:val="21"/>
                <w:szCs w:val="21"/>
                <w:highlight w:val="none"/>
                <w:lang w:val="en-US" w:eastAsia="zh-CN"/>
              </w:rPr>
              <w:t>19.131</w:t>
            </w:r>
          </w:p>
        </w:tc>
        <w:tc>
          <w:tcPr>
            <w:tcW w:w="442" w:type="pct"/>
            <w:noWrap w:val="0"/>
            <w:vAlign w:val="center"/>
          </w:tcPr>
          <w:p w14:paraId="27B88A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b w:val="0"/>
                <w:bCs w:val="0"/>
                <w:caps w:val="0"/>
                <w:color w:val="auto"/>
                <w:spacing w:val="0"/>
                <w:kern w:val="0"/>
                <w:position w:val="0"/>
                <w:sz w:val="21"/>
                <w:szCs w:val="21"/>
                <w:highlight w:val="none"/>
                <w:lang w:val="en-US" w:eastAsia="zh-CN"/>
              </w:rPr>
              <w:t>+19.131</w:t>
            </w:r>
          </w:p>
        </w:tc>
      </w:tr>
      <w:tr w14:paraId="626DA4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noWrap w:val="0"/>
            <w:vAlign w:val="center"/>
          </w:tcPr>
          <w:p w14:paraId="4DF94F17">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p>
        </w:tc>
        <w:tc>
          <w:tcPr>
            <w:tcW w:w="576" w:type="pct"/>
            <w:shd w:val="clear" w:color="auto" w:fill="auto"/>
            <w:noWrap w:val="0"/>
            <w:vAlign w:val="center"/>
          </w:tcPr>
          <w:p w14:paraId="45AE887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 w:val="21"/>
                <w:szCs w:val="21"/>
                <w:lang w:val="en-US" w:eastAsia="zh-CN" w:bidi="ar-SA"/>
              </w:rPr>
            </w:pPr>
            <w:r>
              <w:rPr>
                <w:rFonts w:hint="default" w:ascii="Times New Roman" w:hAnsi="Times New Roman" w:eastAsia="宋体" w:cs="Times New Roman"/>
                <w:color w:val="auto"/>
                <w:spacing w:val="0"/>
                <w:kern w:val="0"/>
                <w:szCs w:val="21"/>
                <w:highlight w:val="none"/>
                <w:lang w:val="en-US" w:eastAsia="zh-CN"/>
              </w:rPr>
              <w:t>废布袋</w:t>
            </w:r>
          </w:p>
        </w:tc>
        <w:tc>
          <w:tcPr>
            <w:tcW w:w="609" w:type="pct"/>
            <w:shd w:val="clear" w:color="auto" w:fill="auto"/>
            <w:noWrap w:val="0"/>
            <w:vAlign w:val="center"/>
          </w:tcPr>
          <w:p w14:paraId="59D882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default" w:ascii="Times New Roman" w:hAnsi="Times New Roman" w:eastAsia="宋体" w:cs="Times New Roman"/>
                <w:b w:val="0"/>
                <w:bCs w:val="0"/>
                <w:color w:val="auto"/>
                <w:spacing w:val="0"/>
                <w:kern w:val="0"/>
                <w:sz w:val="21"/>
                <w:szCs w:val="21"/>
                <w:highlight w:val="none"/>
              </w:rPr>
              <w:t>/</w:t>
            </w:r>
          </w:p>
        </w:tc>
        <w:tc>
          <w:tcPr>
            <w:tcW w:w="456" w:type="pct"/>
            <w:noWrap w:val="0"/>
            <w:vAlign w:val="center"/>
          </w:tcPr>
          <w:p w14:paraId="0F0A82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09" w:type="pct"/>
            <w:noWrap w:val="0"/>
            <w:vAlign w:val="center"/>
          </w:tcPr>
          <w:p w14:paraId="053817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558" w:type="pct"/>
            <w:noWrap w:val="0"/>
            <w:vAlign w:val="center"/>
          </w:tcPr>
          <w:p w14:paraId="063E13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ascii="Times New Roman" w:hAnsi="Times New Roman" w:cs="Times New Roman"/>
                <w:b w:val="0"/>
                <w:bCs w:val="0"/>
                <w:caps w:val="0"/>
                <w:color w:val="auto"/>
                <w:spacing w:val="0"/>
                <w:kern w:val="0"/>
                <w:position w:val="0"/>
                <w:sz w:val="21"/>
                <w:szCs w:val="21"/>
                <w:highlight w:val="none"/>
                <w:lang w:val="en-US" w:eastAsia="zh-CN"/>
              </w:rPr>
              <w:t>0.02</w:t>
            </w:r>
          </w:p>
        </w:tc>
        <w:tc>
          <w:tcPr>
            <w:tcW w:w="630" w:type="pct"/>
            <w:noWrap w:val="0"/>
            <w:vAlign w:val="center"/>
          </w:tcPr>
          <w:p w14:paraId="5162D1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18" w:type="pct"/>
            <w:noWrap w:val="0"/>
            <w:vAlign w:val="center"/>
          </w:tcPr>
          <w:p w14:paraId="45CF34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ascii="Times New Roman" w:hAnsi="Times New Roman" w:cs="Times New Roman"/>
                <w:b w:val="0"/>
                <w:bCs w:val="0"/>
                <w:caps w:val="0"/>
                <w:color w:val="auto"/>
                <w:spacing w:val="0"/>
                <w:kern w:val="0"/>
                <w:position w:val="0"/>
                <w:sz w:val="21"/>
                <w:szCs w:val="21"/>
                <w:highlight w:val="none"/>
                <w:lang w:val="en-US" w:eastAsia="zh-CN"/>
              </w:rPr>
              <w:t>0.02</w:t>
            </w:r>
          </w:p>
        </w:tc>
        <w:tc>
          <w:tcPr>
            <w:tcW w:w="442" w:type="pct"/>
            <w:noWrap w:val="0"/>
            <w:vAlign w:val="center"/>
          </w:tcPr>
          <w:p w14:paraId="11E0EC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ascii="Times New Roman" w:hAnsi="Times New Roman" w:cs="Times New Roman"/>
                <w:b w:val="0"/>
                <w:bCs w:val="0"/>
                <w:caps w:val="0"/>
                <w:color w:val="auto"/>
                <w:spacing w:val="0"/>
                <w:kern w:val="0"/>
                <w:position w:val="0"/>
                <w:sz w:val="21"/>
                <w:szCs w:val="21"/>
                <w:highlight w:val="none"/>
                <w:lang w:val="en-US" w:eastAsia="zh-CN"/>
              </w:rPr>
              <w:t>+0.02</w:t>
            </w:r>
          </w:p>
        </w:tc>
      </w:tr>
      <w:tr w14:paraId="2B2291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noWrap w:val="0"/>
            <w:vAlign w:val="center"/>
          </w:tcPr>
          <w:p w14:paraId="5369B140">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p>
        </w:tc>
        <w:tc>
          <w:tcPr>
            <w:tcW w:w="576" w:type="pct"/>
            <w:shd w:val="clear" w:color="auto" w:fill="auto"/>
            <w:noWrap w:val="0"/>
            <w:vAlign w:val="center"/>
          </w:tcPr>
          <w:p w14:paraId="0B404E6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pacing w:val="0"/>
                <w:kern w:val="2"/>
                <w:sz w:val="21"/>
                <w:szCs w:val="21"/>
                <w:highlight w:val="none"/>
                <w:lang w:val="en-US" w:eastAsia="zh-CN" w:bidi="ar-SA"/>
              </w:rPr>
            </w:pPr>
            <w:r>
              <w:rPr>
                <w:rFonts w:hint="eastAsia" w:cs="Times New Roman"/>
                <w:color w:val="auto"/>
                <w:spacing w:val="0"/>
                <w:kern w:val="0"/>
                <w:szCs w:val="21"/>
                <w:lang w:eastAsia="zh-CN"/>
              </w:rPr>
              <w:t>废钢筋</w:t>
            </w:r>
          </w:p>
        </w:tc>
        <w:tc>
          <w:tcPr>
            <w:tcW w:w="609" w:type="pct"/>
            <w:shd w:val="clear" w:color="auto" w:fill="auto"/>
            <w:noWrap w:val="0"/>
            <w:vAlign w:val="center"/>
          </w:tcPr>
          <w:p w14:paraId="6306E6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default" w:ascii="Times New Roman" w:hAnsi="Times New Roman" w:eastAsia="宋体" w:cs="Times New Roman"/>
                <w:b w:val="0"/>
                <w:bCs w:val="0"/>
                <w:color w:val="auto"/>
                <w:spacing w:val="0"/>
                <w:kern w:val="0"/>
                <w:sz w:val="21"/>
                <w:szCs w:val="21"/>
                <w:highlight w:val="none"/>
              </w:rPr>
              <w:t>/</w:t>
            </w:r>
          </w:p>
        </w:tc>
        <w:tc>
          <w:tcPr>
            <w:tcW w:w="456" w:type="pct"/>
            <w:noWrap w:val="0"/>
            <w:vAlign w:val="center"/>
          </w:tcPr>
          <w:p w14:paraId="622FD5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09" w:type="pct"/>
            <w:noWrap w:val="0"/>
            <w:vAlign w:val="center"/>
          </w:tcPr>
          <w:p w14:paraId="7F84FF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558" w:type="pct"/>
            <w:noWrap w:val="0"/>
            <w:vAlign w:val="center"/>
          </w:tcPr>
          <w:p w14:paraId="27D2E9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b w:val="0"/>
                <w:bCs w:val="0"/>
                <w:caps w:val="0"/>
                <w:color w:val="auto"/>
                <w:spacing w:val="0"/>
                <w:kern w:val="0"/>
                <w:position w:val="0"/>
                <w:sz w:val="21"/>
                <w:szCs w:val="21"/>
                <w:highlight w:val="none"/>
                <w:lang w:val="en-US" w:eastAsia="zh-CN"/>
              </w:rPr>
              <w:t>1</w:t>
            </w:r>
          </w:p>
        </w:tc>
        <w:tc>
          <w:tcPr>
            <w:tcW w:w="630" w:type="pct"/>
            <w:noWrap w:val="0"/>
            <w:vAlign w:val="center"/>
          </w:tcPr>
          <w:p w14:paraId="0D5DC9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18" w:type="pct"/>
            <w:noWrap w:val="0"/>
            <w:vAlign w:val="center"/>
          </w:tcPr>
          <w:p w14:paraId="71276EE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b w:val="0"/>
                <w:bCs w:val="0"/>
                <w:caps w:val="0"/>
                <w:color w:val="auto"/>
                <w:spacing w:val="0"/>
                <w:kern w:val="0"/>
                <w:position w:val="0"/>
                <w:sz w:val="21"/>
                <w:szCs w:val="21"/>
                <w:highlight w:val="none"/>
                <w:lang w:val="en-US" w:eastAsia="zh-CN"/>
              </w:rPr>
              <w:t>1</w:t>
            </w:r>
          </w:p>
        </w:tc>
        <w:tc>
          <w:tcPr>
            <w:tcW w:w="442" w:type="pct"/>
            <w:noWrap w:val="0"/>
            <w:vAlign w:val="center"/>
          </w:tcPr>
          <w:p w14:paraId="1AA4B1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b w:val="0"/>
                <w:bCs w:val="0"/>
                <w:caps w:val="0"/>
                <w:color w:val="auto"/>
                <w:spacing w:val="0"/>
                <w:kern w:val="0"/>
                <w:position w:val="0"/>
                <w:sz w:val="21"/>
                <w:szCs w:val="21"/>
                <w:highlight w:val="none"/>
                <w:lang w:val="en-US" w:eastAsia="zh-CN"/>
              </w:rPr>
              <w:t>+1</w:t>
            </w:r>
          </w:p>
        </w:tc>
      </w:tr>
      <w:tr w14:paraId="204D15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noWrap w:val="0"/>
            <w:vAlign w:val="center"/>
          </w:tcPr>
          <w:p w14:paraId="5A6F7A8C">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p>
        </w:tc>
        <w:tc>
          <w:tcPr>
            <w:tcW w:w="576" w:type="pct"/>
            <w:shd w:val="clear" w:color="auto" w:fill="auto"/>
            <w:noWrap w:val="0"/>
            <w:vAlign w:val="center"/>
          </w:tcPr>
          <w:p w14:paraId="77F9DA7D">
            <w:pPr>
              <w:jc w:val="center"/>
              <w:rPr>
                <w:rFonts w:hint="default" w:ascii="Times New Roman" w:hAnsi="Times New Roman" w:eastAsia="宋体" w:cs="Times New Roman"/>
                <w:color w:val="auto"/>
                <w:spacing w:val="0"/>
                <w:kern w:val="2"/>
                <w:sz w:val="21"/>
                <w:szCs w:val="24"/>
                <w:lang w:val="en-US" w:eastAsia="zh-CN" w:bidi="ar-SA"/>
              </w:rPr>
            </w:pPr>
            <w:r>
              <w:rPr>
                <w:rFonts w:hint="default" w:ascii="Times New Roman" w:hAnsi="Times New Roman" w:eastAsia="宋体" w:cs="Times New Roman"/>
                <w:color w:val="auto"/>
                <w:spacing w:val="0"/>
              </w:rPr>
              <w:t>沉渣</w:t>
            </w:r>
          </w:p>
        </w:tc>
        <w:tc>
          <w:tcPr>
            <w:tcW w:w="609" w:type="pct"/>
            <w:shd w:val="clear" w:color="auto" w:fill="auto"/>
            <w:noWrap w:val="0"/>
            <w:vAlign w:val="center"/>
          </w:tcPr>
          <w:p w14:paraId="4CF7C0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default" w:ascii="Times New Roman" w:hAnsi="Times New Roman" w:eastAsia="宋体" w:cs="Times New Roman"/>
                <w:b w:val="0"/>
                <w:bCs w:val="0"/>
                <w:color w:val="auto"/>
                <w:spacing w:val="0"/>
                <w:kern w:val="0"/>
                <w:sz w:val="21"/>
                <w:szCs w:val="21"/>
                <w:highlight w:val="none"/>
              </w:rPr>
              <w:t>/</w:t>
            </w:r>
          </w:p>
        </w:tc>
        <w:tc>
          <w:tcPr>
            <w:tcW w:w="456" w:type="pct"/>
            <w:noWrap w:val="0"/>
            <w:vAlign w:val="center"/>
          </w:tcPr>
          <w:p w14:paraId="3382AC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09" w:type="pct"/>
            <w:noWrap w:val="0"/>
            <w:vAlign w:val="center"/>
          </w:tcPr>
          <w:p w14:paraId="628009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558" w:type="pct"/>
            <w:noWrap w:val="0"/>
            <w:vAlign w:val="center"/>
          </w:tcPr>
          <w:p w14:paraId="25365A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b w:val="0"/>
                <w:bCs w:val="0"/>
                <w:caps w:val="0"/>
                <w:color w:val="auto"/>
                <w:spacing w:val="0"/>
                <w:kern w:val="0"/>
                <w:position w:val="0"/>
                <w:sz w:val="21"/>
                <w:szCs w:val="21"/>
                <w:highlight w:val="none"/>
                <w:lang w:val="en-US" w:eastAsia="zh-CN"/>
              </w:rPr>
              <w:t>2</w:t>
            </w:r>
          </w:p>
        </w:tc>
        <w:tc>
          <w:tcPr>
            <w:tcW w:w="630" w:type="pct"/>
            <w:noWrap w:val="0"/>
            <w:vAlign w:val="center"/>
          </w:tcPr>
          <w:p w14:paraId="185777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18" w:type="pct"/>
            <w:noWrap w:val="0"/>
            <w:vAlign w:val="center"/>
          </w:tcPr>
          <w:p w14:paraId="7D17DB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b w:val="0"/>
                <w:bCs w:val="0"/>
                <w:caps w:val="0"/>
                <w:color w:val="auto"/>
                <w:spacing w:val="0"/>
                <w:kern w:val="0"/>
                <w:position w:val="0"/>
                <w:sz w:val="21"/>
                <w:szCs w:val="21"/>
                <w:highlight w:val="none"/>
                <w:lang w:val="en-US" w:eastAsia="zh-CN"/>
              </w:rPr>
              <w:t>2</w:t>
            </w:r>
          </w:p>
        </w:tc>
        <w:tc>
          <w:tcPr>
            <w:tcW w:w="442" w:type="pct"/>
            <w:noWrap w:val="0"/>
            <w:vAlign w:val="center"/>
          </w:tcPr>
          <w:p w14:paraId="71AA38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b w:val="0"/>
                <w:bCs w:val="0"/>
                <w:caps w:val="0"/>
                <w:color w:val="auto"/>
                <w:spacing w:val="0"/>
                <w:kern w:val="0"/>
                <w:position w:val="0"/>
                <w:sz w:val="21"/>
                <w:szCs w:val="21"/>
                <w:highlight w:val="none"/>
                <w:lang w:val="en-US" w:eastAsia="zh-CN"/>
              </w:rPr>
              <w:t>+2</w:t>
            </w:r>
          </w:p>
        </w:tc>
      </w:tr>
      <w:tr w14:paraId="7167AA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noWrap w:val="0"/>
            <w:vAlign w:val="center"/>
          </w:tcPr>
          <w:p w14:paraId="647EBB29">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p>
        </w:tc>
        <w:tc>
          <w:tcPr>
            <w:tcW w:w="576" w:type="pct"/>
            <w:shd w:val="clear" w:color="auto" w:fill="auto"/>
            <w:noWrap w:val="0"/>
            <w:vAlign w:val="center"/>
          </w:tcPr>
          <w:p w14:paraId="33AD1271">
            <w:pPr>
              <w:jc w:val="center"/>
              <w:rPr>
                <w:rFonts w:hint="default" w:ascii="Times New Roman" w:hAnsi="Times New Roman" w:eastAsia="宋体" w:cs="Times New Roman"/>
                <w:color w:val="auto"/>
                <w:spacing w:val="0"/>
                <w:kern w:val="2"/>
                <w:sz w:val="21"/>
                <w:szCs w:val="24"/>
                <w:lang w:val="en-US" w:eastAsia="zh-CN" w:bidi="ar-SA"/>
              </w:rPr>
            </w:pPr>
            <w:r>
              <w:rPr>
                <w:rFonts w:hint="default" w:ascii="Times New Roman" w:hAnsi="Times New Roman" w:eastAsia="宋体" w:cs="Times New Roman"/>
                <w:color w:val="auto"/>
                <w:spacing w:val="0"/>
                <w:szCs w:val="21"/>
              </w:rPr>
              <w:t>废混凝土渣</w:t>
            </w:r>
          </w:p>
        </w:tc>
        <w:tc>
          <w:tcPr>
            <w:tcW w:w="609" w:type="pct"/>
            <w:shd w:val="clear" w:color="auto" w:fill="auto"/>
            <w:noWrap w:val="0"/>
            <w:vAlign w:val="center"/>
          </w:tcPr>
          <w:p w14:paraId="27C08C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default" w:ascii="Times New Roman" w:hAnsi="Times New Roman" w:eastAsia="宋体" w:cs="Times New Roman"/>
                <w:b w:val="0"/>
                <w:bCs w:val="0"/>
                <w:color w:val="auto"/>
                <w:spacing w:val="0"/>
                <w:kern w:val="0"/>
                <w:sz w:val="21"/>
                <w:szCs w:val="21"/>
                <w:highlight w:val="none"/>
              </w:rPr>
              <w:t>/</w:t>
            </w:r>
          </w:p>
        </w:tc>
        <w:tc>
          <w:tcPr>
            <w:tcW w:w="456" w:type="pct"/>
            <w:noWrap w:val="0"/>
            <w:vAlign w:val="center"/>
          </w:tcPr>
          <w:p w14:paraId="75B9F2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09" w:type="pct"/>
            <w:noWrap w:val="0"/>
            <w:vAlign w:val="center"/>
          </w:tcPr>
          <w:p w14:paraId="566F6E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558" w:type="pct"/>
            <w:noWrap w:val="0"/>
            <w:vAlign w:val="center"/>
          </w:tcPr>
          <w:p w14:paraId="2B5BCB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b w:val="0"/>
                <w:bCs w:val="0"/>
                <w:caps w:val="0"/>
                <w:color w:val="auto"/>
                <w:spacing w:val="0"/>
                <w:kern w:val="0"/>
                <w:position w:val="0"/>
                <w:sz w:val="21"/>
                <w:szCs w:val="21"/>
                <w:highlight w:val="none"/>
                <w:lang w:val="en-US" w:eastAsia="zh-CN"/>
              </w:rPr>
              <w:t>3</w:t>
            </w:r>
          </w:p>
        </w:tc>
        <w:tc>
          <w:tcPr>
            <w:tcW w:w="630" w:type="pct"/>
            <w:noWrap w:val="0"/>
            <w:vAlign w:val="center"/>
          </w:tcPr>
          <w:p w14:paraId="28E7A2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18" w:type="pct"/>
            <w:noWrap w:val="0"/>
            <w:vAlign w:val="center"/>
          </w:tcPr>
          <w:p w14:paraId="24C113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b w:val="0"/>
                <w:bCs w:val="0"/>
                <w:caps w:val="0"/>
                <w:color w:val="auto"/>
                <w:spacing w:val="0"/>
                <w:kern w:val="0"/>
                <w:position w:val="0"/>
                <w:sz w:val="21"/>
                <w:szCs w:val="21"/>
                <w:highlight w:val="none"/>
                <w:lang w:val="en-US" w:eastAsia="zh-CN"/>
              </w:rPr>
              <w:t>3</w:t>
            </w:r>
          </w:p>
        </w:tc>
        <w:tc>
          <w:tcPr>
            <w:tcW w:w="442" w:type="pct"/>
            <w:noWrap w:val="0"/>
            <w:vAlign w:val="center"/>
          </w:tcPr>
          <w:p w14:paraId="2F0D74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b w:val="0"/>
                <w:bCs w:val="0"/>
                <w:caps w:val="0"/>
                <w:color w:val="auto"/>
                <w:spacing w:val="0"/>
                <w:kern w:val="0"/>
                <w:position w:val="0"/>
                <w:sz w:val="21"/>
                <w:szCs w:val="21"/>
                <w:highlight w:val="none"/>
                <w:lang w:val="en-US" w:eastAsia="zh-CN"/>
              </w:rPr>
              <w:t>+3</w:t>
            </w:r>
          </w:p>
        </w:tc>
      </w:tr>
      <w:tr w14:paraId="1D7C29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noWrap w:val="0"/>
            <w:vAlign w:val="center"/>
          </w:tcPr>
          <w:p w14:paraId="211CFD0C">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p>
        </w:tc>
        <w:tc>
          <w:tcPr>
            <w:tcW w:w="576" w:type="pct"/>
            <w:shd w:val="clear" w:color="auto" w:fill="auto"/>
            <w:noWrap w:val="0"/>
            <w:vAlign w:val="center"/>
          </w:tcPr>
          <w:p w14:paraId="5C7294F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lang w:val="en-GB" w:eastAsia="zh-CN" w:bidi="ar-SA"/>
              </w:rPr>
            </w:pPr>
            <w:r>
              <w:rPr>
                <w:rFonts w:hint="default" w:ascii="Times New Roman" w:hAnsi="Times New Roman" w:eastAsia="宋体" w:cs="Times New Roman"/>
                <w:color w:val="auto"/>
                <w:spacing w:val="0"/>
                <w:kern w:val="0"/>
                <w:szCs w:val="21"/>
                <w:highlight w:val="none"/>
                <w:lang w:val="en-US" w:eastAsia="zh-CN"/>
              </w:rPr>
              <w:t>脱模剂装桶</w:t>
            </w:r>
          </w:p>
        </w:tc>
        <w:tc>
          <w:tcPr>
            <w:tcW w:w="609" w:type="pct"/>
            <w:shd w:val="clear" w:color="auto" w:fill="auto"/>
            <w:noWrap w:val="0"/>
            <w:vAlign w:val="center"/>
          </w:tcPr>
          <w:p w14:paraId="32307C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default" w:ascii="Times New Roman" w:hAnsi="Times New Roman" w:eastAsia="宋体" w:cs="Times New Roman"/>
                <w:b w:val="0"/>
                <w:bCs w:val="0"/>
                <w:color w:val="auto"/>
                <w:spacing w:val="0"/>
                <w:kern w:val="0"/>
                <w:sz w:val="21"/>
                <w:szCs w:val="21"/>
                <w:highlight w:val="none"/>
              </w:rPr>
              <w:t>/</w:t>
            </w:r>
          </w:p>
        </w:tc>
        <w:tc>
          <w:tcPr>
            <w:tcW w:w="456" w:type="pct"/>
            <w:noWrap w:val="0"/>
            <w:vAlign w:val="center"/>
          </w:tcPr>
          <w:p w14:paraId="17255E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09" w:type="pct"/>
            <w:noWrap w:val="0"/>
            <w:vAlign w:val="center"/>
          </w:tcPr>
          <w:p w14:paraId="7D6AA4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558" w:type="pct"/>
            <w:noWrap w:val="0"/>
            <w:vAlign w:val="center"/>
          </w:tcPr>
          <w:p w14:paraId="5C0AF8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b w:val="0"/>
                <w:bCs w:val="0"/>
                <w:caps w:val="0"/>
                <w:color w:val="auto"/>
                <w:spacing w:val="0"/>
                <w:kern w:val="0"/>
                <w:position w:val="0"/>
                <w:sz w:val="21"/>
                <w:szCs w:val="21"/>
                <w:highlight w:val="none"/>
                <w:lang w:val="en-US" w:eastAsia="zh-CN"/>
              </w:rPr>
              <w:t>0.15</w:t>
            </w:r>
          </w:p>
        </w:tc>
        <w:tc>
          <w:tcPr>
            <w:tcW w:w="630" w:type="pct"/>
            <w:noWrap w:val="0"/>
            <w:vAlign w:val="center"/>
          </w:tcPr>
          <w:p w14:paraId="6A3B47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18" w:type="pct"/>
            <w:noWrap w:val="0"/>
            <w:vAlign w:val="center"/>
          </w:tcPr>
          <w:p w14:paraId="3324B1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b w:val="0"/>
                <w:bCs w:val="0"/>
                <w:caps w:val="0"/>
                <w:color w:val="auto"/>
                <w:spacing w:val="0"/>
                <w:kern w:val="0"/>
                <w:position w:val="0"/>
                <w:sz w:val="21"/>
                <w:szCs w:val="21"/>
                <w:highlight w:val="none"/>
                <w:lang w:val="en-US" w:eastAsia="zh-CN"/>
              </w:rPr>
              <w:t>0.15</w:t>
            </w:r>
          </w:p>
        </w:tc>
        <w:tc>
          <w:tcPr>
            <w:tcW w:w="442" w:type="pct"/>
            <w:noWrap w:val="0"/>
            <w:vAlign w:val="center"/>
          </w:tcPr>
          <w:p w14:paraId="6D632B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b w:val="0"/>
                <w:bCs w:val="0"/>
                <w:caps w:val="0"/>
                <w:color w:val="auto"/>
                <w:spacing w:val="0"/>
                <w:kern w:val="0"/>
                <w:position w:val="0"/>
                <w:sz w:val="21"/>
                <w:szCs w:val="21"/>
                <w:highlight w:val="none"/>
                <w:lang w:val="en-US" w:eastAsia="zh-CN"/>
              </w:rPr>
              <w:t>+0.15</w:t>
            </w:r>
          </w:p>
        </w:tc>
      </w:tr>
      <w:tr w14:paraId="0965B2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noWrap w:val="0"/>
            <w:vAlign w:val="center"/>
          </w:tcPr>
          <w:p w14:paraId="7F4979A8">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p>
        </w:tc>
        <w:tc>
          <w:tcPr>
            <w:tcW w:w="576" w:type="pct"/>
            <w:shd w:val="clear" w:color="auto" w:fill="auto"/>
            <w:noWrap w:val="0"/>
            <w:vAlign w:val="center"/>
          </w:tcPr>
          <w:p w14:paraId="11BDF84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lang w:val="en-GB" w:eastAsia="zh-CN" w:bidi="ar-SA"/>
              </w:rPr>
            </w:pPr>
            <w:r>
              <w:rPr>
                <w:rFonts w:hint="default" w:ascii="Times New Roman" w:hAnsi="Times New Roman" w:eastAsia="宋体" w:cs="Times New Roman"/>
                <w:color w:val="auto"/>
                <w:spacing w:val="0"/>
                <w:kern w:val="0"/>
                <w:szCs w:val="21"/>
                <w:highlight w:val="none"/>
                <w:lang w:val="en-US" w:eastAsia="zh-CN"/>
              </w:rPr>
              <w:t>不合格品</w:t>
            </w:r>
          </w:p>
        </w:tc>
        <w:tc>
          <w:tcPr>
            <w:tcW w:w="609" w:type="pct"/>
            <w:shd w:val="clear" w:color="auto" w:fill="auto"/>
            <w:noWrap w:val="0"/>
            <w:vAlign w:val="center"/>
          </w:tcPr>
          <w:p w14:paraId="26EF81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default" w:ascii="Times New Roman" w:hAnsi="Times New Roman" w:eastAsia="宋体" w:cs="Times New Roman"/>
                <w:b w:val="0"/>
                <w:bCs w:val="0"/>
                <w:color w:val="auto"/>
                <w:spacing w:val="0"/>
                <w:kern w:val="0"/>
                <w:sz w:val="21"/>
                <w:szCs w:val="21"/>
                <w:highlight w:val="none"/>
              </w:rPr>
              <w:t>/</w:t>
            </w:r>
          </w:p>
        </w:tc>
        <w:tc>
          <w:tcPr>
            <w:tcW w:w="456" w:type="pct"/>
            <w:noWrap w:val="0"/>
            <w:vAlign w:val="center"/>
          </w:tcPr>
          <w:p w14:paraId="688E6D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09" w:type="pct"/>
            <w:noWrap w:val="0"/>
            <w:vAlign w:val="center"/>
          </w:tcPr>
          <w:p w14:paraId="7DC644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558" w:type="pct"/>
            <w:noWrap w:val="0"/>
            <w:vAlign w:val="center"/>
          </w:tcPr>
          <w:p w14:paraId="78772B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ascii="Times New Roman" w:hAnsi="Times New Roman" w:cs="Times New Roman"/>
                <w:b w:val="0"/>
                <w:bCs w:val="0"/>
                <w:caps w:val="0"/>
                <w:color w:val="auto"/>
                <w:spacing w:val="0"/>
                <w:kern w:val="0"/>
                <w:position w:val="0"/>
                <w:sz w:val="21"/>
                <w:szCs w:val="21"/>
                <w:highlight w:val="none"/>
                <w:lang w:val="en-US" w:eastAsia="zh-CN"/>
              </w:rPr>
              <w:t>10</w:t>
            </w:r>
          </w:p>
        </w:tc>
        <w:tc>
          <w:tcPr>
            <w:tcW w:w="630" w:type="pct"/>
            <w:noWrap w:val="0"/>
            <w:vAlign w:val="center"/>
          </w:tcPr>
          <w:p w14:paraId="3F1820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18" w:type="pct"/>
            <w:noWrap w:val="0"/>
            <w:vAlign w:val="center"/>
          </w:tcPr>
          <w:p w14:paraId="3B23A2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ascii="Times New Roman" w:hAnsi="Times New Roman" w:cs="Times New Roman"/>
                <w:b w:val="0"/>
                <w:bCs w:val="0"/>
                <w:caps w:val="0"/>
                <w:color w:val="auto"/>
                <w:spacing w:val="0"/>
                <w:kern w:val="0"/>
                <w:position w:val="0"/>
                <w:sz w:val="21"/>
                <w:szCs w:val="21"/>
                <w:highlight w:val="none"/>
                <w:lang w:val="en-US" w:eastAsia="zh-CN"/>
              </w:rPr>
              <w:t>10</w:t>
            </w:r>
          </w:p>
        </w:tc>
        <w:tc>
          <w:tcPr>
            <w:tcW w:w="442" w:type="pct"/>
            <w:noWrap w:val="0"/>
            <w:vAlign w:val="center"/>
          </w:tcPr>
          <w:p w14:paraId="0343FD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ascii="Times New Roman" w:hAnsi="Times New Roman" w:cs="Times New Roman"/>
                <w:b w:val="0"/>
                <w:bCs w:val="0"/>
                <w:caps w:val="0"/>
                <w:color w:val="auto"/>
                <w:spacing w:val="0"/>
                <w:kern w:val="0"/>
                <w:position w:val="0"/>
                <w:sz w:val="21"/>
                <w:szCs w:val="21"/>
                <w:highlight w:val="none"/>
                <w:lang w:val="en-US" w:eastAsia="zh-CN"/>
              </w:rPr>
              <w:t>+10</w:t>
            </w:r>
          </w:p>
        </w:tc>
      </w:tr>
      <w:tr w14:paraId="1751F5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restart"/>
            <w:noWrap w:val="0"/>
            <w:vAlign w:val="center"/>
          </w:tcPr>
          <w:p w14:paraId="144FA2D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危险废物</w:t>
            </w:r>
          </w:p>
        </w:tc>
        <w:tc>
          <w:tcPr>
            <w:tcW w:w="576" w:type="pct"/>
            <w:noWrap w:val="0"/>
            <w:vAlign w:val="center"/>
          </w:tcPr>
          <w:p w14:paraId="3F25CD2C">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pacing w:val="0"/>
                <w:kern w:val="2"/>
                <w:sz w:val="21"/>
                <w:szCs w:val="21"/>
                <w:lang w:val="en-GB" w:eastAsia="zh-CN" w:bidi="ar-SA"/>
              </w:rPr>
            </w:pPr>
            <w:r>
              <w:rPr>
                <w:rFonts w:hint="default" w:ascii="Times New Roman" w:hAnsi="Times New Roman" w:eastAsia="宋体" w:cs="Times New Roman"/>
                <w:color w:val="auto"/>
                <w:spacing w:val="0"/>
                <w:sz w:val="21"/>
                <w:szCs w:val="21"/>
                <w:lang w:val="en-US" w:eastAsia="zh-CN"/>
              </w:rPr>
              <w:t>废润滑油</w:t>
            </w:r>
          </w:p>
        </w:tc>
        <w:tc>
          <w:tcPr>
            <w:tcW w:w="609" w:type="pct"/>
            <w:noWrap w:val="0"/>
            <w:vAlign w:val="center"/>
          </w:tcPr>
          <w:p w14:paraId="0919C3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456" w:type="pct"/>
            <w:noWrap w:val="0"/>
            <w:vAlign w:val="center"/>
          </w:tcPr>
          <w:p w14:paraId="2585CC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09" w:type="pct"/>
            <w:noWrap w:val="0"/>
            <w:vAlign w:val="center"/>
          </w:tcPr>
          <w:p w14:paraId="63F7C5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558" w:type="pct"/>
            <w:noWrap w:val="0"/>
            <w:vAlign w:val="center"/>
          </w:tcPr>
          <w:p w14:paraId="6236824E">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sz w:val="21"/>
                <w:szCs w:val="21"/>
                <w:lang w:val="en-US" w:eastAsia="zh-CN"/>
              </w:rPr>
              <w:t>0.05</w:t>
            </w:r>
          </w:p>
        </w:tc>
        <w:tc>
          <w:tcPr>
            <w:tcW w:w="630" w:type="pct"/>
            <w:noWrap w:val="0"/>
            <w:vAlign w:val="center"/>
          </w:tcPr>
          <w:p w14:paraId="7FD004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18" w:type="pct"/>
            <w:noWrap w:val="0"/>
            <w:vAlign w:val="center"/>
          </w:tcPr>
          <w:p w14:paraId="48796C38">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sz w:val="21"/>
                <w:szCs w:val="21"/>
                <w:lang w:val="en-US" w:eastAsia="zh-CN"/>
              </w:rPr>
              <w:t>0.05</w:t>
            </w:r>
          </w:p>
        </w:tc>
        <w:tc>
          <w:tcPr>
            <w:tcW w:w="442" w:type="pct"/>
            <w:noWrap w:val="0"/>
            <w:vAlign w:val="center"/>
          </w:tcPr>
          <w:p w14:paraId="39A98D47">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sz w:val="21"/>
                <w:szCs w:val="21"/>
                <w:lang w:val="en-US" w:eastAsia="zh-CN"/>
              </w:rPr>
              <w:t>+0.05</w:t>
            </w:r>
          </w:p>
        </w:tc>
      </w:tr>
      <w:tr w14:paraId="02F08D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noWrap w:val="0"/>
            <w:vAlign w:val="center"/>
          </w:tcPr>
          <w:p w14:paraId="5854F60B">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snapToGrid w:val="0"/>
                <w:color w:val="auto"/>
                <w:spacing w:val="0"/>
                <w:kern w:val="21"/>
                <w:sz w:val="21"/>
                <w:szCs w:val="21"/>
              </w:rPr>
            </w:pPr>
          </w:p>
        </w:tc>
        <w:tc>
          <w:tcPr>
            <w:tcW w:w="576" w:type="pct"/>
            <w:shd w:val="clear" w:color="auto" w:fill="auto"/>
            <w:noWrap w:val="0"/>
            <w:vAlign w:val="center"/>
          </w:tcPr>
          <w:p w14:paraId="394C173E">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sz w:val="21"/>
                <w:szCs w:val="21"/>
                <w:lang w:val="en-US" w:eastAsia="zh-CN"/>
              </w:rPr>
              <w:t>废润滑油桶</w:t>
            </w:r>
          </w:p>
        </w:tc>
        <w:tc>
          <w:tcPr>
            <w:tcW w:w="609" w:type="pct"/>
            <w:shd w:val="clear" w:color="auto" w:fill="auto"/>
            <w:noWrap w:val="0"/>
            <w:vAlign w:val="center"/>
          </w:tcPr>
          <w:p w14:paraId="6337B1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lang w:val="en-US" w:eastAsia="zh-CN" w:bidi="ar-SA"/>
              </w:rPr>
            </w:pPr>
            <w:r>
              <w:rPr>
                <w:rFonts w:hint="default" w:ascii="Times New Roman" w:hAnsi="Times New Roman" w:eastAsia="宋体" w:cs="Times New Roman"/>
                <w:b w:val="0"/>
                <w:bCs w:val="0"/>
                <w:color w:val="auto"/>
                <w:spacing w:val="0"/>
                <w:kern w:val="0"/>
                <w:sz w:val="21"/>
                <w:szCs w:val="21"/>
                <w:highlight w:val="none"/>
              </w:rPr>
              <w:t>/</w:t>
            </w:r>
          </w:p>
        </w:tc>
        <w:tc>
          <w:tcPr>
            <w:tcW w:w="456" w:type="pct"/>
            <w:shd w:val="clear" w:color="auto" w:fill="auto"/>
            <w:noWrap w:val="0"/>
            <w:vAlign w:val="center"/>
          </w:tcPr>
          <w:p w14:paraId="14F6DB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lang w:val="en-US" w:eastAsia="zh-CN" w:bidi="ar-SA"/>
              </w:rPr>
            </w:pPr>
            <w:r>
              <w:rPr>
                <w:rFonts w:hint="default" w:ascii="Times New Roman" w:hAnsi="Times New Roman" w:eastAsia="宋体" w:cs="Times New Roman"/>
                <w:b w:val="0"/>
                <w:bCs w:val="0"/>
                <w:color w:val="auto"/>
                <w:spacing w:val="0"/>
                <w:kern w:val="0"/>
                <w:sz w:val="21"/>
                <w:szCs w:val="21"/>
                <w:highlight w:val="none"/>
              </w:rPr>
              <w:t>/</w:t>
            </w:r>
          </w:p>
        </w:tc>
        <w:tc>
          <w:tcPr>
            <w:tcW w:w="609" w:type="pct"/>
            <w:shd w:val="clear" w:color="auto" w:fill="auto"/>
            <w:noWrap w:val="0"/>
            <w:vAlign w:val="center"/>
          </w:tcPr>
          <w:p w14:paraId="075854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lang w:val="en-US" w:eastAsia="zh-CN" w:bidi="ar-SA"/>
              </w:rPr>
            </w:pPr>
            <w:r>
              <w:rPr>
                <w:rFonts w:hint="default" w:ascii="Times New Roman" w:hAnsi="Times New Roman" w:eastAsia="宋体" w:cs="Times New Roman"/>
                <w:b w:val="0"/>
                <w:bCs w:val="0"/>
                <w:color w:val="auto"/>
                <w:spacing w:val="0"/>
                <w:kern w:val="0"/>
                <w:sz w:val="21"/>
                <w:szCs w:val="21"/>
                <w:highlight w:val="none"/>
              </w:rPr>
              <w:t>/</w:t>
            </w:r>
          </w:p>
        </w:tc>
        <w:tc>
          <w:tcPr>
            <w:tcW w:w="558" w:type="pct"/>
            <w:shd w:val="clear" w:color="auto" w:fill="auto"/>
            <w:noWrap w:val="0"/>
            <w:vAlign w:val="center"/>
          </w:tcPr>
          <w:p w14:paraId="6A52DC64">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sz w:val="21"/>
                <w:szCs w:val="21"/>
                <w:lang w:val="en-US" w:eastAsia="zh-CN"/>
              </w:rPr>
              <w:t>0.0</w:t>
            </w:r>
            <w:r>
              <w:rPr>
                <w:rFonts w:hint="eastAsia" w:cs="Times New Roman"/>
                <w:color w:val="auto"/>
                <w:spacing w:val="0"/>
                <w:sz w:val="21"/>
                <w:szCs w:val="21"/>
                <w:lang w:val="en-US" w:eastAsia="zh-CN"/>
              </w:rPr>
              <w:t>1</w:t>
            </w:r>
          </w:p>
        </w:tc>
        <w:tc>
          <w:tcPr>
            <w:tcW w:w="630" w:type="pct"/>
            <w:shd w:val="clear" w:color="auto" w:fill="auto"/>
            <w:noWrap w:val="0"/>
            <w:vAlign w:val="center"/>
          </w:tcPr>
          <w:p w14:paraId="2F752D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lang w:val="en-US" w:eastAsia="zh-CN" w:bidi="ar-SA"/>
              </w:rPr>
            </w:pPr>
            <w:r>
              <w:rPr>
                <w:rFonts w:hint="default" w:ascii="Times New Roman" w:hAnsi="Times New Roman" w:eastAsia="宋体" w:cs="Times New Roman"/>
                <w:b w:val="0"/>
                <w:bCs w:val="0"/>
                <w:color w:val="auto"/>
                <w:spacing w:val="0"/>
                <w:kern w:val="0"/>
                <w:sz w:val="21"/>
                <w:szCs w:val="21"/>
                <w:highlight w:val="none"/>
              </w:rPr>
              <w:t>/</w:t>
            </w:r>
          </w:p>
        </w:tc>
        <w:tc>
          <w:tcPr>
            <w:tcW w:w="618" w:type="pct"/>
            <w:shd w:val="clear" w:color="auto" w:fill="auto"/>
            <w:noWrap w:val="0"/>
            <w:vAlign w:val="center"/>
          </w:tcPr>
          <w:p w14:paraId="07ABDEB1">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sz w:val="21"/>
                <w:szCs w:val="21"/>
                <w:lang w:val="en-US" w:eastAsia="zh-CN"/>
              </w:rPr>
              <w:t>0.0</w:t>
            </w:r>
            <w:r>
              <w:rPr>
                <w:rFonts w:hint="eastAsia" w:cs="Times New Roman"/>
                <w:color w:val="auto"/>
                <w:spacing w:val="0"/>
                <w:sz w:val="21"/>
                <w:szCs w:val="21"/>
                <w:lang w:val="en-US" w:eastAsia="zh-CN"/>
              </w:rPr>
              <w:t>1</w:t>
            </w:r>
          </w:p>
        </w:tc>
        <w:tc>
          <w:tcPr>
            <w:tcW w:w="442" w:type="pct"/>
            <w:shd w:val="clear" w:color="auto" w:fill="auto"/>
            <w:noWrap w:val="0"/>
            <w:vAlign w:val="center"/>
          </w:tcPr>
          <w:p w14:paraId="0E00AE23">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pacing w:val="0"/>
                <w:kern w:val="2"/>
                <w:sz w:val="21"/>
                <w:szCs w:val="21"/>
                <w:lang w:val="en-US" w:eastAsia="zh-CN" w:bidi="ar-SA"/>
              </w:rPr>
            </w:pPr>
            <w:r>
              <w:rPr>
                <w:rFonts w:hint="eastAsia" w:cs="Times New Roman"/>
                <w:color w:val="auto"/>
                <w:spacing w:val="0"/>
                <w:sz w:val="21"/>
                <w:szCs w:val="21"/>
                <w:lang w:val="en-US" w:eastAsia="zh-CN"/>
              </w:rPr>
              <w:t>+</w:t>
            </w:r>
            <w:r>
              <w:rPr>
                <w:rFonts w:hint="default" w:ascii="Times New Roman" w:hAnsi="Times New Roman" w:eastAsia="宋体" w:cs="Times New Roman"/>
                <w:color w:val="auto"/>
                <w:spacing w:val="0"/>
                <w:sz w:val="21"/>
                <w:szCs w:val="21"/>
                <w:lang w:val="en-US" w:eastAsia="zh-CN"/>
              </w:rPr>
              <w:t>0.0</w:t>
            </w:r>
            <w:r>
              <w:rPr>
                <w:rFonts w:hint="eastAsia" w:cs="Times New Roman"/>
                <w:color w:val="auto"/>
                <w:spacing w:val="0"/>
                <w:sz w:val="21"/>
                <w:szCs w:val="21"/>
                <w:lang w:val="en-US" w:eastAsia="zh-CN"/>
              </w:rPr>
              <w:t>1</w:t>
            </w:r>
          </w:p>
        </w:tc>
      </w:tr>
      <w:tr w14:paraId="49E139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noWrap w:val="0"/>
            <w:vAlign w:val="center"/>
          </w:tcPr>
          <w:p w14:paraId="35BC82B5">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p>
        </w:tc>
        <w:tc>
          <w:tcPr>
            <w:tcW w:w="576" w:type="pct"/>
            <w:noWrap w:val="0"/>
            <w:vAlign w:val="center"/>
          </w:tcPr>
          <w:p w14:paraId="71D51875">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pacing w:val="0"/>
                <w:kern w:val="2"/>
                <w:sz w:val="21"/>
                <w:szCs w:val="21"/>
                <w:lang w:val="en-US" w:eastAsia="zh-CN" w:bidi="ar-SA"/>
              </w:rPr>
            </w:pPr>
            <w:r>
              <w:rPr>
                <w:rFonts w:hint="eastAsia" w:cs="Times New Roman"/>
                <w:color w:val="auto"/>
                <w:spacing w:val="0"/>
                <w:sz w:val="21"/>
                <w:szCs w:val="21"/>
                <w:lang w:val="en-US" w:eastAsia="zh-CN"/>
              </w:rPr>
              <w:t>废吸油毡</w:t>
            </w:r>
          </w:p>
        </w:tc>
        <w:tc>
          <w:tcPr>
            <w:tcW w:w="609" w:type="pct"/>
            <w:noWrap w:val="0"/>
            <w:vAlign w:val="center"/>
          </w:tcPr>
          <w:p w14:paraId="6931AF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456" w:type="pct"/>
            <w:noWrap w:val="0"/>
            <w:vAlign w:val="center"/>
          </w:tcPr>
          <w:p w14:paraId="508902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09" w:type="pct"/>
            <w:noWrap w:val="0"/>
            <w:vAlign w:val="center"/>
          </w:tcPr>
          <w:p w14:paraId="0D293A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558" w:type="pct"/>
            <w:noWrap w:val="0"/>
            <w:vAlign w:val="center"/>
          </w:tcPr>
          <w:p w14:paraId="0DE97A84">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sz w:val="21"/>
                <w:szCs w:val="21"/>
                <w:lang w:val="en-US" w:eastAsia="zh-CN"/>
              </w:rPr>
              <w:t>0.0</w:t>
            </w:r>
            <w:r>
              <w:rPr>
                <w:rFonts w:hint="eastAsia" w:cs="Times New Roman"/>
                <w:color w:val="auto"/>
                <w:spacing w:val="0"/>
                <w:sz w:val="21"/>
                <w:szCs w:val="21"/>
                <w:lang w:val="en-US" w:eastAsia="zh-CN"/>
              </w:rPr>
              <w:t>1</w:t>
            </w:r>
          </w:p>
        </w:tc>
        <w:tc>
          <w:tcPr>
            <w:tcW w:w="630" w:type="pct"/>
            <w:noWrap w:val="0"/>
            <w:vAlign w:val="center"/>
          </w:tcPr>
          <w:p w14:paraId="29E2E7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18" w:type="pct"/>
            <w:noWrap w:val="0"/>
            <w:vAlign w:val="center"/>
          </w:tcPr>
          <w:p w14:paraId="0EE1EEBD">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sz w:val="21"/>
                <w:szCs w:val="21"/>
                <w:lang w:val="en-US" w:eastAsia="zh-CN"/>
              </w:rPr>
              <w:t>0.0</w:t>
            </w:r>
            <w:r>
              <w:rPr>
                <w:rFonts w:hint="eastAsia" w:cs="Times New Roman"/>
                <w:color w:val="auto"/>
                <w:spacing w:val="0"/>
                <w:sz w:val="21"/>
                <w:szCs w:val="21"/>
                <w:lang w:val="en-US" w:eastAsia="zh-CN"/>
              </w:rPr>
              <w:t>1</w:t>
            </w:r>
          </w:p>
        </w:tc>
        <w:tc>
          <w:tcPr>
            <w:tcW w:w="442" w:type="pct"/>
            <w:noWrap w:val="0"/>
            <w:vAlign w:val="center"/>
          </w:tcPr>
          <w:p w14:paraId="2C36924D">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pacing w:val="0"/>
                <w:kern w:val="2"/>
                <w:sz w:val="21"/>
                <w:szCs w:val="21"/>
                <w:lang w:val="en-US" w:eastAsia="zh-CN" w:bidi="ar-SA"/>
              </w:rPr>
            </w:pPr>
            <w:r>
              <w:rPr>
                <w:rFonts w:hint="eastAsia" w:cs="Times New Roman"/>
                <w:color w:val="auto"/>
                <w:spacing w:val="0"/>
                <w:sz w:val="21"/>
                <w:szCs w:val="21"/>
                <w:lang w:val="en-US" w:eastAsia="zh-CN"/>
              </w:rPr>
              <w:t>+</w:t>
            </w:r>
            <w:r>
              <w:rPr>
                <w:rFonts w:hint="default" w:ascii="Times New Roman" w:hAnsi="Times New Roman" w:eastAsia="宋体" w:cs="Times New Roman"/>
                <w:color w:val="auto"/>
                <w:spacing w:val="0"/>
                <w:sz w:val="21"/>
                <w:szCs w:val="21"/>
                <w:lang w:val="en-US" w:eastAsia="zh-CN"/>
              </w:rPr>
              <w:t>0.0</w:t>
            </w:r>
            <w:r>
              <w:rPr>
                <w:rFonts w:hint="eastAsia" w:cs="Times New Roman"/>
                <w:color w:val="auto"/>
                <w:spacing w:val="0"/>
                <w:sz w:val="21"/>
                <w:szCs w:val="21"/>
                <w:lang w:val="en-US" w:eastAsia="zh-CN"/>
              </w:rPr>
              <w:t>1</w:t>
            </w:r>
          </w:p>
        </w:tc>
      </w:tr>
    </w:tbl>
    <w:p w14:paraId="633DA8FE">
      <w:pPr>
        <w:adjustRightInd w:val="0"/>
        <w:snapToGrid w:val="0"/>
        <w:jc w:val="both"/>
        <w:rPr>
          <w:rFonts w:hint="default" w:ascii="Times New Roman" w:hAnsi="Times New Roman" w:eastAsia="宋体" w:cs="Times New Roman"/>
          <w:snapToGrid w:val="0"/>
          <w:color w:val="auto"/>
          <w:spacing w:val="0"/>
          <w:kern w:val="21"/>
          <w:szCs w:val="21"/>
        </w:rPr>
      </w:pPr>
      <w:r>
        <w:rPr>
          <w:rFonts w:hint="default" w:ascii="Times New Roman" w:hAnsi="Times New Roman" w:eastAsia="宋体" w:cs="Times New Roman"/>
          <w:snapToGrid w:val="0"/>
          <w:color w:val="auto"/>
          <w:spacing w:val="0"/>
          <w:kern w:val="21"/>
          <w:szCs w:val="21"/>
        </w:rPr>
        <w:t>注：</w:t>
      </w:r>
      <w:r>
        <w:rPr>
          <w:rFonts w:hint="default" w:ascii="Times New Roman" w:hAnsi="Times New Roman" w:eastAsia="宋体" w:cs="Times New Roman"/>
          <w:snapToGrid w:val="0"/>
          <w:color w:val="auto"/>
          <w:spacing w:val="0"/>
          <w:kern w:val="21"/>
          <w:szCs w:val="21"/>
        </w:rPr>
        <w:fldChar w:fldCharType="begin"/>
      </w:r>
      <w:r>
        <w:rPr>
          <w:rFonts w:hint="default" w:ascii="Times New Roman" w:hAnsi="Times New Roman" w:eastAsia="宋体" w:cs="Times New Roman"/>
          <w:snapToGrid w:val="0"/>
          <w:color w:val="auto"/>
          <w:spacing w:val="0"/>
          <w:kern w:val="21"/>
          <w:szCs w:val="21"/>
        </w:rPr>
        <w:instrText xml:space="preserve"> = 6 \* GB3 \* MERGEFORMAT </w:instrText>
      </w:r>
      <w:r>
        <w:rPr>
          <w:rFonts w:hint="default" w:ascii="Times New Roman" w:hAnsi="Times New Roman" w:eastAsia="宋体" w:cs="Times New Roman"/>
          <w:snapToGrid w:val="0"/>
          <w:color w:val="auto"/>
          <w:spacing w:val="0"/>
          <w:kern w:val="21"/>
          <w:szCs w:val="21"/>
        </w:rPr>
        <w:fldChar w:fldCharType="separate"/>
      </w:r>
      <w:r>
        <w:rPr>
          <w:rFonts w:hint="default" w:ascii="Times New Roman" w:hAnsi="Times New Roman" w:eastAsia="宋体" w:cs="Times New Roman"/>
          <w:snapToGrid w:val="0"/>
          <w:color w:val="auto"/>
          <w:spacing w:val="0"/>
          <w:kern w:val="21"/>
          <w:szCs w:val="21"/>
        </w:rPr>
        <w:t>⑥</w:t>
      </w:r>
      <w:r>
        <w:rPr>
          <w:rFonts w:hint="default" w:ascii="Times New Roman" w:hAnsi="Times New Roman" w:eastAsia="宋体" w:cs="Times New Roman"/>
          <w:snapToGrid w:val="0"/>
          <w:color w:val="auto"/>
          <w:spacing w:val="0"/>
          <w:kern w:val="21"/>
          <w:szCs w:val="21"/>
        </w:rPr>
        <w:fldChar w:fldCharType="end"/>
      </w:r>
      <w:r>
        <w:rPr>
          <w:rFonts w:hint="default" w:ascii="Times New Roman" w:hAnsi="Times New Roman" w:eastAsia="宋体" w:cs="Times New Roman"/>
          <w:snapToGrid w:val="0"/>
          <w:color w:val="auto"/>
          <w:spacing w:val="0"/>
          <w:kern w:val="21"/>
          <w:szCs w:val="21"/>
        </w:rPr>
        <w:t>=</w:t>
      </w:r>
      <w:r>
        <w:rPr>
          <w:rFonts w:hint="default" w:ascii="Times New Roman" w:hAnsi="Times New Roman" w:eastAsia="宋体" w:cs="Times New Roman"/>
          <w:snapToGrid w:val="0"/>
          <w:color w:val="auto"/>
          <w:spacing w:val="0"/>
          <w:kern w:val="21"/>
          <w:szCs w:val="21"/>
        </w:rPr>
        <w:fldChar w:fldCharType="begin"/>
      </w:r>
      <w:r>
        <w:rPr>
          <w:rFonts w:hint="default" w:ascii="Times New Roman" w:hAnsi="Times New Roman" w:eastAsia="宋体" w:cs="Times New Roman"/>
          <w:snapToGrid w:val="0"/>
          <w:color w:val="auto"/>
          <w:spacing w:val="0"/>
          <w:kern w:val="21"/>
          <w:szCs w:val="21"/>
        </w:rPr>
        <w:instrText xml:space="preserve"> = 1 \* GB3 \* MERGEFORMAT </w:instrText>
      </w:r>
      <w:r>
        <w:rPr>
          <w:rFonts w:hint="default" w:ascii="Times New Roman" w:hAnsi="Times New Roman" w:eastAsia="宋体" w:cs="Times New Roman"/>
          <w:snapToGrid w:val="0"/>
          <w:color w:val="auto"/>
          <w:spacing w:val="0"/>
          <w:kern w:val="21"/>
          <w:szCs w:val="21"/>
        </w:rPr>
        <w:fldChar w:fldCharType="separate"/>
      </w:r>
      <w:r>
        <w:rPr>
          <w:rFonts w:hint="default" w:ascii="Times New Roman" w:hAnsi="Times New Roman" w:eastAsia="宋体" w:cs="Times New Roman"/>
          <w:snapToGrid w:val="0"/>
          <w:color w:val="auto"/>
          <w:spacing w:val="0"/>
          <w:kern w:val="21"/>
          <w:szCs w:val="21"/>
        </w:rPr>
        <w:t>①</w:t>
      </w:r>
      <w:r>
        <w:rPr>
          <w:rFonts w:hint="default" w:ascii="Times New Roman" w:hAnsi="Times New Roman" w:eastAsia="宋体" w:cs="Times New Roman"/>
          <w:snapToGrid w:val="0"/>
          <w:color w:val="auto"/>
          <w:spacing w:val="0"/>
          <w:kern w:val="21"/>
          <w:szCs w:val="21"/>
        </w:rPr>
        <w:fldChar w:fldCharType="end"/>
      </w:r>
      <w:r>
        <w:rPr>
          <w:rFonts w:hint="default" w:ascii="Times New Roman" w:hAnsi="Times New Roman" w:eastAsia="宋体" w:cs="Times New Roman"/>
          <w:snapToGrid w:val="0"/>
          <w:color w:val="auto"/>
          <w:spacing w:val="0"/>
          <w:kern w:val="21"/>
          <w:szCs w:val="21"/>
        </w:rPr>
        <w:t>+</w:t>
      </w:r>
      <w:r>
        <w:rPr>
          <w:rFonts w:hint="default" w:ascii="Times New Roman" w:hAnsi="Times New Roman" w:eastAsia="宋体" w:cs="Times New Roman"/>
          <w:snapToGrid w:val="0"/>
          <w:color w:val="auto"/>
          <w:spacing w:val="0"/>
          <w:kern w:val="21"/>
          <w:szCs w:val="21"/>
        </w:rPr>
        <w:fldChar w:fldCharType="begin"/>
      </w:r>
      <w:r>
        <w:rPr>
          <w:rFonts w:hint="default" w:ascii="Times New Roman" w:hAnsi="Times New Roman" w:eastAsia="宋体" w:cs="Times New Roman"/>
          <w:snapToGrid w:val="0"/>
          <w:color w:val="auto"/>
          <w:spacing w:val="0"/>
          <w:kern w:val="21"/>
          <w:szCs w:val="21"/>
        </w:rPr>
        <w:instrText xml:space="preserve"> = 3 \* GB3 \* MERGEFORMAT </w:instrText>
      </w:r>
      <w:r>
        <w:rPr>
          <w:rFonts w:hint="default" w:ascii="Times New Roman" w:hAnsi="Times New Roman" w:eastAsia="宋体" w:cs="Times New Roman"/>
          <w:snapToGrid w:val="0"/>
          <w:color w:val="auto"/>
          <w:spacing w:val="0"/>
          <w:kern w:val="21"/>
          <w:szCs w:val="21"/>
        </w:rPr>
        <w:fldChar w:fldCharType="separate"/>
      </w:r>
      <w:r>
        <w:rPr>
          <w:rFonts w:hint="default" w:ascii="Times New Roman" w:hAnsi="Times New Roman" w:eastAsia="宋体" w:cs="Times New Roman"/>
          <w:snapToGrid w:val="0"/>
          <w:color w:val="auto"/>
          <w:spacing w:val="0"/>
          <w:kern w:val="21"/>
          <w:szCs w:val="21"/>
        </w:rPr>
        <w:t>③</w:t>
      </w:r>
      <w:r>
        <w:rPr>
          <w:rFonts w:hint="default" w:ascii="Times New Roman" w:hAnsi="Times New Roman" w:eastAsia="宋体" w:cs="Times New Roman"/>
          <w:snapToGrid w:val="0"/>
          <w:color w:val="auto"/>
          <w:spacing w:val="0"/>
          <w:kern w:val="21"/>
          <w:szCs w:val="21"/>
        </w:rPr>
        <w:fldChar w:fldCharType="end"/>
      </w:r>
      <w:r>
        <w:rPr>
          <w:rFonts w:hint="default" w:ascii="Times New Roman" w:hAnsi="Times New Roman" w:eastAsia="宋体" w:cs="Times New Roman"/>
          <w:snapToGrid w:val="0"/>
          <w:color w:val="auto"/>
          <w:spacing w:val="0"/>
          <w:kern w:val="21"/>
          <w:szCs w:val="21"/>
        </w:rPr>
        <w:t>+</w:t>
      </w:r>
      <w:r>
        <w:rPr>
          <w:rFonts w:hint="default" w:ascii="Times New Roman" w:hAnsi="Times New Roman" w:eastAsia="宋体" w:cs="Times New Roman"/>
          <w:snapToGrid w:val="0"/>
          <w:color w:val="auto"/>
          <w:spacing w:val="0"/>
          <w:kern w:val="21"/>
          <w:szCs w:val="21"/>
        </w:rPr>
        <w:fldChar w:fldCharType="begin"/>
      </w:r>
      <w:r>
        <w:rPr>
          <w:rFonts w:hint="default" w:ascii="Times New Roman" w:hAnsi="Times New Roman" w:eastAsia="宋体" w:cs="Times New Roman"/>
          <w:snapToGrid w:val="0"/>
          <w:color w:val="auto"/>
          <w:spacing w:val="0"/>
          <w:kern w:val="21"/>
          <w:szCs w:val="21"/>
        </w:rPr>
        <w:instrText xml:space="preserve"> = 4 \* GB3 \* MERGEFORMAT </w:instrText>
      </w:r>
      <w:r>
        <w:rPr>
          <w:rFonts w:hint="default" w:ascii="Times New Roman" w:hAnsi="Times New Roman" w:eastAsia="宋体" w:cs="Times New Roman"/>
          <w:snapToGrid w:val="0"/>
          <w:color w:val="auto"/>
          <w:spacing w:val="0"/>
          <w:kern w:val="21"/>
          <w:szCs w:val="21"/>
        </w:rPr>
        <w:fldChar w:fldCharType="separate"/>
      </w:r>
      <w:r>
        <w:rPr>
          <w:rFonts w:hint="default" w:ascii="Times New Roman" w:hAnsi="Times New Roman" w:eastAsia="宋体" w:cs="Times New Roman"/>
          <w:snapToGrid w:val="0"/>
          <w:color w:val="auto"/>
          <w:spacing w:val="0"/>
          <w:kern w:val="21"/>
          <w:szCs w:val="21"/>
        </w:rPr>
        <w:t>④</w:t>
      </w:r>
      <w:r>
        <w:rPr>
          <w:rFonts w:hint="default" w:ascii="Times New Roman" w:hAnsi="Times New Roman" w:eastAsia="宋体" w:cs="Times New Roman"/>
          <w:snapToGrid w:val="0"/>
          <w:color w:val="auto"/>
          <w:spacing w:val="0"/>
          <w:kern w:val="21"/>
          <w:szCs w:val="21"/>
        </w:rPr>
        <w:fldChar w:fldCharType="end"/>
      </w:r>
      <w:r>
        <w:rPr>
          <w:rFonts w:hint="default" w:ascii="Times New Roman" w:hAnsi="Times New Roman" w:eastAsia="宋体" w:cs="Times New Roman"/>
          <w:snapToGrid w:val="0"/>
          <w:color w:val="auto"/>
          <w:spacing w:val="0"/>
          <w:kern w:val="21"/>
          <w:szCs w:val="21"/>
        </w:rPr>
        <w:t>-</w:t>
      </w:r>
      <w:r>
        <w:rPr>
          <w:rFonts w:hint="default" w:ascii="Times New Roman" w:hAnsi="Times New Roman" w:eastAsia="宋体" w:cs="Times New Roman"/>
          <w:snapToGrid w:val="0"/>
          <w:color w:val="auto"/>
          <w:spacing w:val="0"/>
          <w:kern w:val="21"/>
          <w:szCs w:val="21"/>
        </w:rPr>
        <w:fldChar w:fldCharType="begin"/>
      </w:r>
      <w:r>
        <w:rPr>
          <w:rFonts w:hint="default" w:ascii="Times New Roman" w:hAnsi="Times New Roman" w:eastAsia="宋体" w:cs="Times New Roman"/>
          <w:snapToGrid w:val="0"/>
          <w:color w:val="auto"/>
          <w:spacing w:val="0"/>
          <w:kern w:val="21"/>
          <w:szCs w:val="21"/>
        </w:rPr>
        <w:instrText xml:space="preserve"> = 5 \* GB3 \* MERGEFORMAT </w:instrText>
      </w:r>
      <w:r>
        <w:rPr>
          <w:rFonts w:hint="default" w:ascii="Times New Roman" w:hAnsi="Times New Roman" w:eastAsia="宋体" w:cs="Times New Roman"/>
          <w:snapToGrid w:val="0"/>
          <w:color w:val="auto"/>
          <w:spacing w:val="0"/>
          <w:kern w:val="21"/>
          <w:szCs w:val="21"/>
        </w:rPr>
        <w:fldChar w:fldCharType="separate"/>
      </w:r>
      <w:r>
        <w:rPr>
          <w:rFonts w:hint="default" w:ascii="Times New Roman" w:hAnsi="Times New Roman" w:eastAsia="宋体" w:cs="Times New Roman"/>
          <w:snapToGrid w:val="0"/>
          <w:color w:val="auto"/>
          <w:spacing w:val="0"/>
          <w:kern w:val="21"/>
          <w:szCs w:val="21"/>
        </w:rPr>
        <w:t>⑤</w:t>
      </w:r>
      <w:r>
        <w:rPr>
          <w:rFonts w:hint="default" w:ascii="Times New Roman" w:hAnsi="Times New Roman" w:eastAsia="宋体" w:cs="Times New Roman"/>
          <w:snapToGrid w:val="0"/>
          <w:color w:val="auto"/>
          <w:spacing w:val="0"/>
          <w:kern w:val="21"/>
          <w:szCs w:val="21"/>
        </w:rPr>
        <w:fldChar w:fldCharType="end"/>
      </w:r>
      <w:r>
        <w:rPr>
          <w:rFonts w:hint="default" w:ascii="Times New Roman" w:hAnsi="Times New Roman" w:eastAsia="宋体" w:cs="Times New Roman"/>
          <w:snapToGrid w:val="0"/>
          <w:color w:val="auto"/>
          <w:spacing w:val="0"/>
          <w:kern w:val="21"/>
          <w:szCs w:val="21"/>
        </w:rPr>
        <w:t>；</w:t>
      </w:r>
      <w:r>
        <w:rPr>
          <w:rFonts w:hint="default" w:ascii="Times New Roman" w:hAnsi="Times New Roman" w:eastAsia="宋体" w:cs="Times New Roman"/>
          <w:snapToGrid w:val="0"/>
          <w:color w:val="auto"/>
          <w:spacing w:val="0"/>
          <w:kern w:val="21"/>
          <w:szCs w:val="21"/>
        </w:rPr>
        <w:fldChar w:fldCharType="begin"/>
      </w:r>
      <w:r>
        <w:rPr>
          <w:rFonts w:hint="default" w:ascii="Times New Roman" w:hAnsi="Times New Roman" w:eastAsia="宋体" w:cs="Times New Roman"/>
          <w:snapToGrid w:val="0"/>
          <w:color w:val="auto"/>
          <w:spacing w:val="0"/>
          <w:kern w:val="21"/>
          <w:szCs w:val="21"/>
        </w:rPr>
        <w:instrText xml:space="preserve"> = 7 \* GB3 \* MERGEFORMAT </w:instrText>
      </w:r>
      <w:r>
        <w:rPr>
          <w:rFonts w:hint="default" w:ascii="Times New Roman" w:hAnsi="Times New Roman" w:eastAsia="宋体" w:cs="Times New Roman"/>
          <w:snapToGrid w:val="0"/>
          <w:color w:val="auto"/>
          <w:spacing w:val="0"/>
          <w:kern w:val="21"/>
          <w:szCs w:val="21"/>
        </w:rPr>
        <w:fldChar w:fldCharType="separate"/>
      </w:r>
      <w:r>
        <w:rPr>
          <w:rFonts w:hint="default" w:ascii="Times New Roman" w:hAnsi="Times New Roman" w:eastAsia="宋体" w:cs="Times New Roman"/>
          <w:snapToGrid w:val="0"/>
          <w:color w:val="auto"/>
          <w:spacing w:val="0"/>
          <w:kern w:val="21"/>
          <w:szCs w:val="21"/>
        </w:rPr>
        <w:t>⑦</w:t>
      </w:r>
      <w:r>
        <w:rPr>
          <w:rFonts w:hint="default" w:ascii="Times New Roman" w:hAnsi="Times New Roman" w:eastAsia="宋体" w:cs="Times New Roman"/>
          <w:snapToGrid w:val="0"/>
          <w:color w:val="auto"/>
          <w:spacing w:val="0"/>
          <w:kern w:val="21"/>
          <w:szCs w:val="21"/>
        </w:rPr>
        <w:fldChar w:fldCharType="end"/>
      </w:r>
      <w:r>
        <w:rPr>
          <w:rFonts w:hint="default" w:ascii="Times New Roman" w:hAnsi="Times New Roman" w:eastAsia="宋体" w:cs="Times New Roman"/>
          <w:snapToGrid w:val="0"/>
          <w:color w:val="auto"/>
          <w:spacing w:val="0"/>
          <w:kern w:val="21"/>
          <w:szCs w:val="21"/>
        </w:rPr>
        <w:t>=</w:t>
      </w:r>
      <w:r>
        <w:rPr>
          <w:rFonts w:hint="default" w:ascii="Times New Roman" w:hAnsi="Times New Roman" w:eastAsia="宋体" w:cs="Times New Roman"/>
          <w:snapToGrid w:val="0"/>
          <w:color w:val="auto"/>
          <w:spacing w:val="0"/>
          <w:kern w:val="21"/>
          <w:szCs w:val="21"/>
        </w:rPr>
        <w:fldChar w:fldCharType="begin"/>
      </w:r>
      <w:r>
        <w:rPr>
          <w:rFonts w:hint="default" w:ascii="Times New Roman" w:hAnsi="Times New Roman" w:eastAsia="宋体" w:cs="Times New Roman"/>
          <w:snapToGrid w:val="0"/>
          <w:color w:val="auto"/>
          <w:spacing w:val="0"/>
          <w:kern w:val="21"/>
          <w:szCs w:val="21"/>
        </w:rPr>
        <w:instrText xml:space="preserve"> = 6 \* GB3 \* MERGEFORMAT </w:instrText>
      </w:r>
      <w:r>
        <w:rPr>
          <w:rFonts w:hint="default" w:ascii="Times New Roman" w:hAnsi="Times New Roman" w:eastAsia="宋体" w:cs="Times New Roman"/>
          <w:snapToGrid w:val="0"/>
          <w:color w:val="auto"/>
          <w:spacing w:val="0"/>
          <w:kern w:val="21"/>
          <w:szCs w:val="21"/>
        </w:rPr>
        <w:fldChar w:fldCharType="separate"/>
      </w:r>
      <w:r>
        <w:rPr>
          <w:rFonts w:hint="default" w:ascii="Times New Roman" w:hAnsi="Times New Roman" w:eastAsia="宋体" w:cs="Times New Roman"/>
          <w:snapToGrid w:val="0"/>
          <w:color w:val="auto"/>
          <w:spacing w:val="0"/>
          <w:kern w:val="21"/>
          <w:szCs w:val="21"/>
        </w:rPr>
        <w:t>⑥</w:t>
      </w:r>
      <w:r>
        <w:rPr>
          <w:rFonts w:hint="default" w:ascii="Times New Roman" w:hAnsi="Times New Roman" w:eastAsia="宋体" w:cs="Times New Roman"/>
          <w:snapToGrid w:val="0"/>
          <w:color w:val="auto"/>
          <w:spacing w:val="0"/>
          <w:kern w:val="21"/>
          <w:szCs w:val="21"/>
        </w:rPr>
        <w:fldChar w:fldCharType="end"/>
      </w:r>
      <w:r>
        <w:rPr>
          <w:rFonts w:hint="default" w:ascii="Times New Roman" w:hAnsi="Times New Roman" w:eastAsia="宋体" w:cs="Times New Roman"/>
          <w:snapToGrid w:val="0"/>
          <w:color w:val="auto"/>
          <w:spacing w:val="0"/>
          <w:kern w:val="21"/>
          <w:szCs w:val="21"/>
        </w:rPr>
        <w:t>-</w:t>
      </w:r>
      <w:r>
        <w:rPr>
          <w:rFonts w:hint="default" w:ascii="Times New Roman" w:hAnsi="Times New Roman" w:eastAsia="宋体" w:cs="Times New Roman"/>
          <w:snapToGrid w:val="0"/>
          <w:color w:val="auto"/>
          <w:spacing w:val="0"/>
          <w:kern w:val="21"/>
          <w:szCs w:val="21"/>
        </w:rPr>
        <w:fldChar w:fldCharType="begin"/>
      </w:r>
      <w:r>
        <w:rPr>
          <w:rFonts w:hint="default" w:ascii="Times New Roman" w:hAnsi="Times New Roman" w:eastAsia="宋体" w:cs="Times New Roman"/>
          <w:snapToGrid w:val="0"/>
          <w:color w:val="auto"/>
          <w:spacing w:val="0"/>
          <w:kern w:val="21"/>
          <w:szCs w:val="21"/>
        </w:rPr>
        <w:instrText xml:space="preserve"> = 1 \* GB3 \* MERGEFORMAT </w:instrText>
      </w:r>
      <w:r>
        <w:rPr>
          <w:rFonts w:hint="default" w:ascii="Times New Roman" w:hAnsi="Times New Roman" w:eastAsia="宋体" w:cs="Times New Roman"/>
          <w:snapToGrid w:val="0"/>
          <w:color w:val="auto"/>
          <w:spacing w:val="0"/>
          <w:kern w:val="21"/>
          <w:szCs w:val="21"/>
        </w:rPr>
        <w:fldChar w:fldCharType="separate"/>
      </w:r>
      <w:r>
        <w:rPr>
          <w:rFonts w:hint="default" w:ascii="Times New Roman" w:hAnsi="Times New Roman" w:eastAsia="宋体" w:cs="Times New Roman"/>
          <w:snapToGrid w:val="0"/>
          <w:color w:val="auto"/>
          <w:spacing w:val="0"/>
          <w:kern w:val="21"/>
          <w:szCs w:val="21"/>
        </w:rPr>
        <w:t>①</w:t>
      </w:r>
      <w:r>
        <w:rPr>
          <w:rFonts w:hint="default" w:ascii="Times New Roman" w:hAnsi="Times New Roman" w:eastAsia="宋体" w:cs="Times New Roman"/>
          <w:snapToGrid w:val="0"/>
          <w:color w:val="auto"/>
          <w:spacing w:val="0"/>
          <w:kern w:val="21"/>
          <w:szCs w:val="21"/>
        </w:rPr>
        <w:fldChar w:fldCharType="end"/>
      </w:r>
    </w:p>
    <w:sectPr>
      <w:footerReference r:id="rId6" w:type="default"/>
      <w:pgSz w:w="16838" w:h="11906" w:orient="landscape"/>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Arial Black">
    <w:panose1 w:val="020B0A04020102020204"/>
    <w:charset w:val="00"/>
    <w:family w:val="swiss"/>
    <w:pitch w:val="default"/>
    <w:sig w:usb0="A00002AF" w:usb1="400078FB" w:usb2="00000000" w:usb3="00000000" w:csb0="6000009F" w:csb1="DFD7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7C477">
    <w:pPr>
      <w:pStyle w:val="2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0D263">
    <w:pPr>
      <w:pStyle w:val="27"/>
      <w:framePr w:wrap="around" w:vAnchor="text" w:hAnchor="margin" w:xAlign="center" w:y="1"/>
      <w:rPr>
        <w:rStyle w:val="40"/>
      </w:rPr>
    </w:pPr>
    <w:r>
      <w:fldChar w:fldCharType="begin"/>
    </w:r>
    <w:r>
      <w:rPr>
        <w:rStyle w:val="40"/>
      </w:rPr>
      <w:instrText xml:space="preserve">PAGE  </w:instrText>
    </w:r>
    <w:r>
      <w:fldChar w:fldCharType="end"/>
    </w:r>
  </w:p>
  <w:p w14:paraId="56860AFC">
    <w:pPr>
      <w:pStyle w:val="2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920F">
    <w:pPr>
      <w:pStyle w:val="27"/>
      <w:ind w:right="36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D3012">
                          <w:pPr>
                            <w:pStyle w:val="27"/>
                            <w:keepNext w:val="0"/>
                            <w:keepLines w:val="0"/>
                            <w:pageBreakBefore w:val="0"/>
                            <w:widowControl w:val="0"/>
                            <w:kinsoku/>
                            <w:wordWrap/>
                            <w:overflowPunct/>
                            <w:topLinePunct w:val="0"/>
                            <w:bidi w:val="0"/>
                            <w:adjustRightInd w:val="0"/>
                            <w:snapToGrid w:val="0"/>
                            <w:jc w:val="center"/>
                            <w:textAlignment w:val="auto"/>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5B3D3012">
                    <w:pPr>
                      <w:pStyle w:val="27"/>
                      <w:keepNext w:val="0"/>
                      <w:keepLines w:val="0"/>
                      <w:pageBreakBefore w:val="0"/>
                      <w:widowControl w:val="0"/>
                      <w:kinsoku/>
                      <w:wordWrap/>
                      <w:overflowPunct/>
                      <w:topLinePunct w:val="0"/>
                      <w:bidi w:val="0"/>
                      <w:adjustRightInd w:val="0"/>
                      <w:snapToGrid w:val="0"/>
                      <w:jc w:val="center"/>
                      <w:textAlignment w:val="auto"/>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D03EF">
    <w:pPr>
      <w:snapToGrid w:val="0"/>
      <w:spacing w:line="360" w:lineRule="auto"/>
      <w:jc w:val="left"/>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44F9D">
                          <w:pPr>
                            <w:pStyle w:val="2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23C44F9D">
                    <w:pPr>
                      <w:pStyle w:val="2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ABCE7"/>
    <w:multiLevelType w:val="singleLevel"/>
    <w:tmpl w:val="A6EABCE7"/>
    <w:lvl w:ilvl="0" w:tentative="0">
      <w:start w:val="1"/>
      <w:numFmt w:val="decimal"/>
      <w:suff w:val="nothing"/>
      <w:lvlText w:val="%1、"/>
      <w:lvlJc w:val="left"/>
      <w:pPr>
        <w:ind w:left="454" w:hanging="454"/>
      </w:pPr>
      <w:rPr>
        <w:rFonts w:hint="default"/>
      </w:rPr>
    </w:lvl>
  </w:abstractNum>
  <w:abstractNum w:abstractNumId="1">
    <w:nsid w:val="AABF3370"/>
    <w:multiLevelType w:val="multilevel"/>
    <w:tmpl w:val="AABF3370"/>
    <w:lvl w:ilvl="0" w:tentative="0">
      <w:start w:val="1"/>
      <w:numFmt w:val="decimal"/>
      <w:suff w:val="space"/>
      <w:lvlText w:val="表1-%1 "/>
      <w:lvlJc w:val="left"/>
      <w:pPr>
        <w:tabs>
          <w:tab w:val="left" w:pos="0"/>
        </w:tabs>
        <w:ind w:left="420" w:hanging="420"/>
      </w:pPr>
      <w:rPr>
        <w:rFonts w:hint="default" w:ascii="Times New Roman" w:hAnsi="Times New Roman" w:eastAsia="宋体" w:cs="Times New Roman"/>
        <w:b/>
        <w:i w:val="0"/>
        <w:caps w:val="0"/>
        <w:strike w:val="0"/>
        <w:dstrike w:val="0"/>
        <w:vanish w:val="0"/>
        <w:sz w:val="24"/>
        <w:szCs w:val="24"/>
        <w:vertAlign w:val="baseline"/>
      </w:rPr>
    </w:lvl>
    <w:lvl w:ilvl="1" w:tentative="0">
      <w:start w:val="1"/>
      <w:numFmt w:val="lowerLetter"/>
      <w:lvlText w:val="%2)"/>
      <w:lvlJc w:val="left"/>
      <w:pPr>
        <w:tabs>
          <w:tab w:val="left" w:pos="420"/>
        </w:tabs>
        <w:ind w:left="840" w:hanging="420"/>
      </w:pPr>
      <w:rPr>
        <w:rFonts w:hint="default"/>
      </w:rPr>
    </w:lvl>
    <w:lvl w:ilvl="2" w:tentative="0">
      <w:start w:val="1"/>
      <w:numFmt w:val="lowerRoman"/>
      <w:lvlText w:val="%3."/>
      <w:lvlJc w:val="right"/>
      <w:pPr>
        <w:ind w:left="1260" w:hanging="420"/>
      </w:pPr>
    </w:lvl>
    <w:lvl w:ilvl="3" w:tentative="0">
      <w:start w:val="1"/>
      <w:numFmt w:val="decimal"/>
      <w:lvlText w:val="4-%4  "/>
      <w:lvlJc w:val="left"/>
      <w:pPr>
        <w:tabs>
          <w:tab w:val="left" w:pos="420"/>
        </w:tabs>
        <w:ind w:left="1680" w:hanging="4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E01C8619"/>
    <w:multiLevelType w:val="multilevel"/>
    <w:tmpl w:val="E01C8619"/>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default"/>
        <w:sz w:val="24"/>
        <w:szCs w:val="24"/>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3">
    <w:nsid w:val="F6ADEDD9"/>
    <w:multiLevelType w:val="multilevel"/>
    <w:tmpl w:val="F6ADEDD9"/>
    <w:lvl w:ilvl="0" w:tentative="0">
      <w:start w:val="1"/>
      <w:numFmt w:val="decimal"/>
      <w:suff w:val="space"/>
      <w:lvlText w:val="表4-%1"/>
      <w:lvlJc w:val="left"/>
      <w:pPr>
        <w:tabs>
          <w:tab w:val="left" w:pos="0"/>
        </w:tabs>
        <w:ind w:left="420" w:hanging="420"/>
      </w:pPr>
      <w:rPr>
        <w:rFonts w:hint="default" w:ascii="Times New Roman" w:hAnsi="Times New Roman" w:eastAsia="宋体" w:cs="Times New Roman"/>
        <w:b/>
        <w:bCs w:val="0"/>
        <w:i w:val="0"/>
        <w:caps w:val="0"/>
        <w:strike w:val="0"/>
        <w:dstrike w:val="0"/>
        <w:vanish w:val="0"/>
        <w:sz w:val="24"/>
        <w:szCs w:val="24"/>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4E0D8A"/>
    <w:multiLevelType w:val="multilevel"/>
    <w:tmpl w:val="034E0D8A"/>
    <w:lvl w:ilvl="0" w:tentative="0">
      <w:start w:val="1"/>
      <w:numFmt w:val="decimal"/>
      <w:suff w:val="space"/>
      <w:lvlText w:val="表3-%1"/>
      <w:lvlJc w:val="left"/>
      <w:pPr>
        <w:tabs>
          <w:tab w:val="left" w:pos="0"/>
        </w:tabs>
        <w:ind w:left="420" w:hanging="420"/>
      </w:pPr>
      <w:rPr>
        <w:rFonts w:hint="default" w:ascii="Times New Roman" w:hAnsi="Times New Roman" w:eastAsia="宋体" w:cs="宋体"/>
        <w:b/>
        <w:i w:val="0"/>
        <w:caps w:val="0"/>
        <w:strike w:val="0"/>
        <w:dstrike w:val="0"/>
        <w:vanish w:val="0"/>
        <w:sz w:val="24"/>
        <w:szCs w:val="24"/>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D625EC6"/>
    <w:multiLevelType w:val="multilevel"/>
    <w:tmpl w:val="1D625EC6"/>
    <w:lvl w:ilvl="0" w:tentative="0">
      <w:start w:val="1"/>
      <w:numFmt w:val="decimal"/>
      <w:pStyle w:val="104"/>
      <w:lvlText w:val="表%1"/>
      <w:lvlJc w:val="left"/>
      <w:pPr>
        <w:ind w:left="1020"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6">
    <w:nsid w:val="25A7BBE1"/>
    <w:multiLevelType w:val="multilevel"/>
    <w:tmpl w:val="25A7BBE1"/>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
    <w:nsid w:val="32D397D8"/>
    <w:multiLevelType w:val="singleLevel"/>
    <w:tmpl w:val="32D397D8"/>
    <w:lvl w:ilvl="0" w:tentative="0">
      <w:start w:val="1"/>
      <w:numFmt w:val="bullet"/>
      <w:pStyle w:val="21"/>
      <w:lvlText w:val=""/>
      <w:lvlJc w:val="left"/>
      <w:pPr>
        <w:tabs>
          <w:tab w:val="left" w:pos="2040"/>
        </w:tabs>
        <w:ind w:left="2040" w:hanging="360"/>
      </w:pPr>
      <w:rPr>
        <w:rFonts w:hint="default" w:ascii="Wingdings" w:hAnsi="Wingdings"/>
      </w:rPr>
    </w:lvl>
  </w:abstractNum>
  <w:abstractNum w:abstractNumId="8">
    <w:nsid w:val="7F68866E"/>
    <w:multiLevelType w:val="multilevel"/>
    <w:tmpl w:val="7F68866E"/>
    <w:lvl w:ilvl="0" w:tentative="0">
      <w:start w:val="1"/>
      <w:numFmt w:val="decimal"/>
      <w:suff w:val="space"/>
      <w:lvlText w:val="表2-%1"/>
      <w:lvlJc w:val="left"/>
      <w:pPr>
        <w:tabs>
          <w:tab w:val="left" w:pos="0"/>
        </w:tabs>
        <w:ind w:left="420" w:hanging="420"/>
      </w:pPr>
      <w:rPr>
        <w:rFonts w:hint="default" w:ascii="Times New Roman" w:hAnsi="Times New Roman" w:eastAsia="宋体" w:cs="宋体"/>
        <w:b/>
        <w:i w:val="0"/>
        <w:caps w:val="0"/>
        <w:strike w:val="0"/>
        <w:dstrike w:val="0"/>
        <w:vanish w:val="0"/>
        <w:sz w:val="24"/>
        <w:szCs w:val="24"/>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7"/>
  </w:num>
  <w:num w:numId="3">
    <w:abstractNumId w:val="5"/>
  </w:num>
  <w:num w:numId="4">
    <w:abstractNumId w:val="0"/>
  </w:num>
  <w:num w:numId="5">
    <w:abstractNumId w:val="1"/>
  </w:num>
  <w:num w:numId="6">
    <w:abstractNumId w:val="8"/>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ZGY4MjNiNTgwM2M5MTQ3ZmZlYThkYjE0NWE5MzMifQ=="/>
  </w:docVars>
  <w:rsids>
    <w:rsidRoot w:val="00172A27"/>
    <w:rsid w:val="00002AFE"/>
    <w:rsid w:val="00005038"/>
    <w:rsid w:val="000060B3"/>
    <w:rsid w:val="000307E5"/>
    <w:rsid w:val="00032176"/>
    <w:rsid w:val="000353F5"/>
    <w:rsid w:val="0004364B"/>
    <w:rsid w:val="00044A99"/>
    <w:rsid w:val="00044EF2"/>
    <w:rsid w:val="00045FB2"/>
    <w:rsid w:val="00061B1F"/>
    <w:rsid w:val="000730AB"/>
    <w:rsid w:val="000733C4"/>
    <w:rsid w:val="00074783"/>
    <w:rsid w:val="0008070B"/>
    <w:rsid w:val="000810AC"/>
    <w:rsid w:val="00081A02"/>
    <w:rsid w:val="00082231"/>
    <w:rsid w:val="000835C8"/>
    <w:rsid w:val="00092D38"/>
    <w:rsid w:val="0009377B"/>
    <w:rsid w:val="000A20C9"/>
    <w:rsid w:val="000B058F"/>
    <w:rsid w:val="000B4467"/>
    <w:rsid w:val="000B4DB9"/>
    <w:rsid w:val="000C09AC"/>
    <w:rsid w:val="000C0EC8"/>
    <w:rsid w:val="000C767F"/>
    <w:rsid w:val="000C7FD5"/>
    <w:rsid w:val="000D5A44"/>
    <w:rsid w:val="000E2DAB"/>
    <w:rsid w:val="000E3ED2"/>
    <w:rsid w:val="000F17E1"/>
    <w:rsid w:val="000F213A"/>
    <w:rsid w:val="001275DF"/>
    <w:rsid w:val="00131F42"/>
    <w:rsid w:val="001357F1"/>
    <w:rsid w:val="00140FA8"/>
    <w:rsid w:val="00142FEB"/>
    <w:rsid w:val="001436DD"/>
    <w:rsid w:val="00143A2D"/>
    <w:rsid w:val="00145A41"/>
    <w:rsid w:val="00151675"/>
    <w:rsid w:val="00157435"/>
    <w:rsid w:val="001711EF"/>
    <w:rsid w:val="0017504D"/>
    <w:rsid w:val="001765F6"/>
    <w:rsid w:val="0017671A"/>
    <w:rsid w:val="00177422"/>
    <w:rsid w:val="001806FA"/>
    <w:rsid w:val="00181C75"/>
    <w:rsid w:val="00184590"/>
    <w:rsid w:val="001870D1"/>
    <w:rsid w:val="0018781E"/>
    <w:rsid w:val="001917A6"/>
    <w:rsid w:val="0019262D"/>
    <w:rsid w:val="001A1B35"/>
    <w:rsid w:val="001A48A2"/>
    <w:rsid w:val="001A6F61"/>
    <w:rsid w:val="001B39AE"/>
    <w:rsid w:val="001B421F"/>
    <w:rsid w:val="001B72B8"/>
    <w:rsid w:val="001C69B3"/>
    <w:rsid w:val="001D40A6"/>
    <w:rsid w:val="001D4206"/>
    <w:rsid w:val="001D5595"/>
    <w:rsid w:val="001D7874"/>
    <w:rsid w:val="001D7F22"/>
    <w:rsid w:val="001E7F03"/>
    <w:rsid w:val="001F0F17"/>
    <w:rsid w:val="001F3347"/>
    <w:rsid w:val="001F69E4"/>
    <w:rsid w:val="002125B4"/>
    <w:rsid w:val="00213CF6"/>
    <w:rsid w:val="002141AA"/>
    <w:rsid w:val="002155B8"/>
    <w:rsid w:val="00217608"/>
    <w:rsid w:val="00224839"/>
    <w:rsid w:val="002249B2"/>
    <w:rsid w:val="00226574"/>
    <w:rsid w:val="00226B35"/>
    <w:rsid w:val="002278EC"/>
    <w:rsid w:val="0023280E"/>
    <w:rsid w:val="002377D1"/>
    <w:rsid w:val="002471CC"/>
    <w:rsid w:val="002506BC"/>
    <w:rsid w:val="00254345"/>
    <w:rsid w:val="00264557"/>
    <w:rsid w:val="002652AF"/>
    <w:rsid w:val="00267E02"/>
    <w:rsid w:val="0027512A"/>
    <w:rsid w:val="002805AB"/>
    <w:rsid w:val="00284204"/>
    <w:rsid w:val="00291773"/>
    <w:rsid w:val="00294AE3"/>
    <w:rsid w:val="002A168C"/>
    <w:rsid w:val="002A3DC7"/>
    <w:rsid w:val="002B2AB5"/>
    <w:rsid w:val="002B49E2"/>
    <w:rsid w:val="002B7B00"/>
    <w:rsid w:val="002B7C44"/>
    <w:rsid w:val="002C2B17"/>
    <w:rsid w:val="002D3DD0"/>
    <w:rsid w:val="002E1F3A"/>
    <w:rsid w:val="002E298A"/>
    <w:rsid w:val="002F06EE"/>
    <w:rsid w:val="002F7D2A"/>
    <w:rsid w:val="00301978"/>
    <w:rsid w:val="0030332C"/>
    <w:rsid w:val="003051C2"/>
    <w:rsid w:val="00312296"/>
    <w:rsid w:val="00314F0E"/>
    <w:rsid w:val="00321D8E"/>
    <w:rsid w:val="00322195"/>
    <w:rsid w:val="00325928"/>
    <w:rsid w:val="00325A40"/>
    <w:rsid w:val="00332863"/>
    <w:rsid w:val="0033684D"/>
    <w:rsid w:val="00337B42"/>
    <w:rsid w:val="00341B42"/>
    <w:rsid w:val="00342422"/>
    <w:rsid w:val="0034348F"/>
    <w:rsid w:val="003543CB"/>
    <w:rsid w:val="00356653"/>
    <w:rsid w:val="0035743F"/>
    <w:rsid w:val="00357BE2"/>
    <w:rsid w:val="0036170C"/>
    <w:rsid w:val="00366E0F"/>
    <w:rsid w:val="00381A72"/>
    <w:rsid w:val="00384676"/>
    <w:rsid w:val="00390857"/>
    <w:rsid w:val="00390D55"/>
    <w:rsid w:val="00394A12"/>
    <w:rsid w:val="003A4BF3"/>
    <w:rsid w:val="003B420D"/>
    <w:rsid w:val="003C6C16"/>
    <w:rsid w:val="003D794D"/>
    <w:rsid w:val="003E3058"/>
    <w:rsid w:val="003E76A9"/>
    <w:rsid w:val="003F0809"/>
    <w:rsid w:val="003F6A8C"/>
    <w:rsid w:val="003F755C"/>
    <w:rsid w:val="00406F01"/>
    <w:rsid w:val="00415E49"/>
    <w:rsid w:val="00416D50"/>
    <w:rsid w:val="00416FD5"/>
    <w:rsid w:val="00417772"/>
    <w:rsid w:val="004179D9"/>
    <w:rsid w:val="00420E6A"/>
    <w:rsid w:val="004245C1"/>
    <w:rsid w:val="00425A9E"/>
    <w:rsid w:val="00426D6B"/>
    <w:rsid w:val="00431E6C"/>
    <w:rsid w:val="00433AD4"/>
    <w:rsid w:val="00433CE7"/>
    <w:rsid w:val="00452738"/>
    <w:rsid w:val="00455FA5"/>
    <w:rsid w:val="00456091"/>
    <w:rsid w:val="00457AC8"/>
    <w:rsid w:val="00466321"/>
    <w:rsid w:val="00480B3F"/>
    <w:rsid w:val="00484B9B"/>
    <w:rsid w:val="004855F6"/>
    <w:rsid w:val="0048661E"/>
    <w:rsid w:val="00486F44"/>
    <w:rsid w:val="00494670"/>
    <w:rsid w:val="004973A4"/>
    <w:rsid w:val="004A1B63"/>
    <w:rsid w:val="004A3823"/>
    <w:rsid w:val="004A72FD"/>
    <w:rsid w:val="004B2E6F"/>
    <w:rsid w:val="004C113F"/>
    <w:rsid w:val="004C3328"/>
    <w:rsid w:val="004D7CEF"/>
    <w:rsid w:val="004E0863"/>
    <w:rsid w:val="004E6946"/>
    <w:rsid w:val="004F1AD8"/>
    <w:rsid w:val="004F2E41"/>
    <w:rsid w:val="005039CB"/>
    <w:rsid w:val="0050558F"/>
    <w:rsid w:val="00506286"/>
    <w:rsid w:val="005073BD"/>
    <w:rsid w:val="00510813"/>
    <w:rsid w:val="00511990"/>
    <w:rsid w:val="00511DE0"/>
    <w:rsid w:val="00514870"/>
    <w:rsid w:val="00514B9B"/>
    <w:rsid w:val="00517F02"/>
    <w:rsid w:val="00524303"/>
    <w:rsid w:val="005245FB"/>
    <w:rsid w:val="005258A2"/>
    <w:rsid w:val="00530742"/>
    <w:rsid w:val="005401AE"/>
    <w:rsid w:val="00542E07"/>
    <w:rsid w:val="00545424"/>
    <w:rsid w:val="0054623C"/>
    <w:rsid w:val="005506FF"/>
    <w:rsid w:val="00554A7B"/>
    <w:rsid w:val="0055572C"/>
    <w:rsid w:val="0056106A"/>
    <w:rsid w:val="005720AE"/>
    <w:rsid w:val="00580DC4"/>
    <w:rsid w:val="005819C6"/>
    <w:rsid w:val="00582193"/>
    <w:rsid w:val="00585074"/>
    <w:rsid w:val="00594D77"/>
    <w:rsid w:val="005969E4"/>
    <w:rsid w:val="005A06B7"/>
    <w:rsid w:val="005A0874"/>
    <w:rsid w:val="005A1435"/>
    <w:rsid w:val="005A1759"/>
    <w:rsid w:val="005A68A7"/>
    <w:rsid w:val="005C2279"/>
    <w:rsid w:val="005D0D20"/>
    <w:rsid w:val="005D36AB"/>
    <w:rsid w:val="005E6BC9"/>
    <w:rsid w:val="005F68FC"/>
    <w:rsid w:val="00602DFE"/>
    <w:rsid w:val="0060755B"/>
    <w:rsid w:val="00617CC3"/>
    <w:rsid w:val="006377A6"/>
    <w:rsid w:val="00637A3D"/>
    <w:rsid w:val="006411EF"/>
    <w:rsid w:val="0065146E"/>
    <w:rsid w:val="00666081"/>
    <w:rsid w:val="006748B8"/>
    <w:rsid w:val="006775C3"/>
    <w:rsid w:val="006911F9"/>
    <w:rsid w:val="0069207C"/>
    <w:rsid w:val="0069290A"/>
    <w:rsid w:val="00692CE2"/>
    <w:rsid w:val="0069775A"/>
    <w:rsid w:val="00697813"/>
    <w:rsid w:val="006A3EE8"/>
    <w:rsid w:val="006A72BF"/>
    <w:rsid w:val="006B03F2"/>
    <w:rsid w:val="006B37DC"/>
    <w:rsid w:val="006B4F68"/>
    <w:rsid w:val="006C0592"/>
    <w:rsid w:val="006C272E"/>
    <w:rsid w:val="006C5479"/>
    <w:rsid w:val="006C6C1E"/>
    <w:rsid w:val="006D13B5"/>
    <w:rsid w:val="006E12FF"/>
    <w:rsid w:val="006E2DF4"/>
    <w:rsid w:val="006E2FC4"/>
    <w:rsid w:val="006E3432"/>
    <w:rsid w:val="006E4133"/>
    <w:rsid w:val="006E607E"/>
    <w:rsid w:val="006F182A"/>
    <w:rsid w:val="00706C5D"/>
    <w:rsid w:val="0070759D"/>
    <w:rsid w:val="00710BD1"/>
    <w:rsid w:val="00716070"/>
    <w:rsid w:val="00732922"/>
    <w:rsid w:val="00733E26"/>
    <w:rsid w:val="0075162E"/>
    <w:rsid w:val="00754034"/>
    <w:rsid w:val="00756356"/>
    <w:rsid w:val="00756556"/>
    <w:rsid w:val="007618C4"/>
    <w:rsid w:val="00767980"/>
    <w:rsid w:val="00770424"/>
    <w:rsid w:val="00770B19"/>
    <w:rsid w:val="0077463F"/>
    <w:rsid w:val="007760BB"/>
    <w:rsid w:val="007836EA"/>
    <w:rsid w:val="00784CDA"/>
    <w:rsid w:val="007906C4"/>
    <w:rsid w:val="00792606"/>
    <w:rsid w:val="007940EA"/>
    <w:rsid w:val="007967E8"/>
    <w:rsid w:val="007A2170"/>
    <w:rsid w:val="007A22BF"/>
    <w:rsid w:val="007A3323"/>
    <w:rsid w:val="007B0F0D"/>
    <w:rsid w:val="007B72B8"/>
    <w:rsid w:val="007B7A58"/>
    <w:rsid w:val="007C21B5"/>
    <w:rsid w:val="007D2EB4"/>
    <w:rsid w:val="007D514F"/>
    <w:rsid w:val="007E4BD2"/>
    <w:rsid w:val="007F3722"/>
    <w:rsid w:val="00801393"/>
    <w:rsid w:val="00802F88"/>
    <w:rsid w:val="0081293E"/>
    <w:rsid w:val="00815465"/>
    <w:rsid w:val="00817E9A"/>
    <w:rsid w:val="008306BD"/>
    <w:rsid w:val="00831A80"/>
    <w:rsid w:val="00833743"/>
    <w:rsid w:val="008340A4"/>
    <w:rsid w:val="0084392A"/>
    <w:rsid w:val="00854AA9"/>
    <w:rsid w:val="00865B03"/>
    <w:rsid w:val="0087135F"/>
    <w:rsid w:val="00872D94"/>
    <w:rsid w:val="00880364"/>
    <w:rsid w:val="00891592"/>
    <w:rsid w:val="00891E9E"/>
    <w:rsid w:val="00892839"/>
    <w:rsid w:val="008A2F68"/>
    <w:rsid w:val="008A6F2D"/>
    <w:rsid w:val="008B1576"/>
    <w:rsid w:val="008B4FA6"/>
    <w:rsid w:val="008B5282"/>
    <w:rsid w:val="008B7C17"/>
    <w:rsid w:val="008C2D01"/>
    <w:rsid w:val="008C40E6"/>
    <w:rsid w:val="008D0F7A"/>
    <w:rsid w:val="008D68E4"/>
    <w:rsid w:val="008E0506"/>
    <w:rsid w:val="008E0CFF"/>
    <w:rsid w:val="008E1EDA"/>
    <w:rsid w:val="008E24DE"/>
    <w:rsid w:val="008E5D6B"/>
    <w:rsid w:val="008E76F0"/>
    <w:rsid w:val="008F15FE"/>
    <w:rsid w:val="008F2B8E"/>
    <w:rsid w:val="008F2D29"/>
    <w:rsid w:val="008F5187"/>
    <w:rsid w:val="008F60D8"/>
    <w:rsid w:val="00902727"/>
    <w:rsid w:val="0090312B"/>
    <w:rsid w:val="00904609"/>
    <w:rsid w:val="0091736D"/>
    <w:rsid w:val="0093037A"/>
    <w:rsid w:val="0094154D"/>
    <w:rsid w:val="0095155F"/>
    <w:rsid w:val="00954429"/>
    <w:rsid w:val="009563CE"/>
    <w:rsid w:val="009634C8"/>
    <w:rsid w:val="00971E93"/>
    <w:rsid w:val="00976328"/>
    <w:rsid w:val="0097680D"/>
    <w:rsid w:val="00982438"/>
    <w:rsid w:val="0098404C"/>
    <w:rsid w:val="00985283"/>
    <w:rsid w:val="00992BB5"/>
    <w:rsid w:val="00995992"/>
    <w:rsid w:val="009A03E5"/>
    <w:rsid w:val="009A0F3B"/>
    <w:rsid w:val="009A1BB4"/>
    <w:rsid w:val="009A2628"/>
    <w:rsid w:val="009A3200"/>
    <w:rsid w:val="009A4EC8"/>
    <w:rsid w:val="009A73CD"/>
    <w:rsid w:val="009B0897"/>
    <w:rsid w:val="009B0F38"/>
    <w:rsid w:val="009B7BD9"/>
    <w:rsid w:val="009C1B10"/>
    <w:rsid w:val="009C320D"/>
    <w:rsid w:val="009C7A2F"/>
    <w:rsid w:val="009C7DD5"/>
    <w:rsid w:val="009D2A6E"/>
    <w:rsid w:val="009E1E2A"/>
    <w:rsid w:val="009E227D"/>
    <w:rsid w:val="009E5019"/>
    <w:rsid w:val="009F2C59"/>
    <w:rsid w:val="00A0083B"/>
    <w:rsid w:val="00A04F1B"/>
    <w:rsid w:val="00A0501B"/>
    <w:rsid w:val="00A14947"/>
    <w:rsid w:val="00A32A83"/>
    <w:rsid w:val="00A368DB"/>
    <w:rsid w:val="00A423AA"/>
    <w:rsid w:val="00A53EC6"/>
    <w:rsid w:val="00A55C0F"/>
    <w:rsid w:val="00A661AC"/>
    <w:rsid w:val="00A67FF4"/>
    <w:rsid w:val="00A8713F"/>
    <w:rsid w:val="00A90BA1"/>
    <w:rsid w:val="00A97A9A"/>
    <w:rsid w:val="00AA0671"/>
    <w:rsid w:val="00AA2531"/>
    <w:rsid w:val="00AB11D6"/>
    <w:rsid w:val="00AB1E09"/>
    <w:rsid w:val="00AB5330"/>
    <w:rsid w:val="00AB7747"/>
    <w:rsid w:val="00AB7A64"/>
    <w:rsid w:val="00AC14CE"/>
    <w:rsid w:val="00AC2A56"/>
    <w:rsid w:val="00AD055E"/>
    <w:rsid w:val="00AD177C"/>
    <w:rsid w:val="00AD47A7"/>
    <w:rsid w:val="00AE6DC2"/>
    <w:rsid w:val="00AF0CBF"/>
    <w:rsid w:val="00AF257F"/>
    <w:rsid w:val="00AF33CF"/>
    <w:rsid w:val="00AF4D50"/>
    <w:rsid w:val="00AF6179"/>
    <w:rsid w:val="00B02EE6"/>
    <w:rsid w:val="00B03AD7"/>
    <w:rsid w:val="00B1295A"/>
    <w:rsid w:val="00B15EFF"/>
    <w:rsid w:val="00B1687F"/>
    <w:rsid w:val="00B17193"/>
    <w:rsid w:val="00B20A45"/>
    <w:rsid w:val="00B22C5C"/>
    <w:rsid w:val="00B24F30"/>
    <w:rsid w:val="00B30796"/>
    <w:rsid w:val="00B31ABF"/>
    <w:rsid w:val="00B33BE3"/>
    <w:rsid w:val="00B406C6"/>
    <w:rsid w:val="00B43E81"/>
    <w:rsid w:val="00B53B5D"/>
    <w:rsid w:val="00B54AE9"/>
    <w:rsid w:val="00B6055E"/>
    <w:rsid w:val="00B61249"/>
    <w:rsid w:val="00B6317D"/>
    <w:rsid w:val="00B67416"/>
    <w:rsid w:val="00B74AC6"/>
    <w:rsid w:val="00B7723F"/>
    <w:rsid w:val="00B80534"/>
    <w:rsid w:val="00B8433C"/>
    <w:rsid w:val="00B87491"/>
    <w:rsid w:val="00B87B84"/>
    <w:rsid w:val="00B93841"/>
    <w:rsid w:val="00B977F9"/>
    <w:rsid w:val="00BA0326"/>
    <w:rsid w:val="00BA1A55"/>
    <w:rsid w:val="00BA29E9"/>
    <w:rsid w:val="00BA7142"/>
    <w:rsid w:val="00BA7975"/>
    <w:rsid w:val="00BB1A04"/>
    <w:rsid w:val="00BB237C"/>
    <w:rsid w:val="00BB41A3"/>
    <w:rsid w:val="00BC32DC"/>
    <w:rsid w:val="00BC335B"/>
    <w:rsid w:val="00BC35B6"/>
    <w:rsid w:val="00BC57CD"/>
    <w:rsid w:val="00BD1B51"/>
    <w:rsid w:val="00BD2E26"/>
    <w:rsid w:val="00BD4596"/>
    <w:rsid w:val="00BE0F79"/>
    <w:rsid w:val="00BE1405"/>
    <w:rsid w:val="00BE312D"/>
    <w:rsid w:val="00BE6468"/>
    <w:rsid w:val="00BF0D76"/>
    <w:rsid w:val="00BF1C20"/>
    <w:rsid w:val="00BF4F7E"/>
    <w:rsid w:val="00C00FF3"/>
    <w:rsid w:val="00C10578"/>
    <w:rsid w:val="00C12C39"/>
    <w:rsid w:val="00C135BC"/>
    <w:rsid w:val="00C15C95"/>
    <w:rsid w:val="00C2596A"/>
    <w:rsid w:val="00C27537"/>
    <w:rsid w:val="00C316E5"/>
    <w:rsid w:val="00C328FE"/>
    <w:rsid w:val="00C33507"/>
    <w:rsid w:val="00C40AB8"/>
    <w:rsid w:val="00C4409D"/>
    <w:rsid w:val="00C44E72"/>
    <w:rsid w:val="00C45A06"/>
    <w:rsid w:val="00C46383"/>
    <w:rsid w:val="00C47E5B"/>
    <w:rsid w:val="00C61E4B"/>
    <w:rsid w:val="00C64BFF"/>
    <w:rsid w:val="00C704E9"/>
    <w:rsid w:val="00C763C9"/>
    <w:rsid w:val="00C80057"/>
    <w:rsid w:val="00C82232"/>
    <w:rsid w:val="00C82913"/>
    <w:rsid w:val="00C857CF"/>
    <w:rsid w:val="00C94CF8"/>
    <w:rsid w:val="00C972B1"/>
    <w:rsid w:val="00CA0FAF"/>
    <w:rsid w:val="00CA2CCE"/>
    <w:rsid w:val="00CA43FD"/>
    <w:rsid w:val="00CA7EEA"/>
    <w:rsid w:val="00CA7EF8"/>
    <w:rsid w:val="00CC489B"/>
    <w:rsid w:val="00CD2BCD"/>
    <w:rsid w:val="00CD3A4C"/>
    <w:rsid w:val="00CE10E9"/>
    <w:rsid w:val="00CE2910"/>
    <w:rsid w:val="00CE2E3A"/>
    <w:rsid w:val="00CE5393"/>
    <w:rsid w:val="00CE59DD"/>
    <w:rsid w:val="00CF36BE"/>
    <w:rsid w:val="00CF6000"/>
    <w:rsid w:val="00D003F3"/>
    <w:rsid w:val="00D0364F"/>
    <w:rsid w:val="00D06834"/>
    <w:rsid w:val="00D308ED"/>
    <w:rsid w:val="00D30F6B"/>
    <w:rsid w:val="00D36D86"/>
    <w:rsid w:val="00D37F59"/>
    <w:rsid w:val="00D413F0"/>
    <w:rsid w:val="00D428AA"/>
    <w:rsid w:val="00D50A34"/>
    <w:rsid w:val="00D53EFA"/>
    <w:rsid w:val="00D600F3"/>
    <w:rsid w:val="00D6180B"/>
    <w:rsid w:val="00D94668"/>
    <w:rsid w:val="00D94A7C"/>
    <w:rsid w:val="00D95896"/>
    <w:rsid w:val="00DA56A6"/>
    <w:rsid w:val="00DA7D8C"/>
    <w:rsid w:val="00DB2906"/>
    <w:rsid w:val="00DB2983"/>
    <w:rsid w:val="00DB4BD3"/>
    <w:rsid w:val="00DB55D6"/>
    <w:rsid w:val="00DB7697"/>
    <w:rsid w:val="00DC1257"/>
    <w:rsid w:val="00DC1EED"/>
    <w:rsid w:val="00DC3DC0"/>
    <w:rsid w:val="00DC5B2B"/>
    <w:rsid w:val="00DC6864"/>
    <w:rsid w:val="00DD318D"/>
    <w:rsid w:val="00DE1BE7"/>
    <w:rsid w:val="00DF2E12"/>
    <w:rsid w:val="00DF514A"/>
    <w:rsid w:val="00DF6690"/>
    <w:rsid w:val="00DF6804"/>
    <w:rsid w:val="00E02005"/>
    <w:rsid w:val="00E034CC"/>
    <w:rsid w:val="00E0358D"/>
    <w:rsid w:val="00E04323"/>
    <w:rsid w:val="00E070A2"/>
    <w:rsid w:val="00E16DE5"/>
    <w:rsid w:val="00E212B8"/>
    <w:rsid w:val="00E2656A"/>
    <w:rsid w:val="00E3744F"/>
    <w:rsid w:val="00E412D0"/>
    <w:rsid w:val="00E4294C"/>
    <w:rsid w:val="00E43B73"/>
    <w:rsid w:val="00E54D3F"/>
    <w:rsid w:val="00E56322"/>
    <w:rsid w:val="00E60982"/>
    <w:rsid w:val="00E62C62"/>
    <w:rsid w:val="00E64B2B"/>
    <w:rsid w:val="00E654C1"/>
    <w:rsid w:val="00E65D97"/>
    <w:rsid w:val="00E6730A"/>
    <w:rsid w:val="00E72A5A"/>
    <w:rsid w:val="00E73354"/>
    <w:rsid w:val="00E743DE"/>
    <w:rsid w:val="00E836E1"/>
    <w:rsid w:val="00E9242D"/>
    <w:rsid w:val="00EA2577"/>
    <w:rsid w:val="00EB5255"/>
    <w:rsid w:val="00EB5C47"/>
    <w:rsid w:val="00EB6149"/>
    <w:rsid w:val="00EC0F46"/>
    <w:rsid w:val="00ED0639"/>
    <w:rsid w:val="00EF4755"/>
    <w:rsid w:val="00EF7135"/>
    <w:rsid w:val="00F027DB"/>
    <w:rsid w:val="00F03EDA"/>
    <w:rsid w:val="00F058A0"/>
    <w:rsid w:val="00F05DE7"/>
    <w:rsid w:val="00F10001"/>
    <w:rsid w:val="00F14A7A"/>
    <w:rsid w:val="00F1799F"/>
    <w:rsid w:val="00F22985"/>
    <w:rsid w:val="00F23D25"/>
    <w:rsid w:val="00F26828"/>
    <w:rsid w:val="00F319F6"/>
    <w:rsid w:val="00F3383E"/>
    <w:rsid w:val="00F465A7"/>
    <w:rsid w:val="00F50B7C"/>
    <w:rsid w:val="00F550E6"/>
    <w:rsid w:val="00F60B1B"/>
    <w:rsid w:val="00F66D34"/>
    <w:rsid w:val="00F74345"/>
    <w:rsid w:val="00F77CBB"/>
    <w:rsid w:val="00F80A0A"/>
    <w:rsid w:val="00F82B19"/>
    <w:rsid w:val="00F909E4"/>
    <w:rsid w:val="00F9212D"/>
    <w:rsid w:val="00F92150"/>
    <w:rsid w:val="00F925C8"/>
    <w:rsid w:val="00F953B6"/>
    <w:rsid w:val="00F965DA"/>
    <w:rsid w:val="00FA406A"/>
    <w:rsid w:val="00FB503A"/>
    <w:rsid w:val="00FB516C"/>
    <w:rsid w:val="00FB5892"/>
    <w:rsid w:val="00FC38D7"/>
    <w:rsid w:val="00FD0236"/>
    <w:rsid w:val="00FD18F4"/>
    <w:rsid w:val="00FD2D59"/>
    <w:rsid w:val="00FD54DB"/>
    <w:rsid w:val="00FD619F"/>
    <w:rsid w:val="00FE0A87"/>
    <w:rsid w:val="00FF1BD9"/>
    <w:rsid w:val="01001B5E"/>
    <w:rsid w:val="010B22B0"/>
    <w:rsid w:val="01114588"/>
    <w:rsid w:val="01176EA7"/>
    <w:rsid w:val="01290F7E"/>
    <w:rsid w:val="012B68C7"/>
    <w:rsid w:val="012D2227"/>
    <w:rsid w:val="013637D1"/>
    <w:rsid w:val="013C690E"/>
    <w:rsid w:val="01415CD2"/>
    <w:rsid w:val="014337F8"/>
    <w:rsid w:val="014B08FF"/>
    <w:rsid w:val="014B158E"/>
    <w:rsid w:val="01590A7F"/>
    <w:rsid w:val="0159126E"/>
    <w:rsid w:val="015D1E09"/>
    <w:rsid w:val="016B6FCE"/>
    <w:rsid w:val="016C0FA1"/>
    <w:rsid w:val="017165B7"/>
    <w:rsid w:val="01814321"/>
    <w:rsid w:val="018A1427"/>
    <w:rsid w:val="019359AC"/>
    <w:rsid w:val="019B3634"/>
    <w:rsid w:val="019F1377"/>
    <w:rsid w:val="01A87AFF"/>
    <w:rsid w:val="01BF37C7"/>
    <w:rsid w:val="01C25065"/>
    <w:rsid w:val="01CF1530"/>
    <w:rsid w:val="01E274B5"/>
    <w:rsid w:val="01F571E8"/>
    <w:rsid w:val="01F9035B"/>
    <w:rsid w:val="02145195"/>
    <w:rsid w:val="02160F0D"/>
    <w:rsid w:val="021745FA"/>
    <w:rsid w:val="02182ED7"/>
    <w:rsid w:val="021D673F"/>
    <w:rsid w:val="02251150"/>
    <w:rsid w:val="0227136C"/>
    <w:rsid w:val="022950E4"/>
    <w:rsid w:val="022C0730"/>
    <w:rsid w:val="022C24DE"/>
    <w:rsid w:val="02421D02"/>
    <w:rsid w:val="024737BC"/>
    <w:rsid w:val="024806E1"/>
    <w:rsid w:val="024E06A7"/>
    <w:rsid w:val="0250441F"/>
    <w:rsid w:val="02697903"/>
    <w:rsid w:val="027A76EE"/>
    <w:rsid w:val="027D0F8C"/>
    <w:rsid w:val="027D2D3A"/>
    <w:rsid w:val="027D71DE"/>
    <w:rsid w:val="02833A50"/>
    <w:rsid w:val="029C58B6"/>
    <w:rsid w:val="02A12ECC"/>
    <w:rsid w:val="02A744B2"/>
    <w:rsid w:val="02A8425B"/>
    <w:rsid w:val="02A91D81"/>
    <w:rsid w:val="02AB3D56"/>
    <w:rsid w:val="02AD6017"/>
    <w:rsid w:val="02B349AE"/>
    <w:rsid w:val="02B40E52"/>
    <w:rsid w:val="02B56978"/>
    <w:rsid w:val="02B7517C"/>
    <w:rsid w:val="02BD21E4"/>
    <w:rsid w:val="02CF7A3A"/>
    <w:rsid w:val="02D54924"/>
    <w:rsid w:val="02DC2156"/>
    <w:rsid w:val="02E82052"/>
    <w:rsid w:val="02EA7AB7"/>
    <w:rsid w:val="02F079B0"/>
    <w:rsid w:val="02F96569"/>
    <w:rsid w:val="02FA0D96"/>
    <w:rsid w:val="02FA25DD"/>
    <w:rsid w:val="0306072C"/>
    <w:rsid w:val="03082F4B"/>
    <w:rsid w:val="03092820"/>
    <w:rsid w:val="030D4835"/>
    <w:rsid w:val="030E7E36"/>
    <w:rsid w:val="030F2F39"/>
    <w:rsid w:val="031713E0"/>
    <w:rsid w:val="0317318F"/>
    <w:rsid w:val="031E62CB"/>
    <w:rsid w:val="03541CED"/>
    <w:rsid w:val="035937A7"/>
    <w:rsid w:val="035C6DF3"/>
    <w:rsid w:val="03655CA8"/>
    <w:rsid w:val="03692931"/>
    <w:rsid w:val="036B7036"/>
    <w:rsid w:val="036D2DAF"/>
    <w:rsid w:val="037800D1"/>
    <w:rsid w:val="03800D34"/>
    <w:rsid w:val="038B0293"/>
    <w:rsid w:val="038B1A01"/>
    <w:rsid w:val="038D16A3"/>
    <w:rsid w:val="039E73B8"/>
    <w:rsid w:val="03A2514E"/>
    <w:rsid w:val="03A762C0"/>
    <w:rsid w:val="03AA4003"/>
    <w:rsid w:val="03AB14E4"/>
    <w:rsid w:val="03BB4C97"/>
    <w:rsid w:val="03CF75C5"/>
    <w:rsid w:val="03D1158F"/>
    <w:rsid w:val="03D35490"/>
    <w:rsid w:val="03E77005"/>
    <w:rsid w:val="03EA7B21"/>
    <w:rsid w:val="03EC0177"/>
    <w:rsid w:val="03EC63C9"/>
    <w:rsid w:val="03EF7C67"/>
    <w:rsid w:val="04096F7B"/>
    <w:rsid w:val="0411355C"/>
    <w:rsid w:val="04114082"/>
    <w:rsid w:val="04137DFA"/>
    <w:rsid w:val="04245B63"/>
    <w:rsid w:val="042B1481"/>
    <w:rsid w:val="04333FF8"/>
    <w:rsid w:val="04351B1E"/>
    <w:rsid w:val="043B2EAD"/>
    <w:rsid w:val="043B4C5B"/>
    <w:rsid w:val="043D6C25"/>
    <w:rsid w:val="04410000"/>
    <w:rsid w:val="04463D2B"/>
    <w:rsid w:val="04550780"/>
    <w:rsid w:val="046C12B8"/>
    <w:rsid w:val="046F61E6"/>
    <w:rsid w:val="047168CE"/>
    <w:rsid w:val="047C5040"/>
    <w:rsid w:val="04846602"/>
    <w:rsid w:val="048D2C9E"/>
    <w:rsid w:val="04943389"/>
    <w:rsid w:val="04992949"/>
    <w:rsid w:val="049A7BD3"/>
    <w:rsid w:val="049D3B67"/>
    <w:rsid w:val="04A942BA"/>
    <w:rsid w:val="04AB1DE0"/>
    <w:rsid w:val="04B7582F"/>
    <w:rsid w:val="04BB2D87"/>
    <w:rsid w:val="04BD38C2"/>
    <w:rsid w:val="04C410F4"/>
    <w:rsid w:val="04DA103E"/>
    <w:rsid w:val="04EE7F1F"/>
    <w:rsid w:val="05045994"/>
    <w:rsid w:val="05085485"/>
    <w:rsid w:val="05092FAB"/>
    <w:rsid w:val="050D5672"/>
    <w:rsid w:val="0525745D"/>
    <w:rsid w:val="0532605E"/>
    <w:rsid w:val="053B461E"/>
    <w:rsid w:val="053C6EDC"/>
    <w:rsid w:val="054933A7"/>
    <w:rsid w:val="054D2E98"/>
    <w:rsid w:val="05535400"/>
    <w:rsid w:val="05597A8E"/>
    <w:rsid w:val="05654685"/>
    <w:rsid w:val="05656433"/>
    <w:rsid w:val="056C0CE5"/>
    <w:rsid w:val="05834B0B"/>
    <w:rsid w:val="058A5E9A"/>
    <w:rsid w:val="05937215"/>
    <w:rsid w:val="05946677"/>
    <w:rsid w:val="059E0FBF"/>
    <w:rsid w:val="059F47CA"/>
    <w:rsid w:val="05AB7BBE"/>
    <w:rsid w:val="05B922DB"/>
    <w:rsid w:val="05BD626F"/>
    <w:rsid w:val="05C23886"/>
    <w:rsid w:val="05D47115"/>
    <w:rsid w:val="05DB66F5"/>
    <w:rsid w:val="05DE61E6"/>
    <w:rsid w:val="05E11832"/>
    <w:rsid w:val="05E409FA"/>
    <w:rsid w:val="05F257ED"/>
    <w:rsid w:val="05F83EAE"/>
    <w:rsid w:val="05F9301F"/>
    <w:rsid w:val="06020126"/>
    <w:rsid w:val="06085010"/>
    <w:rsid w:val="06122156"/>
    <w:rsid w:val="06135E8F"/>
    <w:rsid w:val="06163BD1"/>
    <w:rsid w:val="0616772D"/>
    <w:rsid w:val="06190FCC"/>
    <w:rsid w:val="0622219B"/>
    <w:rsid w:val="062260D2"/>
    <w:rsid w:val="06296002"/>
    <w:rsid w:val="062F259D"/>
    <w:rsid w:val="06314567"/>
    <w:rsid w:val="06367DD0"/>
    <w:rsid w:val="063C4EBD"/>
    <w:rsid w:val="063E7D85"/>
    <w:rsid w:val="06467EC4"/>
    <w:rsid w:val="0648365F"/>
    <w:rsid w:val="064918B1"/>
    <w:rsid w:val="064B6477"/>
    <w:rsid w:val="064C75F3"/>
    <w:rsid w:val="06562220"/>
    <w:rsid w:val="065B5A88"/>
    <w:rsid w:val="06605FD1"/>
    <w:rsid w:val="06744454"/>
    <w:rsid w:val="067A5F0E"/>
    <w:rsid w:val="067C6A19"/>
    <w:rsid w:val="068619EB"/>
    <w:rsid w:val="068942CF"/>
    <w:rsid w:val="068D7EA2"/>
    <w:rsid w:val="06936FD0"/>
    <w:rsid w:val="0696261C"/>
    <w:rsid w:val="06976AC0"/>
    <w:rsid w:val="06986394"/>
    <w:rsid w:val="069D39AB"/>
    <w:rsid w:val="069E6CDB"/>
    <w:rsid w:val="06A91BE8"/>
    <w:rsid w:val="06BA27AF"/>
    <w:rsid w:val="06C1165B"/>
    <w:rsid w:val="06C72FFA"/>
    <w:rsid w:val="06CE24BC"/>
    <w:rsid w:val="06D849E3"/>
    <w:rsid w:val="06E14CBE"/>
    <w:rsid w:val="06EC66E0"/>
    <w:rsid w:val="06F51A39"/>
    <w:rsid w:val="06F55595"/>
    <w:rsid w:val="06F814E9"/>
    <w:rsid w:val="06FF13BC"/>
    <w:rsid w:val="07027CB2"/>
    <w:rsid w:val="0712371A"/>
    <w:rsid w:val="071F1BF8"/>
    <w:rsid w:val="072145DC"/>
    <w:rsid w:val="07256B80"/>
    <w:rsid w:val="07283BBC"/>
    <w:rsid w:val="07293586"/>
    <w:rsid w:val="07295285"/>
    <w:rsid w:val="074B59C8"/>
    <w:rsid w:val="074F739B"/>
    <w:rsid w:val="074F7AC9"/>
    <w:rsid w:val="07554285"/>
    <w:rsid w:val="07630A99"/>
    <w:rsid w:val="07636392"/>
    <w:rsid w:val="07663CAF"/>
    <w:rsid w:val="0767791B"/>
    <w:rsid w:val="07770C56"/>
    <w:rsid w:val="077C1812"/>
    <w:rsid w:val="07807554"/>
    <w:rsid w:val="07865BBD"/>
    <w:rsid w:val="078A03D3"/>
    <w:rsid w:val="078F7797"/>
    <w:rsid w:val="0793294D"/>
    <w:rsid w:val="07960F1B"/>
    <w:rsid w:val="079B4A80"/>
    <w:rsid w:val="079C0106"/>
    <w:rsid w:val="07A022D1"/>
    <w:rsid w:val="07A70F85"/>
    <w:rsid w:val="07AC659B"/>
    <w:rsid w:val="07B40FAC"/>
    <w:rsid w:val="07B45450"/>
    <w:rsid w:val="07BB67DE"/>
    <w:rsid w:val="07CD5B53"/>
    <w:rsid w:val="07D23B28"/>
    <w:rsid w:val="07E21FBD"/>
    <w:rsid w:val="07EA4B5E"/>
    <w:rsid w:val="07EE7ED6"/>
    <w:rsid w:val="08001B4A"/>
    <w:rsid w:val="08065580"/>
    <w:rsid w:val="08122176"/>
    <w:rsid w:val="08147C9D"/>
    <w:rsid w:val="08151A69"/>
    <w:rsid w:val="081E0B1B"/>
    <w:rsid w:val="08234C8C"/>
    <w:rsid w:val="08236132"/>
    <w:rsid w:val="08314CF2"/>
    <w:rsid w:val="08411BCB"/>
    <w:rsid w:val="08444A26"/>
    <w:rsid w:val="08471E20"/>
    <w:rsid w:val="085207C5"/>
    <w:rsid w:val="08555E8D"/>
    <w:rsid w:val="08566507"/>
    <w:rsid w:val="085F24A0"/>
    <w:rsid w:val="08713D58"/>
    <w:rsid w:val="08752E31"/>
    <w:rsid w:val="087C3598"/>
    <w:rsid w:val="087D5842"/>
    <w:rsid w:val="088A20A3"/>
    <w:rsid w:val="088D5F33"/>
    <w:rsid w:val="088E7A4F"/>
    <w:rsid w:val="08931509"/>
    <w:rsid w:val="08935065"/>
    <w:rsid w:val="0898267C"/>
    <w:rsid w:val="08A07782"/>
    <w:rsid w:val="08AA0601"/>
    <w:rsid w:val="08AF79C5"/>
    <w:rsid w:val="08B5322E"/>
    <w:rsid w:val="08BD0334"/>
    <w:rsid w:val="08BF5E5A"/>
    <w:rsid w:val="08C95863"/>
    <w:rsid w:val="08CE2541"/>
    <w:rsid w:val="08CE42EF"/>
    <w:rsid w:val="08D062B9"/>
    <w:rsid w:val="08E11780"/>
    <w:rsid w:val="08E82C6B"/>
    <w:rsid w:val="08F76757"/>
    <w:rsid w:val="090B10A0"/>
    <w:rsid w:val="090C060C"/>
    <w:rsid w:val="09187C60"/>
    <w:rsid w:val="092217DD"/>
    <w:rsid w:val="0924591E"/>
    <w:rsid w:val="09271C52"/>
    <w:rsid w:val="092E2FE0"/>
    <w:rsid w:val="093525C0"/>
    <w:rsid w:val="093A7294"/>
    <w:rsid w:val="093E4C85"/>
    <w:rsid w:val="09442803"/>
    <w:rsid w:val="09450846"/>
    <w:rsid w:val="094E5970"/>
    <w:rsid w:val="097A4477"/>
    <w:rsid w:val="097F1A8E"/>
    <w:rsid w:val="09824B3E"/>
    <w:rsid w:val="0986143C"/>
    <w:rsid w:val="09945539"/>
    <w:rsid w:val="099948FD"/>
    <w:rsid w:val="099C3D28"/>
    <w:rsid w:val="099E3CC2"/>
    <w:rsid w:val="09AC2E40"/>
    <w:rsid w:val="09C94AB7"/>
    <w:rsid w:val="09CD0A4B"/>
    <w:rsid w:val="09D12835"/>
    <w:rsid w:val="09D92F4C"/>
    <w:rsid w:val="09E85885"/>
    <w:rsid w:val="0A043E81"/>
    <w:rsid w:val="0A051F93"/>
    <w:rsid w:val="0A0A75A9"/>
    <w:rsid w:val="0A0B03D4"/>
    <w:rsid w:val="0A0B3A10"/>
    <w:rsid w:val="0A122902"/>
    <w:rsid w:val="0A201D76"/>
    <w:rsid w:val="0A263993"/>
    <w:rsid w:val="0A2C74AD"/>
    <w:rsid w:val="0A2D3AC2"/>
    <w:rsid w:val="0A326B00"/>
    <w:rsid w:val="0A334D52"/>
    <w:rsid w:val="0A466107"/>
    <w:rsid w:val="0A4707FD"/>
    <w:rsid w:val="0A486323"/>
    <w:rsid w:val="0A546A76"/>
    <w:rsid w:val="0A5E78F5"/>
    <w:rsid w:val="0A682522"/>
    <w:rsid w:val="0A706B7C"/>
    <w:rsid w:val="0A803B0B"/>
    <w:rsid w:val="0A981059"/>
    <w:rsid w:val="0A99092D"/>
    <w:rsid w:val="0A9A492C"/>
    <w:rsid w:val="0A9B6453"/>
    <w:rsid w:val="0A9D21CB"/>
    <w:rsid w:val="0AA755DF"/>
    <w:rsid w:val="0AAF0151"/>
    <w:rsid w:val="0AB13EC9"/>
    <w:rsid w:val="0AB77E64"/>
    <w:rsid w:val="0ABC0099"/>
    <w:rsid w:val="0AC57974"/>
    <w:rsid w:val="0AC955F7"/>
    <w:rsid w:val="0AC97464"/>
    <w:rsid w:val="0ACA0AE6"/>
    <w:rsid w:val="0AD46F56"/>
    <w:rsid w:val="0AE53B72"/>
    <w:rsid w:val="0AE778EA"/>
    <w:rsid w:val="0AE918B4"/>
    <w:rsid w:val="0AF82E44"/>
    <w:rsid w:val="0AFD0416"/>
    <w:rsid w:val="0B016BFE"/>
    <w:rsid w:val="0B11084E"/>
    <w:rsid w:val="0B120D44"/>
    <w:rsid w:val="0B16599D"/>
    <w:rsid w:val="0B2226D0"/>
    <w:rsid w:val="0B271D19"/>
    <w:rsid w:val="0B2B5A29"/>
    <w:rsid w:val="0B472137"/>
    <w:rsid w:val="0B494101"/>
    <w:rsid w:val="0B4B60CB"/>
    <w:rsid w:val="0B536D2E"/>
    <w:rsid w:val="0B6D4294"/>
    <w:rsid w:val="0B701126"/>
    <w:rsid w:val="0B830DFC"/>
    <w:rsid w:val="0B835865"/>
    <w:rsid w:val="0B9F01C5"/>
    <w:rsid w:val="0BA352FE"/>
    <w:rsid w:val="0BB35A1E"/>
    <w:rsid w:val="0BB73761"/>
    <w:rsid w:val="0BB86BE8"/>
    <w:rsid w:val="0BBC48D3"/>
    <w:rsid w:val="0BC23F01"/>
    <w:rsid w:val="0BCF0AAA"/>
    <w:rsid w:val="0BD16CF6"/>
    <w:rsid w:val="0BD27BF6"/>
    <w:rsid w:val="0BD460C1"/>
    <w:rsid w:val="0BD770D6"/>
    <w:rsid w:val="0BF202F5"/>
    <w:rsid w:val="0BF50912"/>
    <w:rsid w:val="0BF71DAF"/>
    <w:rsid w:val="0BFB7E74"/>
    <w:rsid w:val="0C112E71"/>
    <w:rsid w:val="0C147373"/>
    <w:rsid w:val="0C191D25"/>
    <w:rsid w:val="0C201171"/>
    <w:rsid w:val="0C264442"/>
    <w:rsid w:val="0C300E1D"/>
    <w:rsid w:val="0C360B29"/>
    <w:rsid w:val="0C3B3C7D"/>
    <w:rsid w:val="0C5114BF"/>
    <w:rsid w:val="0C5745FC"/>
    <w:rsid w:val="0C5D60B6"/>
    <w:rsid w:val="0C601702"/>
    <w:rsid w:val="0C613195"/>
    <w:rsid w:val="0C676F35"/>
    <w:rsid w:val="0C6F7B97"/>
    <w:rsid w:val="0C776A4C"/>
    <w:rsid w:val="0C7B478E"/>
    <w:rsid w:val="0C7C57E9"/>
    <w:rsid w:val="0C7E7DDA"/>
    <w:rsid w:val="0C850C11"/>
    <w:rsid w:val="0C871385"/>
    <w:rsid w:val="0C882A07"/>
    <w:rsid w:val="0C8D47C2"/>
    <w:rsid w:val="0C8D626F"/>
    <w:rsid w:val="0C8F3D96"/>
    <w:rsid w:val="0C912772"/>
    <w:rsid w:val="0C945850"/>
    <w:rsid w:val="0CA830A9"/>
    <w:rsid w:val="0CAA6E21"/>
    <w:rsid w:val="0CAB2EAE"/>
    <w:rsid w:val="0CAC2B9A"/>
    <w:rsid w:val="0CAC4948"/>
    <w:rsid w:val="0CBC0FBD"/>
    <w:rsid w:val="0CCC4FEA"/>
    <w:rsid w:val="0CCE0A8A"/>
    <w:rsid w:val="0CE916F8"/>
    <w:rsid w:val="0CF32576"/>
    <w:rsid w:val="0CF46315"/>
    <w:rsid w:val="0D091D9A"/>
    <w:rsid w:val="0D0B3D64"/>
    <w:rsid w:val="0D103128"/>
    <w:rsid w:val="0D1424ED"/>
    <w:rsid w:val="0D1500CF"/>
    <w:rsid w:val="0D156991"/>
    <w:rsid w:val="0D181FDD"/>
    <w:rsid w:val="0D1F336B"/>
    <w:rsid w:val="0D3D1A44"/>
    <w:rsid w:val="0D4B23B2"/>
    <w:rsid w:val="0D4E1EA3"/>
    <w:rsid w:val="0D576FA9"/>
    <w:rsid w:val="0D5E38BE"/>
    <w:rsid w:val="0D621C7D"/>
    <w:rsid w:val="0D690A8B"/>
    <w:rsid w:val="0D75742F"/>
    <w:rsid w:val="0D780CCE"/>
    <w:rsid w:val="0D8603ED"/>
    <w:rsid w:val="0D892EDB"/>
    <w:rsid w:val="0D98311E"/>
    <w:rsid w:val="0DB6259C"/>
    <w:rsid w:val="0DB90715"/>
    <w:rsid w:val="0DBA7538"/>
    <w:rsid w:val="0DC363ED"/>
    <w:rsid w:val="0DD405FA"/>
    <w:rsid w:val="0DDA1988"/>
    <w:rsid w:val="0DE40111"/>
    <w:rsid w:val="0DEF2DBD"/>
    <w:rsid w:val="0DF5231E"/>
    <w:rsid w:val="0E0D1416"/>
    <w:rsid w:val="0E0E3A7C"/>
    <w:rsid w:val="0E2F1D3A"/>
    <w:rsid w:val="0E370B89"/>
    <w:rsid w:val="0E390712"/>
    <w:rsid w:val="0E3C619F"/>
    <w:rsid w:val="0E407A3D"/>
    <w:rsid w:val="0E43752E"/>
    <w:rsid w:val="0E4A08BC"/>
    <w:rsid w:val="0E4F6810"/>
    <w:rsid w:val="0E511C4A"/>
    <w:rsid w:val="0E576B35"/>
    <w:rsid w:val="0E5B4877"/>
    <w:rsid w:val="0E5D47EB"/>
    <w:rsid w:val="0E664FCA"/>
    <w:rsid w:val="0E6A2D0C"/>
    <w:rsid w:val="0E73034D"/>
    <w:rsid w:val="0E7A2600"/>
    <w:rsid w:val="0E811E04"/>
    <w:rsid w:val="0E8543F9"/>
    <w:rsid w:val="0E8D69FB"/>
    <w:rsid w:val="0E912047"/>
    <w:rsid w:val="0E9438E5"/>
    <w:rsid w:val="0EA051B0"/>
    <w:rsid w:val="0EA31D7A"/>
    <w:rsid w:val="0EA63619"/>
    <w:rsid w:val="0EA77ABC"/>
    <w:rsid w:val="0EB44E0D"/>
    <w:rsid w:val="0EB9159E"/>
    <w:rsid w:val="0ED7514A"/>
    <w:rsid w:val="0EDB32C2"/>
    <w:rsid w:val="0EE3661B"/>
    <w:rsid w:val="0EE4486D"/>
    <w:rsid w:val="0EE57E6C"/>
    <w:rsid w:val="0EED1247"/>
    <w:rsid w:val="0EEF3211"/>
    <w:rsid w:val="0EEF4FBF"/>
    <w:rsid w:val="0EF80318"/>
    <w:rsid w:val="0F07055B"/>
    <w:rsid w:val="0F077ED4"/>
    <w:rsid w:val="0F0B7B8C"/>
    <w:rsid w:val="0F0D27EF"/>
    <w:rsid w:val="0F0F59FA"/>
    <w:rsid w:val="0F133510"/>
    <w:rsid w:val="0F13775A"/>
    <w:rsid w:val="0F144A26"/>
    <w:rsid w:val="0F16217D"/>
    <w:rsid w:val="0F1862C4"/>
    <w:rsid w:val="0F1D1B2D"/>
    <w:rsid w:val="0F24110D"/>
    <w:rsid w:val="0F2B249C"/>
    <w:rsid w:val="0F341F46"/>
    <w:rsid w:val="0F364071"/>
    <w:rsid w:val="0F390664"/>
    <w:rsid w:val="0F403A6D"/>
    <w:rsid w:val="0F4075C9"/>
    <w:rsid w:val="0F474DFC"/>
    <w:rsid w:val="0F566DED"/>
    <w:rsid w:val="0F5B5AD8"/>
    <w:rsid w:val="0F5F2145"/>
    <w:rsid w:val="0F5F45FE"/>
    <w:rsid w:val="0F672DA8"/>
    <w:rsid w:val="0F697787"/>
    <w:rsid w:val="0F6C6610"/>
    <w:rsid w:val="0F751969"/>
    <w:rsid w:val="0F76123D"/>
    <w:rsid w:val="0F781459"/>
    <w:rsid w:val="0F827BE2"/>
    <w:rsid w:val="0F847DFE"/>
    <w:rsid w:val="0F857177"/>
    <w:rsid w:val="0F865924"/>
    <w:rsid w:val="0F8D434C"/>
    <w:rsid w:val="0F917E25"/>
    <w:rsid w:val="0F966B3F"/>
    <w:rsid w:val="0F9A112B"/>
    <w:rsid w:val="0FC65D20"/>
    <w:rsid w:val="0FD61CDB"/>
    <w:rsid w:val="0FE10DAC"/>
    <w:rsid w:val="0FE8038D"/>
    <w:rsid w:val="0FEA57A7"/>
    <w:rsid w:val="0FEB1C2B"/>
    <w:rsid w:val="0FEB5787"/>
    <w:rsid w:val="0FED7751"/>
    <w:rsid w:val="0FEF171B"/>
    <w:rsid w:val="10083474"/>
    <w:rsid w:val="10091C47"/>
    <w:rsid w:val="100B407B"/>
    <w:rsid w:val="100F3B6B"/>
    <w:rsid w:val="10125409"/>
    <w:rsid w:val="10152804"/>
    <w:rsid w:val="10196798"/>
    <w:rsid w:val="10282537"/>
    <w:rsid w:val="103051D5"/>
    <w:rsid w:val="10366EEB"/>
    <w:rsid w:val="10394744"/>
    <w:rsid w:val="10401F77"/>
    <w:rsid w:val="104E6C3B"/>
    <w:rsid w:val="10545A22"/>
    <w:rsid w:val="105F0288"/>
    <w:rsid w:val="106043C7"/>
    <w:rsid w:val="10615A49"/>
    <w:rsid w:val="106D2F64"/>
    <w:rsid w:val="106F16EB"/>
    <w:rsid w:val="10775092"/>
    <w:rsid w:val="107A6B0B"/>
    <w:rsid w:val="10867199"/>
    <w:rsid w:val="10A73DA4"/>
    <w:rsid w:val="10AC760C"/>
    <w:rsid w:val="10B63710"/>
    <w:rsid w:val="10B66BC9"/>
    <w:rsid w:val="10BB15FD"/>
    <w:rsid w:val="10C009C2"/>
    <w:rsid w:val="10C06C14"/>
    <w:rsid w:val="10D51453"/>
    <w:rsid w:val="10D64689"/>
    <w:rsid w:val="10D91A83"/>
    <w:rsid w:val="10ED3781"/>
    <w:rsid w:val="10F10820"/>
    <w:rsid w:val="10F20D97"/>
    <w:rsid w:val="10FD50E2"/>
    <w:rsid w:val="110F36F7"/>
    <w:rsid w:val="11160F29"/>
    <w:rsid w:val="111C2F7A"/>
    <w:rsid w:val="1122342A"/>
    <w:rsid w:val="112847B9"/>
    <w:rsid w:val="1130093A"/>
    <w:rsid w:val="11304655"/>
    <w:rsid w:val="11477335"/>
    <w:rsid w:val="11551A52"/>
    <w:rsid w:val="11553800"/>
    <w:rsid w:val="115B693C"/>
    <w:rsid w:val="11643A43"/>
    <w:rsid w:val="11665CA1"/>
    <w:rsid w:val="116920E6"/>
    <w:rsid w:val="116E2B13"/>
    <w:rsid w:val="117143B2"/>
    <w:rsid w:val="1177071D"/>
    <w:rsid w:val="117D2D56"/>
    <w:rsid w:val="11845E93"/>
    <w:rsid w:val="118511BA"/>
    <w:rsid w:val="11867876"/>
    <w:rsid w:val="11894027"/>
    <w:rsid w:val="118B1E8F"/>
    <w:rsid w:val="118C11EC"/>
    <w:rsid w:val="119327EE"/>
    <w:rsid w:val="1194410A"/>
    <w:rsid w:val="11965BC6"/>
    <w:rsid w:val="119B31DD"/>
    <w:rsid w:val="11A622AD"/>
    <w:rsid w:val="11AA3420"/>
    <w:rsid w:val="11B20C52"/>
    <w:rsid w:val="11B33E74"/>
    <w:rsid w:val="11B60016"/>
    <w:rsid w:val="11CB3AC2"/>
    <w:rsid w:val="11CD23DC"/>
    <w:rsid w:val="11D16936"/>
    <w:rsid w:val="11D551FE"/>
    <w:rsid w:val="11D81D3B"/>
    <w:rsid w:val="11DD37F5"/>
    <w:rsid w:val="11E13BB2"/>
    <w:rsid w:val="11EA5C87"/>
    <w:rsid w:val="11F428F3"/>
    <w:rsid w:val="11F72B09"/>
    <w:rsid w:val="11FD79F3"/>
    <w:rsid w:val="11FF4E52"/>
    <w:rsid w:val="12046FD4"/>
    <w:rsid w:val="12062D04"/>
    <w:rsid w:val="120E7E53"/>
    <w:rsid w:val="1211524D"/>
    <w:rsid w:val="121511E1"/>
    <w:rsid w:val="12163467"/>
    <w:rsid w:val="12166E07"/>
    <w:rsid w:val="12244F80"/>
    <w:rsid w:val="12384280"/>
    <w:rsid w:val="123C49C0"/>
    <w:rsid w:val="12420446"/>
    <w:rsid w:val="124675EC"/>
    <w:rsid w:val="124F4967"/>
    <w:rsid w:val="126313EB"/>
    <w:rsid w:val="126314FB"/>
    <w:rsid w:val="126E269F"/>
    <w:rsid w:val="12704669"/>
    <w:rsid w:val="12747B4B"/>
    <w:rsid w:val="127777A6"/>
    <w:rsid w:val="1279351E"/>
    <w:rsid w:val="127A5249"/>
    <w:rsid w:val="127C66E8"/>
    <w:rsid w:val="127E6D86"/>
    <w:rsid w:val="128F4AEF"/>
    <w:rsid w:val="129E7DAD"/>
    <w:rsid w:val="129F0AAB"/>
    <w:rsid w:val="12A8795F"/>
    <w:rsid w:val="12AC44E8"/>
    <w:rsid w:val="12B02CB8"/>
    <w:rsid w:val="12B26A30"/>
    <w:rsid w:val="12B75DF4"/>
    <w:rsid w:val="12C56763"/>
    <w:rsid w:val="12C64289"/>
    <w:rsid w:val="12CC6628"/>
    <w:rsid w:val="12DC08B1"/>
    <w:rsid w:val="12ED1816"/>
    <w:rsid w:val="12F10925"/>
    <w:rsid w:val="12F17558"/>
    <w:rsid w:val="12FE7EC7"/>
    <w:rsid w:val="13027507"/>
    <w:rsid w:val="130848A2"/>
    <w:rsid w:val="130B7721"/>
    <w:rsid w:val="130D362F"/>
    <w:rsid w:val="13135720"/>
    <w:rsid w:val="13165211"/>
    <w:rsid w:val="13180F89"/>
    <w:rsid w:val="132310AA"/>
    <w:rsid w:val="13250FB0"/>
    <w:rsid w:val="13267D2D"/>
    <w:rsid w:val="134B0678"/>
    <w:rsid w:val="13516249"/>
    <w:rsid w:val="13541895"/>
    <w:rsid w:val="13547AE7"/>
    <w:rsid w:val="13561AB1"/>
    <w:rsid w:val="135A4C62"/>
    <w:rsid w:val="135F6376"/>
    <w:rsid w:val="13623155"/>
    <w:rsid w:val="136A6664"/>
    <w:rsid w:val="137242F9"/>
    <w:rsid w:val="13744FE1"/>
    <w:rsid w:val="137B1518"/>
    <w:rsid w:val="137F578F"/>
    <w:rsid w:val="13893C35"/>
    <w:rsid w:val="138C6DDE"/>
    <w:rsid w:val="13906D71"/>
    <w:rsid w:val="1393060F"/>
    <w:rsid w:val="139323BD"/>
    <w:rsid w:val="13951726"/>
    <w:rsid w:val="13991354"/>
    <w:rsid w:val="139B5716"/>
    <w:rsid w:val="139E0D62"/>
    <w:rsid w:val="13A20A91"/>
    <w:rsid w:val="13B000A5"/>
    <w:rsid w:val="13BA2040"/>
    <w:rsid w:val="13C62CB2"/>
    <w:rsid w:val="13CE33F5"/>
    <w:rsid w:val="13D44784"/>
    <w:rsid w:val="13D62108"/>
    <w:rsid w:val="13DA7FEC"/>
    <w:rsid w:val="13DF3855"/>
    <w:rsid w:val="13EC2390"/>
    <w:rsid w:val="13F53078"/>
    <w:rsid w:val="13F94DB6"/>
    <w:rsid w:val="14004C89"/>
    <w:rsid w:val="14047949"/>
    <w:rsid w:val="14071F8B"/>
    <w:rsid w:val="140908D1"/>
    <w:rsid w:val="14103A0E"/>
    <w:rsid w:val="14156B47"/>
    <w:rsid w:val="14172FEE"/>
    <w:rsid w:val="141D25CF"/>
    <w:rsid w:val="141F1EA3"/>
    <w:rsid w:val="14220022"/>
    <w:rsid w:val="14253848"/>
    <w:rsid w:val="142E0338"/>
    <w:rsid w:val="14321BD6"/>
    <w:rsid w:val="143771ED"/>
    <w:rsid w:val="14396509"/>
    <w:rsid w:val="143F2545"/>
    <w:rsid w:val="1442132A"/>
    <w:rsid w:val="144305F4"/>
    <w:rsid w:val="145A2EDB"/>
    <w:rsid w:val="145D29CB"/>
    <w:rsid w:val="145E1D89"/>
    <w:rsid w:val="14623356"/>
    <w:rsid w:val="1468482E"/>
    <w:rsid w:val="146C39CB"/>
    <w:rsid w:val="14700951"/>
    <w:rsid w:val="14733F73"/>
    <w:rsid w:val="148D1503"/>
    <w:rsid w:val="14916A45"/>
    <w:rsid w:val="14962256"/>
    <w:rsid w:val="14A5684C"/>
    <w:rsid w:val="14A979BF"/>
    <w:rsid w:val="14AB1989"/>
    <w:rsid w:val="14AC661B"/>
    <w:rsid w:val="14B4083D"/>
    <w:rsid w:val="14BE191F"/>
    <w:rsid w:val="14C41C81"/>
    <w:rsid w:val="14C60571"/>
    <w:rsid w:val="14C67420"/>
    <w:rsid w:val="14C8078D"/>
    <w:rsid w:val="14D962AF"/>
    <w:rsid w:val="14DC7D94"/>
    <w:rsid w:val="14DD2C3C"/>
    <w:rsid w:val="14FC72A9"/>
    <w:rsid w:val="150A15B5"/>
    <w:rsid w:val="151A266A"/>
    <w:rsid w:val="152B4878"/>
    <w:rsid w:val="152D6842"/>
    <w:rsid w:val="153D5CAA"/>
    <w:rsid w:val="155344FA"/>
    <w:rsid w:val="155A4E55"/>
    <w:rsid w:val="156009C5"/>
    <w:rsid w:val="15604F3F"/>
    <w:rsid w:val="156A53A0"/>
    <w:rsid w:val="157E36BE"/>
    <w:rsid w:val="15804BC3"/>
    <w:rsid w:val="158A77F0"/>
    <w:rsid w:val="158E72E0"/>
    <w:rsid w:val="15915022"/>
    <w:rsid w:val="15981F0D"/>
    <w:rsid w:val="15982039"/>
    <w:rsid w:val="159863B1"/>
    <w:rsid w:val="15A02627"/>
    <w:rsid w:val="15A563D8"/>
    <w:rsid w:val="15A703A2"/>
    <w:rsid w:val="15AC59B8"/>
    <w:rsid w:val="15B036FB"/>
    <w:rsid w:val="15B17473"/>
    <w:rsid w:val="15B4486D"/>
    <w:rsid w:val="15BF7127"/>
    <w:rsid w:val="15C251DC"/>
    <w:rsid w:val="15CA5E3E"/>
    <w:rsid w:val="15E45152"/>
    <w:rsid w:val="15EA64E1"/>
    <w:rsid w:val="15EC6CAB"/>
    <w:rsid w:val="15EE7D7F"/>
    <w:rsid w:val="15FB0F2F"/>
    <w:rsid w:val="1603322E"/>
    <w:rsid w:val="16077093"/>
    <w:rsid w:val="16087E1D"/>
    <w:rsid w:val="160C496F"/>
    <w:rsid w:val="161A0F05"/>
    <w:rsid w:val="161F0F67"/>
    <w:rsid w:val="16210154"/>
    <w:rsid w:val="16273291"/>
    <w:rsid w:val="162C6AF9"/>
    <w:rsid w:val="1632753A"/>
    <w:rsid w:val="164E081E"/>
    <w:rsid w:val="1651030E"/>
    <w:rsid w:val="16526560"/>
    <w:rsid w:val="165C7A79"/>
    <w:rsid w:val="165D6CB3"/>
    <w:rsid w:val="165F0C7D"/>
    <w:rsid w:val="166D15EC"/>
    <w:rsid w:val="167001C0"/>
    <w:rsid w:val="1674297A"/>
    <w:rsid w:val="167A1613"/>
    <w:rsid w:val="167D7355"/>
    <w:rsid w:val="167F30CD"/>
    <w:rsid w:val="169B23C4"/>
    <w:rsid w:val="16A20B69"/>
    <w:rsid w:val="16AC32C0"/>
    <w:rsid w:val="16BE730D"/>
    <w:rsid w:val="16C3745D"/>
    <w:rsid w:val="16DA6555"/>
    <w:rsid w:val="16DC3EE2"/>
    <w:rsid w:val="16DC407B"/>
    <w:rsid w:val="16F13FCB"/>
    <w:rsid w:val="16F30626"/>
    <w:rsid w:val="16F72CD1"/>
    <w:rsid w:val="17033CFE"/>
    <w:rsid w:val="17051824"/>
    <w:rsid w:val="17122EB3"/>
    <w:rsid w:val="17163A31"/>
    <w:rsid w:val="17215F32"/>
    <w:rsid w:val="172F064F"/>
    <w:rsid w:val="17346709"/>
    <w:rsid w:val="1735378C"/>
    <w:rsid w:val="174B5F37"/>
    <w:rsid w:val="1759391E"/>
    <w:rsid w:val="17631348"/>
    <w:rsid w:val="17634E75"/>
    <w:rsid w:val="17675539"/>
    <w:rsid w:val="1767603B"/>
    <w:rsid w:val="17701D14"/>
    <w:rsid w:val="17735226"/>
    <w:rsid w:val="177B7D38"/>
    <w:rsid w:val="177C490B"/>
    <w:rsid w:val="17884203"/>
    <w:rsid w:val="178D1819"/>
    <w:rsid w:val="17932AE2"/>
    <w:rsid w:val="1796247C"/>
    <w:rsid w:val="17981331"/>
    <w:rsid w:val="179C3D0B"/>
    <w:rsid w:val="179D49F7"/>
    <w:rsid w:val="17A0154D"/>
    <w:rsid w:val="17A11EEE"/>
    <w:rsid w:val="17AA23CB"/>
    <w:rsid w:val="17AE3C6A"/>
    <w:rsid w:val="17B374D2"/>
    <w:rsid w:val="17C3523B"/>
    <w:rsid w:val="17D84998"/>
    <w:rsid w:val="17DF2075"/>
    <w:rsid w:val="17E21B65"/>
    <w:rsid w:val="17F04282"/>
    <w:rsid w:val="17FB6783"/>
    <w:rsid w:val="1805260F"/>
    <w:rsid w:val="1807337A"/>
    <w:rsid w:val="182E6B59"/>
    <w:rsid w:val="183121A5"/>
    <w:rsid w:val="18380FB2"/>
    <w:rsid w:val="18383533"/>
    <w:rsid w:val="183875E2"/>
    <w:rsid w:val="1842129C"/>
    <w:rsid w:val="18490FB9"/>
    <w:rsid w:val="184C3483"/>
    <w:rsid w:val="1856526B"/>
    <w:rsid w:val="185C1918"/>
    <w:rsid w:val="1864257A"/>
    <w:rsid w:val="187D4050"/>
    <w:rsid w:val="18842A7A"/>
    <w:rsid w:val="188449CB"/>
    <w:rsid w:val="188F5764"/>
    <w:rsid w:val="18925339"/>
    <w:rsid w:val="189B3AC2"/>
    <w:rsid w:val="189F624C"/>
    <w:rsid w:val="18A60DE5"/>
    <w:rsid w:val="18AB01A9"/>
    <w:rsid w:val="18B057C0"/>
    <w:rsid w:val="18B0756E"/>
    <w:rsid w:val="18C41323"/>
    <w:rsid w:val="18C80D5B"/>
    <w:rsid w:val="18CD6371"/>
    <w:rsid w:val="18D53478"/>
    <w:rsid w:val="18DA0A8E"/>
    <w:rsid w:val="18DE057F"/>
    <w:rsid w:val="18DF42F7"/>
    <w:rsid w:val="18DF60A5"/>
    <w:rsid w:val="18F953B8"/>
    <w:rsid w:val="18FE29CF"/>
    <w:rsid w:val="19033B41"/>
    <w:rsid w:val="190A1374"/>
    <w:rsid w:val="190B32CF"/>
    <w:rsid w:val="190D676E"/>
    <w:rsid w:val="19105CD2"/>
    <w:rsid w:val="19193365"/>
    <w:rsid w:val="191F64A1"/>
    <w:rsid w:val="192844FD"/>
    <w:rsid w:val="192B4E46"/>
    <w:rsid w:val="19314B52"/>
    <w:rsid w:val="193A152D"/>
    <w:rsid w:val="193C34F7"/>
    <w:rsid w:val="19441605"/>
    <w:rsid w:val="194A5C14"/>
    <w:rsid w:val="194C1E7F"/>
    <w:rsid w:val="194F4FD8"/>
    <w:rsid w:val="195425EF"/>
    <w:rsid w:val="19566367"/>
    <w:rsid w:val="195D42D9"/>
    <w:rsid w:val="19670574"/>
    <w:rsid w:val="196C0614"/>
    <w:rsid w:val="196D36B1"/>
    <w:rsid w:val="197C38F4"/>
    <w:rsid w:val="197C4E46"/>
    <w:rsid w:val="198432E8"/>
    <w:rsid w:val="19933CA1"/>
    <w:rsid w:val="1996009D"/>
    <w:rsid w:val="19A1335A"/>
    <w:rsid w:val="19A30E80"/>
    <w:rsid w:val="19AA220F"/>
    <w:rsid w:val="19BE7E40"/>
    <w:rsid w:val="19CD0264"/>
    <w:rsid w:val="19D41982"/>
    <w:rsid w:val="19DE010A"/>
    <w:rsid w:val="19E576EB"/>
    <w:rsid w:val="19EA4D01"/>
    <w:rsid w:val="19EC6CCB"/>
    <w:rsid w:val="19F03C9C"/>
    <w:rsid w:val="19F33BB6"/>
    <w:rsid w:val="19FD4A34"/>
    <w:rsid w:val="1A0C111B"/>
    <w:rsid w:val="1A0F35AE"/>
    <w:rsid w:val="1A1324AA"/>
    <w:rsid w:val="1A18361C"/>
    <w:rsid w:val="1A1C66C0"/>
    <w:rsid w:val="1A24165B"/>
    <w:rsid w:val="1A2A17D2"/>
    <w:rsid w:val="1A301F8A"/>
    <w:rsid w:val="1A42393B"/>
    <w:rsid w:val="1A442663"/>
    <w:rsid w:val="1A4C1518"/>
    <w:rsid w:val="1A592857"/>
    <w:rsid w:val="1A645AA9"/>
    <w:rsid w:val="1A6C3968"/>
    <w:rsid w:val="1A6D6E58"/>
    <w:rsid w:val="1A6E23B6"/>
    <w:rsid w:val="1A7F5449"/>
    <w:rsid w:val="1A864A2A"/>
    <w:rsid w:val="1A8E7D82"/>
    <w:rsid w:val="1A9731B0"/>
    <w:rsid w:val="1AA650CC"/>
    <w:rsid w:val="1AAD45DE"/>
    <w:rsid w:val="1AAE2C02"/>
    <w:rsid w:val="1AB175CD"/>
    <w:rsid w:val="1ABD41C4"/>
    <w:rsid w:val="1ABF1CEA"/>
    <w:rsid w:val="1AD559B1"/>
    <w:rsid w:val="1AD82DAC"/>
    <w:rsid w:val="1ADD03C2"/>
    <w:rsid w:val="1ADD6614"/>
    <w:rsid w:val="1AE87493"/>
    <w:rsid w:val="1AF0276F"/>
    <w:rsid w:val="1AF23E6D"/>
    <w:rsid w:val="1B046F80"/>
    <w:rsid w:val="1B102545"/>
    <w:rsid w:val="1B155DAE"/>
    <w:rsid w:val="1B1C5ADB"/>
    <w:rsid w:val="1B291030"/>
    <w:rsid w:val="1B2B55D1"/>
    <w:rsid w:val="1B3267B5"/>
    <w:rsid w:val="1B40161D"/>
    <w:rsid w:val="1B430B6D"/>
    <w:rsid w:val="1B441859"/>
    <w:rsid w:val="1B4B17D0"/>
    <w:rsid w:val="1B4F7512"/>
    <w:rsid w:val="1B5A1A13"/>
    <w:rsid w:val="1B5C39DD"/>
    <w:rsid w:val="1B6606B1"/>
    <w:rsid w:val="1B687FD1"/>
    <w:rsid w:val="1B701328"/>
    <w:rsid w:val="1B740D26"/>
    <w:rsid w:val="1B776A68"/>
    <w:rsid w:val="1B79633D"/>
    <w:rsid w:val="1B8E69A0"/>
    <w:rsid w:val="1B9211AC"/>
    <w:rsid w:val="1B9E3FF5"/>
    <w:rsid w:val="1BA710FC"/>
    <w:rsid w:val="1BB36E25"/>
    <w:rsid w:val="1BB750B7"/>
    <w:rsid w:val="1BBE4697"/>
    <w:rsid w:val="1BC33A5C"/>
    <w:rsid w:val="1BCB17C5"/>
    <w:rsid w:val="1BCD0437"/>
    <w:rsid w:val="1BCD48DA"/>
    <w:rsid w:val="1BD143CB"/>
    <w:rsid w:val="1BDC675C"/>
    <w:rsid w:val="1BE37C5A"/>
    <w:rsid w:val="1BE86120"/>
    <w:rsid w:val="1BF43C15"/>
    <w:rsid w:val="1BF70CD1"/>
    <w:rsid w:val="1C071B0A"/>
    <w:rsid w:val="1C19367C"/>
    <w:rsid w:val="1C224C26"/>
    <w:rsid w:val="1C2362A8"/>
    <w:rsid w:val="1C284952"/>
    <w:rsid w:val="1C2F10F1"/>
    <w:rsid w:val="1C375376"/>
    <w:rsid w:val="1C3B1844"/>
    <w:rsid w:val="1C454471"/>
    <w:rsid w:val="1C47468D"/>
    <w:rsid w:val="1C47643B"/>
    <w:rsid w:val="1C4C6EFB"/>
    <w:rsid w:val="1C556DAA"/>
    <w:rsid w:val="1C5648D0"/>
    <w:rsid w:val="1C5E7925"/>
    <w:rsid w:val="1C626E01"/>
    <w:rsid w:val="1C64690B"/>
    <w:rsid w:val="1C654B13"/>
    <w:rsid w:val="1C6A2129"/>
    <w:rsid w:val="1C6C40F3"/>
    <w:rsid w:val="1C7B60E4"/>
    <w:rsid w:val="1C7F7983"/>
    <w:rsid w:val="1C832B05"/>
    <w:rsid w:val="1C9167EE"/>
    <w:rsid w:val="1C9D42AD"/>
    <w:rsid w:val="1C9D605B"/>
    <w:rsid w:val="1CA25E84"/>
    <w:rsid w:val="1CA26680"/>
    <w:rsid w:val="1CAB3CF7"/>
    <w:rsid w:val="1CB33AD0"/>
    <w:rsid w:val="1CB347A4"/>
    <w:rsid w:val="1CB40D12"/>
    <w:rsid w:val="1CC61A56"/>
    <w:rsid w:val="1CC669C1"/>
    <w:rsid w:val="1CC7757C"/>
    <w:rsid w:val="1CCE090A"/>
    <w:rsid w:val="1CCE39EE"/>
    <w:rsid w:val="1CD221A8"/>
    <w:rsid w:val="1CD53A47"/>
    <w:rsid w:val="1CD74CCC"/>
    <w:rsid w:val="1CE155A5"/>
    <w:rsid w:val="1CE27F12"/>
    <w:rsid w:val="1CE67A02"/>
    <w:rsid w:val="1CE92B76"/>
    <w:rsid w:val="1CF71C0F"/>
    <w:rsid w:val="1CFD070F"/>
    <w:rsid w:val="1D0165EA"/>
    <w:rsid w:val="1D144C6E"/>
    <w:rsid w:val="1D1722B1"/>
    <w:rsid w:val="1D183933"/>
    <w:rsid w:val="1D305121"/>
    <w:rsid w:val="1D350989"/>
    <w:rsid w:val="1D392227"/>
    <w:rsid w:val="1D3D3685"/>
    <w:rsid w:val="1D5232E9"/>
    <w:rsid w:val="1D5F6196"/>
    <w:rsid w:val="1D6132A5"/>
    <w:rsid w:val="1D74500E"/>
    <w:rsid w:val="1D7A639C"/>
    <w:rsid w:val="1D7F0913"/>
    <w:rsid w:val="1D884F5D"/>
    <w:rsid w:val="1D8E56D5"/>
    <w:rsid w:val="1D943902"/>
    <w:rsid w:val="1D992DE9"/>
    <w:rsid w:val="1DA13929"/>
    <w:rsid w:val="1DAF4298"/>
    <w:rsid w:val="1DBA2C3C"/>
    <w:rsid w:val="1DBD73B6"/>
    <w:rsid w:val="1DC53ABB"/>
    <w:rsid w:val="1DC92A70"/>
    <w:rsid w:val="1DCA7323"/>
    <w:rsid w:val="1DCB6BF8"/>
    <w:rsid w:val="1DCF0496"/>
    <w:rsid w:val="1DD1323A"/>
    <w:rsid w:val="1DD67A76"/>
    <w:rsid w:val="1DDC0B75"/>
    <w:rsid w:val="1DDF058F"/>
    <w:rsid w:val="1DE015B9"/>
    <w:rsid w:val="1DE06B47"/>
    <w:rsid w:val="1DED3012"/>
    <w:rsid w:val="1E0A3BC4"/>
    <w:rsid w:val="1E0C793C"/>
    <w:rsid w:val="1E1660C5"/>
    <w:rsid w:val="1E205195"/>
    <w:rsid w:val="1E215213"/>
    <w:rsid w:val="1E222CBC"/>
    <w:rsid w:val="1E283BB7"/>
    <w:rsid w:val="1E3D18A3"/>
    <w:rsid w:val="1E403142"/>
    <w:rsid w:val="1E4E4375"/>
    <w:rsid w:val="1E51534F"/>
    <w:rsid w:val="1E5D0198"/>
    <w:rsid w:val="1E6C3F37"/>
    <w:rsid w:val="1E733517"/>
    <w:rsid w:val="1E796654"/>
    <w:rsid w:val="1E7A43DA"/>
    <w:rsid w:val="1E8079E2"/>
    <w:rsid w:val="1E853C68"/>
    <w:rsid w:val="1E8C282B"/>
    <w:rsid w:val="1E960FB4"/>
    <w:rsid w:val="1E982F7E"/>
    <w:rsid w:val="1E9D38A2"/>
    <w:rsid w:val="1EB15DEE"/>
    <w:rsid w:val="1EB36BE8"/>
    <w:rsid w:val="1EC44EE2"/>
    <w:rsid w:val="1ECA6EAF"/>
    <w:rsid w:val="1ECE4BF1"/>
    <w:rsid w:val="1ED00D54"/>
    <w:rsid w:val="1ED35EE6"/>
    <w:rsid w:val="1ED5336F"/>
    <w:rsid w:val="1ED55F80"/>
    <w:rsid w:val="1EDD4E34"/>
    <w:rsid w:val="1EF328AA"/>
    <w:rsid w:val="1F010B23"/>
    <w:rsid w:val="1F06438B"/>
    <w:rsid w:val="1F084BFE"/>
    <w:rsid w:val="1F182311"/>
    <w:rsid w:val="1F187AED"/>
    <w:rsid w:val="1F1A69DF"/>
    <w:rsid w:val="1F1D16D5"/>
    <w:rsid w:val="1F1D18F8"/>
    <w:rsid w:val="1F2313DF"/>
    <w:rsid w:val="1F2B2044"/>
    <w:rsid w:val="1F316F2E"/>
    <w:rsid w:val="1F330EF8"/>
    <w:rsid w:val="1F382D0B"/>
    <w:rsid w:val="1F3C1B5B"/>
    <w:rsid w:val="1F672950"/>
    <w:rsid w:val="1F751511"/>
    <w:rsid w:val="1F8F4381"/>
    <w:rsid w:val="1F996FAD"/>
    <w:rsid w:val="1F9D6372"/>
    <w:rsid w:val="1FA13150"/>
    <w:rsid w:val="1FA6756F"/>
    <w:rsid w:val="1FAB0A8F"/>
    <w:rsid w:val="1FB21E1D"/>
    <w:rsid w:val="1FBA5176"/>
    <w:rsid w:val="1FBC0EEE"/>
    <w:rsid w:val="1FD20629"/>
    <w:rsid w:val="1FD61FB0"/>
    <w:rsid w:val="1FDA5C91"/>
    <w:rsid w:val="1FE02DAF"/>
    <w:rsid w:val="1FE7539E"/>
    <w:rsid w:val="1FEA6512"/>
    <w:rsid w:val="1FFB7C68"/>
    <w:rsid w:val="200060D0"/>
    <w:rsid w:val="20012DA5"/>
    <w:rsid w:val="200603BB"/>
    <w:rsid w:val="200824A8"/>
    <w:rsid w:val="200902A2"/>
    <w:rsid w:val="200A5FB3"/>
    <w:rsid w:val="200B2609"/>
    <w:rsid w:val="201B5C14"/>
    <w:rsid w:val="202C40EB"/>
    <w:rsid w:val="203171E6"/>
    <w:rsid w:val="204213F3"/>
    <w:rsid w:val="20427645"/>
    <w:rsid w:val="204D7D98"/>
    <w:rsid w:val="20511636"/>
    <w:rsid w:val="20523600"/>
    <w:rsid w:val="20547378"/>
    <w:rsid w:val="205B24B5"/>
    <w:rsid w:val="205E3D53"/>
    <w:rsid w:val="20671BE0"/>
    <w:rsid w:val="206C46C2"/>
    <w:rsid w:val="20743577"/>
    <w:rsid w:val="2076109D"/>
    <w:rsid w:val="207A674C"/>
    <w:rsid w:val="207D5D6C"/>
    <w:rsid w:val="20823EE5"/>
    <w:rsid w:val="208337BA"/>
    <w:rsid w:val="20881525"/>
    <w:rsid w:val="208E4638"/>
    <w:rsid w:val="208F215E"/>
    <w:rsid w:val="20963CB8"/>
    <w:rsid w:val="209668DF"/>
    <w:rsid w:val="20A81A1B"/>
    <w:rsid w:val="20A969CA"/>
    <w:rsid w:val="20AE2589"/>
    <w:rsid w:val="20B07FB6"/>
    <w:rsid w:val="20B646FB"/>
    <w:rsid w:val="20BD316F"/>
    <w:rsid w:val="20CA763A"/>
    <w:rsid w:val="20CD0399"/>
    <w:rsid w:val="20D3029D"/>
    <w:rsid w:val="20DA787E"/>
    <w:rsid w:val="20DD55C0"/>
    <w:rsid w:val="20EA3839"/>
    <w:rsid w:val="20F052F3"/>
    <w:rsid w:val="20F46465"/>
    <w:rsid w:val="20FF28F5"/>
    <w:rsid w:val="2101609C"/>
    <w:rsid w:val="21037966"/>
    <w:rsid w:val="21062413"/>
    <w:rsid w:val="21066562"/>
    <w:rsid w:val="211014F1"/>
    <w:rsid w:val="21132D8F"/>
    <w:rsid w:val="21162880"/>
    <w:rsid w:val="21221225"/>
    <w:rsid w:val="21224D81"/>
    <w:rsid w:val="21350F58"/>
    <w:rsid w:val="213B74B1"/>
    <w:rsid w:val="21486EDD"/>
    <w:rsid w:val="21491FA5"/>
    <w:rsid w:val="215A2310"/>
    <w:rsid w:val="215F0F70"/>
    <w:rsid w:val="216D6944"/>
    <w:rsid w:val="217575A6"/>
    <w:rsid w:val="217C38F3"/>
    <w:rsid w:val="217C7F19"/>
    <w:rsid w:val="217D645B"/>
    <w:rsid w:val="218E0668"/>
    <w:rsid w:val="218E2416"/>
    <w:rsid w:val="219263AA"/>
    <w:rsid w:val="21957C48"/>
    <w:rsid w:val="21C746EA"/>
    <w:rsid w:val="21CA5B44"/>
    <w:rsid w:val="21CD73E2"/>
    <w:rsid w:val="21D01108"/>
    <w:rsid w:val="21D342CD"/>
    <w:rsid w:val="21DA647B"/>
    <w:rsid w:val="21DE318A"/>
    <w:rsid w:val="21DE339D"/>
    <w:rsid w:val="21E07116"/>
    <w:rsid w:val="21E32762"/>
    <w:rsid w:val="21E93AF0"/>
    <w:rsid w:val="21EA1D42"/>
    <w:rsid w:val="21EF5B80"/>
    <w:rsid w:val="21FA5CFD"/>
    <w:rsid w:val="21FC5E2E"/>
    <w:rsid w:val="220124C7"/>
    <w:rsid w:val="22031056"/>
    <w:rsid w:val="22032E04"/>
    <w:rsid w:val="22045743"/>
    <w:rsid w:val="220628F4"/>
    <w:rsid w:val="220D127E"/>
    <w:rsid w:val="220D77DF"/>
    <w:rsid w:val="22180576"/>
    <w:rsid w:val="221C3EC6"/>
    <w:rsid w:val="221F7512"/>
    <w:rsid w:val="22232AD2"/>
    <w:rsid w:val="2223472D"/>
    <w:rsid w:val="222648EA"/>
    <w:rsid w:val="2233766F"/>
    <w:rsid w:val="224D0523"/>
    <w:rsid w:val="22576990"/>
    <w:rsid w:val="22590C76"/>
    <w:rsid w:val="226B2757"/>
    <w:rsid w:val="22756E20"/>
    <w:rsid w:val="227E248B"/>
    <w:rsid w:val="228026A7"/>
    <w:rsid w:val="22873A35"/>
    <w:rsid w:val="228D2A2D"/>
    <w:rsid w:val="229972C4"/>
    <w:rsid w:val="22A243CB"/>
    <w:rsid w:val="22AC6FF8"/>
    <w:rsid w:val="22B23494"/>
    <w:rsid w:val="22B97967"/>
    <w:rsid w:val="22BB48F8"/>
    <w:rsid w:val="22BF433F"/>
    <w:rsid w:val="22C81958"/>
    <w:rsid w:val="22CC58EC"/>
    <w:rsid w:val="22CD0937"/>
    <w:rsid w:val="22CE51C0"/>
    <w:rsid w:val="22DB5B2F"/>
    <w:rsid w:val="22DD3655"/>
    <w:rsid w:val="22E22A19"/>
    <w:rsid w:val="22EF5136"/>
    <w:rsid w:val="22EF562B"/>
    <w:rsid w:val="22F47480"/>
    <w:rsid w:val="230A1F70"/>
    <w:rsid w:val="23166B67"/>
    <w:rsid w:val="231C75AA"/>
    <w:rsid w:val="23250B58"/>
    <w:rsid w:val="23333F99"/>
    <w:rsid w:val="23353491"/>
    <w:rsid w:val="233D40F4"/>
    <w:rsid w:val="233F60BE"/>
    <w:rsid w:val="23405992"/>
    <w:rsid w:val="23531B69"/>
    <w:rsid w:val="23563407"/>
    <w:rsid w:val="235C0A1E"/>
    <w:rsid w:val="235E06A3"/>
    <w:rsid w:val="236553F8"/>
    <w:rsid w:val="236B0C61"/>
    <w:rsid w:val="236B6EB3"/>
    <w:rsid w:val="237815D0"/>
    <w:rsid w:val="2378680C"/>
    <w:rsid w:val="23887A65"/>
    <w:rsid w:val="238E494F"/>
    <w:rsid w:val="239857CE"/>
    <w:rsid w:val="2398757C"/>
    <w:rsid w:val="239B0466"/>
    <w:rsid w:val="239C706C"/>
    <w:rsid w:val="239D1036"/>
    <w:rsid w:val="23A75A11"/>
    <w:rsid w:val="23AD74CB"/>
    <w:rsid w:val="23B00D6A"/>
    <w:rsid w:val="23B95E70"/>
    <w:rsid w:val="23BF0FAD"/>
    <w:rsid w:val="23C860B3"/>
    <w:rsid w:val="23CA0C85"/>
    <w:rsid w:val="23CB5BA3"/>
    <w:rsid w:val="23D74548"/>
    <w:rsid w:val="23D902C0"/>
    <w:rsid w:val="23DE1C48"/>
    <w:rsid w:val="23E80503"/>
    <w:rsid w:val="23E80C11"/>
    <w:rsid w:val="23F10CC8"/>
    <w:rsid w:val="23F23130"/>
    <w:rsid w:val="23F357E7"/>
    <w:rsid w:val="23FA0237"/>
    <w:rsid w:val="240210CD"/>
    <w:rsid w:val="24087DC5"/>
    <w:rsid w:val="241430A6"/>
    <w:rsid w:val="241C01AD"/>
    <w:rsid w:val="241E5CD3"/>
    <w:rsid w:val="242157C3"/>
    <w:rsid w:val="24280900"/>
    <w:rsid w:val="24295F23"/>
    <w:rsid w:val="242B6642"/>
    <w:rsid w:val="24354CE1"/>
    <w:rsid w:val="2443573A"/>
    <w:rsid w:val="24476E69"/>
    <w:rsid w:val="244B1B66"/>
    <w:rsid w:val="244D65B8"/>
    <w:rsid w:val="24547947"/>
    <w:rsid w:val="245E2574"/>
    <w:rsid w:val="246062EC"/>
    <w:rsid w:val="247E6772"/>
    <w:rsid w:val="248507D2"/>
    <w:rsid w:val="248F4E23"/>
    <w:rsid w:val="24912949"/>
    <w:rsid w:val="24A7216D"/>
    <w:rsid w:val="24AF0259"/>
    <w:rsid w:val="24B5431F"/>
    <w:rsid w:val="24B93C4E"/>
    <w:rsid w:val="24BF09F7"/>
    <w:rsid w:val="24C0322E"/>
    <w:rsid w:val="24D46CDA"/>
    <w:rsid w:val="24DA01B7"/>
    <w:rsid w:val="24DC3F73"/>
    <w:rsid w:val="24E011DB"/>
    <w:rsid w:val="24E53A59"/>
    <w:rsid w:val="24EC5DD1"/>
    <w:rsid w:val="24ED56A6"/>
    <w:rsid w:val="24EE7D9B"/>
    <w:rsid w:val="24F627AC"/>
    <w:rsid w:val="251E1FFF"/>
    <w:rsid w:val="252D53FE"/>
    <w:rsid w:val="252E63EA"/>
    <w:rsid w:val="2533755C"/>
    <w:rsid w:val="253F05F7"/>
    <w:rsid w:val="25445C0D"/>
    <w:rsid w:val="254A4736"/>
    <w:rsid w:val="255B069D"/>
    <w:rsid w:val="25643BBA"/>
    <w:rsid w:val="25686244"/>
    <w:rsid w:val="256A4F48"/>
    <w:rsid w:val="257873FD"/>
    <w:rsid w:val="257A33DD"/>
    <w:rsid w:val="25822292"/>
    <w:rsid w:val="25875579"/>
    <w:rsid w:val="25893620"/>
    <w:rsid w:val="25987D07"/>
    <w:rsid w:val="25A4045A"/>
    <w:rsid w:val="25B52667"/>
    <w:rsid w:val="25B83F05"/>
    <w:rsid w:val="25BD2A55"/>
    <w:rsid w:val="25C12DBA"/>
    <w:rsid w:val="25C32FD6"/>
    <w:rsid w:val="25C603D0"/>
    <w:rsid w:val="25CB3C39"/>
    <w:rsid w:val="25CB59E7"/>
    <w:rsid w:val="25D0124F"/>
    <w:rsid w:val="25D02FFD"/>
    <w:rsid w:val="25D674C4"/>
    <w:rsid w:val="25DA3E7C"/>
    <w:rsid w:val="25E1520A"/>
    <w:rsid w:val="25E46AA9"/>
    <w:rsid w:val="25EC2D81"/>
    <w:rsid w:val="25ED1E01"/>
    <w:rsid w:val="25EE202B"/>
    <w:rsid w:val="25F16DFD"/>
    <w:rsid w:val="25F85774"/>
    <w:rsid w:val="25F969F8"/>
    <w:rsid w:val="26091268"/>
    <w:rsid w:val="2613754D"/>
    <w:rsid w:val="26143832"/>
    <w:rsid w:val="26190E48"/>
    <w:rsid w:val="26327902"/>
    <w:rsid w:val="26451C3D"/>
    <w:rsid w:val="264659B5"/>
    <w:rsid w:val="264834DB"/>
    <w:rsid w:val="265C2AE3"/>
    <w:rsid w:val="266D2F42"/>
    <w:rsid w:val="26760048"/>
    <w:rsid w:val="26906C30"/>
    <w:rsid w:val="269C0146"/>
    <w:rsid w:val="269C3827"/>
    <w:rsid w:val="269E759F"/>
    <w:rsid w:val="26A141F5"/>
    <w:rsid w:val="26A31D54"/>
    <w:rsid w:val="26AB75C6"/>
    <w:rsid w:val="26B75BDF"/>
    <w:rsid w:val="26BF06CE"/>
    <w:rsid w:val="26CC624A"/>
    <w:rsid w:val="26CD23C6"/>
    <w:rsid w:val="26CF5B70"/>
    <w:rsid w:val="26E30757"/>
    <w:rsid w:val="26E86A6C"/>
    <w:rsid w:val="2705317A"/>
    <w:rsid w:val="27160EE4"/>
    <w:rsid w:val="271656AD"/>
    <w:rsid w:val="271B299E"/>
    <w:rsid w:val="271B474C"/>
    <w:rsid w:val="272F6449"/>
    <w:rsid w:val="27351CB2"/>
    <w:rsid w:val="273864DE"/>
    <w:rsid w:val="273D0B66"/>
    <w:rsid w:val="27421CD9"/>
    <w:rsid w:val="27483067"/>
    <w:rsid w:val="274C2B57"/>
    <w:rsid w:val="275824C6"/>
    <w:rsid w:val="275B723E"/>
    <w:rsid w:val="27642706"/>
    <w:rsid w:val="276B270C"/>
    <w:rsid w:val="276D13E5"/>
    <w:rsid w:val="277057A2"/>
    <w:rsid w:val="2786250D"/>
    <w:rsid w:val="278E13C2"/>
    <w:rsid w:val="2793419E"/>
    <w:rsid w:val="27942A17"/>
    <w:rsid w:val="27965C2C"/>
    <w:rsid w:val="279E429A"/>
    <w:rsid w:val="279F712B"/>
    <w:rsid w:val="27A40BE5"/>
    <w:rsid w:val="27BA6BDA"/>
    <w:rsid w:val="27C052F3"/>
    <w:rsid w:val="27C50CF8"/>
    <w:rsid w:val="27DA4607"/>
    <w:rsid w:val="27DF4DB1"/>
    <w:rsid w:val="27DF5779"/>
    <w:rsid w:val="27E46B57"/>
    <w:rsid w:val="27E6374D"/>
    <w:rsid w:val="27F136FF"/>
    <w:rsid w:val="27F8683B"/>
    <w:rsid w:val="27FC457D"/>
    <w:rsid w:val="280B4FF2"/>
    <w:rsid w:val="2818512F"/>
    <w:rsid w:val="28235FAE"/>
    <w:rsid w:val="28261BFA"/>
    <w:rsid w:val="28292E99"/>
    <w:rsid w:val="282B2A01"/>
    <w:rsid w:val="283006CB"/>
    <w:rsid w:val="28302479"/>
    <w:rsid w:val="28343F41"/>
    <w:rsid w:val="28377363"/>
    <w:rsid w:val="28500425"/>
    <w:rsid w:val="28667C49"/>
    <w:rsid w:val="286F11F3"/>
    <w:rsid w:val="287462E3"/>
    <w:rsid w:val="287C121A"/>
    <w:rsid w:val="28884063"/>
    <w:rsid w:val="2891733E"/>
    <w:rsid w:val="28927A2A"/>
    <w:rsid w:val="28956780"/>
    <w:rsid w:val="28A54C15"/>
    <w:rsid w:val="28A71ED3"/>
    <w:rsid w:val="28AD0B7A"/>
    <w:rsid w:val="28AF15F0"/>
    <w:rsid w:val="28C826B1"/>
    <w:rsid w:val="28C87E31"/>
    <w:rsid w:val="28D9666D"/>
    <w:rsid w:val="28DB0637"/>
    <w:rsid w:val="28E60D8A"/>
    <w:rsid w:val="29051210"/>
    <w:rsid w:val="291A7628"/>
    <w:rsid w:val="29206EB8"/>
    <w:rsid w:val="2927562A"/>
    <w:rsid w:val="292E4C0A"/>
    <w:rsid w:val="293145B7"/>
    <w:rsid w:val="293C16B9"/>
    <w:rsid w:val="293D6BFB"/>
    <w:rsid w:val="294D259A"/>
    <w:rsid w:val="294F692F"/>
    <w:rsid w:val="29595666"/>
    <w:rsid w:val="295D729E"/>
    <w:rsid w:val="29627139"/>
    <w:rsid w:val="29671ECA"/>
    <w:rsid w:val="29777DC6"/>
    <w:rsid w:val="29804D3A"/>
    <w:rsid w:val="29824F56"/>
    <w:rsid w:val="29874881"/>
    <w:rsid w:val="298C1931"/>
    <w:rsid w:val="29930F11"/>
    <w:rsid w:val="29943148"/>
    <w:rsid w:val="299802D6"/>
    <w:rsid w:val="29997554"/>
    <w:rsid w:val="299D09B8"/>
    <w:rsid w:val="299E493C"/>
    <w:rsid w:val="29B31702"/>
    <w:rsid w:val="29B36EBE"/>
    <w:rsid w:val="29B50E88"/>
    <w:rsid w:val="29B5420E"/>
    <w:rsid w:val="29C62EA4"/>
    <w:rsid w:val="29CC7F7F"/>
    <w:rsid w:val="29D60DFE"/>
    <w:rsid w:val="29D86924"/>
    <w:rsid w:val="29DA6B40"/>
    <w:rsid w:val="29E17ECF"/>
    <w:rsid w:val="29E325E0"/>
    <w:rsid w:val="29EB332B"/>
    <w:rsid w:val="29ED40BB"/>
    <w:rsid w:val="29F27FD8"/>
    <w:rsid w:val="2A07545B"/>
    <w:rsid w:val="2A094D30"/>
    <w:rsid w:val="2A1060BE"/>
    <w:rsid w:val="2A1831C5"/>
    <w:rsid w:val="2A1F27A5"/>
    <w:rsid w:val="2A2E138D"/>
    <w:rsid w:val="2A3224D8"/>
    <w:rsid w:val="2A3A0118"/>
    <w:rsid w:val="2A3B184E"/>
    <w:rsid w:val="2A452503"/>
    <w:rsid w:val="2A465F84"/>
    <w:rsid w:val="2A475858"/>
    <w:rsid w:val="2A573CED"/>
    <w:rsid w:val="2A620F4E"/>
    <w:rsid w:val="2A7E571E"/>
    <w:rsid w:val="2A922F77"/>
    <w:rsid w:val="2A954815"/>
    <w:rsid w:val="2AA001C1"/>
    <w:rsid w:val="2AB96756"/>
    <w:rsid w:val="2ABA24CE"/>
    <w:rsid w:val="2AC11AAE"/>
    <w:rsid w:val="2AC375D4"/>
    <w:rsid w:val="2AC5334C"/>
    <w:rsid w:val="2AC60E73"/>
    <w:rsid w:val="2AC86999"/>
    <w:rsid w:val="2ACD2201"/>
    <w:rsid w:val="2AD43590"/>
    <w:rsid w:val="2AEB08D9"/>
    <w:rsid w:val="2AF754D0"/>
    <w:rsid w:val="2B037FA9"/>
    <w:rsid w:val="2B125E66"/>
    <w:rsid w:val="2B133327"/>
    <w:rsid w:val="2B141BDE"/>
    <w:rsid w:val="2B146082"/>
    <w:rsid w:val="2B2226D7"/>
    <w:rsid w:val="2B347EFB"/>
    <w:rsid w:val="2B3B716B"/>
    <w:rsid w:val="2B3C1135"/>
    <w:rsid w:val="2B4163FB"/>
    <w:rsid w:val="2B496CC9"/>
    <w:rsid w:val="2B4B0E39"/>
    <w:rsid w:val="2B620B9B"/>
    <w:rsid w:val="2B634913"/>
    <w:rsid w:val="2B6E5792"/>
    <w:rsid w:val="2B6F0A1A"/>
    <w:rsid w:val="2B74267D"/>
    <w:rsid w:val="2B873F26"/>
    <w:rsid w:val="2B8D373E"/>
    <w:rsid w:val="2B8F591A"/>
    <w:rsid w:val="2B911481"/>
    <w:rsid w:val="2B9C58CC"/>
    <w:rsid w:val="2B9D6077"/>
    <w:rsid w:val="2BA936A8"/>
    <w:rsid w:val="2BB05DAB"/>
    <w:rsid w:val="2BC678E4"/>
    <w:rsid w:val="2BD96984"/>
    <w:rsid w:val="2BDA5B60"/>
    <w:rsid w:val="2BDD6474"/>
    <w:rsid w:val="2BDF21EC"/>
    <w:rsid w:val="2BDF5983"/>
    <w:rsid w:val="2BE5357A"/>
    <w:rsid w:val="2BEC00FB"/>
    <w:rsid w:val="2BF67536"/>
    <w:rsid w:val="2BFD08C4"/>
    <w:rsid w:val="2C050DBB"/>
    <w:rsid w:val="2C077995"/>
    <w:rsid w:val="2C0C6D59"/>
    <w:rsid w:val="2C0D3FC2"/>
    <w:rsid w:val="2C0E0D23"/>
    <w:rsid w:val="2C153E60"/>
    <w:rsid w:val="2C1F4CDE"/>
    <w:rsid w:val="2C315A5A"/>
    <w:rsid w:val="2C3623FB"/>
    <w:rsid w:val="2C4B1C25"/>
    <w:rsid w:val="2C4E1981"/>
    <w:rsid w:val="2C532BDA"/>
    <w:rsid w:val="2C541F4A"/>
    <w:rsid w:val="2C5801F0"/>
    <w:rsid w:val="2C5F5A8D"/>
    <w:rsid w:val="2C640943"/>
    <w:rsid w:val="2C70553A"/>
    <w:rsid w:val="2C736DD8"/>
    <w:rsid w:val="2C7A1F15"/>
    <w:rsid w:val="2C8417A1"/>
    <w:rsid w:val="2C923702"/>
    <w:rsid w:val="2C98683F"/>
    <w:rsid w:val="2C996564"/>
    <w:rsid w:val="2C9C361E"/>
    <w:rsid w:val="2CA361BA"/>
    <w:rsid w:val="2CAA21A6"/>
    <w:rsid w:val="2CB37934"/>
    <w:rsid w:val="2CD16667"/>
    <w:rsid w:val="2CD554DA"/>
    <w:rsid w:val="2CDC497D"/>
    <w:rsid w:val="2CDE0935"/>
    <w:rsid w:val="2CEF2903"/>
    <w:rsid w:val="2CF41CC7"/>
    <w:rsid w:val="2CF61CC5"/>
    <w:rsid w:val="2CFC3B84"/>
    <w:rsid w:val="2CFE2B46"/>
    <w:rsid w:val="2D0363AE"/>
    <w:rsid w:val="2D0B2859"/>
    <w:rsid w:val="2D0F08AF"/>
    <w:rsid w:val="2D197980"/>
    <w:rsid w:val="2D241F6F"/>
    <w:rsid w:val="2D3373D5"/>
    <w:rsid w:val="2D357470"/>
    <w:rsid w:val="2D4349FC"/>
    <w:rsid w:val="2D4542D1"/>
    <w:rsid w:val="2D460B03"/>
    <w:rsid w:val="2D597EB8"/>
    <w:rsid w:val="2D5E1836"/>
    <w:rsid w:val="2D686211"/>
    <w:rsid w:val="2D7352E2"/>
    <w:rsid w:val="2D7828F8"/>
    <w:rsid w:val="2D7D4B8F"/>
    <w:rsid w:val="2D915768"/>
    <w:rsid w:val="2D9C5EBB"/>
    <w:rsid w:val="2D9E56F5"/>
    <w:rsid w:val="2DA21723"/>
    <w:rsid w:val="2DA42FE5"/>
    <w:rsid w:val="2DA82AB1"/>
    <w:rsid w:val="2DAD00C8"/>
    <w:rsid w:val="2DD26343"/>
    <w:rsid w:val="2DD65871"/>
    <w:rsid w:val="2DDF4D42"/>
    <w:rsid w:val="2DE7182C"/>
    <w:rsid w:val="2DEA4E78"/>
    <w:rsid w:val="2DED3B70"/>
    <w:rsid w:val="2DED6716"/>
    <w:rsid w:val="2DEF248E"/>
    <w:rsid w:val="2DF23728"/>
    <w:rsid w:val="2E020414"/>
    <w:rsid w:val="2E112A27"/>
    <w:rsid w:val="2E1E4B22"/>
    <w:rsid w:val="2E206AEC"/>
    <w:rsid w:val="2E262354"/>
    <w:rsid w:val="2E291E44"/>
    <w:rsid w:val="2E312239"/>
    <w:rsid w:val="2E3A5DFF"/>
    <w:rsid w:val="2E3C3D01"/>
    <w:rsid w:val="2E400F3C"/>
    <w:rsid w:val="2E527ECD"/>
    <w:rsid w:val="2E543A76"/>
    <w:rsid w:val="2E5549E7"/>
    <w:rsid w:val="2E5A3DAC"/>
    <w:rsid w:val="2E5B7B24"/>
    <w:rsid w:val="2E5F5866"/>
    <w:rsid w:val="2E612427"/>
    <w:rsid w:val="2E667F96"/>
    <w:rsid w:val="2E6E4094"/>
    <w:rsid w:val="2E755745"/>
    <w:rsid w:val="2E8226AB"/>
    <w:rsid w:val="2E823F5F"/>
    <w:rsid w:val="2E8B0409"/>
    <w:rsid w:val="2E982B26"/>
    <w:rsid w:val="2EA74B17"/>
    <w:rsid w:val="2EA75D4E"/>
    <w:rsid w:val="2EA9088F"/>
    <w:rsid w:val="2EA94D33"/>
    <w:rsid w:val="2EAC037F"/>
    <w:rsid w:val="2EAF2E59"/>
    <w:rsid w:val="2EBD433B"/>
    <w:rsid w:val="2EC61D7B"/>
    <w:rsid w:val="2ECB2EFB"/>
    <w:rsid w:val="2ECD6C74"/>
    <w:rsid w:val="2EE63891"/>
    <w:rsid w:val="2EE6563F"/>
    <w:rsid w:val="2EEE7F4E"/>
    <w:rsid w:val="2EFE6E2D"/>
    <w:rsid w:val="2EFF4953"/>
    <w:rsid w:val="2F0361F1"/>
    <w:rsid w:val="2F1321AD"/>
    <w:rsid w:val="2F1403FE"/>
    <w:rsid w:val="2F191EB9"/>
    <w:rsid w:val="2F1E7F8F"/>
    <w:rsid w:val="2F204FF5"/>
    <w:rsid w:val="2F212B1B"/>
    <w:rsid w:val="2F2148C9"/>
    <w:rsid w:val="2F25085E"/>
    <w:rsid w:val="2F3333F7"/>
    <w:rsid w:val="2F340AA1"/>
    <w:rsid w:val="2F3B3145"/>
    <w:rsid w:val="2F3B4C44"/>
    <w:rsid w:val="2F3F11F4"/>
    <w:rsid w:val="2F436F36"/>
    <w:rsid w:val="2F601055"/>
    <w:rsid w:val="2F615786"/>
    <w:rsid w:val="2F662C24"/>
    <w:rsid w:val="2F6C3552"/>
    <w:rsid w:val="2F731670"/>
    <w:rsid w:val="2F77098D"/>
    <w:rsid w:val="2F835487"/>
    <w:rsid w:val="2F94153F"/>
    <w:rsid w:val="2FB120F1"/>
    <w:rsid w:val="2FB90FA6"/>
    <w:rsid w:val="2FBC45F2"/>
    <w:rsid w:val="2FBE65BC"/>
    <w:rsid w:val="2FD065E6"/>
    <w:rsid w:val="2FD44032"/>
    <w:rsid w:val="2FD96870"/>
    <w:rsid w:val="2FDC6A42"/>
    <w:rsid w:val="2FDE58A3"/>
    <w:rsid w:val="2FE51D9B"/>
    <w:rsid w:val="2FEB7880"/>
    <w:rsid w:val="2FF7387C"/>
    <w:rsid w:val="30011CB8"/>
    <w:rsid w:val="300761B5"/>
    <w:rsid w:val="30087837"/>
    <w:rsid w:val="30110DE2"/>
    <w:rsid w:val="301663F8"/>
    <w:rsid w:val="30190B1D"/>
    <w:rsid w:val="301949CF"/>
    <w:rsid w:val="30197C97"/>
    <w:rsid w:val="301B50E2"/>
    <w:rsid w:val="301D32E3"/>
    <w:rsid w:val="3023198B"/>
    <w:rsid w:val="30235F47"/>
    <w:rsid w:val="302C1778"/>
    <w:rsid w:val="3030640B"/>
    <w:rsid w:val="3038516F"/>
    <w:rsid w:val="303B19BB"/>
    <w:rsid w:val="30515682"/>
    <w:rsid w:val="30536D05"/>
    <w:rsid w:val="30580BC9"/>
    <w:rsid w:val="30647164"/>
    <w:rsid w:val="307B44AD"/>
    <w:rsid w:val="30907F59"/>
    <w:rsid w:val="309372B2"/>
    <w:rsid w:val="309A2B85"/>
    <w:rsid w:val="309A4933"/>
    <w:rsid w:val="30A44F9A"/>
    <w:rsid w:val="30A734F4"/>
    <w:rsid w:val="30B04157"/>
    <w:rsid w:val="30B67293"/>
    <w:rsid w:val="30DC13F0"/>
    <w:rsid w:val="30E12562"/>
    <w:rsid w:val="30E46DA9"/>
    <w:rsid w:val="30E738F1"/>
    <w:rsid w:val="30E95C0A"/>
    <w:rsid w:val="30EE1123"/>
    <w:rsid w:val="30F027A5"/>
    <w:rsid w:val="30F304E8"/>
    <w:rsid w:val="30FC739C"/>
    <w:rsid w:val="3103697D"/>
    <w:rsid w:val="310821E5"/>
    <w:rsid w:val="31095A22"/>
    <w:rsid w:val="310E5321"/>
    <w:rsid w:val="311E2ED7"/>
    <w:rsid w:val="31232B7B"/>
    <w:rsid w:val="31243568"/>
    <w:rsid w:val="312468F3"/>
    <w:rsid w:val="312B5ED3"/>
    <w:rsid w:val="31327262"/>
    <w:rsid w:val="313649A0"/>
    <w:rsid w:val="313A7EC4"/>
    <w:rsid w:val="31480833"/>
    <w:rsid w:val="314B0324"/>
    <w:rsid w:val="314B3E80"/>
    <w:rsid w:val="314F3970"/>
    <w:rsid w:val="31501496"/>
    <w:rsid w:val="31523460"/>
    <w:rsid w:val="31554CFE"/>
    <w:rsid w:val="315619EE"/>
    <w:rsid w:val="315C449C"/>
    <w:rsid w:val="315F792B"/>
    <w:rsid w:val="31605A6B"/>
    <w:rsid w:val="316433D0"/>
    <w:rsid w:val="31772EC7"/>
    <w:rsid w:val="31801C53"/>
    <w:rsid w:val="31807FCD"/>
    <w:rsid w:val="3183186B"/>
    <w:rsid w:val="318D76A5"/>
    <w:rsid w:val="31A16195"/>
    <w:rsid w:val="31A43590"/>
    <w:rsid w:val="31AA1310"/>
    <w:rsid w:val="31B82709"/>
    <w:rsid w:val="31B934DF"/>
    <w:rsid w:val="31C53C32"/>
    <w:rsid w:val="31D05482"/>
    <w:rsid w:val="31E57E30"/>
    <w:rsid w:val="31E86C5B"/>
    <w:rsid w:val="320F1351"/>
    <w:rsid w:val="3220355E"/>
    <w:rsid w:val="32221084"/>
    <w:rsid w:val="32252923"/>
    <w:rsid w:val="32266F1C"/>
    <w:rsid w:val="32275064"/>
    <w:rsid w:val="322F37A1"/>
    <w:rsid w:val="3239017C"/>
    <w:rsid w:val="32400B34"/>
    <w:rsid w:val="3244724D"/>
    <w:rsid w:val="324A2389"/>
    <w:rsid w:val="32513718"/>
    <w:rsid w:val="325A081E"/>
    <w:rsid w:val="325B00F2"/>
    <w:rsid w:val="325E7BE3"/>
    <w:rsid w:val="325F0DF7"/>
    <w:rsid w:val="3260395B"/>
    <w:rsid w:val="32625925"/>
    <w:rsid w:val="326571C3"/>
    <w:rsid w:val="32676A97"/>
    <w:rsid w:val="326A2A2B"/>
    <w:rsid w:val="326E42CA"/>
    <w:rsid w:val="32794A1C"/>
    <w:rsid w:val="328A6C2A"/>
    <w:rsid w:val="328B7E8A"/>
    <w:rsid w:val="328E2276"/>
    <w:rsid w:val="32954761"/>
    <w:rsid w:val="329830F5"/>
    <w:rsid w:val="329C41ED"/>
    <w:rsid w:val="329E6876"/>
    <w:rsid w:val="32A13DCA"/>
    <w:rsid w:val="32A221C5"/>
    <w:rsid w:val="32AB6513"/>
    <w:rsid w:val="32B617CD"/>
    <w:rsid w:val="32B67A1F"/>
    <w:rsid w:val="32B819E9"/>
    <w:rsid w:val="32C1089D"/>
    <w:rsid w:val="32D0288E"/>
    <w:rsid w:val="32D3237F"/>
    <w:rsid w:val="32DD31FD"/>
    <w:rsid w:val="32DF0D23"/>
    <w:rsid w:val="32E620B2"/>
    <w:rsid w:val="32E92D40"/>
    <w:rsid w:val="32F02F60"/>
    <w:rsid w:val="32F24772"/>
    <w:rsid w:val="32F522F5"/>
    <w:rsid w:val="32FD11AA"/>
    <w:rsid w:val="32FF13C6"/>
    <w:rsid w:val="33037B5C"/>
    <w:rsid w:val="33097011"/>
    <w:rsid w:val="330B7D6A"/>
    <w:rsid w:val="331A1D5C"/>
    <w:rsid w:val="331C1F78"/>
    <w:rsid w:val="331D35FA"/>
    <w:rsid w:val="332130EA"/>
    <w:rsid w:val="33244988"/>
    <w:rsid w:val="33262C55"/>
    <w:rsid w:val="333015F2"/>
    <w:rsid w:val="33385FF5"/>
    <w:rsid w:val="334B6320"/>
    <w:rsid w:val="33590AD6"/>
    <w:rsid w:val="335B3C85"/>
    <w:rsid w:val="33613E2E"/>
    <w:rsid w:val="33631954"/>
    <w:rsid w:val="336F70E4"/>
    <w:rsid w:val="33727DEA"/>
    <w:rsid w:val="33732D77"/>
    <w:rsid w:val="337F42B4"/>
    <w:rsid w:val="33821087"/>
    <w:rsid w:val="338A3F7D"/>
    <w:rsid w:val="338B462A"/>
    <w:rsid w:val="338D077F"/>
    <w:rsid w:val="33A61841"/>
    <w:rsid w:val="33A87367"/>
    <w:rsid w:val="33AD497E"/>
    <w:rsid w:val="33B421B0"/>
    <w:rsid w:val="33B43F5E"/>
    <w:rsid w:val="33B6430D"/>
    <w:rsid w:val="33BC72B7"/>
    <w:rsid w:val="33C64D45"/>
    <w:rsid w:val="33C817B8"/>
    <w:rsid w:val="33CB12A8"/>
    <w:rsid w:val="33D05073"/>
    <w:rsid w:val="33D10DA0"/>
    <w:rsid w:val="33D4015C"/>
    <w:rsid w:val="33D934D4"/>
    <w:rsid w:val="33DF6B01"/>
    <w:rsid w:val="33E35C03"/>
    <w:rsid w:val="33E74334"/>
    <w:rsid w:val="33E800AC"/>
    <w:rsid w:val="33EA37E9"/>
    <w:rsid w:val="33EB36F8"/>
    <w:rsid w:val="33EF143A"/>
    <w:rsid w:val="33F97BC3"/>
    <w:rsid w:val="33FE2F6A"/>
    <w:rsid w:val="340E07E5"/>
    <w:rsid w:val="340F73E6"/>
    <w:rsid w:val="34117602"/>
    <w:rsid w:val="341449FD"/>
    <w:rsid w:val="34162C51"/>
    <w:rsid w:val="341E587B"/>
    <w:rsid w:val="34235BF7"/>
    <w:rsid w:val="343230D5"/>
    <w:rsid w:val="343E1A7A"/>
    <w:rsid w:val="344004AA"/>
    <w:rsid w:val="3442156A"/>
    <w:rsid w:val="34474DD2"/>
    <w:rsid w:val="344F35EE"/>
    <w:rsid w:val="345117AD"/>
    <w:rsid w:val="34515C51"/>
    <w:rsid w:val="34621C0C"/>
    <w:rsid w:val="346A286F"/>
    <w:rsid w:val="346C7CB3"/>
    <w:rsid w:val="346D1CCA"/>
    <w:rsid w:val="34781A04"/>
    <w:rsid w:val="347D07F4"/>
    <w:rsid w:val="348E0C53"/>
    <w:rsid w:val="348E565A"/>
    <w:rsid w:val="3491714C"/>
    <w:rsid w:val="349A13A6"/>
    <w:rsid w:val="34A044E2"/>
    <w:rsid w:val="34A83397"/>
    <w:rsid w:val="34AD568F"/>
    <w:rsid w:val="34AE30A3"/>
    <w:rsid w:val="34C1238E"/>
    <w:rsid w:val="34C44675"/>
    <w:rsid w:val="34C91C8B"/>
    <w:rsid w:val="34D36666"/>
    <w:rsid w:val="34D86C31"/>
    <w:rsid w:val="34E95E89"/>
    <w:rsid w:val="34F32864"/>
    <w:rsid w:val="34F565DC"/>
    <w:rsid w:val="34FA62E8"/>
    <w:rsid w:val="34FF745B"/>
    <w:rsid w:val="35090050"/>
    <w:rsid w:val="350A3514"/>
    <w:rsid w:val="3511718E"/>
    <w:rsid w:val="351729F7"/>
    <w:rsid w:val="35213875"/>
    <w:rsid w:val="35214225"/>
    <w:rsid w:val="352E3B14"/>
    <w:rsid w:val="35374E47"/>
    <w:rsid w:val="3538471B"/>
    <w:rsid w:val="353D61D5"/>
    <w:rsid w:val="353E4427"/>
    <w:rsid w:val="35466E38"/>
    <w:rsid w:val="35494B7A"/>
    <w:rsid w:val="3550415A"/>
    <w:rsid w:val="355C665B"/>
    <w:rsid w:val="35747E49"/>
    <w:rsid w:val="357A11D7"/>
    <w:rsid w:val="357C6CFE"/>
    <w:rsid w:val="35876C7B"/>
    <w:rsid w:val="358931C8"/>
    <w:rsid w:val="358A6B3D"/>
    <w:rsid w:val="358C5FA8"/>
    <w:rsid w:val="35960D13"/>
    <w:rsid w:val="35973B37"/>
    <w:rsid w:val="35B00755"/>
    <w:rsid w:val="35B04BF9"/>
    <w:rsid w:val="35C15DF1"/>
    <w:rsid w:val="35C16E06"/>
    <w:rsid w:val="35C67F79"/>
    <w:rsid w:val="35D42696"/>
    <w:rsid w:val="35D54660"/>
    <w:rsid w:val="35D6317D"/>
    <w:rsid w:val="35DA3A24"/>
    <w:rsid w:val="35DB559B"/>
    <w:rsid w:val="35DC781D"/>
    <w:rsid w:val="35EC59E2"/>
    <w:rsid w:val="35ED7BFB"/>
    <w:rsid w:val="35EF5721"/>
    <w:rsid w:val="35F25212"/>
    <w:rsid w:val="35FE7713"/>
    <w:rsid w:val="36017203"/>
    <w:rsid w:val="36074A7F"/>
    <w:rsid w:val="360A2F4D"/>
    <w:rsid w:val="36203B2D"/>
    <w:rsid w:val="36213401"/>
    <w:rsid w:val="362627F1"/>
    <w:rsid w:val="363B3304"/>
    <w:rsid w:val="363B44C3"/>
    <w:rsid w:val="36407D2B"/>
    <w:rsid w:val="36415851"/>
    <w:rsid w:val="36435A6D"/>
    <w:rsid w:val="364F61C0"/>
    <w:rsid w:val="365D6B2F"/>
    <w:rsid w:val="3675792C"/>
    <w:rsid w:val="36783969"/>
    <w:rsid w:val="36783DDF"/>
    <w:rsid w:val="367A58C4"/>
    <w:rsid w:val="36923549"/>
    <w:rsid w:val="36957440"/>
    <w:rsid w:val="369B2FE3"/>
    <w:rsid w:val="369C2081"/>
    <w:rsid w:val="36B75FBF"/>
    <w:rsid w:val="36BD0C45"/>
    <w:rsid w:val="36BD75CE"/>
    <w:rsid w:val="36C767E4"/>
    <w:rsid w:val="36D52B69"/>
    <w:rsid w:val="36DB0E34"/>
    <w:rsid w:val="36DB4F6E"/>
    <w:rsid w:val="36E56B24"/>
    <w:rsid w:val="36F17F85"/>
    <w:rsid w:val="36F86858"/>
    <w:rsid w:val="37024FE0"/>
    <w:rsid w:val="370B658B"/>
    <w:rsid w:val="370F022E"/>
    <w:rsid w:val="37120768"/>
    <w:rsid w:val="372225A7"/>
    <w:rsid w:val="372238D5"/>
    <w:rsid w:val="372C02AF"/>
    <w:rsid w:val="372E2279"/>
    <w:rsid w:val="37307DA0"/>
    <w:rsid w:val="37490E61"/>
    <w:rsid w:val="374E46CA"/>
    <w:rsid w:val="374F3A34"/>
    <w:rsid w:val="37537F32"/>
    <w:rsid w:val="37544362"/>
    <w:rsid w:val="37557806"/>
    <w:rsid w:val="37585548"/>
    <w:rsid w:val="375E6E5D"/>
    <w:rsid w:val="3764646E"/>
    <w:rsid w:val="37667C65"/>
    <w:rsid w:val="37797999"/>
    <w:rsid w:val="37955E55"/>
    <w:rsid w:val="37963287"/>
    <w:rsid w:val="379A790F"/>
    <w:rsid w:val="379C71E3"/>
    <w:rsid w:val="379F77DE"/>
    <w:rsid w:val="37AD7642"/>
    <w:rsid w:val="37B02C8E"/>
    <w:rsid w:val="37B05B56"/>
    <w:rsid w:val="37BA1D5F"/>
    <w:rsid w:val="37C16E92"/>
    <w:rsid w:val="37CE4EB3"/>
    <w:rsid w:val="37CE75B8"/>
    <w:rsid w:val="37CF2144"/>
    <w:rsid w:val="37D243DB"/>
    <w:rsid w:val="37D573E9"/>
    <w:rsid w:val="37E00298"/>
    <w:rsid w:val="37E961A0"/>
    <w:rsid w:val="37EF7C5B"/>
    <w:rsid w:val="37F52D97"/>
    <w:rsid w:val="37FF59C4"/>
    <w:rsid w:val="3803071E"/>
    <w:rsid w:val="381D6354"/>
    <w:rsid w:val="38417D8A"/>
    <w:rsid w:val="3845523C"/>
    <w:rsid w:val="38455ACD"/>
    <w:rsid w:val="38482EC7"/>
    <w:rsid w:val="384A6C3F"/>
    <w:rsid w:val="384B29B7"/>
    <w:rsid w:val="38516FFA"/>
    <w:rsid w:val="38565A55"/>
    <w:rsid w:val="3857135C"/>
    <w:rsid w:val="38657F1D"/>
    <w:rsid w:val="3872263A"/>
    <w:rsid w:val="387B329C"/>
    <w:rsid w:val="388303A3"/>
    <w:rsid w:val="388342A9"/>
    <w:rsid w:val="38870EE9"/>
    <w:rsid w:val="389425B0"/>
    <w:rsid w:val="389E6F8B"/>
    <w:rsid w:val="38AE5852"/>
    <w:rsid w:val="38B302F9"/>
    <w:rsid w:val="38B74B11"/>
    <w:rsid w:val="38C74734"/>
    <w:rsid w:val="38CA67D0"/>
    <w:rsid w:val="38CC231A"/>
    <w:rsid w:val="38DB1F8D"/>
    <w:rsid w:val="38DD7AB3"/>
    <w:rsid w:val="38E41B47"/>
    <w:rsid w:val="38E47595"/>
    <w:rsid w:val="38EF77E6"/>
    <w:rsid w:val="38F12CD3"/>
    <w:rsid w:val="38F14CA9"/>
    <w:rsid w:val="38F43D53"/>
    <w:rsid w:val="38F94775"/>
    <w:rsid w:val="3902576C"/>
    <w:rsid w:val="391159AF"/>
    <w:rsid w:val="3914549F"/>
    <w:rsid w:val="391B682D"/>
    <w:rsid w:val="392971ED"/>
    <w:rsid w:val="392E6561"/>
    <w:rsid w:val="39325651"/>
    <w:rsid w:val="39363667"/>
    <w:rsid w:val="393B38EF"/>
    <w:rsid w:val="3942200C"/>
    <w:rsid w:val="394476D7"/>
    <w:rsid w:val="394A0EC1"/>
    <w:rsid w:val="394B7113"/>
    <w:rsid w:val="39580388"/>
    <w:rsid w:val="396445F3"/>
    <w:rsid w:val="396C52DB"/>
    <w:rsid w:val="397D1296"/>
    <w:rsid w:val="39846181"/>
    <w:rsid w:val="3986014B"/>
    <w:rsid w:val="39893797"/>
    <w:rsid w:val="3995038E"/>
    <w:rsid w:val="39964C0C"/>
    <w:rsid w:val="399D7242"/>
    <w:rsid w:val="399F4FFA"/>
    <w:rsid w:val="39A30271"/>
    <w:rsid w:val="39A86313"/>
    <w:rsid w:val="39B0341A"/>
    <w:rsid w:val="39B06F76"/>
    <w:rsid w:val="39B27192"/>
    <w:rsid w:val="39BC3B6C"/>
    <w:rsid w:val="39BC591B"/>
    <w:rsid w:val="39C173D5"/>
    <w:rsid w:val="39C649EB"/>
    <w:rsid w:val="39D32C64"/>
    <w:rsid w:val="39D4535A"/>
    <w:rsid w:val="39D54C2E"/>
    <w:rsid w:val="39D670BE"/>
    <w:rsid w:val="39DE1D35"/>
    <w:rsid w:val="39E15381"/>
    <w:rsid w:val="39F33306"/>
    <w:rsid w:val="39FA6443"/>
    <w:rsid w:val="39FF6B36"/>
    <w:rsid w:val="3A0E1EEE"/>
    <w:rsid w:val="3A12378C"/>
    <w:rsid w:val="3A1349CE"/>
    <w:rsid w:val="3A190FBF"/>
    <w:rsid w:val="3A1F5EA9"/>
    <w:rsid w:val="3A26548A"/>
    <w:rsid w:val="3A325BDD"/>
    <w:rsid w:val="3A3C4CAD"/>
    <w:rsid w:val="3A42502E"/>
    <w:rsid w:val="3A43428E"/>
    <w:rsid w:val="3A4430B5"/>
    <w:rsid w:val="3A490D14"/>
    <w:rsid w:val="3A5169AB"/>
    <w:rsid w:val="3A5C534F"/>
    <w:rsid w:val="3A6366DE"/>
    <w:rsid w:val="3A6A0CCC"/>
    <w:rsid w:val="3A6F6356"/>
    <w:rsid w:val="3A791513"/>
    <w:rsid w:val="3A7B1C42"/>
    <w:rsid w:val="3A7C3613"/>
    <w:rsid w:val="3A804B9A"/>
    <w:rsid w:val="3A8647E4"/>
    <w:rsid w:val="3A872856"/>
    <w:rsid w:val="3A8D72B7"/>
    <w:rsid w:val="3A993EAE"/>
    <w:rsid w:val="3A9C399E"/>
    <w:rsid w:val="3AAA039F"/>
    <w:rsid w:val="3AAE0939"/>
    <w:rsid w:val="3AB962FE"/>
    <w:rsid w:val="3ABA0D41"/>
    <w:rsid w:val="3AC068DC"/>
    <w:rsid w:val="3AC727C9"/>
    <w:rsid w:val="3ACA22B9"/>
    <w:rsid w:val="3ACE7FFB"/>
    <w:rsid w:val="3AD13648"/>
    <w:rsid w:val="3AD32788"/>
    <w:rsid w:val="3AD57F3A"/>
    <w:rsid w:val="3ADB03EF"/>
    <w:rsid w:val="3AE25855"/>
    <w:rsid w:val="3AE710BD"/>
    <w:rsid w:val="3AE74C19"/>
    <w:rsid w:val="3AF404DD"/>
    <w:rsid w:val="3AF70BD4"/>
    <w:rsid w:val="3AFA0DF0"/>
    <w:rsid w:val="3B06463D"/>
    <w:rsid w:val="3B0C0B24"/>
    <w:rsid w:val="3B0D0224"/>
    <w:rsid w:val="3B163750"/>
    <w:rsid w:val="3B194FEF"/>
    <w:rsid w:val="3B2E2848"/>
    <w:rsid w:val="3B332AE7"/>
    <w:rsid w:val="3B3763D1"/>
    <w:rsid w:val="3B3A743F"/>
    <w:rsid w:val="3B3E47CB"/>
    <w:rsid w:val="3B415744"/>
    <w:rsid w:val="3B5D312D"/>
    <w:rsid w:val="3B60677A"/>
    <w:rsid w:val="3B67317B"/>
    <w:rsid w:val="3B6B3A9C"/>
    <w:rsid w:val="3B7010B2"/>
    <w:rsid w:val="3B735637"/>
    <w:rsid w:val="3B7C7A57"/>
    <w:rsid w:val="3B7D37CF"/>
    <w:rsid w:val="3B813E89"/>
    <w:rsid w:val="3B8763FC"/>
    <w:rsid w:val="3B8A0509"/>
    <w:rsid w:val="3B8B181E"/>
    <w:rsid w:val="3B8C1904"/>
    <w:rsid w:val="3B9603ED"/>
    <w:rsid w:val="3B9A505A"/>
    <w:rsid w:val="3B9D177C"/>
    <w:rsid w:val="3BA174BE"/>
    <w:rsid w:val="3BA448B8"/>
    <w:rsid w:val="3BB970C6"/>
    <w:rsid w:val="3BBF7944"/>
    <w:rsid w:val="3BD038FF"/>
    <w:rsid w:val="3BD774E1"/>
    <w:rsid w:val="3BDF3B42"/>
    <w:rsid w:val="3BFA4E20"/>
    <w:rsid w:val="3BFC3324"/>
    <w:rsid w:val="3BFC46F4"/>
    <w:rsid w:val="3BFF5F92"/>
    <w:rsid w:val="3C0812EB"/>
    <w:rsid w:val="3C196B5E"/>
    <w:rsid w:val="3C235333"/>
    <w:rsid w:val="3C2F6E1E"/>
    <w:rsid w:val="3C32282E"/>
    <w:rsid w:val="3C3C2D5A"/>
    <w:rsid w:val="3C4D4E71"/>
    <w:rsid w:val="3C4F64BA"/>
    <w:rsid w:val="3C53008C"/>
    <w:rsid w:val="3C5417B3"/>
    <w:rsid w:val="3C6127A9"/>
    <w:rsid w:val="3C616C4D"/>
    <w:rsid w:val="3C632496"/>
    <w:rsid w:val="3C72391D"/>
    <w:rsid w:val="3C787A30"/>
    <w:rsid w:val="3C7F2CC1"/>
    <w:rsid w:val="3C8446EA"/>
    <w:rsid w:val="3C8B7826"/>
    <w:rsid w:val="3C911F25"/>
    <w:rsid w:val="3C9A4CA7"/>
    <w:rsid w:val="3C9E57AB"/>
    <w:rsid w:val="3CA37012"/>
    <w:rsid w:val="3CB44FCF"/>
    <w:rsid w:val="3CBD713E"/>
    <w:rsid w:val="3CC176EC"/>
    <w:rsid w:val="3CCD42E3"/>
    <w:rsid w:val="3CDA245A"/>
    <w:rsid w:val="3CE37662"/>
    <w:rsid w:val="3CF17FD1"/>
    <w:rsid w:val="3CF33D49"/>
    <w:rsid w:val="3D021290"/>
    <w:rsid w:val="3D0F66A9"/>
    <w:rsid w:val="3D193084"/>
    <w:rsid w:val="3D1E06B7"/>
    <w:rsid w:val="3D257C7B"/>
    <w:rsid w:val="3D3B2FFA"/>
    <w:rsid w:val="3D474095"/>
    <w:rsid w:val="3D4E7172"/>
    <w:rsid w:val="3D55049D"/>
    <w:rsid w:val="3D567E34"/>
    <w:rsid w:val="3D5D5666"/>
    <w:rsid w:val="3D5F318D"/>
    <w:rsid w:val="3D6562C9"/>
    <w:rsid w:val="3D712EC0"/>
    <w:rsid w:val="3D8464FE"/>
    <w:rsid w:val="3D870A34"/>
    <w:rsid w:val="3D8B70E5"/>
    <w:rsid w:val="3D970F4E"/>
    <w:rsid w:val="3D98044D"/>
    <w:rsid w:val="3DA21FDA"/>
    <w:rsid w:val="3DAB63D2"/>
    <w:rsid w:val="3DAE1A1E"/>
    <w:rsid w:val="3DAF5796"/>
    <w:rsid w:val="3DB151A4"/>
    <w:rsid w:val="3DB40B31"/>
    <w:rsid w:val="3DBA02C9"/>
    <w:rsid w:val="3DBA4867"/>
    <w:rsid w:val="3DBD6105"/>
    <w:rsid w:val="3DDB7345"/>
    <w:rsid w:val="3DF17B5D"/>
    <w:rsid w:val="3DFA1107"/>
    <w:rsid w:val="3E027FBC"/>
    <w:rsid w:val="3E06185A"/>
    <w:rsid w:val="3E09759C"/>
    <w:rsid w:val="3E0E070F"/>
    <w:rsid w:val="3E157CEF"/>
    <w:rsid w:val="3E1C0282"/>
    <w:rsid w:val="3E2717D1"/>
    <w:rsid w:val="3E2D328B"/>
    <w:rsid w:val="3E3068D7"/>
    <w:rsid w:val="3E3143FD"/>
    <w:rsid w:val="3E595E2E"/>
    <w:rsid w:val="3E6447D3"/>
    <w:rsid w:val="3E65012D"/>
    <w:rsid w:val="3E674C71"/>
    <w:rsid w:val="3E711D2C"/>
    <w:rsid w:val="3E741F23"/>
    <w:rsid w:val="3E742C68"/>
    <w:rsid w:val="3E75078E"/>
    <w:rsid w:val="3E79027E"/>
    <w:rsid w:val="3E7F160D"/>
    <w:rsid w:val="3E894239"/>
    <w:rsid w:val="3E8D5AD7"/>
    <w:rsid w:val="3E8E020D"/>
    <w:rsid w:val="3E922307"/>
    <w:rsid w:val="3E9E5F37"/>
    <w:rsid w:val="3EA269C8"/>
    <w:rsid w:val="3EAD7F26"/>
    <w:rsid w:val="3EB219E2"/>
    <w:rsid w:val="3EC139D3"/>
    <w:rsid w:val="3ECA2AD9"/>
    <w:rsid w:val="3ECD05CA"/>
    <w:rsid w:val="3ED808D2"/>
    <w:rsid w:val="3EDA0523"/>
    <w:rsid w:val="3EDB2CE7"/>
    <w:rsid w:val="3EE33949"/>
    <w:rsid w:val="3EEC6CA2"/>
    <w:rsid w:val="3EF56CF0"/>
    <w:rsid w:val="3F055FB6"/>
    <w:rsid w:val="3F0D214D"/>
    <w:rsid w:val="3F1D39BD"/>
    <w:rsid w:val="3F2006FA"/>
    <w:rsid w:val="3F237562"/>
    <w:rsid w:val="3F2A5A1C"/>
    <w:rsid w:val="3F2A77CA"/>
    <w:rsid w:val="3F2C52F0"/>
    <w:rsid w:val="3F381EE7"/>
    <w:rsid w:val="3F47212A"/>
    <w:rsid w:val="3F593C0C"/>
    <w:rsid w:val="3F5B5BD6"/>
    <w:rsid w:val="3F5C54AA"/>
    <w:rsid w:val="3F5E627C"/>
    <w:rsid w:val="3F636838"/>
    <w:rsid w:val="3F6D1396"/>
    <w:rsid w:val="3F7B1DD4"/>
    <w:rsid w:val="3F8D567B"/>
    <w:rsid w:val="3F8E5FAB"/>
    <w:rsid w:val="3FA56E51"/>
    <w:rsid w:val="3FB05F21"/>
    <w:rsid w:val="3FBC00B5"/>
    <w:rsid w:val="3FC90D91"/>
    <w:rsid w:val="3FCC262F"/>
    <w:rsid w:val="3FCE45FA"/>
    <w:rsid w:val="3FD87226"/>
    <w:rsid w:val="40014D2D"/>
    <w:rsid w:val="40057874"/>
    <w:rsid w:val="400D7918"/>
    <w:rsid w:val="40155D85"/>
    <w:rsid w:val="40175056"/>
    <w:rsid w:val="40181D19"/>
    <w:rsid w:val="401D10DD"/>
    <w:rsid w:val="40210BCD"/>
    <w:rsid w:val="40251D40"/>
    <w:rsid w:val="40350BA4"/>
    <w:rsid w:val="403B1F53"/>
    <w:rsid w:val="403C5A07"/>
    <w:rsid w:val="403F72A5"/>
    <w:rsid w:val="40416B7A"/>
    <w:rsid w:val="404A5102"/>
    <w:rsid w:val="4050332A"/>
    <w:rsid w:val="405640BE"/>
    <w:rsid w:val="40585F20"/>
    <w:rsid w:val="40630396"/>
    <w:rsid w:val="40630C22"/>
    <w:rsid w:val="40640ABA"/>
    <w:rsid w:val="406805AA"/>
    <w:rsid w:val="406941F4"/>
    <w:rsid w:val="407112B9"/>
    <w:rsid w:val="407A6407"/>
    <w:rsid w:val="407A652F"/>
    <w:rsid w:val="407F3808"/>
    <w:rsid w:val="408B4299"/>
    <w:rsid w:val="408C2F5C"/>
    <w:rsid w:val="408D0011"/>
    <w:rsid w:val="4093314D"/>
    <w:rsid w:val="409A272E"/>
    <w:rsid w:val="409F7D44"/>
    <w:rsid w:val="40B82BB4"/>
    <w:rsid w:val="40BE4FB6"/>
    <w:rsid w:val="40C357E1"/>
    <w:rsid w:val="40C559FD"/>
    <w:rsid w:val="40C770F8"/>
    <w:rsid w:val="40C854ED"/>
    <w:rsid w:val="40D33671"/>
    <w:rsid w:val="40D43E92"/>
    <w:rsid w:val="40D93256"/>
    <w:rsid w:val="40DC540D"/>
    <w:rsid w:val="40DF6392"/>
    <w:rsid w:val="40E32E07"/>
    <w:rsid w:val="40E340D5"/>
    <w:rsid w:val="40F0234E"/>
    <w:rsid w:val="40F13D60"/>
    <w:rsid w:val="40F2256A"/>
    <w:rsid w:val="40F34D02"/>
    <w:rsid w:val="40F41E3E"/>
    <w:rsid w:val="40F55BB6"/>
    <w:rsid w:val="40F7192E"/>
    <w:rsid w:val="410B7187"/>
    <w:rsid w:val="410D6C4C"/>
    <w:rsid w:val="41210759"/>
    <w:rsid w:val="41230975"/>
    <w:rsid w:val="412B15D8"/>
    <w:rsid w:val="4132438B"/>
    <w:rsid w:val="41362456"/>
    <w:rsid w:val="414032D5"/>
    <w:rsid w:val="41434297"/>
    <w:rsid w:val="41466412"/>
    <w:rsid w:val="415128B5"/>
    <w:rsid w:val="41523008"/>
    <w:rsid w:val="41536AEF"/>
    <w:rsid w:val="41566655"/>
    <w:rsid w:val="415B010F"/>
    <w:rsid w:val="41650F8E"/>
    <w:rsid w:val="416C231C"/>
    <w:rsid w:val="41790595"/>
    <w:rsid w:val="41807B75"/>
    <w:rsid w:val="418C03D5"/>
    <w:rsid w:val="41967399"/>
    <w:rsid w:val="41A25D3E"/>
    <w:rsid w:val="41A43864"/>
    <w:rsid w:val="41A5138A"/>
    <w:rsid w:val="41A53138"/>
    <w:rsid w:val="41AC2719"/>
    <w:rsid w:val="41B63597"/>
    <w:rsid w:val="41BA6E0B"/>
    <w:rsid w:val="41CE332F"/>
    <w:rsid w:val="41D37CA5"/>
    <w:rsid w:val="41D84758"/>
    <w:rsid w:val="41DC2BE0"/>
    <w:rsid w:val="41E55808"/>
    <w:rsid w:val="41E719A3"/>
    <w:rsid w:val="41F52311"/>
    <w:rsid w:val="41F93484"/>
    <w:rsid w:val="41FA16D6"/>
    <w:rsid w:val="41FD2F74"/>
    <w:rsid w:val="41FE0437"/>
    <w:rsid w:val="4200449D"/>
    <w:rsid w:val="42304E12"/>
    <w:rsid w:val="423170C2"/>
    <w:rsid w:val="423A3BCC"/>
    <w:rsid w:val="423D5A66"/>
    <w:rsid w:val="42455A73"/>
    <w:rsid w:val="424566C9"/>
    <w:rsid w:val="424E57D2"/>
    <w:rsid w:val="425B4F88"/>
    <w:rsid w:val="42611755"/>
    <w:rsid w:val="4262727B"/>
    <w:rsid w:val="426923B8"/>
    <w:rsid w:val="42703746"/>
    <w:rsid w:val="4272297E"/>
    <w:rsid w:val="42733236"/>
    <w:rsid w:val="427E2307"/>
    <w:rsid w:val="428216CB"/>
    <w:rsid w:val="42890CAC"/>
    <w:rsid w:val="42927B60"/>
    <w:rsid w:val="42975177"/>
    <w:rsid w:val="429915A8"/>
    <w:rsid w:val="42A41642"/>
    <w:rsid w:val="42A45AE6"/>
    <w:rsid w:val="42AA0BA9"/>
    <w:rsid w:val="42AB29D0"/>
    <w:rsid w:val="42AD499A"/>
    <w:rsid w:val="42B162EC"/>
    <w:rsid w:val="42B26C49"/>
    <w:rsid w:val="42BC698B"/>
    <w:rsid w:val="42C6780A"/>
    <w:rsid w:val="42CD2946"/>
    <w:rsid w:val="42D14E9D"/>
    <w:rsid w:val="42D76A7A"/>
    <w:rsid w:val="42D9753D"/>
    <w:rsid w:val="42DC0DDB"/>
    <w:rsid w:val="42DC527F"/>
    <w:rsid w:val="42DF08CC"/>
    <w:rsid w:val="42DF267A"/>
    <w:rsid w:val="42E36438"/>
    <w:rsid w:val="42EB101F"/>
    <w:rsid w:val="42ED6BF8"/>
    <w:rsid w:val="42FB3958"/>
    <w:rsid w:val="42FC24F9"/>
    <w:rsid w:val="43087E22"/>
    <w:rsid w:val="430A1DED"/>
    <w:rsid w:val="430D368B"/>
    <w:rsid w:val="430D71E7"/>
    <w:rsid w:val="43116916"/>
    <w:rsid w:val="43135FC3"/>
    <w:rsid w:val="431F6F1A"/>
    <w:rsid w:val="432B1B02"/>
    <w:rsid w:val="432C1DDD"/>
    <w:rsid w:val="4338699F"/>
    <w:rsid w:val="433A6FE6"/>
    <w:rsid w:val="43480868"/>
    <w:rsid w:val="434F5A51"/>
    <w:rsid w:val="4350713C"/>
    <w:rsid w:val="43545F0C"/>
    <w:rsid w:val="4359242C"/>
    <w:rsid w:val="435D1690"/>
    <w:rsid w:val="43655275"/>
    <w:rsid w:val="436653E0"/>
    <w:rsid w:val="43670FED"/>
    <w:rsid w:val="43682B0B"/>
    <w:rsid w:val="437555CC"/>
    <w:rsid w:val="438374A9"/>
    <w:rsid w:val="43873DF3"/>
    <w:rsid w:val="43947908"/>
    <w:rsid w:val="43983B17"/>
    <w:rsid w:val="439D0796"/>
    <w:rsid w:val="439E4695"/>
    <w:rsid w:val="439F5CC5"/>
    <w:rsid w:val="43A37B4B"/>
    <w:rsid w:val="43B6787E"/>
    <w:rsid w:val="43BB4E95"/>
    <w:rsid w:val="43C4431A"/>
    <w:rsid w:val="43C7623C"/>
    <w:rsid w:val="43CD7EF0"/>
    <w:rsid w:val="43D16466"/>
    <w:rsid w:val="43D602FB"/>
    <w:rsid w:val="43D917BF"/>
    <w:rsid w:val="43D9531B"/>
    <w:rsid w:val="43E837B0"/>
    <w:rsid w:val="43E90552"/>
    <w:rsid w:val="43ED1A36"/>
    <w:rsid w:val="43F32881"/>
    <w:rsid w:val="43F860E9"/>
    <w:rsid w:val="43FA3C0F"/>
    <w:rsid w:val="44004215"/>
    <w:rsid w:val="44024872"/>
    <w:rsid w:val="44056110"/>
    <w:rsid w:val="440D2D28"/>
    <w:rsid w:val="44120AE1"/>
    <w:rsid w:val="441A1710"/>
    <w:rsid w:val="44202F4A"/>
    <w:rsid w:val="442567B2"/>
    <w:rsid w:val="44273ED1"/>
    <w:rsid w:val="442944F4"/>
    <w:rsid w:val="442F4C60"/>
    <w:rsid w:val="443469F5"/>
    <w:rsid w:val="4441183E"/>
    <w:rsid w:val="444460B6"/>
    <w:rsid w:val="444529B0"/>
    <w:rsid w:val="444B446B"/>
    <w:rsid w:val="444E3F5B"/>
    <w:rsid w:val="445B0426"/>
    <w:rsid w:val="445D2BF8"/>
    <w:rsid w:val="44623562"/>
    <w:rsid w:val="4463530F"/>
    <w:rsid w:val="446E63AB"/>
    <w:rsid w:val="447119F7"/>
    <w:rsid w:val="447A6AFE"/>
    <w:rsid w:val="44882E25"/>
    <w:rsid w:val="44965297"/>
    <w:rsid w:val="44983428"/>
    <w:rsid w:val="44A1408B"/>
    <w:rsid w:val="44AD6ED3"/>
    <w:rsid w:val="44B951CC"/>
    <w:rsid w:val="44C67F95"/>
    <w:rsid w:val="44C85ABB"/>
    <w:rsid w:val="44CD14E0"/>
    <w:rsid w:val="44DC1567"/>
    <w:rsid w:val="44E03674"/>
    <w:rsid w:val="44E1092B"/>
    <w:rsid w:val="44EA5D69"/>
    <w:rsid w:val="44F00B6E"/>
    <w:rsid w:val="44F20B0B"/>
    <w:rsid w:val="450114C5"/>
    <w:rsid w:val="45036AF3"/>
    <w:rsid w:val="450C4C54"/>
    <w:rsid w:val="451F3201"/>
    <w:rsid w:val="451F4540"/>
    <w:rsid w:val="45260EE5"/>
    <w:rsid w:val="452E5F4C"/>
    <w:rsid w:val="45352A25"/>
    <w:rsid w:val="45474D29"/>
    <w:rsid w:val="455235D7"/>
    <w:rsid w:val="455949F6"/>
    <w:rsid w:val="455B692F"/>
    <w:rsid w:val="45612018"/>
    <w:rsid w:val="45634DFC"/>
    <w:rsid w:val="4565155C"/>
    <w:rsid w:val="45692560"/>
    <w:rsid w:val="4569411C"/>
    <w:rsid w:val="456B16B7"/>
    <w:rsid w:val="456D30D1"/>
    <w:rsid w:val="4574179F"/>
    <w:rsid w:val="457C68A6"/>
    <w:rsid w:val="458946E9"/>
    <w:rsid w:val="458A0FC3"/>
    <w:rsid w:val="458F0387"/>
    <w:rsid w:val="459040FF"/>
    <w:rsid w:val="45931AF9"/>
    <w:rsid w:val="45963487"/>
    <w:rsid w:val="459B31D0"/>
    <w:rsid w:val="45A47C0E"/>
    <w:rsid w:val="45A71B75"/>
    <w:rsid w:val="45A82767"/>
    <w:rsid w:val="45A8769B"/>
    <w:rsid w:val="45AB0A76"/>
    <w:rsid w:val="45B4185E"/>
    <w:rsid w:val="45B778DE"/>
    <w:rsid w:val="45BB117C"/>
    <w:rsid w:val="45BE2A1A"/>
    <w:rsid w:val="45C73FC5"/>
    <w:rsid w:val="45C94C84"/>
    <w:rsid w:val="45CA7611"/>
    <w:rsid w:val="45D50676"/>
    <w:rsid w:val="45DE30BD"/>
    <w:rsid w:val="45E00BE3"/>
    <w:rsid w:val="45EC39D9"/>
    <w:rsid w:val="45F65D6E"/>
    <w:rsid w:val="460A1085"/>
    <w:rsid w:val="460C2ABD"/>
    <w:rsid w:val="46102606"/>
    <w:rsid w:val="462C5BD6"/>
    <w:rsid w:val="462E5DF2"/>
    <w:rsid w:val="463158E2"/>
    <w:rsid w:val="46361C50"/>
    <w:rsid w:val="463E161D"/>
    <w:rsid w:val="46431172"/>
    <w:rsid w:val="464473C4"/>
    <w:rsid w:val="46485AEA"/>
    <w:rsid w:val="46494FE1"/>
    <w:rsid w:val="465313B5"/>
    <w:rsid w:val="46577FD6"/>
    <w:rsid w:val="465B64BB"/>
    <w:rsid w:val="46671304"/>
    <w:rsid w:val="467A2DE5"/>
    <w:rsid w:val="468123C6"/>
    <w:rsid w:val="46841EB6"/>
    <w:rsid w:val="468919BF"/>
    <w:rsid w:val="46933EA7"/>
    <w:rsid w:val="46A00372"/>
    <w:rsid w:val="46B21F99"/>
    <w:rsid w:val="46B300A5"/>
    <w:rsid w:val="46B502C1"/>
    <w:rsid w:val="46C978C9"/>
    <w:rsid w:val="46CD397C"/>
    <w:rsid w:val="46D955A7"/>
    <w:rsid w:val="46E12E64"/>
    <w:rsid w:val="46F32E31"/>
    <w:rsid w:val="47044DA5"/>
    <w:rsid w:val="47133957"/>
    <w:rsid w:val="471548BC"/>
    <w:rsid w:val="471A6376"/>
    <w:rsid w:val="4729480B"/>
    <w:rsid w:val="47370CD6"/>
    <w:rsid w:val="473D3E13"/>
    <w:rsid w:val="473E2065"/>
    <w:rsid w:val="47446B99"/>
    <w:rsid w:val="4745445A"/>
    <w:rsid w:val="47501D98"/>
    <w:rsid w:val="47523C50"/>
    <w:rsid w:val="47613FA5"/>
    <w:rsid w:val="476D399F"/>
    <w:rsid w:val="47777325"/>
    <w:rsid w:val="477C2B8D"/>
    <w:rsid w:val="478D27B3"/>
    <w:rsid w:val="47901D05"/>
    <w:rsid w:val="479B74B7"/>
    <w:rsid w:val="47A07E0C"/>
    <w:rsid w:val="47AA3A16"/>
    <w:rsid w:val="47AA76FA"/>
    <w:rsid w:val="47B440D5"/>
    <w:rsid w:val="47C63F1B"/>
    <w:rsid w:val="47CA7D9C"/>
    <w:rsid w:val="47E50732"/>
    <w:rsid w:val="47E8680A"/>
    <w:rsid w:val="47FC782A"/>
    <w:rsid w:val="47FE7A46"/>
    <w:rsid w:val="47FF0804"/>
    <w:rsid w:val="48074B4D"/>
    <w:rsid w:val="481B4154"/>
    <w:rsid w:val="481E3C44"/>
    <w:rsid w:val="482252DB"/>
    <w:rsid w:val="48230E62"/>
    <w:rsid w:val="4823125B"/>
    <w:rsid w:val="482C04E4"/>
    <w:rsid w:val="48376AB4"/>
    <w:rsid w:val="483F42E6"/>
    <w:rsid w:val="48457423"/>
    <w:rsid w:val="484B6012"/>
    <w:rsid w:val="485338EE"/>
    <w:rsid w:val="485460B3"/>
    <w:rsid w:val="48580F04"/>
    <w:rsid w:val="486A0C38"/>
    <w:rsid w:val="4870272E"/>
    <w:rsid w:val="48742B93"/>
    <w:rsid w:val="48751A92"/>
    <w:rsid w:val="48774223"/>
    <w:rsid w:val="487815A6"/>
    <w:rsid w:val="488241D3"/>
    <w:rsid w:val="48825F81"/>
    <w:rsid w:val="48842C88"/>
    <w:rsid w:val="4886248F"/>
    <w:rsid w:val="488717E9"/>
    <w:rsid w:val="488937B4"/>
    <w:rsid w:val="48895562"/>
    <w:rsid w:val="488A12DA"/>
    <w:rsid w:val="48AC1250"/>
    <w:rsid w:val="48B9571B"/>
    <w:rsid w:val="48BF0F83"/>
    <w:rsid w:val="48C77E38"/>
    <w:rsid w:val="48C93BB0"/>
    <w:rsid w:val="48D04F3E"/>
    <w:rsid w:val="48D778F5"/>
    <w:rsid w:val="48DA5DBD"/>
    <w:rsid w:val="48E605A7"/>
    <w:rsid w:val="490948F4"/>
    <w:rsid w:val="490E02F3"/>
    <w:rsid w:val="49267254"/>
    <w:rsid w:val="49276B29"/>
    <w:rsid w:val="492B6619"/>
    <w:rsid w:val="492E65DE"/>
    <w:rsid w:val="49331971"/>
    <w:rsid w:val="493F1574"/>
    <w:rsid w:val="494871CB"/>
    <w:rsid w:val="494D2A33"/>
    <w:rsid w:val="494D658F"/>
    <w:rsid w:val="49523BA5"/>
    <w:rsid w:val="49543DC1"/>
    <w:rsid w:val="495714D8"/>
    <w:rsid w:val="495E079C"/>
    <w:rsid w:val="496164DE"/>
    <w:rsid w:val="49627A22"/>
    <w:rsid w:val="497955D6"/>
    <w:rsid w:val="497B35B5"/>
    <w:rsid w:val="497C50C6"/>
    <w:rsid w:val="497E0E3E"/>
    <w:rsid w:val="49816239"/>
    <w:rsid w:val="49830203"/>
    <w:rsid w:val="49830A4D"/>
    <w:rsid w:val="498B70B7"/>
    <w:rsid w:val="49940662"/>
    <w:rsid w:val="499556B2"/>
    <w:rsid w:val="49A62143"/>
    <w:rsid w:val="49AD1724"/>
    <w:rsid w:val="49AD702E"/>
    <w:rsid w:val="49B16CC5"/>
    <w:rsid w:val="49B44860"/>
    <w:rsid w:val="49C2281B"/>
    <w:rsid w:val="49C32CF5"/>
    <w:rsid w:val="49D36A87"/>
    <w:rsid w:val="49D97E23"/>
    <w:rsid w:val="49DC7715"/>
    <w:rsid w:val="49DE7B2F"/>
    <w:rsid w:val="49E36EF3"/>
    <w:rsid w:val="49E54A1A"/>
    <w:rsid w:val="49EC3FFA"/>
    <w:rsid w:val="49F139DD"/>
    <w:rsid w:val="49F5152D"/>
    <w:rsid w:val="49FA129D"/>
    <w:rsid w:val="4A001BD4"/>
    <w:rsid w:val="4A023139"/>
    <w:rsid w:val="4A093D17"/>
    <w:rsid w:val="4A0F661A"/>
    <w:rsid w:val="4A161077"/>
    <w:rsid w:val="4A1C49EF"/>
    <w:rsid w:val="4A1D0657"/>
    <w:rsid w:val="4A1D5EE3"/>
    <w:rsid w:val="4A21489D"/>
    <w:rsid w:val="4A272BCA"/>
    <w:rsid w:val="4A370FED"/>
    <w:rsid w:val="4A37230B"/>
    <w:rsid w:val="4A38754F"/>
    <w:rsid w:val="4A3B288C"/>
    <w:rsid w:val="4A3B47D7"/>
    <w:rsid w:val="4A3B6D2F"/>
    <w:rsid w:val="4A3E7183"/>
    <w:rsid w:val="4A404CF4"/>
    <w:rsid w:val="4A466C9E"/>
    <w:rsid w:val="4A4A2ACF"/>
    <w:rsid w:val="4A4A6F73"/>
    <w:rsid w:val="4A4C4A99"/>
    <w:rsid w:val="4A4D0811"/>
    <w:rsid w:val="4A4D25BF"/>
    <w:rsid w:val="4A505A87"/>
    <w:rsid w:val="4A5120AF"/>
    <w:rsid w:val="4A550C78"/>
    <w:rsid w:val="4A5C2E04"/>
    <w:rsid w:val="4A5E657A"/>
    <w:rsid w:val="4A6873F9"/>
    <w:rsid w:val="4A6A4F1F"/>
    <w:rsid w:val="4A705397"/>
    <w:rsid w:val="4A7A7858"/>
    <w:rsid w:val="4A7B576F"/>
    <w:rsid w:val="4A965D14"/>
    <w:rsid w:val="4A987ED5"/>
    <w:rsid w:val="4A9B157C"/>
    <w:rsid w:val="4A9B319C"/>
    <w:rsid w:val="4AA743C5"/>
    <w:rsid w:val="4AAA1987"/>
    <w:rsid w:val="4AAA5C63"/>
    <w:rsid w:val="4AB663B6"/>
    <w:rsid w:val="4AB81412"/>
    <w:rsid w:val="4ACE1952"/>
    <w:rsid w:val="4ACE20AF"/>
    <w:rsid w:val="4ACE3700"/>
    <w:rsid w:val="4ADA20A4"/>
    <w:rsid w:val="4AE42916"/>
    <w:rsid w:val="4AE5143A"/>
    <w:rsid w:val="4AE77D71"/>
    <w:rsid w:val="4AEB2504"/>
    <w:rsid w:val="4AEC1DD8"/>
    <w:rsid w:val="4AF561A9"/>
    <w:rsid w:val="4B04003D"/>
    <w:rsid w:val="4B0435C5"/>
    <w:rsid w:val="4B105AC6"/>
    <w:rsid w:val="4B105DBC"/>
    <w:rsid w:val="4B117A90"/>
    <w:rsid w:val="4B1C3833"/>
    <w:rsid w:val="4B2176ED"/>
    <w:rsid w:val="4B3043BA"/>
    <w:rsid w:val="4B313C8F"/>
    <w:rsid w:val="4B315A3D"/>
    <w:rsid w:val="4B3544B5"/>
    <w:rsid w:val="4B375A36"/>
    <w:rsid w:val="4B517E8D"/>
    <w:rsid w:val="4B5D78E5"/>
    <w:rsid w:val="4B643050"/>
    <w:rsid w:val="4B6D116B"/>
    <w:rsid w:val="4B6E42DA"/>
    <w:rsid w:val="4B7324F9"/>
    <w:rsid w:val="4B736055"/>
    <w:rsid w:val="4B79342B"/>
    <w:rsid w:val="4B7C13AE"/>
    <w:rsid w:val="4B7D6ED4"/>
    <w:rsid w:val="4B867F1B"/>
    <w:rsid w:val="4B895879"/>
    <w:rsid w:val="4B897627"/>
    <w:rsid w:val="4B9B1CE3"/>
    <w:rsid w:val="4B9E1324"/>
    <w:rsid w:val="4BAB1C93"/>
    <w:rsid w:val="4BB548C0"/>
    <w:rsid w:val="4BB60F6D"/>
    <w:rsid w:val="4BB74194"/>
    <w:rsid w:val="4BC46278"/>
    <w:rsid w:val="4BC863A1"/>
    <w:rsid w:val="4BD96800"/>
    <w:rsid w:val="4BDF193C"/>
    <w:rsid w:val="4BE92E51"/>
    <w:rsid w:val="4BF2341E"/>
    <w:rsid w:val="4BF73ADD"/>
    <w:rsid w:val="4C003D8D"/>
    <w:rsid w:val="4C044428"/>
    <w:rsid w:val="4C075D62"/>
    <w:rsid w:val="4C0A06DA"/>
    <w:rsid w:val="4C0A0767"/>
    <w:rsid w:val="4C1710D6"/>
    <w:rsid w:val="4C195736"/>
    <w:rsid w:val="4C35155C"/>
    <w:rsid w:val="4C3B4DC5"/>
    <w:rsid w:val="4C402580"/>
    <w:rsid w:val="4C4036E6"/>
    <w:rsid w:val="4C4A0649"/>
    <w:rsid w:val="4C4F6AC2"/>
    <w:rsid w:val="4C58405B"/>
    <w:rsid w:val="4C5B7215"/>
    <w:rsid w:val="4C63256E"/>
    <w:rsid w:val="4C7248E7"/>
    <w:rsid w:val="4C772EB9"/>
    <w:rsid w:val="4C7B1FC6"/>
    <w:rsid w:val="4C7C718B"/>
    <w:rsid w:val="4C7E1155"/>
    <w:rsid w:val="4C7E5ECA"/>
    <w:rsid w:val="4C876AA5"/>
    <w:rsid w:val="4C8A5D4C"/>
    <w:rsid w:val="4C910E89"/>
    <w:rsid w:val="4C940979"/>
    <w:rsid w:val="4C997D3D"/>
    <w:rsid w:val="4CC254E6"/>
    <w:rsid w:val="4CCF7FCC"/>
    <w:rsid w:val="4CDD7C2A"/>
    <w:rsid w:val="4CDF7E46"/>
    <w:rsid w:val="4CF82CB6"/>
    <w:rsid w:val="4CFA4CE4"/>
    <w:rsid w:val="4D07114B"/>
    <w:rsid w:val="4D0A1810"/>
    <w:rsid w:val="4D0A6F5F"/>
    <w:rsid w:val="4D0E00FB"/>
    <w:rsid w:val="4D115B26"/>
    <w:rsid w:val="4D176606"/>
    <w:rsid w:val="4D181533"/>
    <w:rsid w:val="4D185F4C"/>
    <w:rsid w:val="4D23161E"/>
    <w:rsid w:val="4D265A75"/>
    <w:rsid w:val="4D2770F7"/>
    <w:rsid w:val="4D422183"/>
    <w:rsid w:val="4D453A21"/>
    <w:rsid w:val="4D491763"/>
    <w:rsid w:val="4D493511"/>
    <w:rsid w:val="4D4B18E5"/>
    <w:rsid w:val="4D5A127B"/>
    <w:rsid w:val="4D671BE9"/>
    <w:rsid w:val="4D6D36A4"/>
    <w:rsid w:val="4D862070"/>
    <w:rsid w:val="4D8B1B5B"/>
    <w:rsid w:val="4D8B3B2A"/>
    <w:rsid w:val="4D8D78A2"/>
    <w:rsid w:val="4D981DA3"/>
    <w:rsid w:val="4DA16EA9"/>
    <w:rsid w:val="4DAE5A6A"/>
    <w:rsid w:val="4DB0533F"/>
    <w:rsid w:val="4DB72B71"/>
    <w:rsid w:val="4DB90697"/>
    <w:rsid w:val="4DCB03CA"/>
    <w:rsid w:val="4DD54DA5"/>
    <w:rsid w:val="4DD74FC1"/>
    <w:rsid w:val="4DE17BEE"/>
    <w:rsid w:val="4DE90850"/>
    <w:rsid w:val="4DEC4FB0"/>
    <w:rsid w:val="4DED6593"/>
    <w:rsid w:val="4DF53699"/>
    <w:rsid w:val="4DF55447"/>
    <w:rsid w:val="4DFC0584"/>
    <w:rsid w:val="4DFC67D6"/>
    <w:rsid w:val="4DFD57DC"/>
    <w:rsid w:val="4E075D8A"/>
    <w:rsid w:val="4E0F475B"/>
    <w:rsid w:val="4E102281"/>
    <w:rsid w:val="4E192EE4"/>
    <w:rsid w:val="4E1A6C5C"/>
    <w:rsid w:val="4E227CEC"/>
    <w:rsid w:val="4E320449"/>
    <w:rsid w:val="4E3221F7"/>
    <w:rsid w:val="4E37780E"/>
    <w:rsid w:val="4E387923"/>
    <w:rsid w:val="4E3D18EA"/>
    <w:rsid w:val="4E4B5067"/>
    <w:rsid w:val="4E4C267F"/>
    <w:rsid w:val="4E4F14A5"/>
    <w:rsid w:val="4E516B22"/>
    <w:rsid w:val="4E5403C0"/>
    <w:rsid w:val="4E564138"/>
    <w:rsid w:val="4E6A1991"/>
    <w:rsid w:val="4E6F7E98"/>
    <w:rsid w:val="4E75677C"/>
    <w:rsid w:val="4E797E26"/>
    <w:rsid w:val="4E7B3B9E"/>
    <w:rsid w:val="4E802F63"/>
    <w:rsid w:val="4E834801"/>
    <w:rsid w:val="4E914C57"/>
    <w:rsid w:val="4E93713A"/>
    <w:rsid w:val="4E944C60"/>
    <w:rsid w:val="4E9F6F34"/>
    <w:rsid w:val="4EA07B22"/>
    <w:rsid w:val="4EA84AF2"/>
    <w:rsid w:val="4EAA5009"/>
    <w:rsid w:val="4EB66985"/>
    <w:rsid w:val="4EBD41B7"/>
    <w:rsid w:val="4EBE1CDD"/>
    <w:rsid w:val="4EC00FAD"/>
    <w:rsid w:val="4ECF002A"/>
    <w:rsid w:val="4ED60DD5"/>
    <w:rsid w:val="4EDB63EB"/>
    <w:rsid w:val="4EEA0D24"/>
    <w:rsid w:val="4EF2077E"/>
    <w:rsid w:val="4EF43951"/>
    <w:rsid w:val="4EFA24EA"/>
    <w:rsid w:val="4EFB4CDF"/>
    <w:rsid w:val="4F0A0A7E"/>
    <w:rsid w:val="4F1D4C56"/>
    <w:rsid w:val="4F223D2D"/>
    <w:rsid w:val="4F2C338B"/>
    <w:rsid w:val="4F2E4C80"/>
    <w:rsid w:val="4F4E2A6A"/>
    <w:rsid w:val="4F5148FF"/>
    <w:rsid w:val="4F543AE0"/>
    <w:rsid w:val="4F5D38DB"/>
    <w:rsid w:val="4F652159"/>
    <w:rsid w:val="4F691C49"/>
    <w:rsid w:val="4F6B59C1"/>
    <w:rsid w:val="4F754A92"/>
    <w:rsid w:val="4F781E8C"/>
    <w:rsid w:val="4F7A5C04"/>
    <w:rsid w:val="4F7F146C"/>
    <w:rsid w:val="4F855D03"/>
    <w:rsid w:val="4F894099"/>
    <w:rsid w:val="4F93316A"/>
    <w:rsid w:val="4F9843DC"/>
    <w:rsid w:val="4FA51E8A"/>
    <w:rsid w:val="4FA94C68"/>
    <w:rsid w:val="4FB54E8E"/>
    <w:rsid w:val="4FC41575"/>
    <w:rsid w:val="4FC62A8C"/>
    <w:rsid w:val="4FCE41A2"/>
    <w:rsid w:val="4FDA5AA9"/>
    <w:rsid w:val="4FE20F0D"/>
    <w:rsid w:val="4FE45773"/>
    <w:rsid w:val="4FE51552"/>
    <w:rsid w:val="4FE65048"/>
    <w:rsid w:val="4FE75DA8"/>
    <w:rsid w:val="4FE92D8A"/>
    <w:rsid w:val="4FEA6BCC"/>
    <w:rsid w:val="4FFD05E3"/>
    <w:rsid w:val="4FFD3D1D"/>
    <w:rsid w:val="50055E16"/>
    <w:rsid w:val="500A342C"/>
    <w:rsid w:val="50116BEC"/>
    <w:rsid w:val="5019366F"/>
    <w:rsid w:val="50194D53"/>
    <w:rsid w:val="5023629C"/>
    <w:rsid w:val="50243DC2"/>
    <w:rsid w:val="50395ABF"/>
    <w:rsid w:val="50406E4E"/>
    <w:rsid w:val="50487AB0"/>
    <w:rsid w:val="504958EE"/>
    <w:rsid w:val="50504C4B"/>
    <w:rsid w:val="5055041F"/>
    <w:rsid w:val="505521CD"/>
    <w:rsid w:val="505F0E17"/>
    <w:rsid w:val="506845B0"/>
    <w:rsid w:val="506B19F1"/>
    <w:rsid w:val="50760AC1"/>
    <w:rsid w:val="507753DE"/>
    <w:rsid w:val="507C2DF0"/>
    <w:rsid w:val="507F724A"/>
    <w:rsid w:val="509176A9"/>
    <w:rsid w:val="50945D49"/>
    <w:rsid w:val="509C6E7C"/>
    <w:rsid w:val="50BE1539"/>
    <w:rsid w:val="50C35A7B"/>
    <w:rsid w:val="50CF3D2E"/>
    <w:rsid w:val="50DE0415"/>
    <w:rsid w:val="50F10148"/>
    <w:rsid w:val="50F96FFC"/>
    <w:rsid w:val="511011B8"/>
    <w:rsid w:val="51134562"/>
    <w:rsid w:val="51257DF2"/>
    <w:rsid w:val="51312C3A"/>
    <w:rsid w:val="51383FC9"/>
    <w:rsid w:val="513B13C3"/>
    <w:rsid w:val="514239F1"/>
    <w:rsid w:val="514C1822"/>
    <w:rsid w:val="514E7348"/>
    <w:rsid w:val="51501312"/>
    <w:rsid w:val="51516E38"/>
    <w:rsid w:val="515A3F3F"/>
    <w:rsid w:val="515B7F5D"/>
    <w:rsid w:val="5162104E"/>
    <w:rsid w:val="51622765"/>
    <w:rsid w:val="5164091A"/>
    <w:rsid w:val="516F72BF"/>
    <w:rsid w:val="51735001"/>
    <w:rsid w:val="51864D34"/>
    <w:rsid w:val="518A5142"/>
    <w:rsid w:val="51A478DF"/>
    <w:rsid w:val="51AB479B"/>
    <w:rsid w:val="51AD2F85"/>
    <w:rsid w:val="51AE6039"/>
    <w:rsid w:val="51B26705"/>
    <w:rsid w:val="51B43E56"/>
    <w:rsid w:val="51B64EEE"/>
    <w:rsid w:val="51CB5352"/>
    <w:rsid w:val="51CE0489"/>
    <w:rsid w:val="51D04201"/>
    <w:rsid w:val="51D07D5D"/>
    <w:rsid w:val="51DA7F46"/>
    <w:rsid w:val="51DC3D76"/>
    <w:rsid w:val="51E5607B"/>
    <w:rsid w:val="51E732F9"/>
    <w:rsid w:val="51F24178"/>
    <w:rsid w:val="51F6353C"/>
    <w:rsid w:val="51FC4FF6"/>
    <w:rsid w:val="51FF0643"/>
    <w:rsid w:val="520B348B"/>
    <w:rsid w:val="52140592"/>
    <w:rsid w:val="52187956"/>
    <w:rsid w:val="52224331"/>
    <w:rsid w:val="522400A9"/>
    <w:rsid w:val="522747BC"/>
    <w:rsid w:val="5229216B"/>
    <w:rsid w:val="52293911"/>
    <w:rsid w:val="522B58DB"/>
    <w:rsid w:val="522E2CD6"/>
    <w:rsid w:val="52464354"/>
    <w:rsid w:val="52487258"/>
    <w:rsid w:val="524C0742"/>
    <w:rsid w:val="52500E9E"/>
    <w:rsid w:val="526037D7"/>
    <w:rsid w:val="527E5A0B"/>
    <w:rsid w:val="5290573F"/>
    <w:rsid w:val="529A036B"/>
    <w:rsid w:val="52A631B4"/>
    <w:rsid w:val="52A8752F"/>
    <w:rsid w:val="52BD6977"/>
    <w:rsid w:val="52BF7DD2"/>
    <w:rsid w:val="52DB2E5E"/>
    <w:rsid w:val="52E15F9A"/>
    <w:rsid w:val="52F1442F"/>
    <w:rsid w:val="52F263F9"/>
    <w:rsid w:val="52F440D1"/>
    <w:rsid w:val="52F96D0F"/>
    <w:rsid w:val="53081779"/>
    <w:rsid w:val="530E31CE"/>
    <w:rsid w:val="531225F7"/>
    <w:rsid w:val="53130849"/>
    <w:rsid w:val="53185E60"/>
    <w:rsid w:val="531B76FE"/>
    <w:rsid w:val="532D11DF"/>
    <w:rsid w:val="532E7431"/>
    <w:rsid w:val="53455EFF"/>
    <w:rsid w:val="534F55FA"/>
    <w:rsid w:val="53542C10"/>
    <w:rsid w:val="5359168B"/>
    <w:rsid w:val="535C417D"/>
    <w:rsid w:val="536410A5"/>
    <w:rsid w:val="5371731E"/>
    <w:rsid w:val="53733096"/>
    <w:rsid w:val="53746E0E"/>
    <w:rsid w:val="5394300C"/>
    <w:rsid w:val="53A039CC"/>
    <w:rsid w:val="53A05E55"/>
    <w:rsid w:val="53A1505A"/>
    <w:rsid w:val="53A2229D"/>
    <w:rsid w:val="53B03A77"/>
    <w:rsid w:val="53C75190"/>
    <w:rsid w:val="53D004E8"/>
    <w:rsid w:val="53D413E7"/>
    <w:rsid w:val="53E421E6"/>
    <w:rsid w:val="53EF6DA5"/>
    <w:rsid w:val="53F00B8B"/>
    <w:rsid w:val="53F31701"/>
    <w:rsid w:val="53FC752F"/>
    <w:rsid w:val="54063E08"/>
    <w:rsid w:val="540A4A55"/>
    <w:rsid w:val="540B56FD"/>
    <w:rsid w:val="54143413"/>
    <w:rsid w:val="541C54DC"/>
    <w:rsid w:val="541F6242"/>
    <w:rsid w:val="54240834"/>
    <w:rsid w:val="542720D3"/>
    <w:rsid w:val="5429409D"/>
    <w:rsid w:val="543071D9"/>
    <w:rsid w:val="543437E8"/>
    <w:rsid w:val="544607AB"/>
    <w:rsid w:val="544762D1"/>
    <w:rsid w:val="54546F08"/>
    <w:rsid w:val="546375E3"/>
    <w:rsid w:val="546B0211"/>
    <w:rsid w:val="5474356A"/>
    <w:rsid w:val="54815C87"/>
    <w:rsid w:val="54860B39"/>
    <w:rsid w:val="548D3B82"/>
    <w:rsid w:val="548D462B"/>
    <w:rsid w:val="54A51975"/>
    <w:rsid w:val="54B35714"/>
    <w:rsid w:val="54BE2A37"/>
    <w:rsid w:val="54C55B73"/>
    <w:rsid w:val="54C96C61"/>
    <w:rsid w:val="54CA7B59"/>
    <w:rsid w:val="54D538DD"/>
    <w:rsid w:val="54D758A7"/>
    <w:rsid w:val="54DE09E3"/>
    <w:rsid w:val="54E16725"/>
    <w:rsid w:val="54E3424B"/>
    <w:rsid w:val="54E81750"/>
    <w:rsid w:val="54ED3248"/>
    <w:rsid w:val="54F41FB5"/>
    <w:rsid w:val="54F72B08"/>
    <w:rsid w:val="54F73313"/>
    <w:rsid w:val="54F77CF7"/>
    <w:rsid w:val="54F80955"/>
    <w:rsid w:val="54FC51E2"/>
    <w:rsid w:val="55004DFD"/>
    <w:rsid w:val="55083CB2"/>
    <w:rsid w:val="55177CF5"/>
    <w:rsid w:val="552D54C7"/>
    <w:rsid w:val="55306D65"/>
    <w:rsid w:val="55322ADD"/>
    <w:rsid w:val="553920BD"/>
    <w:rsid w:val="553D1BAE"/>
    <w:rsid w:val="55465184"/>
    <w:rsid w:val="554C1DF1"/>
    <w:rsid w:val="555170A7"/>
    <w:rsid w:val="55546EF7"/>
    <w:rsid w:val="555B0286"/>
    <w:rsid w:val="555D5DAC"/>
    <w:rsid w:val="5563713A"/>
    <w:rsid w:val="55640E5A"/>
    <w:rsid w:val="556F3D31"/>
    <w:rsid w:val="556F5ADF"/>
    <w:rsid w:val="55773BD9"/>
    <w:rsid w:val="55774994"/>
    <w:rsid w:val="557C1FAA"/>
    <w:rsid w:val="5587536D"/>
    <w:rsid w:val="558E1B65"/>
    <w:rsid w:val="55910872"/>
    <w:rsid w:val="559317CE"/>
    <w:rsid w:val="55967510"/>
    <w:rsid w:val="559B174B"/>
    <w:rsid w:val="55AF751B"/>
    <w:rsid w:val="55C227AE"/>
    <w:rsid w:val="55CD4B73"/>
    <w:rsid w:val="55CE0CF4"/>
    <w:rsid w:val="55D65C46"/>
    <w:rsid w:val="55E24503"/>
    <w:rsid w:val="55E44DB9"/>
    <w:rsid w:val="55E71B19"/>
    <w:rsid w:val="55F81F79"/>
    <w:rsid w:val="55F83D27"/>
    <w:rsid w:val="55FE5A3B"/>
    <w:rsid w:val="56064695"/>
    <w:rsid w:val="5612303A"/>
    <w:rsid w:val="561D19DF"/>
    <w:rsid w:val="56242BE9"/>
    <w:rsid w:val="562D7071"/>
    <w:rsid w:val="562E2230"/>
    <w:rsid w:val="563028F0"/>
    <w:rsid w:val="563B3C13"/>
    <w:rsid w:val="564357B8"/>
    <w:rsid w:val="564C5E20"/>
    <w:rsid w:val="56554CD5"/>
    <w:rsid w:val="56581F21"/>
    <w:rsid w:val="565A22EB"/>
    <w:rsid w:val="56737851"/>
    <w:rsid w:val="567710EF"/>
    <w:rsid w:val="568455BA"/>
    <w:rsid w:val="56890E23"/>
    <w:rsid w:val="568A7075"/>
    <w:rsid w:val="568D26C1"/>
    <w:rsid w:val="56951575"/>
    <w:rsid w:val="56982F20"/>
    <w:rsid w:val="569A3030"/>
    <w:rsid w:val="569A5538"/>
    <w:rsid w:val="56A143BE"/>
    <w:rsid w:val="56B22A9C"/>
    <w:rsid w:val="56BA722E"/>
    <w:rsid w:val="56C47577"/>
    <w:rsid w:val="56C54846"/>
    <w:rsid w:val="56D227CA"/>
    <w:rsid w:val="56D31EE8"/>
    <w:rsid w:val="56D4595C"/>
    <w:rsid w:val="56D6552B"/>
    <w:rsid w:val="56DE116E"/>
    <w:rsid w:val="56E878F7"/>
    <w:rsid w:val="56F51BCF"/>
    <w:rsid w:val="56F75D8C"/>
    <w:rsid w:val="5705494D"/>
    <w:rsid w:val="570E3BC9"/>
    <w:rsid w:val="571131DB"/>
    <w:rsid w:val="571832C4"/>
    <w:rsid w:val="571C3A45"/>
    <w:rsid w:val="57234DD3"/>
    <w:rsid w:val="5726041F"/>
    <w:rsid w:val="572C012C"/>
    <w:rsid w:val="573E419E"/>
    <w:rsid w:val="574E73F8"/>
    <w:rsid w:val="57502EB4"/>
    <w:rsid w:val="575136EE"/>
    <w:rsid w:val="575431DF"/>
    <w:rsid w:val="57565157"/>
    <w:rsid w:val="575C2093"/>
    <w:rsid w:val="57601B83"/>
    <w:rsid w:val="577B076B"/>
    <w:rsid w:val="577B69BD"/>
    <w:rsid w:val="57831D16"/>
    <w:rsid w:val="578810DA"/>
    <w:rsid w:val="578A48DD"/>
    <w:rsid w:val="579D6934"/>
    <w:rsid w:val="57A71560"/>
    <w:rsid w:val="57AC4DC9"/>
    <w:rsid w:val="57AD28EF"/>
    <w:rsid w:val="57AD5F25"/>
    <w:rsid w:val="57B420FD"/>
    <w:rsid w:val="57B72A76"/>
    <w:rsid w:val="57C3426C"/>
    <w:rsid w:val="57C626BC"/>
    <w:rsid w:val="57CE1F93"/>
    <w:rsid w:val="57CF3679"/>
    <w:rsid w:val="57D016BB"/>
    <w:rsid w:val="57DD31D4"/>
    <w:rsid w:val="57E448AF"/>
    <w:rsid w:val="57F55CFE"/>
    <w:rsid w:val="57FF46A2"/>
    <w:rsid w:val="58044C05"/>
    <w:rsid w:val="58047C4F"/>
    <w:rsid w:val="58070D32"/>
    <w:rsid w:val="580746F5"/>
    <w:rsid w:val="5809221B"/>
    <w:rsid w:val="58134E48"/>
    <w:rsid w:val="581666E6"/>
    <w:rsid w:val="5818245E"/>
    <w:rsid w:val="581C5378"/>
    <w:rsid w:val="582C7CB7"/>
    <w:rsid w:val="584274DB"/>
    <w:rsid w:val="58464E74"/>
    <w:rsid w:val="584C035A"/>
    <w:rsid w:val="584E7C2E"/>
    <w:rsid w:val="58555460"/>
    <w:rsid w:val="5856172D"/>
    <w:rsid w:val="586340B6"/>
    <w:rsid w:val="586456A3"/>
    <w:rsid w:val="58831FCD"/>
    <w:rsid w:val="588743D1"/>
    <w:rsid w:val="5887701A"/>
    <w:rsid w:val="588D7AC7"/>
    <w:rsid w:val="58922210"/>
    <w:rsid w:val="589C4E3D"/>
    <w:rsid w:val="58DF2F7C"/>
    <w:rsid w:val="58E23329"/>
    <w:rsid w:val="59017396"/>
    <w:rsid w:val="590649AC"/>
    <w:rsid w:val="590B3889"/>
    <w:rsid w:val="591305FD"/>
    <w:rsid w:val="5919648E"/>
    <w:rsid w:val="591E5852"/>
    <w:rsid w:val="591F781C"/>
    <w:rsid w:val="59213594"/>
    <w:rsid w:val="59282B75"/>
    <w:rsid w:val="592A069B"/>
    <w:rsid w:val="592C3B4B"/>
    <w:rsid w:val="593675A5"/>
    <w:rsid w:val="593A5ADF"/>
    <w:rsid w:val="59464DA9"/>
    <w:rsid w:val="594A4899"/>
    <w:rsid w:val="594A6647"/>
    <w:rsid w:val="594B0611"/>
    <w:rsid w:val="59531992"/>
    <w:rsid w:val="59563D04"/>
    <w:rsid w:val="59570D64"/>
    <w:rsid w:val="596733BB"/>
    <w:rsid w:val="59682F71"/>
    <w:rsid w:val="597436C4"/>
    <w:rsid w:val="597A4A53"/>
    <w:rsid w:val="59853B23"/>
    <w:rsid w:val="598D29D8"/>
    <w:rsid w:val="598E269D"/>
    <w:rsid w:val="59910F7B"/>
    <w:rsid w:val="59A948AF"/>
    <w:rsid w:val="59B14918"/>
    <w:rsid w:val="59B166C6"/>
    <w:rsid w:val="59B461B6"/>
    <w:rsid w:val="59C0439F"/>
    <w:rsid w:val="59C215C5"/>
    <w:rsid w:val="59C87B78"/>
    <w:rsid w:val="59CF2FF0"/>
    <w:rsid w:val="59D560BF"/>
    <w:rsid w:val="59D6437F"/>
    <w:rsid w:val="59D67C33"/>
    <w:rsid w:val="59DA4389"/>
    <w:rsid w:val="59E20F76"/>
    <w:rsid w:val="59E7033A"/>
    <w:rsid w:val="59EA2685"/>
    <w:rsid w:val="59ED4F22"/>
    <w:rsid w:val="59F01C15"/>
    <w:rsid w:val="59F1740B"/>
    <w:rsid w:val="5A0802B0"/>
    <w:rsid w:val="5A0F7891"/>
    <w:rsid w:val="5A111FBE"/>
    <w:rsid w:val="5A1A6CEB"/>
    <w:rsid w:val="5A217302"/>
    <w:rsid w:val="5A33357F"/>
    <w:rsid w:val="5A3840F9"/>
    <w:rsid w:val="5A3A490E"/>
    <w:rsid w:val="5A416794"/>
    <w:rsid w:val="5A421A14"/>
    <w:rsid w:val="5A4E660B"/>
    <w:rsid w:val="5A513A05"/>
    <w:rsid w:val="5A55194F"/>
    <w:rsid w:val="5A5D34DC"/>
    <w:rsid w:val="5A6279C1"/>
    <w:rsid w:val="5A6E5909"/>
    <w:rsid w:val="5A6F20DD"/>
    <w:rsid w:val="5A7C4F26"/>
    <w:rsid w:val="5A8D5E0E"/>
    <w:rsid w:val="5A8D6765"/>
    <w:rsid w:val="5A9304C2"/>
    <w:rsid w:val="5AB23258"/>
    <w:rsid w:val="5AB346C0"/>
    <w:rsid w:val="5ABE2233"/>
    <w:rsid w:val="5AC35272"/>
    <w:rsid w:val="5AC8016B"/>
    <w:rsid w:val="5AD44AB6"/>
    <w:rsid w:val="5ADA39FB"/>
    <w:rsid w:val="5AE124FE"/>
    <w:rsid w:val="5AEE74A6"/>
    <w:rsid w:val="5AF01470"/>
    <w:rsid w:val="5AF30F60"/>
    <w:rsid w:val="5AF70A51"/>
    <w:rsid w:val="5AFE756C"/>
    <w:rsid w:val="5B021EDD"/>
    <w:rsid w:val="5B043B95"/>
    <w:rsid w:val="5B12588A"/>
    <w:rsid w:val="5B1433B1"/>
    <w:rsid w:val="5B150ED7"/>
    <w:rsid w:val="5B157A04"/>
    <w:rsid w:val="5B1603EA"/>
    <w:rsid w:val="5B2335F4"/>
    <w:rsid w:val="5B2A7146"/>
    <w:rsid w:val="5B2B1FCC"/>
    <w:rsid w:val="5B373C33"/>
    <w:rsid w:val="5B3A093D"/>
    <w:rsid w:val="5B4377F2"/>
    <w:rsid w:val="5B445318"/>
    <w:rsid w:val="5B53337B"/>
    <w:rsid w:val="5B5A4B3C"/>
    <w:rsid w:val="5B5C08B4"/>
    <w:rsid w:val="5B6B0AF7"/>
    <w:rsid w:val="5B6D486F"/>
    <w:rsid w:val="5B765E19"/>
    <w:rsid w:val="5B793214"/>
    <w:rsid w:val="5B8A3673"/>
    <w:rsid w:val="5B922527"/>
    <w:rsid w:val="5B9C33A6"/>
    <w:rsid w:val="5BA74225"/>
    <w:rsid w:val="5BA97BF4"/>
    <w:rsid w:val="5BAA7871"/>
    <w:rsid w:val="5BAF30D9"/>
    <w:rsid w:val="5BB029AE"/>
    <w:rsid w:val="5BC353D2"/>
    <w:rsid w:val="5BC546AB"/>
    <w:rsid w:val="5BCC5A39"/>
    <w:rsid w:val="5BD81B13"/>
    <w:rsid w:val="5BD82630"/>
    <w:rsid w:val="5BDF5D95"/>
    <w:rsid w:val="5BE2525D"/>
    <w:rsid w:val="5BE72613"/>
    <w:rsid w:val="5BF12387"/>
    <w:rsid w:val="5BF94355"/>
    <w:rsid w:val="5BFE7528"/>
    <w:rsid w:val="5C007DBB"/>
    <w:rsid w:val="5C0772D9"/>
    <w:rsid w:val="5C1E0247"/>
    <w:rsid w:val="5C2A6C04"/>
    <w:rsid w:val="5C2E7D7A"/>
    <w:rsid w:val="5C2F5FC8"/>
    <w:rsid w:val="5C337866"/>
    <w:rsid w:val="5C447CC6"/>
    <w:rsid w:val="5C537F09"/>
    <w:rsid w:val="5C5617A7"/>
    <w:rsid w:val="5C58638B"/>
    <w:rsid w:val="5C737CE9"/>
    <w:rsid w:val="5C855BE8"/>
    <w:rsid w:val="5C8B76A2"/>
    <w:rsid w:val="5C910A31"/>
    <w:rsid w:val="5C9B193B"/>
    <w:rsid w:val="5C9F4EFC"/>
    <w:rsid w:val="5CA442C0"/>
    <w:rsid w:val="5CA644DC"/>
    <w:rsid w:val="5CBC5AAE"/>
    <w:rsid w:val="5CC2508E"/>
    <w:rsid w:val="5CCB3F43"/>
    <w:rsid w:val="5CD01559"/>
    <w:rsid w:val="5CDA79DE"/>
    <w:rsid w:val="5CDF179C"/>
    <w:rsid w:val="5CE23DA0"/>
    <w:rsid w:val="5CEE5E83"/>
    <w:rsid w:val="5CFA4828"/>
    <w:rsid w:val="5CFD7E74"/>
    <w:rsid w:val="5D0440FF"/>
    <w:rsid w:val="5D064F7B"/>
    <w:rsid w:val="5D086F45"/>
    <w:rsid w:val="5D1748B0"/>
    <w:rsid w:val="5D186A5C"/>
    <w:rsid w:val="5D237A67"/>
    <w:rsid w:val="5D283143"/>
    <w:rsid w:val="5D30277E"/>
    <w:rsid w:val="5D303DA6"/>
    <w:rsid w:val="5D372FDE"/>
    <w:rsid w:val="5D3B758B"/>
    <w:rsid w:val="5D4810F0"/>
    <w:rsid w:val="5D591C96"/>
    <w:rsid w:val="5D6121B1"/>
    <w:rsid w:val="5D6677C8"/>
    <w:rsid w:val="5D7F75F0"/>
    <w:rsid w:val="5D8F4F70"/>
    <w:rsid w:val="5D973E25"/>
    <w:rsid w:val="5D981DF6"/>
    <w:rsid w:val="5D985CD5"/>
    <w:rsid w:val="5D9C143B"/>
    <w:rsid w:val="5D9C58DF"/>
    <w:rsid w:val="5D9F4F9A"/>
    <w:rsid w:val="5DA23113"/>
    <w:rsid w:val="5DA744FF"/>
    <w:rsid w:val="5DAE4240"/>
    <w:rsid w:val="5DB7170B"/>
    <w:rsid w:val="5DBE5856"/>
    <w:rsid w:val="5DCD5A99"/>
    <w:rsid w:val="5DD21301"/>
    <w:rsid w:val="5DD230AF"/>
    <w:rsid w:val="5DD72473"/>
    <w:rsid w:val="5DDF66DA"/>
    <w:rsid w:val="5DE3706A"/>
    <w:rsid w:val="5DEB5F1F"/>
    <w:rsid w:val="5DF11787"/>
    <w:rsid w:val="5DF853AC"/>
    <w:rsid w:val="5DF94928"/>
    <w:rsid w:val="5DFA7BF0"/>
    <w:rsid w:val="5E021BE6"/>
    <w:rsid w:val="5E0274A9"/>
    <w:rsid w:val="5E0771FD"/>
    <w:rsid w:val="5E084D23"/>
    <w:rsid w:val="5E0B036F"/>
    <w:rsid w:val="5E0B0912"/>
    <w:rsid w:val="5E127950"/>
    <w:rsid w:val="5E1E4546"/>
    <w:rsid w:val="5E1E5F37"/>
    <w:rsid w:val="5E225DE5"/>
    <w:rsid w:val="5E2467F1"/>
    <w:rsid w:val="5E2A6A47"/>
    <w:rsid w:val="5E2F4070"/>
    <w:rsid w:val="5E301BF8"/>
    <w:rsid w:val="5E45329D"/>
    <w:rsid w:val="5E4A0E97"/>
    <w:rsid w:val="5E4C10B3"/>
    <w:rsid w:val="5E547F68"/>
    <w:rsid w:val="5E554891"/>
    <w:rsid w:val="5E581806"/>
    <w:rsid w:val="5E5B4BC6"/>
    <w:rsid w:val="5E677C9B"/>
    <w:rsid w:val="5E784A8A"/>
    <w:rsid w:val="5E820631"/>
    <w:rsid w:val="5E8545C5"/>
    <w:rsid w:val="5E8F2D4E"/>
    <w:rsid w:val="5E99597B"/>
    <w:rsid w:val="5E9B5B97"/>
    <w:rsid w:val="5E9F7435"/>
    <w:rsid w:val="5EA07788"/>
    <w:rsid w:val="5EA54320"/>
    <w:rsid w:val="5EB804F7"/>
    <w:rsid w:val="5EC20387"/>
    <w:rsid w:val="5EC3531A"/>
    <w:rsid w:val="5ECE3876"/>
    <w:rsid w:val="5EF84D97"/>
    <w:rsid w:val="5EF86B45"/>
    <w:rsid w:val="5F0C439F"/>
    <w:rsid w:val="5F13397F"/>
    <w:rsid w:val="5F182D44"/>
    <w:rsid w:val="5F1A2B43"/>
    <w:rsid w:val="5F221E14"/>
    <w:rsid w:val="5F41229A"/>
    <w:rsid w:val="5F485EA7"/>
    <w:rsid w:val="5F512192"/>
    <w:rsid w:val="5F5244A8"/>
    <w:rsid w:val="5F546472"/>
    <w:rsid w:val="5F5D4BFA"/>
    <w:rsid w:val="5F6B37BB"/>
    <w:rsid w:val="5F6E6E08"/>
    <w:rsid w:val="5F7206A6"/>
    <w:rsid w:val="5F720D05"/>
    <w:rsid w:val="5F7268F8"/>
    <w:rsid w:val="5F7C32D2"/>
    <w:rsid w:val="5F7D71FA"/>
    <w:rsid w:val="5F80653E"/>
    <w:rsid w:val="5F812FDF"/>
    <w:rsid w:val="5F8959EF"/>
    <w:rsid w:val="5F8A277E"/>
    <w:rsid w:val="5F8B1FD2"/>
    <w:rsid w:val="5F933599"/>
    <w:rsid w:val="5F93686E"/>
    <w:rsid w:val="5FB837BB"/>
    <w:rsid w:val="5FB94527"/>
    <w:rsid w:val="5FCC24AC"/>
    <w:rsid w:val="5FCF5AF8"/>
    <w:rsid w:val="5FD04E3A"/>
    <w:rsid w:val="5FD1142C"/>
    <w:rsid w:val="5FD924D3"/>
    <w:rsid w:val="5FDC04F1"/>
    <w:rsid w:val="5FDE5D3B"/>
    <w:rsid w:val="5FE42D08"/>
    <w:rsid w:val="5FF13CC0"/>
    <w:rsid w:val="5FF52D97"/>
    <w:rsid w:val="5FF910EA"/>
    <w:rsid w:val="5FFE63DD"/>
    <w:rsid w:val="600B7719"/>
    <w:rsid w:val="602072E6"/>
    <w:rsid w:val="6022031E"/>
    <w:rsid w:val="602237A0"/>
    <w:rsid w:val="602A71D2"/>
    <w:rsid w:val="602B05DE"/>
    <w:rsid w:val="603E67DA"/>
    <w:rsid w:val="60411F4E"/>
    <w:rsid w:val="60452B14"/>
    <w:rsid w:val="604858AA"/>
    <w:rsid w:val="604C7149"/>
    <w:rsid w:val="604D2EC1"/>
    <w:rsid w:val="604E1113"/>
    <w:rsid w:val="60567FC7"/>
    <w:rsid w:val="60625B06"/>
    <w:rsid w:val="60675D31"/>
    <w:rsid w:val="60695F4D"/>
    <w:rsid w:val="60697B4C"/>
    <w:rsid w:val="60732927"/>
    <w:rsid w:val="607641C6"/>
    <w:rsid w:val="60765F74"/>
    <w:rsid w:val="60787E34"/>
    <w:rsid w:val="607B7A2E"/>
    <w:rsid w:val="60934D78"/>
    <w:rsid w:val="60A32AE1"/>
    <w:rsid w:val="60B73D35"/>
    <w:rsid w:val="60BB2A43"/>
    <w:rsid w:val="60BD7BA0"/>
    <w:rsid w:val="60C5514D"/>
    <w:rsid w:val="60C72211"/>
    <w:rsid w:val="60CA68F2"/>
    <w:rsid w:val="60CC405A"/>
    <w:rsid w:val="60E05AE3"/>
    <w:rsid w:val="60E761A7"/>
    <w:rsid w:val="60E76E71"/>
    <w:rsid w:val="60EC240F"/>
    <w:rsid w:val="60EC4488"/>
    <w:rsid w:val="60F872D1"/>
    <w:rsid w:val="61042EBB"/>
    <w:rsid w:val="6109328C"/>
    <w:rsid w:val="6109503A"/>
    <w:rsid w:val="610E77EE"/>
    <w:rsid w:val="6118527D"/>
    <w:rsid w:val="611D0B32"/>
    <w:rsid w:val="612C6F7A"/>
    <w:rsid w:val="613B0F6B"/>
    <w:rsid w:val="61406582"/>
    <w:rsid w:val="614222FA"/>
    <w:rsid w:val="6146003C"/>
    <w:rsid w:val="61497B2C"/>
    <w:rsid w:val="6151253D"/>
    <w:rsid w:val="61545DDB"/>
    <w:rsid w:val="61573FF7"/>
    <w:rsid w:val="615838CB"/>
    <w:rsid w:val="615F10FE"/>
    <w:rsid w:val="616B1851"/>
    <w:rsid w:val="61762489"/>
    <w:rsid w:val="618814A2"/>
    <w:rsid w:val="618A1710"/>
    <w:rsid w:val="619863BE"/>
    <w:rsid w:val="619E1C26"/>
    <w:rsid w:val="61A11716"/>
    <w:rsid w:val="61BF1193"/>
    <w:rsid w:val="61BF2475"/>
    <w:rsid w:val="61C55405"/>
    <w:rsid w:val="61CA1E3A"/>
    <w:rsid w:val="61CD6067"/>
    <w:rsid w:val="61DC274E"/>
    <w:rsid w:val="61E215D8"/>
    <w:rsid w:val="61E86815"/>
    <w:rsid w:val="61ED04B8"/>
    <w:rsid w:val="61EE40B9"/>
    <w:rsid w:val="61EF4230"/>
    <w:rsid w:val="61F061FA"/>
    <w:rsid w:val="61F65545"/>
    <w:rsid w:val="61F730E4"/>
    <w:rsid w:val="61FE26C5"/>
    <w:rsid w:val="620677CB"/>
    <w:rsid w:val="620A41A0"/>
    <w:rsid w:val="62187387"/>
    <w:rsid w:val="621B3775"/>
    <w:rsid w:val="621C2B4B"/>
    <w:rsid w:val="621F0E23"/>
    <w:rsid w:val="62255EA3"/>
    <w:rsid w:val="62364782"/>
    <w:rsid w:val="62541937"/>
    <w:rsid w:val="626003B8"/>
    <w:rsid w:val="6269729D"/>
    <w:rsid w:val="627C4CDF"/>
    <w:rsid w:val="6286255D"/>
    <w:rsid w:val="62922E0D"/>
    <w:rsid w:val="62976675"/>
    <w:rsid w:val="6298074D"/>
    <w:rsid w:val="629E17B2"/>
    <w:rsid w:val="62A6457F"/>
    <w:rsid w:val="62A82630"/>
    <w:rsid w:val="62A85C93"/>
    <w:rsid w:val="62AF7E63"/>
    <w:rsid w:val="62B341DC"/>
    <w:rsid w:val="62B40FD5"/>
    <w:rsid w:val="62B62F9F"/>
    <w:rsid w:val="62B66AFB"/>
    <w:rsid w:val="62C109B8"/>
    <w:rsid w:val="62C21944"/>
    <w:rsid w:val="62C90F25"/>
    <w:rsid w:val="62D022B3"/>
    <w:rsid w:val="62D376AD"/>
    <w:rsid w:val="62E713AB"/>
    <w:rsid w:val="62E96ED1"/>
    <w:rsid w:val="62EA49F7"/>
    <w:rsid w:val="62F157B6"/>
    <w:rsid w:val="62F835B8"/>
    <w:rsid w:val="62FB1290"/>
    <w:rsid w:val="6300246C"/>
    <w:rsid w:val="6311467A"/>
    <w:rsid w:val="63147CC6"/>
    <w:rsid w:val="6321507E"/>
    <w:rsid w:val="632418B9"/>
    <w:rsid w:val="632443AD"/>
    <w:rsid w:val="63260125"/>
    <w:rsid w:val="632D2297"/>
    <w:rsid w:val="632E6FDA"/>
    <w:rsid w:val="632F68AE"/>
    <w:rsid w:val="6333639E"/>
    <w:rsid w:val="63350368"/>
    <w:rsid w:val="633908EF"/>
    <w:rsid w:val="633F11E7"/>
    <w:rsid w:val="633F2F95"/>
    <w:rsid w:val="63495BC1"/>
    <w:rsid w:val="63506F50"/>
    <w:rsid w:val="63556314"/>
    <w:rsid w:val="63626C83"/>
    <w:rsid w:val="63750765"/>
    <w:rsid w:val="637C0048"/>
    <w:rsid w:val="637E7146"/>
    <w:rsid w:val="63886101"/>
    <w:rsid w:val="63894210"/>
    <w:rsid w:val="63936E3D"/>
    <w:rsid w:val="6394356A"/>
    <w:rsid w:val="63944368"/>
    <w:rsid w:val="63975D76"/>
    <w:rsid w:val="63994762"/>
    <w:rsid w:val="639C2195"/>
    <w:rsid w:val="639E415F"/>
    <w:rsid w:val="63A1155A"/>
    <w:rsid w:val="63A81389"/>
    <w:rsid w:val="63AB77C4"/>
    <w:rsid w:val="63B079EF"/>
    <w:rsid w:val="63B868A3"/>
    <w:rsid w:val="63BA261B"/>
    <w:rsid w:val="63C416EC"/>
    <w:rsid w:val="63C61B2C"/>
    <w:rsid w:val="63CF40E4"/>
    <w:rsid w:val="63D175AE"/>
    <w:rsid w:val="63D40BE9"/>
    <w:rsid w:val="63D74F7B"/>
    <w:rsid w:val="63DA62DE"/>
    <w:rsid w:val="63E63410"/>
    <w:rsid w:val="63E87188"/>
    <w:rsid w:val="63FC70D8"/>
    <w:rsid w:val="64033FC2"/>
    <w:rsid w:val="640B10C9"/>
    <w:rsid w:val="64102431"/>
    <w:rsid w:val="64126C0D"/>
    <w:rsid w:val="64290EE7"/>
    <w:rsid w:val="642B38B3"/>
    <w:rsid w:val="642F4DB7"/>
    <w:rsid w:val="64306D81"/>
    <w:rsid w:val="643B7C00"/>
    <w:rsid w:val="643D39F2"/>
    <w:rsid w:val="643E4FFA"/>
    <w:rsid w:val="6445282D"/>
    <w:rsid w:val="645C3D3F"/>
    <w:rsid w:val="646507D9"/>
    <w:rsid w:val="646627A3"/>
    <w:rsid w:val="64746C6E"/>
    <w:rsid w:val="647E5D3F"/>
    <w:rsid w:val="648D0337"/>
    <w:rsid w:val="64930C09"/>
    <w:rsid w:val="64940694"/>
    <w:rsid w:val="64A30948"/>
    <w:rsid w:val="64A5243A"/>
    <w:rsid w:val="64A532CB"/>
    <w:rsid w:val="64B67287"/>
    <w:rsid w:val="64BB3ED9"/>
    <w:rsid w:val="64CA0F84"/>
    <w:rsid w:val="64CC0566"/>
    <w:rsid w:val="64DF4A2F"/>
    <w:rsid w:val="64F14763"/>
    <w:rsid w:val="64F531DE"/>
    <w:rsid w:val="65085608"/>
    <w:rsid w:val="650B2080"/>
    <w:rsid w:val="65166B89"/>
    <w:rsid w:val="651915C4"/>
    <w:rsid w:val="651A5A67"/>
    <w:rsid w:val="651D2E62"/>
    <w:rsid w:val="651E6BDA"/>
    <w:rsid w:val="651F307E"/>
    <w:rsid w:val="65363817"/>
    <w:rsid w:val="65373578"/>
    <w:rsid w:val="65382F49"/>
    <w:rsid w:val="65385EEE"/>
    <w:rsid w:val="653D5C48"/>
    <w:rsid w:val="653F54CE"/>
    <w:rsid w:val="654F4FE5"/>
    <w:rsid w:val="6568563A"/>
    <w:rsid w:val="65720546"/>
    <w:rsid w:val="657A02B4"/>
    <w:rsid w:val="65817895"/>
    <w:rsid w:val="65870C23"/>
    <w:rsid w:val="65883653"/>
    <w:rsid w:val="658A426F"/>
    <w:rsid w:val="658F5EAE"/>
    <w:rsid w:val="65901886"/>
    <w:rsid w:val="659155FE"/>
    <w:rsid w:val="659A0956"/>
    <w:rsid w:val="659C46CE"/>
    <w:rsid w:val="65A672FB"/>
    <w:rsid w:val="65AE7F5E"/>
    <w:rsid w:val="65B0271B"/>
    <w:rsid w:val="65CF559B"/>
    <w:rsid w:val="65D36317"/>
    <w:rsid w:val="65DB20BD"/>
    <w:rsid w:val="65F2262A"/>
    <w:rsid w:val="65F242EE"/>
    <w:rsid w:val="65FD2C93"/>
    <w:rsid w:val="66067D9A"/>
    <w:rsid w:val="66195D1F"/>
    <w:rsid w:val="661D46E2"/>
    <w:rsid w:val="661D4B40"/>
    <w:rsid w:val="661F0E5C"/>
    <w:rsid w:val="662326FA"/>
    <w:rsid w:val="663A7A43"/>
    <w:rsid w:val="66417024"/>
    <w:rsid w:val="664E4A89"/>
    <w:rsid w:val="6650370B"/>
    <w:rsid w:val="66551A28"/>
    <w:rsid w:val="6658593F"/>
    <w:rsid w:val="6660394E"/>
    <w:rsid w:val="66655D7C"/>
    <w:rsid w:val="66680A54"/>
    <w:rsid w:val="667016B7"/>
    <w:rsid w:val="667473F9"/>
    <w:rsid w:val="66772A46"/>
    <w:rsid w:val="6686712D"/>
    <w:rsid w:val="66867973"/>
    <w:rsid w:val="668A4527"/>
    <w:rsid w:val="66903B07"/>
    <w:rsid w:val="6692162D"/>
    <w:rsid w:val="6694184A"/>
    <w:rsid w:val="66996E60"/>
    <w:rsid w:val="669B2BD8"/>
    <w:rsid w:val="669C425A"/>
    <w:rsid w:val="66A650D9"/>
    <w:rsid w:val="66A7157D"/>
    <w:rsid w:val="66B477F6"/>
    <w:rsid w:val="66BB0B84"/>
    <w:rsid w:val="66C043ED"/>
    <w:rsid w:val="66C2761C"/>
    <w:rsid w:val="66CA0E88"/>
    <w:rsid w:val="66CD6B09"/>
    <w:rsid w:val="66CF4630"/>
    <w:rsid w:val="66D24120"/>
    <w:rsid w:val="66D6776C"/>
    <w:rsid w:val="66D71736"/>
    <w:rsid w:val="66D82C79"/>
    <w:rsid w:val="66E0683D"/>
    <w:rsid w:val="66F611AA"/>
    <w:rsid w:val="66F81DD8"/>
    <w:rsid w:val="66F87328"/>
    <w:rsid w:val="66F978FF"/>
    <w:rsid w:val="6703077D"/>
    <w:rsid w:val="67073DC9"/>
    <w:rsid w:val="670B4947"/>
    <w:rsid w:val="670D5158"/>
    <w:rsid w:val="671464E6"/>
    <w:rsid w:val="671604B0"/>
    <w:rsid w:val="6716400D"/>
    <w:rsid w:val="671D183F"/>
    <w:rsid w:val="671F124A"/>
    <w:rsid w:val="672030DD"/>
    <w:rsid w:val="672C55DE"/>
    <w:rsid w:val="67367361"/>
    <w:rsid w:val="674A63AC"/>
    <w:rsid w:val="675A398D"/>
    <w:rsid w:val="675B2F4B"/>
    <w:rsid w:val="676C7036"/>
    <w:rsid w:val="67746F85"/>
    <w:rsid w:val="677A0A3F"/>
    <w:rsid w:val="677A33C6"/>
    <w:rsid w:val="677B47B7"/>
    <w:rsid w:val="678E44EB"/>
    <w:rsid w:val="678F3DBF"/>
    <w:rsid w:val="67980EC5"/>
    <w:rsid w:val="67A25833"/>
    <w:rsid w:val="67AE3A97"/>
    <w:rsid w:val="67B101D9"/>
    <w:rsid w:val="67B67F01"/>
    <w:rsid w:val="67BF28F6"/>
    <w:rsid w:val="67CB3B5A"/>
    <w:rsid w:val="67D85766"/>
    <w:rsid w:val="67E1461B"/>
    <w:rsid w:val="67E4410B"/>
    <w:rsid w:val="67F42EE7"/>
    <w:rsid w:val="67F66B2A"/>
    <w:rsid w:val="67F82033"/>
    <w:rsid w:val="67FA1B80"/>
    <w:rsid w:val="67FA5064"/>
    <w:rsid w:val="67FF35EF"/>
    <w:rsid w:val="68014CBD"/>
    <w:rsid w:val="6802739F"/>
    <w:rsid w:val="680447AD"/>
    <w:rsid w:val="680B5B3B"/>
    <w:rsid w:val="681542C4"/>
    <w:rsid w:val="681A38D9"/>
    <w:rsid w:val="681D761D"/>
    <w:rsid w:val="681F6961"/>
    <w:rsid w:val="682C4391"/>
    <w:rsid w:val="682E5386"/>
    <w:rsid w:val="6832131A"/>
    <w:rsid w:val="68444BA9"/>
    <w:rsid w:val="68464DC5"/>
    <w:rsid w:val="685109C3"/>
    <w:rsid w:val="68525518"/>
    <w:rsid w:val="68541290"/>
    <w:rsid w:val="68586A58"/>
    <w:rsid w:val="685968A7"/>
    <w:rsid w:val="685C0145"/>
    <w:rsid w:val="68610A2F"/>
    <w:rsid w:val="686B0388"/>
    <w:rsid w:val="68735867"/>
    <w:rsid w:val="6874548F"/>
    <w:rsid w:val="68752FB5"/>
    <w:rsid w:val="687C07E7"/>
    <w:rsid w:val="687E455F"/>
    <w:rsid w:val="68805514"/>
    <w:rsid w:val="688E4077"/>
    <w:rsid w:val="688F051A"/>
    <w:rsid w:val="68A24195"/>
    <w:rsid w:val="68A610C0"/>
    <w:rsid w:val="68A6568C"/>
    <w:rsid w:val="68B61BDB"/>
    <w:rsid w:val="68B63CF9"/>
    <w:rsid w:val="68BA4E6C"/>
    <w:rsid w:val="68BE5240"/>
    <w:rsid w:val="68C83A2C"/>
    <w:rsid w:val="68CF4DBB"/>
    <w:rsid w:val="68D128E1"/>
    <w:rsid w:val="68D20407"/>
    <w:rsid w:val="68D2558C"/>
    <w:rsid w:val="68D545C8"/>
    <w:rsid w:val="68E048D2"/>
    <w:rsid w:val="68E249DE"/>
    <w:rsid w:val="68E36170"/>
    <w:rsid w:val="68E943F6"/>
    <w:rsid w:val="68F20AA9"/>
    <w:rsid w:val="68F24605"/>
    <w:rsid w:val="68FB5BB0"/>
    <w:rsid w:val="68FB795E"/>
    <w:rsid w:val="68FC7232"/>
    <w:rsid w:val="691251C6"/>
    <w:rsid w:val="691E5254"/>
    <w:rsid w:val="692B072C"/>
    <w:rsid w:val="69316E2F"/>
    <w:rsid w:val="69344C1E"/>
    <w:rsid w:val="693C3AD3"/>
    <w:rsid w:val="693F7033"/>
    <w:rsid w:val="6949289B"/>
    <w:rsid w:val="694E2071"/>
    <w:rsid w:val="694E2184"/>
    <w:rsid w:val="694F1A58"/>
    <w:rsid w:val="69524E67"/>
    <w:rsid w:val="69562DE6"/>
    <w:rsid w:val="696D4A39"/>
    <w:rsid w:val="69731BEA"/>
    <w:rsid w:val="69766163"/>
    <w:rsid w:val="697A3B33"/>
    <w:rsid w:val="69846C44"/>
    <w:rsid w:val="69924C2F"/>
    <w:rsid w:val="699E3FB8"/>
    <w:rsid w:val="69A346F1"/>
    <w:rsid w:val="69B17C79"/>
    <w:rsid w:val="69B30239"/>
    <w:rsid w:val="69B46D65"/>
    <w:rsid w:val="69BB70ED"/>
    <w:rsid w:val="69BE2739"/>
    <w:rsid w:val="69C2222A"/>
    <w:rsid w:val="69C9180A"/>
    <w:rsid w:val="69D00DEB"/>
    <w:rsid w:val="69D44760"/>
    <w:rsid w:val="69D5798D"/>
    <w:rsid w:val="69DB0C82"/>
    <w:rsid w:val="69E95A08"/>
    <w:rsid w:val="69EC5ECF"/>
    <w:rsid w:val="69EE74C3"/>
    <w:rsid w:val="6A002D52"/>
    <w:rsid w:val="6A022F6E"/>
    <w:rsid w:val="6A1707C7"/>
    <w:rsid w:val="6A181E6C"/>
    <w:rsid w:val="6A1938FC"/>
    <w:rsid w:val="6A1D56B2"/>
    <w:rsid w:val="6A356EA0"/>
    <w:rsid w:val="6A38073E"/>
    <w:rsid w:val="6A386990"/>
    <w:rsid w:val="6A3A6264"/>
    <w:rsid w:val="6A3F11D7"/>
    <w:rsid w:val="6A43785F"/>
    <w:rsid w:val="6A445335"/>
    <w:rsid w:val="6A520EC7"/>
    <w:rsid w:val="6A5C61DA"/>
    <w:rsid w:val="6A5F216E"/>
    <w:rsid w:val="6A6257BB"/>
    <w:rsid w:val="6A6634FD"/>
    <w:rsid w:val="6A696B49"/>
    <w:rsid w:val="6A6D488B"/>
    <w:rsid w:val="6A6D6639"/>
    <w:rsid w:val="6A7774B8"/>
    <w:rsid w:val="6A7C02EA"/>
    <w:rsid w:val="6A7C062B"/>
    <w:rsid w:val="6A7E0847"/>
    <w:rsid w:val="6A8671F8"/>
    <w:rsid w:val="6A8E581F"/>
    <w:rsid w:val="6AA33E09"/>
    <w:rsid w:val="6AA61A1F"/>
    <w:rsid w:val="6AAA6FB1"/>
    <w:rsid w:val="6AAF6C52"/>
    <w:rsid w:val="6AB95096"/>
    <w:rsid w:val="6ABA1688"/>
    <w:rsid w:val="6AC50223"/>
    <w:rsid w:val="6AC57AA5"/>
    <w:rsid w:val="6AD14584"/>
    <w:rsid w:val="6ADA35A3"/>
    <w:rsid w:val="6AE306AA"/>
    <w:rsid w:val="6AE508C6"/>
    <w:rsid w:val="6AEA439A"/>
    <w:rsid w:val="6AF208ED"/>
    <w:rsid w:val="6AF87E20"/>
    <w:rsid w:val="6B013226"/>
    <w:rsid w:val="6B080110"/>
    <w:rsid w:val="6B234F4A"/>
    <w:rsid w:val="6B2C2051"/>
    <w:rsid w:val="6B322639"/>
    <w:rsid w:val="6B3A1470"/>
    <w:rsid w:val="6B3E1D84"/>
    <w:rsid w:val="6B413622"/>
    <w:rsid w:val="6B421874"/>
    <w:rsid w:val="6B460C38"/>
    <w:rsid w:val="6B513865"/>
    <w:rsid w:val="6B5221CC"/>
    <w:rsid w:val="6B5477F9"/>
    <w:rsid w:val="6B5C220A"/>
    <w:rsid w:val="6B621B28"/>
    <w:rsid w:val="6B750D95"/>
    <w:rsid w:val="6B792DBC"/>
    <w:rsid w:val="6B80239C"/>
    <w:rsid w:val="6B8974A3"/>
    <w:rsid w:val="6B9108C5"/>
    <w:rsid w:val="6B9A1806"/>
    <w:rsid w:val="6B9B0F84"/>
    <w:rsid w:val="6B9E5CFE"/>
    <w:rsid w:val="6BAB6D14"/>
    <w:rsid w:val="6BBA3B00"/>
    <w:rsid w:val="6BBF1117"/>
    <w:rsid w:val="6BCA3618"/>
    <w:rsid w:val="6BCC3834"/>
    <w:rsid w:val="6BCD0D7C"/>
    <w:rsid w:val="6BD455CF"/>
    <w:rsid w:val="6BDD0389"/>
    <w:rsid w:val="6BDD77EF"/>
    <w:rsid w:val="6BE4292B"/>
    <w:rsid w:val="6BE50C3B"/>
    <w:rsid w:val="6BEB1F0C"/>
    <w:rsid w:val="6BF815F2"/>
    <w:rsid w:val="6BFC1027"/>
    <w:rsid w:val="6C027255"/>
    <w:rsid w:val="6C0905E4"/>
    <w:rsid w:val="6C0E1756"/>
    <w:rsid w:val="6C1825D5"/>
    <w:rsid w:val="6C250049"/>
    <w:rsid w:val="6C292A34"/>
    <w:rsid w:val="6C30706D"/>
    <w:rsid w:val="6C3C4515"/>
    <w:rsid w:val="6C467142"/>
    <w:rsid w:val="6C553FB9"/>
    <w:rsid w:val="6C564DD5"/>
    <w:rsid w:val="6C636C38"/>
    <w:rsid w:val="6C68355C"/>
    <w:rsid w:val="6C7211AF"/>
    <w:rsid w:val="6C842D3E"/>
    <w:rsid w:val="6C845EBC"/>
    <w:rsid w:val="6C8E2897"/>
    <w:rsid w:val="6C967451"/>
    <w:rsid w:val="6C9A748E"/>
    <w:rsid w:val="6CB06CB1"/>
    <w:rsid w:val="6CB423CE"/>
    <w:rsid w:val="6CB73B9C"/>
    <w:rsid w:val="6CBA18DE"/>
    <w:rsid w:val="6CCC619E"/>
    <w:rsid w:val="6CD90B94"/>
    <w:rsid w:val="6CF22E26"/>
    <w:rsid w:val="6CFC5A53"/>
    <w:rsid w:val="6D0C5AD2"/>
    <w:rsid w:val="6D0E5786"/>
    <w:rsid w:val="6D1E1E6D"/>
    <w:rsid w:val="6D231231"/>
    <w:rsid w:val="6D254FA9"/>
    <w:rsid w:val="6D2F5E28"/>
    <w:rsid w:val="6D345203"/>
    <w:rsid w:val="6D4C4C2C"/>
    <w:rsid w:val="6D527D69"/>
    <w:rsid w:val="6D592EA5"/>
    <w:rsid w:val="6D5B6C1D"/>
    <w:rsid w:val="6D5D6243"/>
    <w:rsid w:val="6D5E495F"/>
    <w:rsid w:val="6D602485"/>
    <w:rsid w:val="6D68758C"/>
    <w:rsid w:val="6D714693"/>
    <w:rsid w:val="6D716441"/>
    <w:rsid w:val="6D7C4ED1"/>
    <w:rsid w:val="6D7D5C34"/>
    <w:rsid w:val="6D853C9A"/>
    <w:rsid w:val="6D8617C0"/>
    <w:rsid w:val="6D8E6C32"/>
    <w:rsid w:val="6D946F59"/>
    <w:rsid w:val="6D993E03"/>
    <w:rsid w:val="6DA02882"/>
    <w:rsid w:val="6DA22A9E"/>
    <w:rsid w:val="6DA57E98"/>
    <w:rsid w:val="6DA63E09"/>
    <w:rsid w:val="6DA71E62"/>
    <w:rsid w:val="6DAA54AF"/>
    <w:rsid w:val="6DAB114F"/>
    <w:rsid w:val="6DAF51BB"/>
    <w:rsid w:val="6DB34098"/>
    <w:rsid w:val="6DB545B6"/>
    <w:rsid w:val="6DB9657F"/>
    <w:rsid w:val="6DBC50FA"/>
    <w:rsid w:val="6DC9002B"/>
    <w:rsid w:val="6DD54C21"/>
    <w:rsid w:val="6DD662A4"/>
    <w:rsid w:val="6DD95E87"/>
    <w:rsid w:val="6DDD3AD6"/>
    <w:rsid w:val="6DE02FB4"/>
    <w:rsid w:val="6DE07298"/>
    <w:rsid w:val="6DE309C1"/>
    <w:rsid w:val="6DE76703"/>
    <w:rsid w:val="6DF1132F"/>
    <w:rsid w:val="6E0E5B84"/>
    <w:rsid w:val="6E1F1379"/>
    <w:rsid w:val="6E2E4332"/>
    <w:rsid w:val="6E34121C"/>
    <w:rsid w:val="6E494CC8"/>
    <w:rsid w:val="6E514CED"/>
    <w:rsid w:val="6E5A7B9C"/>
    <w:rsid w:val="6E5B49FB"/>
    <w:rsid w:val="6E69536A"/>
    <w:rsid w:val="6E6D305C"/>
    <w:rsid w:val="6E6E75D4"/>
    <w:rsid w:val="6E751F49"/>
    <w:rsid w:val="6E761835"/>
    <w:rsid w:val="6E922B12"/>
    <w:rsid w:val="6E9323E7"/>
    <w:rsid w:val="6EA445F4"/>
    <w:rsid w:val="6EB24666"/>
    <w:rsid w:val="6EB563D5"/>
    <w:rsid w:val="6EBD1212"/>
    <w:rsid w:val="6EBE032E"/>
    <w:rsid w:val="6EC6614D"/>
    <w:rsid w:val="6ED30A35"/>
    <w:rsid w:val="6ED64A06"/>
    <w:rsid w:val="6ED92677"/>
    <w:rsid w:val="6EDF562C"/>
    <w:rsid w:val="6EE36ECA"/>
    <w:rsid w:val="6EE80984"/>
    <w:rsid w:val="6EE82732"/>
    <w:rsid w:val="6EF235B1"/>
    <w:rsid w:val="6EF2710D"/>
    <w:rsid w:val="6EF353C5"/>
    <w:rsid w:val="6EFF440A"/>
    <w:rsid w:val="6F03131A"/>
    <w:rsid w:val="6F046E40"/>
    <w:rsid w:val="6F0926A9"/>
    <w:rsid w:val="6F0C77AB"/>
    <w:rsid w:val="6F0D2199"/>
    <w:rsid w:val="6F0D3F47"/>
    <w:rsid w:val="6F147412"/>
    <w:rsid w:val="6F165398"/>
    <w:rsid w:val="6F1678AD"/>
    <w:rsid w:val="6F1B2371"/>
    <w:rsid w:val="6F225983"/>
    <w:rsid w:val="6F2614AD"/>
    <w:rsid w:val="6F35524C"/>
    <w:rsid w:val="6F3A4642"/>
    <w:rsid w:val="6F415726"/>
    <w:rsid w:val="6F544D45"/>
    <w:rsid w:val="6F55769C"/>
    <w:rsid w:val="6F5635F6"/>
    <w:rsid w:val="6F607033"/>
    <w:rsid w:val="6F627807"/>
    <w:rsid w:val="6F651FD5"/>
    <w:rsid w:val="6F653D83"/>
    <w:rsid w:val="6F770C84"/>
    <w:rsid w:val="6F771D08"/>
    <w:rsid w:val="6F7F4719"/>
    <w:rsid w:val="6F834209"/>
    <w:rsid w:val="6F8561D3"/>
    <w:rsid w:val="6F87750E"/>
    <w:rsid w:val="6F8F2BAE"/>
    <w:rsid w:val="6F906926"/>
    <w:rsid w:val="6F95026E"/>
    <w:rsid w:val="6F975F07"/>
    <w:rsid w:val="6F977CB5"/>
    <w:rsid w:val="6FAC7C04"/>
    <w:rsid w:val="6FB72105"/>
    <w:rsid w:val="6FBC771B"/>
    <w:rsid w:val="6FBF06CD"/>
    <w:rsid w:val="6FC72A67"/>
    <w:rsid w:val="6FCA1E38"/>
    <w:rsid w:val="6FCF38F2"/>
    <w:rsid w:val="6FD11419"/>
    <w:rsid w:val="6FD1766A"/>
    <w:rsid w:val="6FD74555"/>
    <w:rsid w:val="6FDB4045"/>
    <w:rsid w:val="6FDE3B35"/>
    <w:rsid w:val="6FE80510"/>
    <w:rsid w:val="6FEB0F4B"/>
    <w:rsid w:val="6FEB61A6"/>
    <w:rsid w:val="6FEF5D43"/>
    <w:rsid w:val="6FFC13FB"/>
    <w:rsid w:val="6FFC5590"/>
    <w:rsid w:val="700417EE"/>
    <w:rsid w:val="70090BB2"/>
    <w:rsid w:val="70117A67"/>
    <w:rsid w:val="70167772"/>
    <w:rsid w:val="70170D78"/>
    <w:rsid w:val="7017432A"/>
    <w:rsid w:val="70180CEA"/>
    <w:rsid w:val="7019691C"/>
    <w:rsid w:val="701E2184"/>
    <w:rsid w:val="7036571F"/>
    <w:rsid w:val="703674CE"/>
    <w:rsid w:val="703F342B"/>
    <w:rsid w:val="704A7770"/>
    <w:rsid w:val="704D7FCB"/>
    <w:rsid w:val="704E0CBB"/>
    <w:rsid w:val="70587292"/>
    <w:rsid w:val="70651B61"/>
    <w:rsid w:val="70691651"/>
    <w:rsid w:val="706D1DD0"/>
    <w:rsid w:val="706E310B"/>
    <w:rsid w:val="70700C31"/>
    <w:rsid w:val="707F2C23"/>
    <w:rsid w:val="70856B87"/>
    <w:rsid w:val="708752DE"/>
    <w:rsid w:val="709F32C5"/>
    <w:rsid w:val="70A64D6B"/>
    <w:rsid w:val="70AC59E2"/>
    <w:rsid w:val="70B56644"/>
    <w:rsid w:val="70BA00FF"/>
    <w:rsid w:val="70C71D41"/>
    <w:rsid w:val="70CE5958"/>
    <w:rsid w:val="70D171F6"/>
    <w:rsid w:val="70D527EE"/>
    <w:rsid w:val="70DA60AB"/>
    <w:rsid w:val="70DC62C7"/>
    <w:rsid w:val="70F27898"/>
    <w:rsid w:val="70F76CC0"/>
    <w:rsid w:val="70FC0717"/>
    <w:rsid w:val="7101188A"/>
    <w:rsid w:val="71072C18"/>
    <w:rsid w:val="710A39B3"/>
    <w:rsid w:val="711F4406"/>
    <w:rsid w:val="71235CA4"/>
    <w:rsid w:val="71244F6F"/>
    <w:rsid w:val="713C2D69"/>
    <w:rsid w:val="713F0604"/>
    <w:rsid w:val="71563B6F"/>
    <w:rsid w:val="715916C6"/>
    <w:rsid w:val="715B5300"/>
    <w:rsid w:val="7167778B"/>
    <w:rsid w:val="716D1443"/>
    <w:rsid w:val="718129CA"/>
    <w:rsid w:val="7185070D"/>
    <w:rsid w:val="718D37CA"/>
    <w:rsid w:val="719426FE"/>
    <w:rsid w:val="719646C8"/>
    <w:rsid w:val="719B7F30"/>
    <w:rsid w:val="719C5B1D"/>
    <w:rsid w:val="71A16BC9"/>
    <w:rsid w:val="71A36DE5"/>
    <w:rsid w:val="71A8252C"/>
    <w:rsid w:val="71A83F33"/>
    <w:rsid w:val="71CC6731"/>
    <w:rsid w:val="71D21AE6"/>
    <w:rsid w:val="71D27F8A"/>
    <w:rsid w:val="71DB20DB"/>
    <w:rsid w:val="71E01DE7"/>
    <w:rsid w:val="71E036E4"/>
    <w:rsid w:val="71E64695"/>
    <w:rsid w:val="71EA56F1"/>
    <w:rsid w:val="71ED0060"/>
    <w:rsid w:val="71ED2262"/>
    <w:rsid w:val="71F3502F"/>
    <w:rsid w:val="71F60B5D"/>
    <w:rsid w:val="71FB3645"/>
    <w:rsid w:val="71FC02A3"/>
    <w:rsid w:val="7205184D"/>
    <w:rsid w:val="720731E1"/>
    <w:rsid w:val="720E7580"/>
    <w:rsid w:val="721101F2"/>
    <w:rsid w:val="72121874"/>
    <w:rsid w:val="72153141"/>
    <w:rsid w:val="722021E3"/>
    <w:rsid w:val="72273572"/>
    <w:rsid w:val="723D0FE7"/>
    <w:rsid w:val="723E08BB"/>
    <w:rsid w:val="72402885"/>
    <w:rsid w:val="724E0F67"/>
    <w:rsid w:val="724F2AC9"/>
    <w:rsid w:val="72507332"/>
    <w:rsid w:val="72516841"/>
    <w:rsid w:val="72553024"/>
    <w:rsid w:val="7258197D"/>
    <w:rsid w:val="726245AA"/>
    <w:rsid w:val="72693B8A"/>
    <w:rsid w:val="726A16B0"/>
    <w:rsid w:val="7271666B"/>
    <w:rsid w:val="72785B7B"/>
    <w:rsid w:val="728169BC"/>
    <w:rsid w:val="72872262"/>
    <w:rsid w:val="72936E59"/>
    <w:rsid w:val="72966949"/>
    <w:rsid w:val="729A01E8"/>
    <w:rsid w:val="729F4DE6"/>
    <w:rsid w:val="72A7514E"/>
    <w:rsid w:val="72A9667D"/>
    <w:rsid w:val="72AD49E8"/>
    <w:rsid w:val="72B62B48"/>
    <w:rsid w:val="72BB1F0C"/>
    <w:rsid w:val="72BB7781"/>
    <w:rsid w:val="72BD5C84"/>
    <w:rsid w:val="72C139C6"/>
    <w:rsid w:val="72C36EB5"/>
    <w:rsid w:val="72C83F3E"/>
    <w:rsid w:val="72D60AF4"/>
    <w:rsid w:val="72E01973"/>
    <w:rsid w:val="72E23A9A"/>
    <w:rsid w:val="72E27499"/>
    <w:rsid w:val="72E72D01"/>
    <w:rsid w:val="72FA4732"/>
    <w:rsid w:val="72FC49FE"/>
    <w:rsid w:val="73001740"/>
    <w:rsid w:val="73047198"/>
    <w:rsid w:val="730E22A5"/>
    <w:rsid w:val="73122968"/>
    <w:rsid w:val="73166798"/>
    <w:rsid w:val="731A2D6E"/>
    <w:rsid w:val="731C29AB"/>
    <w:rsid w:val="731D6723"/>
    <w:rsid w:val="731F5D5E"/>
    <w:rsid w:val="73223D39"/>
    <w:rsid w:val="73233E20"/>
    <w:rsid w:val="7327134F"/>
    <w:rsid w:val="732E0930"/>
    <w:rsid w:val="733F6699"/>
    <w:rsid w:val="734072AA"/>
    <w:rsid w:val="73441F01"/>
    <w:rsid w:val="7346211D"/>
    <w:rsid w:val="735008A6"/>
    <w:rsid w:val="735D69D5"/>
    <w:rsid w:val="73661E78"/>
    <w:rsid w:val="736745BA"/>
    <w:rsid w:val="736B1B84"/>
    <w:rsid w:val="737547B1"/>
    <w:rsid w:val="7376441F"/>
    <w:rsid w:val="73880040"/>
    <w:rsid w:val="739314F5"/>
    <w:rsid w:val="73A330CC"/>
    <w:rsid w:val="73A33523"/>
    <w:rsid w:val="73BC23E0"/>
    <w:rsid w:val="73C51AD5"/>
    <w:rsid w:val="73D239B1"/>
    <w:rsid w:val="73DA4614"/>
    <w:rsid w:val="73E21E46"/>
    <w:rsid w:val="73E34767"/>
    <w:rsid w:val="73E3796C"/>
    <w:rsid w:val="73E536E4"/>
    <w:rsid w:val="73EA4857"/>
    <w:rsid w:val="73EC1C67"/>
    <w:rsid w:val="73F01FB5"/>
    <w:rsid w:val="73FB4CB6"/>
    <w:rsid w:val="741E793C"/>
    <w:rsid w:val="742D0BE7"/>
    <w:rsid w:val="7439758C"/>
    <w:rsid w:val="743E472A"/>
    <w:rsid w:val="7443665D"/>
    <w:rsid w:val="744C72C0"/>
    <w:rsid w:val="744D4DE6"/>
    <w:rsid w:val="74512B28"/>
    <w:rsid w:val="745E3944"/>
    <w:rsid w:val="746C1710"/>
    <w:rsid w:val="747255FF"/>
    <w:rsid w:val="747B1953"/>
    <w:rsid w:val="748A428C"/>
    <w:rsid w:val="748C1DB2"/>
    <w:rsid w:val="74925850"/>
    <w:rsid w:val="74980757"/>
    <w:rsid w:val="749E6828"/>
    <w:rsid w:val="74A569D0"/>
    <w:rsid w:val="74A94712"/>
    <w:rsid w:val="74B135C7"/>
    <w:rsid w:val="74BB4445"/>
    <w:rsid w:val="74BC2C75"/>
    <w:rsid w:val="74BD615B"/>
    <w:rsid w:val="74C0380A"/>
    <w:rsid w:val="74C27582"/>
    <w:rsid w:val="74C652C4"/>
    <w:rsid w:val="74D177C5"/>
    <w:rsid w:val="74D80B53"/>
    <w:rsid w:val="74DC4AE7"/>
    <w:rsid w:val="74EE65C9"/>
    <w:rsid w:val="74F37FF9"/>
    <w:rsid w:val="74FA4F6E"/>
    <w:rsid w:val="74FD3D3C"/>
    <w:rsid w:val="75120509"/>
    <w:rsid w:val="75157FF9"/>
    <w:rsid w:val="75213F0A"/>
    <w:rsid w:val="75256005"/>
    <w:rsid w:val="75295853"/>
    <w:rsid w:val="75330480"/>
    <w:rsid w:val="75330609"/>
    <w:rsid w:val="753B7D20"/>
    <w:rsid w:val="753C7334"/>
    <w:rsid w:val="7542526C"/>
    <w:rsid w:val="75530B22"/>
    <w:rsid w:val="75535181"/>
    <w:rsid w:val="755F74C6"/>
    <w:rsid w:val="75610B49"/>
    <w:rsid w:val="75660855"/>
    <w:rsid w:val="7568637B"/>
    <w:rsid w:val="756B7C19"/>
    <w:rsid w:val="756D573F"/>
    <w:rsid w:val="757F5473"/>
    <w:rsid w:val="758236C9"/>
    <w:rsid w:val="758902B1"/>
    <w:rsid w:val="758C3AFB"/>
    <w:rsid w:val="75963771"/>
    <w:rsid w:val="759762E5"/>
    <w:rsid w:val="75994786"/>
    <w:rsid w:val="759E3B4B"/>
    <w:rsid w:val="75AB0CBC"/>
    <w:rsid w:val="75B17106"/>
    <w:rsid w:val="75B275F6"/>
    <w:rsid w:val="75D21A46"/>
    <w:rsid w:val="75D94B83"/>
    <w:rsid w:val="75DC4673"/>
    <w:rsid w:val="75DD762C"/>
    <w:rsid w:val="75DE03EB"/>
    <w:rsid w:val="75DE488F"/>
    <w:rsid w:val="75DE663D"/>
    <w:rsid w:val="75EF43A6"/>
    <w:rsid w:val="75FC2F67"/>
    <w:rsid w:val="76000DAC"/>
    <w:rsid w:val="76035D05"/>
    <w:rsid w:val="760E383F"/>
    <w:rsid w:val="761361A4"/>
    <w:rsid w:val="761D53B8"/>
    <w:rsid w:val="76283D5C"/>
    <w:rsid w:val="76295CFD"/>
    <w:rsid w:val="762C360A"/>
    <w:rsid w:val="762D5B9B"/>
    <w:rsid w:val="7635099D"/>
    <w:rsid w:val="764364A0"/>
    <w:rsid w:val="76544B51"/>
    <w:rsid w:val="76563322"/>
    <w:rsid w:val="765E777E"/>
    <w:rsid w:val="76607052"/>
    <w:rsid w:val="7661183D"/>
    <w:rsid w:val="76650B0D"/>
    <w:rsid w:val="766A1C7F"/>
    <w:rsid w:val="76740D50"/>
    <w:rsid w:val="76836954"/>
    <w:rsid w:val="7693567A"/>
    <w:rsid w:val="769C4061"/>
    <w:rsid w:val="76AA50FB"/>
    <w:rsid w:val="76AA7921"/>
    <w:rsid w:val="76AC2297"/>
    <w:rsid w:val="76AC673B"/>
    <w:rsid w:val="76C479BE"/>
    <w:rsid w:val="76C70E7F"/>
    <w:rsid w:val="76C9543C"/>
    <w:rsid w:val="76D37824"/>
    <w:rsid w:val="76D872C4"/>
    <w:rsid w:val="76E47C83"/>
    <w:rsid w:val="76F679B7"/>
    <w:rsid w:val="76FF686B"/>
    <w:rsid w:val="77020109"/>
    <w:rsid w:val="77031D0A"/>
    <w:rsid w:val="770E7A76"/>
    <w:rsid w:val="77151E2E"/>
    <w:rsid w:val="771B72C4"/>
    <w:rsid w:val="771E384F"/>
    <w:rsid w:val="7722255A"/>
    <w:rsid w:val="77297D8C"/>
    <w:rsid w:val="77326F71"/>
    <w:rsid w:val="77515070"/>
    <w:rsid w:val="775C75CE"/>
    <w:rsid w:val="775E0C31"/>
    <w:rsid w:val="7763329E"/>
    <w:rsid w:val="77644920"/>
    <w:rsid w:val="777032C5"/>
    <w:rsid w:val="77762421"/>
    <w:rsid w:val="77766FF9"/>
    <w:rsid w:val="778628CF"/>
    <w:rsid w:val="778D031B"/>
    <w:rsid w:val="779416A9"/>
    <w:rsid w:val="779E42D6"/>
    <w:rsid w:val="77A6318B"/>
    <w:rsid w:val="77AB6CAA"/>
    <w:rsid w:val="77AE203F"/>
    <w:rsid w:val="77AF64E3"/>
    <w:rsid w:val="77B358A8"/>
    <w:rsid w:val="77B5517C"/>
    <w:rsid w:val="77B56B1F"/>
    <w:rsid w:val="77C6382D"/>
    <w:rsid w:val="77C74EAF"/>
    <w:rsid w:val="77C875A5"/>
    <w:rsid w:val="77CA50CB"/>
    <w:rsid w:val="77CF26E1"/>
    <w:rsid w:val="780B56E4"/>
    <w:rsid w:val="780F09F4"/>
    <w:rsid w:val="780F0D30"/>
    <w:rsid w:val="781520BE"/>
    <w:rsid w:val="78154D07"/>
    <w:rsid w:val="781E5417"/>
    <w:rsid w:val="781F0DF4"/>
    <w:rsid w:val="781F6205"/>
    <w:rsid w:val="78212811"/>
    <w:rsid w:val="782407F3"/>
    <w:rsid w:val="782642CC"/>
    <w:rsid w:val="782B18E2"/>
    <w:rsid w:val="782B4CE1"/>
    <w:rsid w:val="782E45B8"/>
    <w:rsid w:val="783562BD"/>
    <w:rsid w:val="783B1B25"/>
    <w:rsid w:val="784309DA"/>
    <w:rsid w:val="78462278"/>
    <w:rsid w:val="7848341B"/>
    <w:rsid w:val="784D1D22"/>
    <w:rsid w:val="78541B7A"/>
    <w:rsid w:val="786F5C73"/>
    <w:rsid w:val="78742416"/>
    <w:rsid w:val="78770683"/>
    <w:rsid w:val="787768D5"/>
    <w:rsid w:val="787A6BD2"/>
    <w:rsid w:val="787E1A12"/>
    <w:rsid w:val="78811502"/>
    <w:rsid w:val="788C05D2"/>
    <w:rsid w:val="78972AD3"/>
    <w:rsid w:val="78990459"/>
    <w:rsid w:val="78A609C8"/>
    <w:rsid w:val="78A90480"/>
    <w:rsid w:val="78A9623C"/>
    <w:rsid w:val="78AF75C8"/>
    <w:rsid w:val="78AF763D"/>
    <w:rsid w:val="78B74F24"/>
    <w:rsid w:val="78B97F2A"/>
    <w:rsid w:val="78C338C8"/>
    <w:rsid w:val="78CF4963"/>
    <w:rsid w:val="78D8116F"/>
    <w:rsid w:val="78E84BA9"/>
    <w:rsid w:val="78FA19E0"/>
    <w:rsid w:val="790068CB"/>
    <w:rsid w:val="790243F1"/>
    <w:rsid w:val="79027CD0"/>
    <w:rsid w:val="7904460D"/>
    <w:rsid w:val="79116D2A"/>
    <w:rsid w:val="791C1685"/>
    <w:rsid w:val="792A1B99"/>
    <w:rsid w:val="793F71A2"/>
    <w:rsid w:val="79440EAD"/>
    <w:rsid w:val="794A5D98"/>
    <w:rsid w:val="795D3D1D"/>
    <w:rsid w:val="796055BB"/>
    <w:rsid w:val="796C44DD"/>
    <w:rsid w:val="79712D2A"/>
    <w:rsid w:val="797A042B"/>
    <w:rsid w:val="79800E71"/>
    <w:rsid w:val="79833505"/>
    <w:rsid w:val="79907C4E"/>
    <w:rsid w:val="79924432"/>
    <w:rsid w:val="79986B03"/>
    <w:rsid w:val="79A25BD4"/>
    <w:rsid w:val="79A436FA"/>
    <w:rsid w:val="79AB6836"/>
    <w:rsid w:val="79B24069"/>
    <w:rsid w:val="79B25E17"/>
    <w:rsid w:val="79B3393D"/>
    <w:rsid w:val="79BE6D94"/>
    <w:rsid w:val="79C30024"/>
    <w:rsid w:val="79C50C7F"/>
    <w:rsid w:val="79C52D09"/>
    <w:rsid w:val="79C773E8"/>
    <w:rsid w:val="79D94337"/>
    <w:rsid w:val="79DA2CBD"/>
    <w:rsid w:val="79DC38C2"/>
    <w:rsid w:val="79EB30D7"/>
    <w:rsid w:val="79FA5A10"/>
    <w:rsid w:val="7A020420"/>
    <w:rsid w:val="7A107860"/>
    <w:rsid w:val="7A22423F"/>
    <w:rsid w:val="7A2B002F"/>
    <w:rsid w:val="7A364017"/>
    <w:rsid w:val="7A4005BB"/>
    <w:rsid w:val="7A5A200A"/>
    <w:rsid w:val="7A5E7D4D"/>
    <w:rsid w:val="7A6D1D3E"/>
    <w:rsid w:val="7A721A4A"/>
    <w:rsid w:val="7A756E44"/>
    <w:rsid w:val="7A7E03EF"/>
    <w:rsid w:val="7A8265E1"/>
    <w:rsid w:val="7A8A0B42"/>
    <w:rsid w:val="7A8C1BDE"/>
    <w:rsid w:val="7A991431"/>
    <w:rsid w:val="7A9C019B"/>
    <w:rsid w:val="7A9C0875"/>
    <w:rsid w:val="7AB658F5"/>
    <w:rsid w:val="7AB71B55"/>
    <w:rsid w:val="7AC23973"/>
    <w:rsid w:val="7ACA53E2"/>
    <w:rsid w:val="7ACF7FB4"/>
    <w:rsid w:val="7AD149C3"/>
    <w:rsid w:val="7ADE49EA"/>
    <w:rsid w:val="7AE53FCA"/>
    <w:rsid w:val="7AEB3C87"/>
    <w:rsid w:val="7AFB1A3F"/>
    <w:rsid w:val="7AFB559C"/>
    <w:rsid w:val="7AFE508C"/>
    <w:rsid w:val="7B030CF3"/>
    <w:rsid w:val="7B0F1047"/>
    <w:rsid w:val="7B191EC6"/>
    <w:rsid w:val="7B23395F"/>
    <w:rsid w:val="7B272834"/>
    <w:rsid w:val="7B29035B"/>
    <w:rsid w:val="7B2965AD"/>
    <w:rsid w:val="7B2B25BE"/>
    <w:rsid w:val="7B2F46D3"/>
    <w:rsid w:val="7B4909FD"/>
    <w:rsid w:val="7B5A4C4C"/>
    <w:rsid w:val="7B5B24DE"/>
    <w:rsid w:val="7B5F3D7C"/>
    <w:rsid w:val="7B6166A1"/>
    <w:rsid w:val="7B686D42"/>
    <w:rsid w:val="7B786798"/>
    <w:rsid w:val="7B7E4B31"/>
    <w:rsid w:val="7B841746"/>
    <w:rsid w:val="7B95614B"/>
    <w:rsid w:val="7BA23C69"/>
    <w:rsid w:val="7BA67BFD"/>
    <w:rsid w:val="7BA845BC"/>
    <w:rsid w:val="7BAE5FAC"/>
    <w:rsid w:val="7BAE6AF1"/>
    <w:rsid w:val="7BB85C00"/>
    <w:rsid w:val="7BBC1F3C"/>
    <w:rsid w:val="7BC231C6"/>
    <w:rsid w:val="7BC65BA9"/>
    <w:rsid w:val="7BC736D0"/>
    <w:rsid w:val="7BCE2CB0"/>
    <w:rsid w:val="7BCF6E26"/>
    <w:rsid w:val="7BCF78A0"/>
    <w:rsid w:val="7BD04C7A"/>
    <w:rsid w:val="7BD52290"/>
    <w:rsid w:val="7BDA2241"/>
    <w:rsid w:val="7BDD1145"/>
    <w:rsid w:val="7BDF7E15"/>
    <w:rsid w:val="7BE129E3"/>
    <w:rsid w:val="7BE2417C"/>
    <w:rsid w:val="7BE95D3C"/>
    <w:rsid w:val="7BEB18A8"/>
    <w:rsid w:val="7BF85F7F"/>
    <w:rsid w:val="7BFF10BB"/>
    <w:rsid w:val="7BFF75C2"/>
    <w:rsid w:val="7C09049A"/>
    <w:rsid w:val="7C12092F"/>
    <w:rsid w:val="7C134B67"/>
    <w:rsid w:val="7C1F601A"/>
    <w:rsid w:val="7C2428D0"/>
    <w:rsid w:val="7C29438A"/>
    <w:rsid w:val="7C2E5068"/>
    <w:rsid w:val="7C374FE0"/>
    <w:rsid w:val="7C3D13B9"/>
    <w:rsid w:val="7C3F3BAE"/>
    <w:rsid w:val="7C417926"/>
    <w:rsid w:val="7C492337"/>
    <w:rsid w:val="7C5C02BC"/>
    <w:rsid w:val="7C5C4760"/>
    <w:rsid w:val="7C5F1B5A"/>
    <w:rsid w:val="7C6C5AC7"/>
    <w:rsid w:val="7C75137E"/>
    <w:rsid w:val="7C8141C6"/>
    <w:rsid w:val="7C855A65"/>
    <w:rsid w:val="7C8A4E29"/>
    <w:rsid w:val="7C920181"/>
    <w:rsid w:val="7C9712F4"/>
    <w:rsid w:val="7C9E2682"/>
    <w:rsid w:val="7CB40407"/>
    <w:rsid w:val="7CBA4FE2"/>
    <w:rsid w:val="7CC6544B"/>
    <w:rsid w:val="7CC876FF"/>
    <w:rsid w:val="7CD6006E"/>
    <w:rsid w:val="7CEC7892"/>
    <w:rsid w:val="7CEF2EDE"/>
    <w:rsid w:val="7CF222FA"/>
    <w:rsid w:val="7CF60710"/>
    <w:rsid w:val="7CF6426C"/>
    <w:rsid w:val="7CFB4070"/>
    <w:rsid w:val="7CFB7AD5"/>
    <w:rsid w:val="7D012C11"/>
    <w:rsid w:val="7D0239FF"/>
    <w:rsid w:val="7D0821F2"/>
    <w:rsid w:val="7D123E77"/>
    <w:rsid w:val="7D155679"/>
    <w:rsid w:val="7D1B1F25"/>
    <w:rsid w:val="7D2F4709"/>
    <w:rsid w:val="7D364FB1"/>
    <w:rsid w:val="7D376633"/>
    <w:rsid w:val="7D3E5C13"/>
    <w:rsid w:val="7D3F77E3"/>
    <w:rsid w:val="7D456FA2"/>
    <w:rsid w:val="7D4C0330"/>
    <w:rsid w:val="7D515947"/>
    <w:rsid w:val="7D567401"/>
    <w:rsid w:val="7D5E40CD"/>
    <w:rsid w:val="7D641B1E"/>
    <w:rsid w:val="7D69505D"/>
    <w:rsid w:val="7D6A4C5A"/>
    <w:rsid w:val="7D7B29C4"/>
    <w:rsid w:val="7D831B72"/>
    <w:rsid w:val="7D9013C5"/>
    <w:rsid w:val="7D9D293A"/>
    <w:rsid w:val="7DA939D5"/>
    <w:rsid w:val="7DAE2D99"/>
    <w:rsid w:val="7DBA173E"/>
    <w:rsid w:val="7DBD43C2"/>
    <w:rsid w:val="7DC10D1E"/>
    <w:rsid w:val="7DC75C09"/>
    <w:rsid w:val="7DC832D7"/>
    <w:rsid w:val="7DC9372F"/>
    <w:rsid w:val="7DC97BD3"/>
    <w:rsid w:val="7DCC1471"/>
    <w:rsid w:val="7DCD56F2"/>
    <w:rsid w:val="7DD4453F"/>
    <w:rsid w:val="7DD50326"/>
    <w:rsid w:val="7DE50A07"/>
    <w:rsid w:val="7DEC566F"/>
    <w:rsid w:val="7DFC3E7A"/>
    <w:rsid w:val="7E087A91"/>
    <w:rsid w:val="7E1D1BAF"/>
    <w:rsid w:val="7E215319"/>
    <w:rsid w:val="7E282B4B"/>
    <w:rsid w:val="7E2C74F4"/>
    <w:rsid w:val="7E2D30DA"/>
    <w:rsid w:val="7E350DC4"/>
    <w:rsid w:val="7E3A63DB"/>
    <w:rsid w:val="7E4210B2"/>
    <w:rsid w:val="7E4234E1"/>
    <w:rsid w:val="7E4E00D8"/>
    <w:rsid w:val="7E543940"/>
    <w:rsid w:val="7E584AB3"/>
    <w:rsid w:val="7E5A082B"/>
    <w:rsid w:val="7E5A4CCF"/>
    <w:rsid w:val="7E635932"/>
    <w:rsid w:val="7E6F2DC0"/>
    <w:rsid w:val="7E7933A7"/>
    <w:rsid w:val="7E7C69F3"/>
    <w:rsid w:val="7E810727"/>
    <w:rsid w:val="7E854BB5"/>
    <w:rsid w:val="7E9257DB"/>
    <w:rsid w:val="7E952391"/>
    <w:rsid w:val="7E9F26E2"/>
    <w:rsid w:val="7EA36676"/>
    <w:rsid w:val="7EA67F14"/>
    <w:rsid w:val="7EAA17B2"/>
    <w:rsid w:val="7EB70FC4"/>
    <w:rsid w:val="7EB75C7D"/>
    <w:rsid w:val="7EC02D84"/>
    <w:rsid w:val="7ECD724F"/>
    <w:rsid w:val="7ED44A81"/>
    <w:rsid w:val="7EDA2417"/>
    <w:rsid w:val="7EDE145C"/>
    <w:rsid w:val="7EDE46F5"/>
    <w:rsid w:val="7EDE7D6D"/>
    <w:rsid w:val="7EE527EB"/>
    <w:rsid w:val="7EE60311"/>
    <w:rsid w:val="7EE60D98"/>
    <w:rsid w:val="7EEB5927"/>
    <w:rsid w:val="7EF173E1"/>
    <w:rsid w:val="7EF95DA4"/>
    <w:rsid w:val="7F001CE7"/>
    <w:rsid w:val="7F03686C"/>
    <w:rsid w:val="7F0D7F93"/>
    <w:rsid w:val="7F1135E0"/>
    <w:rsid w:val="7F121106"/>
    <w:rsid w:val="7F1B7FBA"/>
    <w:rsid w:val="7F1C1F84"/>
    <w:rsid w:val="7F250E39"/>
    <w:rsid w:val="7F3472CE"/>
    <w:rsid w:val="7F4123BA"/>
    <w:rsid w:val="7F4D16AD"/>
    <w:rsid w:val="7F4E2109"/>
    <w:rsid w:val="7F5160D2"/>
    <w:rsid w:val="7F5434CC"/>
    <w:rsid w:val="7F5D6825"/>
    <w:rsid w:val="7F645E05"/>
    <w:rsid w:val="7F710522"/>
    <w:rsid w:val="7F74591C"/>
    <w:rsid w:val="7F78365F"/>
    <w:rsid w:val="7F8F2756"/>
    <w:rsid w:val="7F9164CE"/>
    <w:rsid w:val="7FA56256"/>
    <w:rsid w:val="7FAD1146"/>
    <w:rsid w:val="7FB15685"/>
    <w:rsid w:val="7FB421BD"/>
    <w:rsid w:val="7FC478F4"/>
    <w:rsid w:val="7FC81B4C"/>
    <w:rsid w:val="7FCA0AE5"/>
    <w:rsid w:val="7FD0349B"/>
    <w:rsid w:val="7FD4188E"/>
    <w:rsid w:val="7FE062CC"/>
    <w:rsid w:val="7FE40CF4"/>
    <w:rsid w:val="7FE47E50"/>
    <w:rsid w:val="7FE900B8"/>
    <w:rsid w:val="7FEF7C50"/>
    <w:rsid w:val="7FF30F37"/>
    <w:rsid w:val="7FF60A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qFormat="1" w:unhideWhenUsed="0" w:uiPriority="99"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qFormat="1" w:uiPriority="39" w:semiHidden="0" w:name="toc 7" w:locked="1"/>
    <w:lsdException w:unhideWhenUsed="0" w:uiPriority="0" w:semiHidden="0" w:name="toc 8" w:locked="1"/>
    <w:lsdException w:unhideWhenUsed="0" w:uiPriority="0" w:semiHidden="0" w:name="toc 9" w:locked="1"/>
    <w:lsdException w:qFormat="1"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qFormat="1" w:unhideWhenUsed="0" w:uiPriority="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sdException w:qFormat="1" w:unhideWhenUsed="0" w:uiPriority="0" w:semiHidden="0" w:name="Body Text First Indent" w:locked="1"/>
    <w:lsdException w:qFormat="1"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qFormat/>
    <w:locked/>
    <w:uiPriority w:val="0"/>
    <w:pPr>
      <w:keepNext/>
      <w:keepLines/>
      <w:widowControl w:val="0"/>
      <w:overflowPunct w:val="0"/>
      <w:adjustRightInd w:val="0"/>
      <w:snapToGrid w:val="0"/>
      <w:spacing w:before="120" w:after="160" w:line="360" w:lineRule="auto"/>
      <w:ind w:left="432" w:hanging="432"/>
      <w:jc w:val="both"/>
      <w:textAlignment w:val="top"/>
      <w:outlineLvl w:val="1"/>
    </w:pPr>
    <w:rPr>
      <w:rFonts w:ascii="Times New Roman" w:hAnsi="Times New Roman" w:eastAsia="Times New Roman" w:cs="Times New Roman"/>
      <w:b/>
      <w:bCs/>
      <w:color w:val="000000"/>
      <w:kern w:val="44"/>
      <w:sz w:val="28"/>
      <w:szCs w:val="32"/>
      <w:lang w:val="en-US" w:eastAsia="zh-CN" w:bidi="ar-SA"/>
    </w:rPr>
  </w:style>
  <w:style w:type="paragraph" w:styleId="4">
    <w:name w:val="heading 3"/>
    <w:basedOn w:val="1"/>
    <w:next w:val="1"/>
    <w:qFormat/>
    <w:locked/>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6"/>
    <w:qFormat/>
    <w:locked/>
    <w:uiPriority w:val="0"/>
    <w:pPr>
      <w:keepNext/>
      <w:keepLines/>
      <w:numPr>
        <w:ilvl w:val="3"/>
        <w:numId w:val="1"/>
      </w:numPr>
      <w:spacing w:beforeLines="0" w:beforeAutospacing="0" w:afterLines="0" w:afterAutospacing="0" w:line="360" w:lineRule="auto"/>
      <w:ind w:left="862" w:hanging="862"/>
      <w:outlineLvl w:val="3"/>
    </w:pPr>
    <w:rPr>
      <w:rFonts w:ascii="Arial" w:hAnsi="Arial" w:eastAsia="黑体"/>
      <w:kern w:val="0"/>
      <w:sz w:val="24"/>
      <w:szCs w:val="20"/>
    </w:rPr>
  </w:style>
  <w:style w:type="character" w:default="1" w:styleId="38">
    <w:name w:val="Default Paragraph Font"/>
    <w:semiHidden/>
    <w:qFormat/>
    <w:uiPriority w:val="0"/>
  </w:style>
  <w:style w:type="table" w:default="1" w:styleId="36">
    <w:name w:val="Normal Table"/>
    <w:semiHidden/>
    <w:qFormat/>
    <w:uiPriority w:val="0"/>
    <w:tblPr>
      <w:tblCellMar>
        <w:top w:w="0" w:type="dxa"/>
        <w:left w:w="108" w:type="dxa"/>
        <w:bottom w:w="0" w:type="dxa"/>
        <w:right w:w="108" w:type="dxa"/>
      </w:tblCellMar>
    </w:tblPr>
  </w:style>
  <w:style w:type="paragraph" w:customStyle="1" w:styleId="6">
    <w:name w:val="缩进正文"/>
    <w:qFormat/>
    <w:uiPriority w:val="99"/>
    <w:pPr>
      <w:adjustRightInd w:val="0"/>
      <w:snapToGrid w:val="0"/>
      <w:spacing w:line="360" w:lineRule="auto"/>
      <w:ind w:firstLine="200" w:firstLineChars="200"/>
      <w:jc w:val="both"/>
    </w:pPr>
    <w:rPr>
      <w:rFonts w:ascii="Times New Roman" w:hAnsi="Times New Roman" w:eastAsia="宋体" w:cs="Times New Roman"/>
      <w:sz w:val="24"/>
      <w:szCs w:val="22"/>
      <w:lang w:val="en-US" w:eastAsia="zh-CN" w:bidi="ar-SA"/>
    </w:rPr>
  </w:style>
  <w:style w:type="paragraph" w:styleId="7">
    <w:name w:val="Normal Indent"/>
    <w:basedOn w:val="1"/>
    <w:unhideWhenUsed/>
    <w:qFormat/>
    <w:locked/>
    <w:uiPriority w:val="0"/>
    <w:pPr>
      <w:ind w:firstLine="420" w:firstLineChars="200"/>
    </w:pPr>
    <w:rPr>
      <w:szCs w:val="20"/>
    </w:rPr>
  </w:style>
  <w:style w:type="paragraph" w:styleId="8">
    <w:name w:val="caption"/>
    <w:basedOn w:val="1"/>
    <w:next w:val="1"/>
    <w:qFormat/>
    <w:locked/>
    <w:uiPriority w:val="0"/>
    <w:pPr>
      <w:spacing w:before="152" w:after="160"/>
    </w:pPr>
    <w:rPr>
      <w:rFonts w:ascii="Arial" w:hAnsi="Arial" w:eastAsia="黑体"/>
      <w:color w:val="000000"/>
      <w:szCs w:val="20"/>
    </w:rPr>
  </w:style>
  <w:style w:type="paragraph" w:styleId="9">
    <w:name w:val="Document Map"/>
    <w:basedOn w:val="1"/>
    <w:link w:val="47"/>
    <w:qFormat/>
    <w:locked/>
    <w:uiPriority w:val="0"/>
    <w:rPr>
      <w:rFonts w:ascii="宋体"/>
      <w:sz w:val="18"/>
      <w:szCs w:val="18"/>
    </w:rPr>
  </w:style>
  <w:style w:type="paragraph" w:styleId="10">
    <w:name w:val="annotation text"/>
    <w:basedOn w:val="1"/>
    <w:link w:val="48"/>
    <w:semiHidden/>
    <w:qFormat/>
    <w:uiPriority w:val="0"/>
    <w:pPr>
      <w:jc w:val="left"/>
    </w:pPr>
    <w:rPr>
      <w:kern w:val="0"/>
      <w:sz w:val="24"/>
      <w:szCs w:val="20"/>
    </w:rPr>
  </w:style>
  <w:style w:type="paragraph" w:styleId="11">
    <w:name w:val="Salutation"/>
    <w:basedOn w:val="1"/>
    <w:next w:val="1"/>
    <w:qFormat/>
    <w:locked/>
    <w:uiPriority w:val="0"/>
    <w:rPr>
      <w:rFonts w:ascii="Calibri" w:hAnsi="Calibri"/>
      <w:kern w:val="0"/>
      <w:sz w:val="20"/>
      <w:szCs w:val="24"/>
    </w:rPr>
  </w:style>
  <w:style w:type="paragraph" w:styleId="12">
    <w:name w:val="Body Text"/>
    <w:basedOn w:val="1"/>
    <w:next w:val="13"/>
    <w:link w:val="49"/>
    <w:qFormat/>
    <w:uiPriority w:val="0"/>
    <w:pPr>
      <w:widowControl/>
      <w:snapToGrid w:val="0"/>
      <w:spacing w:before="60" w:after="160" w:line="259" w:lineRule="auto"/>
      <w:ind w:right="113"/>
    </w:pPr>
    <w:rPr>
      <w:kern w:val="0"/>
      <w:sz w:val="18"/>
      <w:szCs w:val="20"/>
    </w:rPr>
  </w:style>
  <w:style w:type="paragraph" w:customStyle="1" w:styleId="13">
    <w:name w:val="xl27"/>
    <w:qFormat/>
    <w:uiPriority w:val="0"/>
    <w:pPr>
      <w:pBdr>
        <w:bottom w:val="single" w:color="auto" w:sz="4" w:space="0"/>
        <w:right w:val="single" w:color="auto" w:sz="4" w:space="0"/>
      </w:pBdr>
      <w:spacing w:before="100" w:beforeAutospacing="1" w:after="100" w:afterAutospacing="1"/>
      <w:jc w:val="center"/>
    </w:pPr>
    <w:rPr>
      <w:rFonts w:ascii="Calibri" w:hAnsi="Calibri" w:eastAsia="宋体" w:cs="Times New Roman"/>
      <w:bCs/>
      <w:color w:val="000000"/>
      <w:sz w:val="24"/>
      <w:szCs w:val="28"/>
      <w:lang w:val="en-US" w:eastAsia="zh-CN" w:bidi="ar-SA"/>
    </w:rPr>
  </w:style>
  <w:style w:type="paragraph" w:styleId="14">
    <w:name w:val="Body Text Indent"/>
    <w:basedOn w:val="1"/>
    <w:next w:val="15"/>
    <w:link w:val="45"/>
    <w:qFormat/>
    <w:uiPriority w:val="0"/>
    <w:pPr>
      <w:spacing w:after="120"/>
      <w:ind w:left="420" w:leftChars="200"/>
    </w:pPr>
    <w:rPr>
      <w:kern w:val="0"/>
      <w:sz w:val="24"/>
      <w:szCs w:val="20"/>
    </w:rPr>
  </w:style>
  <w:style w:type="paragraph" w:styleId="15">
    <w:name w:val="header"/>
    <w:basedOn w:val="1"/>
    <w:next w:val="16"/>
    <w:link w:val="54"/>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6">
    <w:name w:val="样式5"/>
    <w:basedOn w:val="17"/>
    <w:next w:val="1"/>
    <w:qFormat/>
    <w:uiPriority w:val="0"/>
    <w:pPr>
      <w:tabs>
        <w:tab w:val="left" w:pos="420"/>
        <w:tab w:val="left" w:pos="1589"/>
      </w:tabs>
      <w:adjustRightInd w:val="0"/>
      <w:snapToGrid w:val="0"/>
      <w:spacing w:before="0" w:after="0" w:line="480" w:lineRule="exact"/>
      <w:ind w:firstLine="480" w:firstLineChars="200"/>
      <w:jc w:val="left"/>
      <w:outlineLvl w:val="9"/>
    </w:pPr>
    <w:rPr>
      <w:rFonts w:ascii="宋体" w:hAnsi="宋体"/>
      <w:b/>
      <w:snapToGrid w:val="0"/>
      <w:sz w:val="24"/>
      <w:szCs w:val="24"/>
    </w:rPr>
  </w:style>
  <w:style w:type="paragraph" w:customStyle="1" w:styleId="17">
    <w:name w:val="正文1"/>
    <w:basedOn w:val="18"/>
    <w:next w:val="1"/>
    <w:qFormat/>
    <w:uiPriority w:val="0"/>
    <w:pPr>
      <w:snapToGrid w:val="0"/>
      <w:spacing w:line="360" w:lineRule="atLeast"/>
      <w:jc w:val="center"/>
    </w:pPr>
    <w:rPr>
      <w:kern w:val="21"/>
    </w:rPr>
  </w:style>
  <w:style w:type="paragraph" w:customStyle="1" w:styleId="18">
    <w:name w:val="正文11"/>
    <w:basedOn w:val="1"/>
    <w:qFormat/>
    <w:uiPriority w:val="0"/>
    <w:pPr>
      <w:spacing w:line="360" w:lineRule="auto"/>
      <w:ind w:firstLine="420" w:firstLineChars="200"/>
    </w:pPr>
    <w:rPr>
      <w:color w:val="000000"/>
      <w:sz w:val="24"/>
    </w:rPr>
  </w:style>
  <w:style w:type="paragraph" w:styleId="19">
    <w:name w:val="Block Text"/>
    <w:qFormat/>
    <w:locked/>
    <w:uiPriority w:val="0"/>
    <w:pPr>
      <w:widowControl w:val="0"/>
      <w:adjustRightInd w:val="0"/>
      <w:spacing w:line="500" w:lineRule="exact"/>
      <w:ind w:left="57" w:right="113" w:firstLine="200" w:firstLineChars="200"/>
      <w:jc w:val="both"/>
      <w:textAlignment w:val="baseline"/>
    </w:pPr>
    <w:rPr>
      <w:rFonts w:ascii="宋体" w:hAnsi="Times New Roman" w:eastAsia="宋体" w:cs="Times New Roman"/>
      <w:sz w:val="28"/>
      <w:lang w:val="en-US" w:eastAsia="zh-CN" w:bidi="ar-SA"/>
    </w:rPr>
  </w:style>
  <w:style w:type="paragraph" w:styleId="20">
    <w:name w:val="Plain Text"/>
    <w:basedOn w:val="1"/>
    <w:qFormat/>
    <w:locked/>
    <w:uiPriority w:val="0"/>
    <w:rPr>
      <w:rFonts w:ascii="宋体" w:hAnsi="Courier New" w:cs="Courier New"/>
      <w:szCs w:val="21"/>
    </w:rPr>
  </w:style>
  <w:style w:type="paragraph" w:styleId="21">
    <w:name w:val="List Bullet 5"/>
    <w:basedOn w:val="1"/>
    <w:qFormat/>
    <w:locked/>
    <w:uiPriority w:val="0"/>
    <w:pPr>
      <w:numPr>
        <w:ilvl w:val="0"/>
        <w:numId w:val="2"/>
      </w:numPr>
    </w:pPr>
  </w:style>
  <w:style w:type="paragraph" w:styleId="22">
    <w:name w:val="Date"/>
    <w:basedOn w:val="1"/>
    <w:next w:val="1"/>
    <w:link w:val="50"/>
    <w:qFormat/>
    <w:uiPriority w:val="0"/>
    <w:pPr>
      <w:ind w:left="100" w:leftChars="2500"/>
    </w:pPr>
    <w:rPr>
      <w:kern w:val="0"/>
      <w:sz w:val="24"/>
      <w:szCs w:val="20"/>
    </w:rPr>
  </w:style>
  <w:style w:type="paragraph" w:styleId="23">
    <w:name w:val="Body Text Indent 2"/>
    <w:basedOn w:val="1"/>
    <w:next w:val="24"/>
    <w:link w:val="51"/>
    <w:qFormat/>
    <w:locked/>
    <w:uiPriority w:val="0"/>
    <w:pPr>
      <w:spacing w:line="360" w:lineRule="auto"/>
      <w:ind w:left="720" w:hanging="720"/>
    </w:pPr>
    <w:rPr>
      <w:rFonts w:ascii="宋体"/>
      <w:sz w:val="24"/>
    </w:rPr>
  </w:style>
  <w:style w:type="paragraph" w:customStyle="1" w:styleId="24">
    <w:name w:val="reader-word-layer reader-word-s46-2"/>
    <w:basedOn w:val="1"/>
    <w:next w:val="25"/>
    <w:qFormat/>
    <w:uiPriority w:val="0"/>
    <w:pPr>
      <w:widowControl/>
      <w:spacing w:before="280" w:after="280" w:line="240" w:lineRule="auto"/>
      <w:jc w:val="both"/>
    </w:pPr>
    <w:rPr>
      <w:rFonts w:ascii="宋体"/>
      <w:sz w:val="24"/>
    </w:rPr>
  </w:style>
  <w:style w:type="paragraph" w:customStyle="1" w:styleId="25">
    <w:name w:val="xl35"/>
    <w:basedOn w:val="1"/>
    <w:next w:val="1"/>
    <w:qFormat/>
    <w:uiPriority w:val="0"/>
    <w:pPr>
      <w:widowControl/>
      <w:shd w:val="clear" w:color="FFFFFF" w:fill="FFFFFF"/>
      <w:spacing w:before="280" w:after="280" w:line="240" w:lineRule="auto"/>
      <w:jc w:val="both"/>
    </w:pPr>
    <w:rPr>
      <w:rFonts w:ascii="Arial Unicode MS" w:eastAsia="Arial Unicode MS"/>
      <w:sz w:val="24"/>
    </w:rPr>
  </w:style>
  <w:style w:type="paragraph" w:styleId="26">
    <w:name w:val="Balloon Text"/>
    <w:basedOn w:val="1"/>
    <w:link w:val="52"/>
    <w:semiHidden/>
    <w:qFormat/>
    <w:uiPriority w:val="0"/>
    <w:rPr>
      <w:kern w:val="0"/>
      <w:sz w:val="18"/>
      <w:szCs w:val="20"/>
    </w:rPr>
  </w:style>
  <w:style w:type="paragraph" w:styleId="27">
    <w:name w:val="footer"/>
    <w:basedOn w:val="1"/>
    <w:link w:val="53"/>
    <w:qFormat/>
    <w:uiPriority w:val="99"/>
    <w:pPr>
      <w:tabs>
        <w:tab w:val="center" w:pos="4153"/>
        <w:tab w:val="right" w:pos="8306"/>
      </w:tabs>
      <w:snapToGrid w:val="0"/>
      <w:jc w:val="left"/>
    </w:pPr>
    <w:rPr>
      <w:kern w:val="0"/>
      <w:sz w:val="18"/>
      <w:szCs w:val="20"/>
    </w:rPr>
  </w:style>
  <w:style w:type="paragraph" w:styleId="28">
    <w:name w:val="List"/>
    <w:basedOn w:val="1"/>
    <w:qFormat/>
    <w:locked/>
    <w:uiPriority w:val="0"/>
    <w:pPr>
      <w:spacing w:line="360" w:lineRule="exact"/>
      <w:jc w:val="center"/>
    </w:pPr>
    <w:rPr>
      <w:rFonts w:ascii="仿宋_GB2312" w:eastAsia="仿宋_GB2312"/>
      <w:sz w:val="28"/>
    </w:rPr>
  </w:style>
  <w:style w:type="paragraph" w:styleId="29">
    <w:name w:val="index 7"/>
    <w:next w:val="1"/>
    <w:qFormat/>
    <w:locked/>
    <w:uiPriority w:val="99"/>
    <w:pPr>
      <w:widowControl w:val="0"/>
      <w:ind w:left="1200" w:leftChars="1200"/>
      <w:jc w:val="both"/>
    </w:pPr>
    <w:rPr>
      <w:rFonts w:ascii="Times New Roman" w:hAnsi="Times New Roman" w:eastAsia="宋体" w:cs="Times New Roman"/>
      <w:kern w:val="2"/>
      <w:sz w:val="21"/>
      <w:szCs w:val="24"/>
      <w:lang w:val="en-US" w:eastAsia="zh-CN" w:bidi="ar-SA"/>
    </w:rPr>
  </w:style>
  <w:style w:type="paragraph" w:styleId="30">
    <w:name w:val="table of figures"/>
    <w:basedOn w:val="1"/>
    <w:next w:val="1"/>
    <w:semiHidden/>
    <w:qFormat/>
    <w:locked/>
    <w:uiPriority w:val="0"/>
    <w:pPr>
      <w:ind w:left="200" w:leftChars="200" w:hanging="200" w:hangingChars="200"/>
    </w:pPr>
  </w:style>
  <w:style w:type="paragraph" w:styleId="31">
    <w:name w:val="HTML Preformatted"/>
    <w:basedOn w:val="1"/>
    <w:qFormat/>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2">
    <w:name w:val="Normal (Web)"/>
    <w:basedOn w:val="1"/>
    <w:next w:val="29"/>
    <w:link w:val="55"/>
    <w:qFormat/>
    <w:uiPriority w:val="0"/>
    <w:pPr>
      <w:widowControl/>
      <w:spacing w:before="100" w:beforeAutospacing="1" w:after="100" w:afterAutospacing="1"/>
      <w:jc w:val="left"/>
    </w:pPr>
    <w:rPr>
      <w:rFonts w:ascii="宋体" w:hAnsi="宋体"/>
      <w:kern w:val="0"/>
      <w:sz w:val="24"/>
      <w:szCs w:val="20"/>
    </w:rPr>
  </w:style>
  <w:style w:type="paragraph" w:styleId="33">
    <w:name w:val="annotation subject"/>
    <w:basedOn w:val="10"/>
    <w:next w:val="10"/>
    <w:link w:val="56"/>
    <w:semiHidden/>
    <w:qFormat/>
    <w:uiPriority w:val="0"/>
    <w:rPr>
      <w:b/>
      <w:kern w:val="2"/>
    </w:rPr>
  </w:style>
  <w:style w:type="paragraph" w:styleId="34">
    <w:name w:val="Body Text First Indent"/>
    <w:basedOn w:val="12"/>
    <w:next w:val="1"/>
    <w:qFormat/>
    <w:locked/>
    <w:uiPriority w:val="0"/>
    <w:pPr>
      <w:spacing w:after="120" w:afterLines="0"/>
      <w:ind w:firstLine="420" w:firstLineChars="100"/>
    </w:pPr>
    <w:rPr>
      <w:b/>
      <w:bCs/>
      <w:sz w:val="21"/>
    </w:rPr>
  </w:style>
  <w:style w:type="paragraph" w:styleId="35">
    <w:name w:val="Body Text First Indent 2"/>
    <w:basedOn w:val="14"/>
    <w:next w:val="1"/>
    <w:link w:val="46"/>
    <w:unhideWhenUsed/>
    <w:qFormat/>
    <w:locked/>
    <w:uiPriority w:val="0"/>
    <w:pPr>
      <w:ind w:firstLine="420" w:firstLineChars="200"/>
    </w:pPr>
  </w:style>
  <w:style w:type="table" w:styleId="37">
    <w:name w:val="Table Grid"/>
    <w:basedOn w:val="36"/>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locked/>
    <w:uiPriority w:val="0"/>
    <w:rPr>
      <w:b/>
    </w:rPr>
  </w:style>
  <w:style w:type="character" w:styleId="40">
    <w:name w:val="page number"/>
    <w:basedOn w:val="38"/>
    <w:qFormat/>
    <w:locked/>
    <w:uiPriority w:val="0"/>
  </w:style>
  <w:style w:type="character" w:styleId="41">
    <w:name w:val="Hyperlink"/>
    <w:basedOn w:val="38"/>
    <w:qFormat/>
    <w:locked/>
    <w:uiPriority w:val="0"/>
    <w:rPr>
      <w:color w:val="0000FF"/>
      <w:u w:val="single"/>
    </w:rPr>
  </w:style>
  <w:style w:type="character" w:styleId="42">
    <w:name w:val="annotation reference"/>
    <w:basedOn w:val="38"/>
    <w:semiHidden/>
    <w:qFormat/>
    <w:uiPriority w:val="0"/>
    <w:rPr>
      <w:sz w:val="21"/>
    </w:rPr>
  </w:style>
  <w:style w:type="paragraph" w:customStyle="1" w:styleId="43">
    <w:name w:val="样式 正文文本缩进 + 行距: 1.5 倍行距"/>
    <w:basedOn w:val="44"/>
    <w:qFormat/>
    <w:uiPriority w:val="0"/>
    <w:pPr>
      <w:spacing w:after="120" w:line="360" w:lineRule="auto"/>
      <w:ind w:left="90" w:leftChars="32" w:firstLine="560" w:firstLineChars="200"/>
    </w:pPr>
    <w:rPr>
      <w:rFonts w:cs="宋体"/>
    </w:rPr>
  </w:style>
  <w:style w:type="paragraph" w:customStyle="1" w:styleId="44">
    <w:name w:val="Body Text Indent"/>
    <w:basedOn w:val="1"/>
    <w:next w:val="43"/>
    <w:qFormat/>
    <w:uiPriority w:val="0"/>
    <w:pPr>
      <w:spacing w:after="120" w:afterLines="0"/>
      <w:ind w:left="420" w:leftChars="200"/>
    </w:pPr>
    <w:rPr>
      <w:rFonts w:ascii="Times New Roman" w:hAnsi="Times New Roman" w:eastAsia="宋体"/>
      <w:sz w:val="24"/>
    </w:rPr>
  </w:style>
  <w:style w:type="character" w:customStyle="1" w:styleId="45">
    <w:name w:val="正文文本缩进 Char"/>
    <w:link w:val="14"/>
    <w:qFormat/>
    <w:locked/>
    <w:uiPriority w:val="0"/>
    <w:rPr>
      <w:rFonts w:ascii="Times New Roman" w:hAnsi="Times New Roman" w:eastAsia="宋体"/>
      <w:sz w:val="24"/>
    </w:rPr>
  </w:style>
  <w:style w:type="character" w:customStyle="1" w:styleId="46">
    <w:name w:val="正文首行缩进 2 Char"/>
    <w:link w:val="35"/>
    <w:qFormat/>
    <w:uiPriority w:val="0"/>
    <w:rPr>
      <w:sz w:val="24"/>
    </w:rPr>
  </w:style>
  <w:style w:type="character" w:customStyle="1" w:styleId="47">
    <w:name w:val="文档结构图 Char"/>
    <w:basedOn w:val="38"/>
    <w:link w:val="9"/>
    <w:qFormat/>
    <w:uiPriority w:val="0"/>
    <w:rPr>
      <w:rFonts w:ascii="宋体"/>
      <w:kern w:val="2"/>
      <w:sz w:val="18"/>
      <w:szCs w:val="18"/>
    </w:rPr>
  </w:style>
  <w:style w:type="character" w:customStyle="1" w:styleId="48">
    <w:name w:val="批注文字 Char"/>
    <w:link w:val="10"/>
    <w:qFormat/>
    <w:locked/>
    <w:uiPriority w:val="0"/>
    <w:rPr>
      <w:rFonts w:ascii="Times New Roman" w:hAnsi="Times New Roman" w:eastAsia="宋体"/>
      <w:sz w:val="24"/>
    </w:rPr>
  </w:style>
  <w:style w:type="character" w:customStyle="1" w:styleId="49">
    <w:name w:val="正文文本 Char"/>
    <w:link w:val="12"/>
    <w:qFormat/>
    <w:locked/>
    <w:uiPriority w:val="0"/>
    <w:rPr>
      <w:sz w:val="18"/>
    </w:rPr>
  </w:style>
  <w:style w:type="character" w:customStyle="1" w:styleId="50">
    <w:name w:val="日期 Char"/>
    <w:link w:val="22"/>
    <w:qFormat/>
    <w:locked/>
    <w:uiPriority w:val="0"/>
    <w:rPr>
      <w:rFonts w:ascii="Times New Roman" w:hAnsi="Times New Roman" w:eastAsia="宋体"/>
      <w:sz w:val="24"/>
    </w:rPr>
  </w:style>
  <w:style w:type="character" w:customStyle="1" w:styleId="51">
    <w:name w:val="正文文本缩进 2 Char"/>
    <w:basedOn w:val="38"/>
    <w:link w:val="23"/>
    <w:qFormat/>
    <w:uiPriority w:val="99"/>
    <w:rPr>
      <w:rFonts w:ascii="宋体"/>
      <w:kern w:val="2"/>
      <w:sz w:val="24"/>
      <w:szCs w:val="24"/>
    </w:rPr>
  </w:style>
  <w:style w:type="character" w:customStyle="1" w:styleId="52">
    <w:name w:val="批注框文本 Char"/>
    <w:link w:val="26"/>
    <w:semiHidden/>
    <w:qFormat/>
    <w:locked/>
    <w:uiPriority w:val="0"/>
    <w:rPr>
      <w:rFonts w:ascii="Times New Roman" w:hAnsi="Times New Roman" w:eastAsia="宋体"/>
      <w:sz w:val="18"/>
    </w:rPr>
  </w:style>
  <w:style w:type="character" w:customStyle="1" w:styleId="53">
    <w:name w:val="页脚 Char"/>
    <w:link w:val="27"/>
    <w:qFormat/>
    <w:locked/>
    <w:uiPriority w:val="99"/>
    <w:rPr>
      <w:sz w:val="18"/>
    </w:rPr>
  </w:style>
  <w:style w:type="character" w:customStyle="1" w:styleId="54">
    <w:name w:val="页眉 Char"/>
    <w:link w:val="15"/>
    <w:qFormat/>
    <w:locked/>
    <w:uiPriority w:val="0"/>
    <w:rPr>
      <w:sz w:val="18"/>
    </w:rPr>
  </w:style>
  <w:style w:type="character" w:customStyle="1" w:styleId="55">
    <w:name w:val="普通(网站) Char"/>
    <w:link w:val="32"/>
    <w:qFormat/>
    <w:locked/>
    <w:uiPriority w:val="0"/>
    <w:rPr>
      <w:rFonts w:ascii="宋体" w:hAnsi="宋体" w:eastAsia="宋体"/>
      <w:sz w:val="24"/>
    </w:rPr>
  </w:style>
  <w:style w:type="character" w:customStyle="1" w:styleId="56">
    <w:name w:val="批注主题 Char"/>
    <w:link w:val="33"/>
    <w:semiHidden/>
    <w:qFormat/>
    <w:locked/>
    <w:uiPriority w:val="0"/>
    <w:rPr>
      <w:rFonts w:ascii="Times New Roman" w:hAnsi="Times New Roman" w:eastAsia="宋体"/>
      <w:b/>
      <w:kern w:val="2"/>
      <w:sz w:val="24"/>
    </w:rPr>
  </w:style>
  <w:style w:type="paragraph" w:customStyle="1" w:styleId="57">
    <w:name w:val="正文文本缩进1"/>
    <w:next w:val="43"/>
    <w:qFormat/>
    <w:uiPriority w:val="0"/>
    <w:pPr>
      <w:widowControl w:val="0"/>
      <w:ind w:left="420" w:leftChars="200"/>
      <w:jc w:val="both"/>
    </w:pPr>
    <w:rPr>
      <w:rFonts w:ascii="Times New Roman" w:hAnsi="Times New Roman" w:eastAsia="宋体" w:cs="Times New Roman"/>
      <w:kern w:val="2"/>
      <w:sz w:val="24"/>
      <w:szCs w:val="24"/>
      <w:lang w:val="en-US" w:eastAsia="zh-CN" w:bidi="ar-SA"/>
    </w:rPr>
  </w:style>
  <w:style w:type="paragraph" w:customStyle="1" w:styleId="58">
    <w:name w:val="样式 样式 左侧:  2 字符 + 左侧:  0.85 厘米 首行缩进:  2 字符1"/>
    <w:basedOn w:val="1"/>
    <w:qFormat/>
    <w:uiPriority w:val="0"/>
    <w:pPr>
      <w:ind w:left="482"/>
    </w:pPr>
    <w:rPr>
      <w:rFonts w:eastAsia="宋体" w:cs="宋体"/>
      <w:szCs w:val="20"/>
    </w:rPr>
  </w:style>
  <w:style w:type="paragraph" w:customStyle="1" w:styleId="59">
    <w:name w:val="Default"/>
    <w:basedOn w:val="60"/>
    <w:next w:val="35"/>
    <w:link w:val="63"/>
    <w:qFormat/>
    <w:uiPriority w:val="99"/>
    <w:pPr>
      <w:widowControl w:val="0"/>
      <w:autoSpaceDE w:val="0"/>
      <w:autoSpaceDN w:val="0"/>
      <w:adjustRightInd w:val="0"/>
    </w:pPr>
    <w:rPr>
      <w:rFonts w:ascii="Times New Roman" w:hAnsi="Tahoma" w:eastAsia="宋体" w:cs="Times New Roman"/>
      <w:color w:val="000000"/>
      <w:sz w:val="24"/>
      <w:szCs w:val="24"/>
      <w:lang w:bidi="ar-SA"/>
    </w:rPr>
  </w:style>
  <w:style w:type="paragraph" w:customStyle="1" w:styleId="60">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61">
    <w:name w:val="纯文本1"/>
    <w:qFormat/>
    <w:uiPriority w:val="0"/>
    <w:pPr>
      <w:widowControl w:val="0"/>
      <w:autoSpaceDE w:val="0"/>
      <w:autoSpaceDN w:val="0"/>
      <w:adjustRightInd w:val="0"/>
      <w:jc w:val="both"/>
      <w:textAlignment w:val="baseline"/>
    </w:pPr>
    <w:rPr>
      <w:rFonts w:ascii="宋体" w:hAnsi="Times New Roman" w:eastAsia="宋体" w:cs="Times New Roman"/>
      <w:kern w:val="2"/>
      <w:sz w:val="21"/>
      <w:szCs w:val="24"/>
      <w:lang w:val="en-US" w:eastAsia="zh-CN" w:bidi="ar-SA"/>
    </w:rPr>
  </w:style>
  <w:style w:type="paragraph" w:customStyle="1" w:styleId="62">
    <w:name w:val="样式35"/>
    <w:basedOn w:val="1"/>
    <w:next w:val="1"/>
    <w:qFormat/>
    <w:uiPriority w:val="0"/>
    <w:pPr>
      <w:spacing w:line="312" w:lineRule="auto"/>
      <w:ind w:firstLine="567"/>
    </w:pPr>
    <w:rPr>
      <w:rFonts w:ascii="宋体"/>
      <w:sz w:val="28"/>
    </w:rPr>
  </w:style>
  <w:style w:type="character" w:customStyle="1" w:styleId="63">
    <w:name w:val="Default Char"/>
    <w:link w:val="59"/>
    <w:qFormat/>
    <w:locked/>
    <w:uiPriority w:val="99"/>
    <w:rPr>
      <w:rFonts w:hAnsi="Tahoma"/>
      <w:color w:val="000000"/>
      <w:sz w:val="24"/>
      <w:szCs w:val="24"/>
      <w:lang w:bidi="ar-SA"/>
    </w:rPr>
  </w:style>
  <w:style w:type="character" w:customStyle="1" w:styleId="64">
    <w:name w:val="表格 Char"/>
    <w:link w:val="65"/>
    <w:qFormat/>
    <w:locked/>
    <w:uiPriority w:val="0"/>
    <w:rPr>
      <w:rFonts w:ascii="宋体"/>
      <w:sz w:val="21"/>
    </w:rPr>
  </w:style>
  <w:style w:type="paragraph" w:customStyle="1" w:styleId="65">
    <w:name w:val="表格"/>
    <w:basedOn w:val="66"/>
    <w:next w:val="1"/>
    <w:link w:val="64"/>
    <w:qFormat/>
    <w:uiPriority w:val="0"/>
    <w:pPr>
      <w:adjustRightInd w:val="0"/>
      <w:snapToGrid w:val="0"/>
      <w:spacing w:beforeLines="10" w:afterLines="10" w:line="259" w:lineRule="auto"/>
      <w:jc w:val="center"/>
    </w:pPr>
    <w:rPr>
      <w:rFonts w:ascii="宋体"/>
      <w:b w:val="0"/>
      <w:kern w:val="0"/>
      <w:szCs w:val="20"/>
    </w:rPr>
  </w:style>
  <w:style w:type="paragraph" w:customStyle="1" w:styleId="66">
    <w:name w:val="表名"/>
    <w:basedOn w:val="67"/>
    <w:qFormat/>
    <w:uiPriority w:val="0"/>
    <w:pPr>
      <w:spacing w:beforeLines="50" w:line="240" w:lineRule="auto"/>
      <w:ind w:firstLine="0" w:firstLineChars="0"/>
      <w:jc w:val="center"/>
    </w:pPr>
  </w:style>
  <w:style w:type="paragraph" w:customStyle="1" w:styleId="67">
    <w:name w:val="标题4"/>
    <w:basedOn w:val="1"/>
    <w:qFormat/>
    <w:uiPriority w:val="0"/>
    <w:rPr>
      <w:rFonts w:eastAsia="宋体"/>
      <w:b/>
    </w:rPr>
  </w:style>
  <w:style w:type="character" w:customStyle="1" w:styleId="68">
    <w:name w:val="正文文本 字符1"/>
    <w:semiHidden/>
    <w:qFormat/>
    <w:uiPriority w:val="0"/>
    <w:rPr>
      <w:rFonts w:ascii="Times New Roman" w:hAnsi="Times New Roman" w:eastAsia="宋体"/>
      <w:sz w:val="24"/>
    </w:rPr>
  </w:style>
  <w:style w:type="character" w:customStyle="1" w:styleId="69">
    <w:name w:val="批注文字 字符1"/>
    <w:semiHidden/>
    <w:qFormat/>
    <w:uiPriority w:val="0"/>
    <w:rPr>
      <w:rFonts w:ascii="Times New Roman" w:hAnsi="Times New Roman" w:eastAsia="宋体"/>
      <w:sz w:val="24"/>
    </w:rPr>
  </w:style>
  <w:style w:type="character" w:customStyle="1" w:styleId="70">
    <w:name w:val="日期 字符"/>
    <w:semiHidden/>
    <w:qFormat/>
    <w:uiPriority w:val="0"/>
    <w:rPr>
      <w:rFonts w:ascii="Times New Roman" w:hAnsi="Times New Roman" w:eastAsia="宋体"/>
      <w:sz w:val="24"/>
    </w:rPr>
  </w:style>
  <w:style w:type="character" w:customStyle="1" w:styleId="71">
    <w:name w:val="页脚 字符"/>
    <w:basedOn w:val="38"/>
    <w:qFormat/>
    <w:uiPriority w:val="99"/>
  </w:style>
  <w:style w:type="paragraph" w:customStyle="1" w:styleId="72">
    <w:name w:val="表"/>
    <w:basedOn w:val="1"/>
    <w:next w:val="1"/>
    <w:qFormat/>
    <w:uiPriority w:val="0"/>
    <w:pPr>
      <w:jc w:val="center"/>
    </w:pPr>
    <w:rPr>
      <w:rFonts w:ascii="宋体" w:hAnsi="宋体"/>
      <w:szCs w:val="21"/>
    </w:rPr>
  </w:style>
  <w:style w:type="paragraph" w:customStyle="1" w:styleId="73">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Table Paragraph"/>
    <w:basedOn w:val="1"/>
    <w:next w:val="1"/>
    <w:qFormat/>
    <w:uiPriority w:val="1"/>
    <w:pPr>
      <w:jc w:val="left"/>
    </w:pPr>
    <w:rPr>
      <w:rFonts w:ascii="宋体" w:hAnsi="宋体" w:eastAsia="宋体" w:cs="宋体"/>
      <w:kern w:val="0"/>
      <w:sz w:val="22"/>
      <w:lang w:eastAsia="en-US"/>
    </w:rPr>
  </w:style>
  <w:style w:type="paragraph" w:customStyle="1" w:styleId="75">
    <w:name w:val="A表头"/>
    <w:basedOn w:val="1"/>
    <w:qFormat/>
    <w:uiPriority w:val="0"/>
    <w:pPr>
      <w:spacing w:line="360" w:lineRule="auto"/>
      <w:jc w:val="center"/>
    </w:pPr>
    <w:rPr>
      <w:b/>
      <w:kern w:val="0"/>
      <w:sz w:val="24"/>
      <w:szCs w:val="21"/>
    </w:rPr>
  </w:style>
  <w:style w:type="paragraph" w:customStyle="1" w:styleId="76">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77">
    <w:name w:val="正文lcc"/>
    <w:basedOn w:val="1"/>
    <w:qFormat/>
    <w:uiPriority w:val="0"/>
    <w:pPr>
      <w:snapToGrid w:val="0"/>
      <w:spacing w:line="360" w:lineRule="auto"/>
      <w:ind w:firstLine="480" w:firstLineChars="200"/>
    </w:pPr>
    <w:rPr>
      <w:color w:val="000000"/>
      <w:sz w:val="24"/>
    </w:rPr>
  </w:style>
  <w:style w:type="paragraph" w:customStyle="1" w:styleId="78">
    <w:name w:val="列出段落1"/>
    <w:basedOn w:val="1"/>
    <w:qFormat/>
    <w:uiPriority w:val="34"/>
    <w:pPr>
      <w:ind w:firstLine="420" w:firstLineChars="200"/>
    </w:pPr>
    <w:rPr>
      <w:rFonts w:ascii="Calibri" w:hAnsi="Calibri"/>
      <w:szCs w:val="22"/>
    </w:rPr>
  </w:style>
  <w:style w:type="paragraph" w:customStyle="1" w:styleId="79">
    <w:name w:val=" Char"/>
    <w:basedOn w:val="1"/>
    <w:qFormat/>
    <w:uiPriority w:val="0"/>
    <w:rPr>
      <w:sz w:val="21"/>
    </w:rPr>
  </w:style>
  <w:style w:type="paragraph" w:customStyle="1" w:styleId="80">
    <w:name w:val="Default1"/>
    <w:next w:val="1"/>
    <w:qFormat/>
    <w:uiPriority w:val="99"/>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81">
    <w:name w:val="li_正文"/>
    <w:basedOn w:val="1"/>
    <w:qFormat/>
    <w:uiPriority w:val="0"/>
    <w:pPr>
      <w:tabs>
        <w:tab w:val="left" w:pos="2340"/>
        <w:tab w:val="left" w:pos="4320"/>
      </w:tabs>
      <w:adjustRightInd/>
      <w:snapToGrid/>
      <w:spacing w:line="240" w:lineRule="auto"/>
      <w:ind w:firstLine="530" w:firstLineChars="200"/>
      <w:jc w:val="left"/>
    </w:pPr>
    <w:rPr>
      <w:sz w:val="28"/>
      <w:szCs w:val="28"/>
    </w:rPr>
  </w:style>
  <w:style w:type="paragraph" w:customStyle="1" w:styleId="82">
    <w:name w:val="表格字体"/>
    <w:qFormat/>
    <w:uiPriority w:val="0"/>
    <w:pPr>
      <w:keepNext/>
      <w:keepLines/>
      <w:jc w:val="center"/>
    </w:pPr>
    <w:rPr>
      <w:rFonts w:ascii="Times New Roman" w:hAnsi="Times New Roman" w:eastAsia="宋体" w:cs="Times New Roman"/>
      <w:kern w:val="2"/>
      <w:sz w:val="21"/>
      <w:szCs w:val="24"/>
      <w:lang w:val="en-US" w:eastAsia="zh-CN" w:bidi="ar-SA"/>
    </w:rPr>
  </w:style>
  <w:style w:type="paragraph" w:customStyle="1" w:styleId="83">
    <w:name w:val="填表内容"/>
    <w:basedOn w:val="1"/>
    <w:qFormat/>
    <w:uiPriority w:val="0"/>
    <w:pPr>
      <w:adjustRightInd w:val="0"/>
      <w:spacing w:line="480" w:lineRule="exact"/>
      <w:ind w:firstLine="560" w:firstLineChars="200"/>
      <w:jc w:val="left"/>
      <w:textAlignment w:val="baseline"/>
    </w:pPr>
    <w:rPr>
      <w:rFonts w:ascii="Arial" w:eastAsia="Arial"/>
      <w:sz w:val="28"/>
      <w:szCs w:val="20"/>
    </w:rPr>
  </w:style>
  <w:style w:type="paragraph" w:customStyle="1" w:styleId="84">
    <w:name w:val="二级标题"/>
    <w:basedOn w:val="1"/>
    <w:qFormat/>
    <w:uiPriority w:val="0"/>
    <w:pPr>
      <w:adjustRightInd w:val="0"/>
      <w:spacing w:before="120" w:after="120" w:line="400" w:lineRule="atLeast"/>
      <w:textAlignment w:val="baseline"/>
    </w:pPr>
    <w:rPr>
      <w:rFonts w:eastAsia="黑体"/>
      <w:kern w:val="0"/>
      <w:sz w:val="28"/>
    </w:rPr>
  </w:style>
  <w:style w:type="paragraph" w:customStyle="1" w:styleId="85">
    <w:name w:val="环评正文"/>
    <w:basedOn w:val="2"/>
    <w:qFormat/>
    <w:uiPriority w:val="0"/>
    <w:pPr>
      <w:spacing w:before="60" w:beforeLines="0" w:after="60" w:afterLines="0" w:line="400" w:lineRule="exact"/>
      <w:ind w:firstLine="480"/>
      <w:outlineLvl w:val="9"/>
    </w:pPr>
    <w:rPr>
      <w:rFonts w:eastAsia="Arial Unicode MS"/>
      <w:b w:val="0"/>
      <w:szCs w:val="28"/>
    </w:rPr>
  </w:style>
  <w:style w:type="paragraph" w:customStyle="1" w:styleId="86">
    <w:name w:val="HP正文"/>
    <w:basedOn w:val="1"/>
    <w:qFormat/>
    <w:uiPriority w:val="0"/>
    <w:pPr>
      <w:spacing w:line="360" w:lineRule="auto"/>
      <w:ind w:firstLine="480" w:firstLineChars="200"/>
    </w:pPr>
    <w:rPr>
      <w:kern w:val="0"/>
    </w:rPr>
  </w:style>
  <w:style w:type="character" w:customStyle="1" w:styleId="87">
    <w:name w:val="font51"/>
    <w:qFormat/>
    <w:uiPriority w:val="0"/>
    <w:rPr>
      <w:rFonts w:hint="eastAsia" w:ascii="宋体" w:hAnsi="宋体" w:eastAsia="宋体" w:cs="宋体"/>
      <w:b/>
      <w:color w:val="000000"/>
      <w:sz w:val="21"/>
      <w:szCs w:val="21"/>
      <w:u w:val="none"/>
    </w:rPr>
  </w:style>
  <w:style w:type="paragraph" w:customStyle="1" w:styleId="88">
    <w:name w:val="标准正文文本"/>
    <w:basedOn w:val="1"/>
    <w:qFormat/>
    <w:uiPriority w:val="0"/>
    <w:pPr>
      <w:adjustRightInd w:val="0"/>
      <w:snapToGrid w:val="0"/>
      <w:spacing w:line="360" w:lineRule="auto"/>
      <w:ind w:firstLine="643" w:firstLineChars="200"/>
    </w:pPr>
    <w:rPr>
      <w:kern w:val="0"/>
      <w:sz w:val="24"/>
      <w:szCs w:val="22"/>
    </w:rPr>
  </w:style>
  <w:style w:type="paragraph" w:customStyle="1" w:styleId="89">
    <w:name w:val="正1"/>
    <w:basedOn w:val="1"/>
    <w:qFormat/>
    <w:uiPriority w:val="0"/>
    <w:pPr>
      <w:spacing w:line="360" w:lineRule="auto"/>
      <w:ind w:firstLine="200" w:firstLineChars="200"/>
      <w:jc w:val="left"/>
    </w:pPr>
    <w:rPr>
      <w:rFonts w:eastAsia="楷体_GB2312"/>
      <w:sz w:val="24"/>
      <w:szCs w:val="24"/>
    </w:rPr>
  </w:style>
  <w:style w:type="character" w:customStyle="1" w:styleId="90">
    <w:name w:val="font11"/>
    <w:basedOn w:val="38"/>
    <w:qFormat/>
    <w:uiPriority w:val="0"/>
    <w:rPr>
      <w:rFonts w:hint="default" w:ascii="Times New Roman" w:hAnsi="Times New Roman" w:cs="Times New Roman"/>
      <w:color w:val="000000"/>
      <w:sz w:val="24"/>
      <w:szCs w:val="24"/>
      <w:u w:val="none"/>
    </w:rPr>
  </w:style>
  <w:style w:type="paragraph" w:customStyle="1" w:styleId="91">
    <w:name w:val="样式 样式 样式 样式 小四 左 首行缩进:  2 字符 + 首行缩进:  2 字符 Char + 右  0 字符1 + 首行缩...3"/>
    <w:basedOn w:val="1"/>
    <w:qFormat/>
    <w:uiPriority w:val="0"/>
    <w:pPr>
      <w:adjustRightInd w:val="0"/>
      <w:spacing w:line="360" w:lineRule="auto"/>
      <w:ind w:firstLine="480" w:firstLineChars="200"/>
      <w:jc w:val="left"/>
    </w:pPr>
    <w:rPr>
      <w:rFonts w:ascii="Calibri" w:hAnsi="Calibri" w:cs="宋体"/>
      <w:sz w:val="24"/>
      <w:szCs w:val="20"/>
    </w:rPr>
  </w:style>
  <w:style w:type="paragraph" w:customStyle="1" w:styleId="92">
    <w:name w:val="表格填充1"/>
    <w:basedOn w:val="20"/>
    <w:qFormat/>
    <w:uiPriority w:val="0"/>
    <w:pPr>
      <w:snapToGrid w:val="0"/>
    </w:pPr>
    <w:rPr>
      <w:rFonts w:ascii="Times New Roman" w:hAnsi="Times New Roman" w:eastAsia="仿宋_GB2312" w:cs="Times New Roman"/>
      <w:sz w:val="28"/>
      <w:szCs w:val="20"/>
    </w:rPr>
  </w:style>
  <w:style w:type="paragraph" w:customStyle="1" w:styleId="93">
    <w:name w:val="图片名"/>
    <w:basedOn w:val="94"/>
    <w:qFormat/>
    <w:uiPriority w:val="0"/>
    <w:pPr>
      <w:spacing w:after="50"/>
    </w:pPr>
    <w:rPr>
      <w:rFonts w:eastAsia="宋体"/>
    </w:rPr>
  </w:style>
  <w:style w:type="paragraph" w:customStyle="1" w:styleId="94">
    <w:name w:val="图名"/>
    <w:basedOn w:val="1"/>
    <w:qFormat/>
    <w:uiPriority w:val="0"/>
    <w:pPr>
      <w:spacing w:afterLines="50" w:line="240" w:lineRule="auto"/>
      <w:ind w:firstLine="0" w:firstLineChars="0"/>
      <w:jc w:val="center"/>
    </w:pPr>
    <w:rPr>
      <w:b/>
    </w:rPr>
  </w:style>
  <w:style w:type="paragraph" w:customStyle="1" w:styleId="95">
    <w:name w:val="xl26"/>
    <w:basedOn w:val="1"/>
    <w:qFormat/>
    <w:uiPriority w:val="0"/>
    <w:pPr>
      <w:widowControl/>
      <w:pBdr>
        <w:bottom w:val="single" w:color="auto" w:sz="4" w:space="0"/>
        <w:right w:val="single" w:color="auto" w:sz="4" w:space="0"/>
      </w:pBdr>
      <w:spacing w:before="100" w:after="100"/>
      <w:jc w:val="center"/>
      <w:textAlignment w:val="top"/>
    </w:pPr>
    <w:rPr>
      <w:kern w:val="0"/>
      <w:szCs w:val="20"/>
    </w:rPr>
  </w:style>
  <w:style w:type="character" w:customStyle="1" w:styleId="96">
    <w:name w:val="fontstyle01"/>
    <w:qFormat/>
    <w:uiPriority w:val="0"/>
    <w:rPr>
      <w:rFonts w:hint="eastAsia" w:ascii="宋体" w:hAnsi="宋体" w:eastAsia="宋体"/>
      <w:color w:val="000000"/>
      <w:sz w:val="24"/>
      <w:szCs w:val="24"/>
    </w:rPr>
  </w:style>
  <w:style w:type="paragraph" w:customStyle="1" w:styleId="97">
    <w:name w:val="表头"/>
    <w:basedOn w:val="1"/>
    <w:next w:val="1"/>
    <w:qFormat/>
    <w:uiPriority w:val="0"/>
    <w:pPr>
      <w:spacing w:line="360" w:lineRule="auto"/>
      <w:jc w:val="center"/>
    </w:pPr>
    <w:rPr>
      <w:rFonts w:ascii="黑体" w:hAnsi="宋体" w:eastAsia="黑体"/>
    </w:rPr>
  </w:style>
  <w:style w:type="paragraph" w:customStyle="1" w:styleId="98">
    <w:name w:val="Table caption|1"/>
    <w:basedOn w:val="1"/>
    <w:qFormat/>
    <w:uiPriority w:val="0"/>
    <w:pPr>
      <w:jc w:val="left"/>
    </w:pPr>
    <w:rPr>
      <w:rFonts w:ascii="宋体" w:hAnsi="宋体" w:eastAsia="宋体" w:cs="宋体"/>
      <w:kern w:val="0"/>
      <w:sz w:val="22"/>
      <w:szCs w:val="22"/>
      <w:lang w:val="zh-TW" w:eastAsia="zh-TW" w:bidi="zh-TW"/>
    </w:rPr>
  </w:style>
  <w:style w:type="paragraph" w:customStyle="1" w:styleId="99">
    <w:name w:val="Other|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table" w:customStyle="1" w:styleId="100">
    <w:name w:val="Table Normal"/>
    <w:unhideWhenUsed/>
    <w:qFormat/>
    <w:uiPriority w:val="0"/>
    <w:pPr>
      <w:widowControl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101">
    <w:name w:val="表格2"/>
    <w:basedOn w:val="1"/>
    <w:qFormat/>
    <w:uiPriority w:val="0"/>
    <w:pPr>
      <w:spacing w:line="400" w:lineRule="exact"/>
      <w:jc w:val="center"/>
    </w:pPr>
    <w:rPr>
      <w:szCs w:val="21"/>
    </w:rPr>
  </w:style>
  <w:style w:type="paragraph" w:customStyle="1" w:styleId="102">
    <w:name w:val="表内字"/>
    <w:qFormat/>
    <w:uiPriority w:val="0"/>
    <w:pPr>
      <w:spacing w:line="312" w:lineRule="auto"/>
      <w:jc w:val="center"/>
    </w:pPr>
    <w:rPr>
      <w:rFonts w:ascii="Times New Roman" w:hAnsi="Times New Roman" w:eastAsia="宋体" w:cs="Times New Roman"/>
      <w:color w:val="000000"/>
      <w:sz w:val="21"/>
      <w:szCs w:val="24"/>
      <w:lang w:val="en-US" w:eastAsia="zh-CN" w:bidi="ar-SA"/>
    </w:rPr>
  </w:style>
  <w:style w:type="paragraph" w:customStyle="1" w:styleId="103">
    <w:name w:val="表格正文"/>
    <w:basedOn w:val="1"/>
    <w:next w:val="1"/>
    <w:qFormat/>
    <w:uiPriority w:val="0"/>
    <w:pPr>
      <w:adjustRightInd w:val="0"/>
      <w:snapToGrid w:val="0"/>
      <w:spacing w:line="240" w:lineRule="auto"/>
      <w:ind w:firstLine="0" w:firstLineChars="0"/>
      <w:jc w:val="center"/>
    </w:pPr>
    <w:rPr>
      <w:sz w:val="21"/>
      <w:szCs w:val="24"/>
    </w:rPr>
  </w:style>
  <w:style w:type="paragraph" w:customStyle="1" w:styleId="104">
    <w:name w:val="表标题编号"/>
    <w:basedOn w:val="1"/>
    <w:qFormat/>
    <w:uiPriority w:val="0"/>
    <w:pPr>
      <w:numPr>
        <w:ilvl w:val="0"/>
        <w:numId w:val="3"/>
      </w:numPr>
      <w:tabs>
        <w:tab w:val="left" w:pos="0"/>
      </w:tabs>
      <w:adjustRightInd w:val="0"/>
      <w:snapToGrid w:val="0"/>
      <w:jc w:val="center"/>
    </w:pPr>
    <w:rPr>
      <w:sz w:val="24"/>
      <w:szCs w:val="22"/>
    </w:rPr>
  </w:style>
  <w:style w:type="paragraph" w:customStyle="1" w:styleId="105">
    <w:name w:val="样式2"/>
    <w:basedOn w:val="1"/>
    <w:qFormat/>
    <w:uiPriority w:val="0"/>
    <w:pPr>
      <w:autoSpaceDE w:val="0"/>
      <w:autoSpaceDN w:val="0"/>
      <w:adjustRightInd w:val="0"/>
      <w:spacing w:line="400" w:lineRule="exact"/>
    </w:pPr>
    <w:rPr>
      <w:rFonts w:eastAsia="仿宋_GB2312"/>
      <w:kern w:val="28"/>
      <w:sz w:val="24"/>
      <w:szCs w:val="28"/>
      <w:lang w:val="zh-CN"/>
    </w:rPr>
  </w:style>
  <w:style w:type="paragraph" w:customStyle="1" w:styleId="106">
    <w:name w:val="报告表正文"/>
    <w:basedOn w:val="1"/>
    <w:qFormat/>
    <w:uiPriority w:val="0"/>
    <w:pPr>
      <w:adjustRightInd w:val="0"/>
      <w:spacing w:line="312" w:lineRule="auto"/>
      <w:ind w:left="113" w:right="113" w:firstLine="482"/>
      <w:jc w:val="left"/>
      <w:textAlignment w:val="baseline"/>
    </w:pPr>
    <w:rPr>
      <w:kern w:val="0"/>
      <w:sz w:val="24"/>
    </w:rPr>
  </w:style>
  <w:style w:type="character" w:customStyle="1" w:styleId="107">
    <w:name w:val="NormalCharacter"/>
    <w:link w:val="108"/>
    <w:qFormat/>
    <w:uiPriority w:val="0"/>
    <w:rPr>
      <w:kern w:val="2"/>
      <w:sz w:val="21"/>
      <w:szCs w:val="24"/>
      <w:lang w:val="en-US" w:eastAsia="zh-CN" w:bidi="ar-SA"/>
    </w:rPr>
  </w:style>
  <w:style w:type="paragraph" w:customStyle="1" w:styleId="108">
    <w:name w:val="UserStyle_46"/>
    <w:link w:val="1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UserStyle_0"/>
    <w:next w:val="1"/>
    <w:qFormat/>
    <w:uiPriority w:val="0"/>
    <w:pPr>
      <w:widowControl w:val="0"/>
      <w:snapToGrid w:val="0"/>
      <w:spacing w:line="360" w:lineRule="atLeast"/>
      <w:jc w:val="center"/>
      <w:textAlignment w:val="baseline"/>
    </w:pPr>
    <w:rPr>
      <w:rFonts w:ascii="Times New Roman" w:hAnsi="Times New Roman" w:eastAsia="宋体" w:cs="Times New Roman"/>
      <w:kern w:val="21"/>
      <w:sz w:val="24"/>
      <w:lang w:val="en-US" w:eastAsia="zh-CN" w:bidi="ar-SA"/>
    </w:rPr>
  </w:style>
  <w:style w:type="character" w:customStyle="1" w:styleId="110">
    <w:name w:val="15"/>
    <w:basedOn w:val="38"/>
    <w:qFormat/>
    <w:uiPriority w:val="99"/>
    <w:rPr>
      <w:rFonts w:ascii="新宋体" w:hAnsi="新宋体" w:eastAsia="新宋体" w:cs="Times New Roman"/>
      <w:color w:val="000000"/>
      <w:sz w:val="24"/>
      <w:szCs w:val="24"/>
    </w:rPr>
  </w:style>
  <w:style w:type="paragraph" w:customStyle="1" w:styleId="111">
    <w:name w:val="报告书表格"/>
    <w:qFormat/>
    <w:uiPriority w:val="0"/>
    <w:pPr>
      <w:widowControl w:val="0"/>
      <w:adjustRightInd w:val="0"/>
      <w:spacing w:before="60" w:after="60" w:line="240" w:lineRule="atLeast"/>
      <w:jc w:val="center"/>
      <w:textAlignment w:val="baseline"/>
    </w:pPr>
    <w:rPr>
      <w:rFonts w:ascii="Times New Roman" w:hAnsi="Times New Roman" w:eastAsia="宋体" w:cs="Times New Roman"/>
      <w:sz w:val="21"/>
      <w:szCs w:val="24"/>
      <w:lang w:val="en-US" w:eastAsia="zh-CN" w:bidi="ar-SA"/>
    </w:rPr>
  </w:style>
  <w:style w:type="paragraph" w:customStyle="1" w:styleId="112">
    <w:name w:val="TOAHeading"/>
    <w:next w:val="1"/>
    <w:qFormat/>
    <w:uiPriority w:val="0"/>
    <w:pPr>
      <w:widowControl w:val="0"/>
      <w:jc w:val="both"/>
      <w:textAlignment w:val="baseline"/>
    </w:pPr>
    <w:rPr>
      <w:rFonts w:ascii="Arial" w:hAnsi="Arial" w:eastAsia="宋体" w:cs="Times New Roman"/>
      <w:kern w:val="2"/>
      <w:sz w:val="24"/>
      <w:szCs w:val="22"/>
      <w:lang w:val="en-US" w:eastAsia="zh-CN" w:bidi="ar-SA"/>
    </w:rPr>
  </w:style>
  <w:style w:type="paragraph" w:customStyle="1" w:styleId="113">
    <w:name w:val="UserStyle_1"/>
    <w:next w:val="1"/>
    <w:qFormat/>
    <w:uiPriority w:val="0"/>
    <w:pPr>
      <w:widowControl w:val="0"/>
      <w:snapToGrid w:val="0"/>
      <w:spacing w:line="360" w:lineRule="atLeast"/>
      <w:jc w:val="center"/>
      <w:textAlignment w:val="baseline"/>
    </w:pPr>
    <w:rPr>
      <w:rFonts w:ascii="Times New Roman" w:hAnsi="Times New Roman" w:eastAsia="宋体" w:cs="Times New Roman"/>
      <w:kern w:val="21"/>
      <w:sz w:val="21"/>
      <w:lang w:val="en-US" w:eastAsia="zh-CN" w:bidi="ar-SA"/>
    </w:rPr>
  </w:style>
  <w:style w:type="paragraph" w:customStyle="1" w:styleId="114">
    <w:name w:val="新格式表"/>
    <w:qFormat/>
    <w:uiPriority w:val="0"/>
    <w:pPr>
      <w:widowControl w:val="0"/>
      <w:adjustRightInd w:val="0"/>
      <w:snapToGrid w:val="0"/>
      <w:spacing w:line="0" w:lineRule="atLeast"/>
      <w:jc w:val="center"/>
    </w:pPr>
    <w:rPr>
      <w:rFonts w:ascii="Times New Roman" w:hAnsi="Times New Roman" w:eastAsia="宋体" w:cs="Times New Roman"/>
      <w:color w:val="000000"/>
      <w:sz w:val="30"/>
      <w:szCs w:val="21"/>
      <w:lang w:val="en-US" w:eastAsia="zh-CN" w:bidi="ar-SA"/>
    </w:rPr>
  </w:style>
  <w:style w:type="paragraph" w:customStyle="1" w:styleId="115">
    <w:name w:val="Body Text First Indent 21"/>
    <w:next w:val="59"/>
    <w:qFormat/>
    <w:uiPriority w:val="0"/>
    <w:pPr>
      <w:widowControl w:val="0"/>
      <w:tabs>
        <w:tab w:val="left" w:pos="6615"/>
      </w:tabs>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16">
    <w:name w:val="Body Text Indent1"/>
    <w:next w:val="117"/>
    <w:qFormat/>
    <w:uiPriority w:val="0"/>
    <w:pPr>
      <w:widowControl w:val="0"/>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117">
    <w:name w:val="Body Text First Indent1"/>
    <w:qFormat/>
    <w:uiPriority w:val="0"/>
    <w:pPr>
      <w:snapToGrid w:val="0"/>
      <w:spacing w:before="60" w:after="120" w:line="259" w:lineRule="auto"/>
      <w:ind w:right="113" w:firstLine="420" w:firstLineChars="100"/>
      <w:jc w:val="both"/>
    </w:pPr>
    <w:rPr>
      <w:rFonts w:ascii="Times New Roman" w:hAnsi="Times New Roman" w:eastAsia="宋体" w:cs="Times New Roman"/>
      <w:sz w:val="21"/>
      <w:lang w:val="en-US" w:eastAsia="zh-CN" w:bidi="ar-SA"/>
    </w:rPr>
  </w:style>
  <w:style w:type="paragraph" w:customStyle="1" w:styleId="118">
    <w:name w:val="Date1"/>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
    <w:name w:val="中文报告书样式"/>
    <w:qFormat/>
    <w:uiPriority w:val="0"/>
    <w:pPr>
      <w:widowControl w:val="0"/>
      <w:adjustRightInd w:val="0"/>
      <w:spacing w:line="480" w:lineRule="atLeast"/>
      <w:ind w:firstLine="482"/>
      <w:jc w:val="both"/>
      <w:textAlignment w:val="baseline"/>
    </w:pPr>
    <w:rPr>
      <w:rFonts w:ascii="Times New Roman" w:hAnsi="Times New Roman" w:eastAsia="宋体" w:cs="Times New Roman"/>
      <w:kern w:val="24"/>
      <w:sz w:val="24"/>
      <w:lang w:val="en-US" w:eastAsia="zh-CN" w:bidi="ar-SA"/>
    </w:rPr>
  </w:style>
  <w:style w:type="paragraph" w:styleId="120">
    <w:name w:val="Quote"/>
    <w:next w:val="1"/>
    <w:qFormat/>
    <w:uiPriority w:val="29"/>
    <w:pPr>
      <w:widowControl w:val="0"/>
      <w:jc w:val="center"/>
    </w:pPr>
    <w:rPr>
      <w:rFonts w:ascii="Times New Roman" w:hAnsi="Times New Roman" w:eastAsia="宋体" w:cs="Times New Roman"/>
      <w:iCs/>
      <w:color w:val="404040"/>
      <w:kern w:val="2"/>
      <w:sz w:val="24"/>
      <w:szCs w:val="24"/>
      <w:lang w:val="en-US" w:eastAsia="zh-CN" w:bidi="ar-SA"/>
    </w:rPr>
  </w:style>
  <w:style w:type="character" w:customStyle="1" w:styleId="121">
    <w:name w:val="font21"/>
    <w:qFormat/>
    <w:uiPriority w:val="0"/>
    <w:rPr>
      <w:rFonts w:hint="default" w:ascii="Times New Roman" w:hAnsi="Times New Roman" w:cs="Times New Roman"/>
      <w:b/>
      <w:bCs/>
      <w:color w:val="000000"/>
      <w:sz w:val="21"/>
      <w:szCs w:val="21"/>
      <w:u w:val="none"/>
    </w:rPr>
  </w:style>
  <w:style w:type="paragraph" w:customStyle="1" w:styleId="122">
    <w:name w:val="WPSOffice手动目录 1"/>
    <w:qFormat/>
    <w:uiPriority w:val="0"/>
    <w:rPr>
      <w:rFonts w:ascii="Times New Roman" w:hAnsi="Times New Roman" w:eastAsia="宋体" w:cs="Times New Roman"/>
      <w:lang w:val="en-US" w:eastAsia="zh-CN" w:bidi="ar-SA"/>
    </w:rPr>
  </w:style>
  <w:style w:type="paragraph" w:customStyle="1" w:styleId="123">
    <w:name w:val="Table Text"/>
    <w:semiHidden/>
    <w:qFormat/>
    <w:uiPriority w:val="0"/>
    <w:pPr>
      <w:kinsoku w:val="0"/>
      <w:autoSpaceDE w:val="0"/>
      <w:autoSpaceDN w:val="0"/>
      <w:adjustRightInd w:val="0"/>
      <w:snapToGrid w:val="0"/>
      <w:textAlignment w:val="baseline"/>
    </w:pPr>
    <w:rPr>
      <w:rFonts w:ascii="宋体" w:hAnsi="宋体" w:eastAsia="宋体" w:cs="宋体"/>
      <w:snapToGrid w:val="0"/>
      <w:color w:val="000000"/>
      <w:sz w:val="24"/>
      <w:szCs w:val="24"/>
      <w:lang w:val="en-US" w:eastAsia="en-US" w:bidi="ar-SA"/>
    </w:rPr>
  </w:style>
  <w:style w:type="paragraph" w:customStyle="1" w:styleId="124">
    <w:name w:val="BodyText1I2"/>
    <w:next w:val="1"/>
    <w:qFormat/>
    <w:uiPriority w:val="0"/>
    <w:pPr>
      <w:widowControl w:val="0"/>
      <w:spacing w:after="120"/>
      <w:ind w:left="420" w:leftChars="200" w:firstLine="420" w:firstLineChars="200"/>
      <w:jc w:val="both"/>
      <w:textAlignment w:val="baseline"/>
    </w:pPr>
    <w:rPr>
      <w:rFonts w:ascii="Times New Roman" w:hAnsi="Times New Roman" w:eastAsia="宋体" w:cs="Times New Roman"/>
      <w:kern w:val="2"/>
      <w:sz w:val="24"/>
      <w:szCs w:val="24"/>
      <w:lang w:val="en-US" w:eastAsia="zh-CN" w:bidi="ar-SA"/>
    </w:rPr>
  </w:style>
  <w:style w:type="paragraph" w:customStyle="1" w:styleId="125">
    <w:name w:val="表格题目"/>
    <w:qFormat/>
    <w:uiPriority w:val="0"/>
    <w:pPr>
      <w:keepNext/>
      <w:widowControl w:val="0"/>
      <w:autoSpaceDE w:val="0"/>
      <w:autoSpaceDN w:val="0"/>
      <w:adjustRightInd w:val="0"/>
      <w:snapToGrid w:val="0"/>
      <w:jc w:val="center"/>
    </w:pPr>
    <w:rPr>
      <w:rFonts w:ascii="Times New Roman" w:hAnsi="Times New Roman" w:eastAsia="黑体" w:cs="Times New Roman"/>
      <w:color w:val="000000"/>
      <w:kern w:val="2"/>
      <w:sz w:val="24"/>
      <w:szCs w:val="24"/>
      <w:lang w:val="en-US" w:eastAsia="zh-CN" w:bidi="ar-SA"/>
    </w:rPr>
  </w:style>
  <w:style w:type="character" w:customStyle="1" w:styleId="126">
    <w:name w:val="font41"/>
    <w:basedOn w:val="38"/>
    <w:qFormat/>
    <w:uiPriority w:val="0"/>
    <w:rPr>
      <w:rFonts w:hint="default" w:ascii="Times New Roman" w:hAnsi="Times New Roman" w:cs="Times New Roman"/>
      <w:color w:val="000000"/>
      <w:sz w:val="21"/>
      <w:szCs w:val="21"/>
      <w:u w:val="none"/>
    </w:rPr>
  </w:style>
  <w:style w:type="character" w:customStyle="1" w:styleId="127">
    <w:name w:val="font31"/>
    <w:basedOn w:val="38"/>
    <w:qFormat/>
    <w:uiPriority w:val="0"/>
    <w:rPr>
      <w:rFonts w:hint="default" w:ascii="Times New Roman" w:hAnsi="Times New Roman" w:cs="Times New Roman"/>
      <w:color w:val="FF0000"/>
      <w:sz w:val="21"/>
      <w:szCs w:val="21"/>
      <w:u w:val="none"/>
    </w:rPr>
  </w:style>
  <w:style w:type="paragraph" w:customStyle="1" w:styleId="128">
    <w:name w:val="toc 11"/>
    <w:next w:val="1"/>
    <w:qFormat/>
    <w:uiPriority w:val="0"/>
    <w:pPr>
      <w:wordWrap w:val="0"/>
      <w:jc w:val="both"/>
    </w:pPr>
    <w:rPr>
      <w:rFonts w:ascii="Times New Roman" w:hAnsi="Times New Roman" w:eastAsia="宋体" w:cs="Times New Roman"/>
      <w:sz w:val="21"/>
      <w:lang w:val="en-US" w:eastAsia="zh-CN" w:bidi="ar-SA"/>
    </w:rPr>
  </w:style>
  <w:style w:type="character" w:customStyle="1" w:styleId="129">
    <w:name w:val="font61"/>
    <w:basedOn w:val="38"/>
    <w:qFormat/>
    <w:uiPriority w:val="0"/>
    <w:rPr>
      <w:rFonts w:hint="default" w:ascii="Times New Roman" w:hAnsi="Times New Roman" w:cs="Times New Roman"/>
      <w:b/>
      <w:bCs/>
      <w:color w:val="000000"/>
      <w:sz w:val="21"/>
      <w:szCs w:val="21"/>
      <w:u w:val="none"/>
    </w:rPr>
  </w:style>
  <w:style w:type="character" w:customStyle="1" w:styleId="130">
    <w:name w:val="font71"/>
    <w:basedOn w:val="38"/>
    <w:qFormat/>
    <w:uiPriority w:val="0"/>
    <w:rPr>
      <w:rFonts w:hint="default" w:ascii="Times New Roman" w:hAnsi="Times New Roman" w:cs="Times New Roman"/>
      <w:b/>
      <w:bCs/>
      <w:color w:val="000000"/>
      <w:sz w:val="21"/>
      <w:szCs w:val="21"/>
      <w:u w:val="none"/>
      <w:vertAlign w:val="superscript"/>
    </w:rPr>
  </w:style>
  <w:style w:type="character" w:customStyle="1" w:styleId="131">
    <w:name w:val="font81"/>
    <w:basedOn w:val="38"/>
    <w:qFormat/>
    <w:uiPriority w:val="0"/>
    <w:rPr>
      <w:rFonts w:hint="default" w:ascii="Times New Roman" w:hAnsi="Times New Roman" w:cs="Times New Roman"/>
      <w:color w:val="000000"/>
      <w:sz w:val="21"/>
      <w:szCs w:val="21"/>
      <w:u w:val="none"/>
      <w:vertAlign w:val="superscript"/>
    </w:rPr>
  </w:style>
  <w:style w:type="paragraph" w:customStyle="1" w:styleId="132">
    <w:name w:val="表格文字"/>
    <w:qFormat/>
    <w:uiPriority w:val="0"/>
    <w:pPr>
      <w:widowControl w:val="0"/>
      <w:jc w:val="center"/>
    </w:pPr>
    <w:rPr>
      <w:rFonts w:ascii="仿宋_GB2312" w:hAnsi="Arial Black" w:eastAsia="仿宋_GB2312" w:cs="Times New Roman"/>
      <w:kern w:val="44"/>
      <w:sz w:val="24"/>
      <w:szCs w:val="24"/>
      <w:lang w:val="en-US" w:eastAsia="zh-CN" w:bidi="ar-SA"/>
    </w:rPr>
  </w:style>
  <w:style w:type="paragraph" w:customStyle="1" w:styleId="133">
    <w:name w:val="正文2"/>
    <w:qFormat/>
    <w:uiPriority w:val="0"/>
    <w:pPr>
      <w:widowControl w:val="0"/>
      <w:jc w:val="center"/>
    </w:pPr>
    <w:rPr>
      <w:rFonts w:ascii="Times New Roman" w:hAnsi="Times New Roman" w:eastAsia="宋体" w:cs="Times New Roman"/>
      <w:kern w:val="2"/>
      <w:sz w:val="24"/>
      <w:szCs w:val="24"/>
      <w:lang w:val="en-US" w:eastAsia="zh-CN" w:bidi="ar-SA"/>
    </w:rPr>
  </w:style>
  <w:style w:type="table" w:customStyle="1" w:styleId="134">
    <w:name w:val="网格型1"/>
    <w:basedOn w:val="3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35">
    <w:name w:val="font91"/>
    <w:basedOn w:val="38"/>
    <w:qFormat/>
    <w:uiPriority w:val="0"/>
    <w:rPr>
      <w:rFonts w:hint="default" w:ascii="Times New Roman" w:hAnsi="Times New Roman" w:cs="Times New Roman"/>
      <w:b/>
      <w:bCs/>
      <w:color w:val="000000"/>
      <w:sz w:val="21"/>
      <w:szCs w:val="21"/>
      <w:u w:val="none"/>
    </w:rPr>
  </w:style>
  <w:style w:type="character" w:customStyle="1" w:styleId="136">
    <w:name w:val="font101"/>
    <w:basedOn w:val="38"/>
    <w:qFormat/>
    <w:uiPriority w:val="0"/>
    <w:rPr>
      <w:rFonts w:hint="default" w:ascii="Times New Roman" w:hAnsi="Times New Roman" w:cs="Times New Roman"/>
      <w:b/>
      <w:bCs/>
      <w:color w:val="000000"/>
      <w:sz w:val="21"/>
      <w:szCs w:val="21"/>
      <w:u w:val="none"/>
      <w:vertAlign w:val="superscript"/>
    </w:rPr>
  </w:style>
  <w:style w:type="character" w:customStyle="1" w:styleId="137">
    <w:name w:val="font111"/>
    <w:basedOn w:val="38"/>
    <w:qFormat/>
    <w:uiPriority w:val="0"/>
    <w:rPr>
      <w:rFonts w:hint="default" w:ascii="Times New Roman" w:hAnsi="Times New Roman" w:cs="Times New Roman"/>
      <w:color w:val="000000"/>
      <w:sz w:val="21"/>
      <w:szCs w:val="21"/>
      <w:u w:val="none"/>
      <w:vertAlign w:val="superscript"/>
    </w:rPr>
  </w:style>
  <w:style w:type="paragraph" w:customStyle="1" w:styleId="138">
    <w:name w:val="wf-表格内容"/>
    <w:qFormat/>
    <w:uiPriority w:val="0"/>
    <w:pPr>
      <w:widowControl w:val="0"/>
      <w:adjustRightInd w:val="0"/>
      <w:jc w:val="center"/>
      <w:textAlignment w:val="baseline"/>
    </w:pPr>
    <w:rPr>
      <w:rFonts w:ascii="Times New Roman" w:hAnsi="Times New Roman" w:eastAsia="宋体" w:cs="Times New Roman"/>
      <w:kern w:val="2"/>
      <w:sz w:val="21"/>
      <w:szCs w:val="21"/>
      <w:lang w:val="en-US" w:eastAsia="zh-CN" w:bidi="ar-SA"/>
    </w:rPr>
  </w:style>
  <w:style w:type="paragraph" w:customStyle="1" w:styleId="139">
    <w:name w:val="Body text|1"/>
    <w:qFormat/>
    <w:uiPriority w:val="0"/>
    <w:pPr>
      <w:widowControl w:val="0"/>
      <w:spacing w:after="80" w:line="456" w:lineRule="auto"/>
      <w:ind w:firstLine="400"/>
      <w:jc w:val="both"/>
    </w:pPr>
    <w:rPr>
      <w:rFonts w:ascii="宋体" w:hAnsi="宋体" w:eastAsia="宋体" w:cs="宋体"/>
      <w:kern w:val="2"/>
      <w:lang w:val="zh-TW" w:eastAsia="zh-TW" w:bidi="zh-TW"/>
    </w:rPr>
  </w:style>
  <w:style w:type="character" w:customStyle="1" w:styleId="140">
    <w:name w:val="font121"/>
    <w:basedOn w:val="38"/>
    <w:qFormat/>
    <w:uiPriority w:val="0"/>
    <w:rPr>
      <w:rFonts w:hint="default" w:ascii="Times New Roman" w:hAnsi="Times New Roman" w:cs="Times New Roman"/>
      <w:color w:val="000000"/>
      <w:sz w:val="21"/>
      <w:szCs w:val="21"/>
      <w:u w:val="none"/>
      <w:vertAlign w:val="superscript"/>
    </w:rPr>
  </w:style>
  <w:style w:type="paragraph" w:customStyle="1" w:styleId="141">
    <w:name w:val="正文 首行缩进:  2 字符"/>
    <w:qFormat/>
    <w:uiPriority w:val="0"/>
    <w:pPr>
      <w:widowControl w:val="0"/>
      <w:ind w:firstLine="579"/>
      <w:jc w:val="both"/>
    </w:pPr>
    <w:rPr>
      <w:rFonts w:ascii="Times New Roman" w:hAnsi="Times New Roman" w:eastAsia="宋体" w:cs="宋体"/>
      <w:kern w:val="0"/>
      <w:sz w:val="21"/>
      <w:szCs w:val="20"/>
      <w:lang w:val="en-US" w:eastAsia="zh-CN" w:bidi="ar-SA"/>
    </w:rPr>
  </w:style>
  <w:style w:type="paragraph" w:customStyle="1" w:styleId="142">
    <w:name w:val="Normal_14_0"/>
    <w:qFormat/>
    <w:uiPriority w:val="0"/>
    <w:pPr>
      <w:spacing w:before="120" w:after="240"/>
      <w:jc w:val="both"/>
    </w:pPr>
    <w:rPr>
      <w:rFonts w:ascii="Calibri" w:hAnsi="Calibri" w:eastAsia="Calibri" w:cs="Times New Roman"/>
      <w:sz w:val="22"/>
      <w:szCs w:val="22"/>
      <w:lang w:val="ru-RU" w:eastAsia="en-US" w:bidi="ar-SA"/>
    </w:rPr>
  </w:style>
  <w:style w:type="paragraph" w:customStyle="1" w:styleId="143">
    <w:name w:val="君邦正文"/>
    <w:qFormat/>
    <w:uiPriority w:val="0"/>
    <w:pPr>
      <w:spacing w:after="60" w:line="360" w:lineRule="auto"/>
      <w:ind w:firstLine="480" w:firstLineChars="200"/>
      <w:jc w:val="both"/>
    </w:pPr>
    <w:rPr>
      <w:rFonts w:ascii="Times New Roman" w:hAnsi="Times New Roman" w:eastAsia="宋体" w:cs="Times New Roman"/>
      <w:bCs/>
      <w:snapToGrid w:val="0"/>
      <w:sz w:val="24"/>
      <w:lang w:val="en-US" w:eastAsia="zh-CN" w:bidi="ar-SA"/>
    </w:rPr>
  </w:style>
  <w:style w:type="paragraph" w:customStyle="1" w:styleId="144">
    <w:name w:val="表格文字2"/>
    <w:qFormat/>
    <w:uiPriority w:val="0"/>
    <w:pPr>
      <w:widowControl w:val="0"/>
      <w:tabs>
        <w:tab w:val="left" w:pos="277"/>
        <w:tab w:val="left" w:pos="600"/>
        <w:tab w:val="left" w:pos="780"/>
        <w:tab w:val="left" w:pos="2517"/>
      </w:tabs>
      <w:adjustRightInd w:val="0"/>
      <w:spacing w:before="60"/>
      <w:jc w:val="center"/>
      <w:textAlignment w:val="baseline"/>
    </w:pPr>
    <w:rPr>
      <w:rFonts w:ascii="Times New Roman" w:hAnsi="Times New Roman" w:eastAsia="宋体" w:cs="宋体"/>
      <w:spacing w:val="5"/>
      <w:kern w:val="0"/>
      <w:sz w:val="21"/>
      <w:szCs w:val="21"/>
      <w:lang w:val="en-US" w:eastAsia="zh-CN" w:bidi="ar-SA"/>
    </w:rPr>
  </w:style>
  <w:style w:type="paragraph" w:customStyle="1" w:styleId="145">
    <w:name w:val="1、正文"/>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0"/>
      <w:sz w:val="24"/>
      <w:szCs w:val="24"/>
      <w:lang w:val="en-US" w:eastAsia="zh-CN" w:bidi="ar-SA"/>
    </w:rPr>
  </w:style>
  <w:style w:type="paragraph" w:customStyle="1" w:styleId="146">
    <w:name w:val="样式 正文 行距: 固定值 25 磅"/>
    <w:next w:val="29"/>
    <w:qFormat/>
    <w:uiPriority w:val="0"/>
    <w:pPr>
      <w:widowControl w:val="0"/>
      <w:spacing w:line="500" w:lineRule="exact"/>
      <w:ind w:firstLine="600" w:firstLineChars="200"/>
      <w:jc w:val="left"/>
    </w:pPr>
    <w:rPr>
      <w:rFonts w:ascii="Times New Roman" w:hAnsi="Times New Roman" w:eastAsia="宋体" w:cs="Times New Roman"/>
      <w:kern w:val="2"/>
      <w:sz w:val="24"/>
      <w:szCs w:val="24"/>
      <w:lang w:val="en-US" w:eastAsia="zh-CN" w:bidi="ar-SA"/>
    </w:rPr>
  </w:style>
  <w:style w:type="paragraph" w:customStyle="1" w:styleId="147">
    <w:name w:val="wf-表格标题"/>
    <w:qFormat/>
    <w:uiPriority w:val="0"/>
    <w:pPr>
      <w:widowControl w:val="0"/>
      <w:adjustRightInd w:val="0"/>
      <w:snapToGrid w:val="0"/>
      <w:spacing w:line="240" w:lineRule="auto"/>
      <w:ind w:firstLine="0" w:firstLineChars="0"/>
      <w:jc w:val="center"/>
    </w:pPr>
    <w:rPr>
      <w:rFonts w:hint="eastAsia" w:ascii="Times New Roman" w:hAnsi="Times New Roman" w:eastAsia="黑体" w:cs="Times New Roman"/>
      <w:bCs/>
      <w:color w:val="auto"/>
      <w:kern w:val="2"/>
      <w:sz w:val="24"/>
      <w:szCs w:val="32"/>
      <w:lang w:val="en-US" w:eastAsia="zh-CN" w:bidi="ar-SA"/>
    </w:rPr>
  </w:style>
  <w:style w:type="paragraph" w:customStyle="1" w:styleId="148">
    <w:name w:val="EIA正文"/>
    <w:qFormat/>
    <w:uiPriority w:val="0"/>
    <w:pPr>
      <w:widowControl w:val="0"/>
      <w:spacing w:line="360" w:lineRule="auto"/>
      <w:ind w:firstLine="200" w:firstLineChars="200"/>
      <w:jc w:val="both"/>
    </w:pPr>
    <w:rPr>
      <w:rFonts w:ascii="Calibri" w:hAnsi="Calibri" w:eastAsia="宋体" w:cs="Times New Roman"/>
      <w:color w:val="000000"/>
      <w:kern w:val="2"/>
      <w:sz w:val="24"/>
      <w:szCs w:val="20"/>
      <w:lang w:val="en-US" w:eastAsia="zh-CN" w:bidi="ar-SA"/>
    </w:rPr>
  </w:style>
  <w:style w:type="paragraph" w:customStyle="1" w:styleId="149">
    <w:name w:val="目录2"/>
    <w:qFormat/>
    <w:uiPriority w:val="0"/>
    <w:pPr>
      <w:widowControl w:val="0"/>
      <w:spacing w:line="360" w:lineRule="auto"/>
      <w:jc w:val="left"/>
    </w:pPr>
    <w:rPr>
      <w:rFonts w:ascii="Times New Roman" w:hAnsi="Times New Roman" w:eastAsia="宋体" w:cs="Times New Roman"/>
      <w:b/>
      <w:kern w:val="2"/>
      <w:sz w:val="24"/>
      <w:szCs w:val="21"/>
      <w:lang w:val="en-US" w:eastAsia="zh-CN" w:bidi="ar-SA"/>
    </w:rPr>
  </w:style>
  <w:style w:type="character" w:customStyle="1" w:styleId="150">
    <w:name w:val="font01"/>
    <w:basedOn w:val="38"/>
    <w:autoRedefine/>
    <w:qFormat/>
    <w:uiPriority w:val="0"/>
    <w:rPr>
      <w:rFonts w:hint="eastAsia" w:ascii="宋体" w:hAnsi="宋体" w:eastAsia="宋体" w:cs="宋体"/>
      <w:color w:val="000000"/>
      <w:sz w:val="21"/>
      <w:szCs w:val="21"/>
      <w:u w:val="none"/>
    </w:rPr>
  </w:style>
  <w:style w:type="paragraph" w:customStyle="1" w:styleId="151">
    <w:name w:val="图表文字"/>
    <w:basedOn w:val="1"/>
    <w:autoRedefine/>
    <w:qFormat/>
    <w:uiPriority w:val="0"/>
    <w:pPr>
      <w:spacing w:line="300" w:lineRule="exact"/>
      <w:jc w:val="center"/>
    </w:pPr>
    <w:rPr>
      <w:bCs/>
      <w:szCs w:val="20"/>
    </w:rPr>
  </w:style>
  <w:style w:type="paragraph" w:customStyle="1" w:styleId="152">
    <w:name w:val="小标题"/>
    <w:basedOn w:val="153"/>
    <w:qFormat/>
    <w:uiPriority w:val="0"/>
    <w:rPr>
      <w:rFonts w:asciiTheme="minorHAnsi" w:hAnsiTheme="minorHAnsi" w:eastAsiaTheme="minorEastAsia"/>
      <w:b/>
    </w:rPr>
  </w:style>
  <w:style w:type="paragraph" w:customStyle="1" w:styleId="153">
    <w:name w:val="正文d"/>
    <w:basedOn w:val="1"/>
    <w:autoRedefine/>
    <w:qFormat/>
    <w:uiPriority w:val="0"/>
    <w:pPr>
      <w:autoSpaceDE w:val="0"/>
      <w:autoSpaceDN w:val="0"/>
      <w:adjustRightInd w:val="0"/>
      <w:snapToGrid w:val="0"/>
      <w:spacing w:line="360" w:lineRule="auto"/>
      <w:ind w:firstLine="200" w:firstLineChars="200"/>
    </w:pPr>
    <w:rPr>
      <w:rFonts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45</Pages>
  <Words>12221</Words>
  <Characters>13189</Characters>
  <Lines>456</Lines>
  <Paragraphs>128</Paragraphs>
  <TotalTime>0</TotalTime>
  <ScaleCrop>false</ScaleCrop>
  <LinksUpToDate>false</LinksUpToDate>
  <CharactersWithSpaces>13202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LGS</cp:lastModifiedBy>
  <cp:lastPrinted>2024-09-12T06:57:00Z</cp:lastPrinted>
  <dcterms:modified xsi:type="dcterms:W3CDTF">2025-04-16T07:52:19Z</dcterms:modified>
  <dc:title>附件2</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DB0294E2E13A44C391B8FE897CDE20BA_13</vt:lpwstr>
  </property>
  <property fmtid="{D5CDD505-2E9C-101B-9397-08002B2CF9AE}" pid="4" name="KSOTemplateDocerSaveRecord">
    <vt:lpwstr>eyJoZGlkIjoiN2Q1NDhkMjgzZTUyZTVjMDJjYTMxMjNjMTBjYmE0MjkiLCJ1c2VySWQiOiIxMTcwOTE1ODgyIn0=</vt:lpwstr>
  </property>
</Properties>
</file>