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附件3</w:t>
      </w:r>
    </w:p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嘉祥县水务局</w:t>
      </w:r>
      <w:r>
        <w:rPr>
          <w:rFonts w:hint="eastAsia" w:ascii="方正小标宋简体" w:eastAsia="方正小标宋简体"/>
          <w:b/>
          <w:sz w:val="44"/>
          <w:szCs w:val="44"/>
        </w:rPr>
        <w:t>2021年政府信息公开</w:t>
      </w:r>
    </w:p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情况统计表</w:t>
      </w:r>
    </w:p>
    <w:bookmarkEnd w:id="0"/>
    <w:tbl>
      <w:tblPr>
        <w:tblStyle w:val="7"/>
        <w:tblW w:w="8696" w:type="dxa"/>
        <w:jc w:val="center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7"/>
        <w:gridCol w:w="904"/>
        <w:gridCol w:w="825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tblHeader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ind w:firstLine="685"/>
              <w:jc w:val="center"/>
              <w:rPr>
                <w:rFonts w:ascii="方正黑体简体" w:eastAsia="方正黑体简体"/>
                <w:b/>
                <w:color w:val="000000"/>
              </w:rPr>
            </w:pPr>
            <w:r>
              <w:rPr>
                <w:rStyle w:val="9"/>
                <w:rFonts w:hint="eastAsia" w:ascii="方正黑体简体" w:hAnsi="Times New Roman" w:eastAsia="方正黑体简体" w:cs="Times New Roman"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Style w:val="9"/>
                <w:rFonts w:hint="eastAsia" w:ascii="方正黑体简体" w:eastAsia="方正黑体简体"/>
                <w:color w:val="000000"/>
              </w:rPr>
              <w:t>单位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Style w:val="9"/>
                <w:rFonts w:hint="eastAsia" w:ascii="方正黑体简体" w:eastAsia="方正黑体简体"/>
                <w:color w:val="000000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一、主动公开情况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（一）主动公开政府信息数（不同渠道和方式公开相同信息计1条）</w:t>
            </w:r>
            <w:r>
              <w:rPr>
                <w:rFonts w:hint="eastAsia" w:ascii="方正仿宋简体" w:hAnsi="宋体" w:eastAsia="方正仿宋简体"/>
                <w:b/>
                <w:color w:val="000000"/>
              </w:rPr>
              <w:br w:type="textWrapping"/>
            </w: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（不同渠道和方式公开相同信息计1条）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其中：主动公开规范性文件数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　　　制发规范性文件总数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件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（二）通过不同渠道和方式公开政府信息的情况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1.政府公报公开政府信息数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2.政府网站公开政府信息数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116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3.政务微博公开政府信息数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4.政务微信公开政府信息数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5.其他方式公开政府信息数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二、回应解读情况（不同方式回应同一热点或舆情计1次）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ind w:firstLine="685"/>
              <w:jc w:val="center"/>
              <w:rPr>
                <w:rFonts w:ascii="方正仿宋简体" w:eastAsia="方正仿宋简体"/>
                <w:b/>
                <w:color w:val="000000"/>
              </w:rPr>
            </w:pPr>
          </w:p>
        </w:tc>
        <w:tc>
          <w:tcPr>
            <w:tcW w:w="82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ind w:firstLine="402" w:firstLineChars="200"/>
              <w:rPr>
                <w:rFonts w:ascii="方正仿宋简体" w:eastAsia="方正仿宋简体"/>
                <w:b/>
                <w:color w:val="000000"/>
              </w:rPr>
            </w:pPr>
            <w:r>
              <w:rPr>
                <w:rFonts w:hint="eastAsia" w:ascii="方正仿宋简体" w:eastAsia="方正仿宋简体" w:cs="Times New Roman"/>
                <w:b/>
                <w:color w:val="000000"/>
                <w:kern w:val="2"/>
                <w:sz w:val="20"/>
                <w:szCs w:val="20"/>
              </w:rPr>
              <w:t>（一）回应公众关注热点或重大舆情数</w:t>
            </w:r>
            <w:r>
              <w:rPr>
                <w:rFonts w:hint="eastAsia" w:ascii="方正仿宋简体" w:eastAsia="方正仿宋简体" w:cs="Times New Roman"/>
                <w:b/>
                <w:color w:val="000000"/>
                <w:kern w:val="2"/>
                <w:sz w:val="20"/>
                <w:szCs w:val="20"/>
              </w:rPr>
              <w:br w:type="textWrapping"/>
            </w:r>
            <w:r>
              <w:rPr>
                <w:rFonts w:hint="eastAsia" w:ascii="方正仿宋简体" w:eastAsia="方正仿宋简体" w:cs="Times New Roman"/>
                <w:b/>
                <w:color w:val="000000"/>
                <w:kern w:val="2"/>
                <w:sz w:val="20"/>
                <w:szCs w:val="20"/>
              </w:rPr>
              <w:t>　　　　 （不同方式回应同一热点或舆情计1次）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（二）通过不同渠道和方式回应解读的情况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1.参加或举办新闻发布会总次数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 其中：主要负责同志参加新闻发布会次数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2.政府网站在线访谈次数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 其中：主要负责同志参加政府网站在线访谈次数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3.政策解读稿件发布数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篇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4.微博微信回应事件数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5.其他方式回应事件数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三、开通政府信息公开网站（或设立门户网站信息公开专栏）数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（一）市政府部门门户网站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（二）县（市、区）政府及其部门门户网站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（三）乡镇政府（街道办事处）门户网站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黑体简体" w:hAnsi="宋体" w:eastAsia="方正黑体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四、设置政府信息查阅点数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（一）市政府部门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（二）县（市、区）政府及其部门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（三）乡镇政府（街道办事处）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五、查阅点接待人数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（一）市政府及其部门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（二）县（市、区）政府及其部门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（三）乡镇政府（街道办事处）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六、机构建设和保障经费情况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（一）政府信息公开工作专门机构数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（二）从事政府信息公开工作人员数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1.专职人员数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2.兼职人员数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（三）政府信息公开专项经费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万元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七、政府信息公开会议和培训情况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（一）召开政府信息公开工作会议或专题会议数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（二）举办各类培训班数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（三）接受培训人员数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5</w:t>
            </w:r>
          </w:p>
        </w:tc>
      </w:tr>
    </w:tbl>
    <w:p>
      <w:pPr>
        <w:spacing w:line="590" w:lineRule="exact"/>
        <w:ind w:right="-100" w:rightChars="-50"/>
        <w:rPr>
          <w:rFonts w:ascii="方正仿宋简体" w:eastAsia="方正仿宋简体"/>
          <w:b/>
          <w:sz w:val="24"/>
          <w:szCs w:val="24"/>
        </w:rPr>
      </w:pPr>
      <w:r>
        <w:rPr>
          <w:rFonts w:hint="eastAsia" w:ascii="方正仿宋简体" w:eastAsia="方正仿宋简体"/>
          <w:b/>
          <w:sz w:val="24"/>
          <w:szCs w:val="24"/>
        </w:rPr>
        <w:t>（注：各子栏目数总数要等于总栏目数量）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ED047EB-8536-4E5E-85B5-249911480B2D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58923B3-FDE0-48DF-B4AF-854772AF3CC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76B5AEF-2472-4D95-8C83-2C0F2058F172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21116"/>
    <w:rsid w:val="169A3C25"/>
    <w:rsid w:val="32E13DEA"/>
    <w:rsid w:val="3B8D0828"/>
    <w:rsid w:val="3C2C0345"/>
    <w:rsid w:val="3E921116"/>
    <w:rsid w:val="4A71383E"/>
    <w:rsid w:val="55C07BF9"/>
    <w:rsid w:val="568D50A0"/>
    <w:rsid w:val="5D4178F4"/>
    <w:rsid w:val="6069672C"/>
    <w:rsid w:val="7118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方正黑体简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楷体简体" w:asciiTheme="minorAscii" w:hAnsiTheme="minorAscii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方正仿宋简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9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2022-01-25T01:53:00Z</dcterms:created>
  <dc:creator>琳。</dc:creator>
  <cp:lastModifiedBy>琳。</cp:lastModifiedBy>
  <dcterms:modified xsi:type="dcterms:W3CDTF">2022-01-25T02:17:30Z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98CAB48CB9DF4EED8D723DC99B8C500D</vt:lpwstr>
  </property>
</Properties>
</file>