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eastAsia="方正大标宋简体"/>
          <w:b/>
          <w:color w:val="FF0000"/>
          <w:spacing w:val="-62"/>
          <w:w w:val="52"/>
          <w:sz w:val="142"/>
          <w:szCs w:val="142"/>
        </w:rPr>
      </w:pPr>
      <w:r>
        <w:rPr>
          <w:rFonts w:hint="eastAsia" w:ascii="宋体" w:hAnsi="宋体" w:eastAsia="方正大标宋简体"/>
          <w:b/>
          <w:color w:val="FF0000"/>
          <w:spacing w:val="-62"/>
          <w:w w:val="52"/>
          <w:sz w:val="142"/>
          <w:szCs w:val="142"/>
          <w:lang w:val="en-US" w:eastAsia="zh-CN"/>
        </w:rPr>
        <w:t>嘉祥县综合行政执法局文件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嘉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综执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165100</wp:posOffset>
                </wp:positionV>
                <wp:extent cx="5295900" cy="1905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15pt;margin-top:13pt;height:1.5pt;width:417pt;z-index:251659264;mso-width-relative:page;mso-height-relative:page;" filled="f" stroked="t" coordsize="21600,21600" o:gfxdata="UEsDBAoAAAAAAIdO4kAAAAAAAAAAAAAAAAAEAAAAZHJzL1BLAwQUAAAACACHTuJAVv16NNYAAAAI&#10;AQAADwAAAGRycy9kb3ducmV2LnhtbE2PwU7DMBBE70j8g7VI3KidVjIlxKkQggucKFUlbm68TdLE&#10;6xC7afl7lhM97sxo9k2xOvteTDjGNpCBbKZAIFXBtVQb2Hy+3i1BxGTJ2T4QGvjBCKvy+qqwuQsn&#10;+sBpnWrBJRRza6BJaciljFWD3sZZGJDY24fR28TnWEs32hOX+17OldLS25b4Q2MHfG6w6tZHbyDp&#10;Q9o6/f3WZZtu+6Xe1aSeXoy5vcnUI4iE5/Qfhj98RoeSmXbhSC6K3sBCLzhpYK55EvvLe8XCjoUH&#10;BbIs5OWA8hdQSwMEFAAAAAgAh07iQJAYKuz9AQAA6gMAAA4AAABkcnMvZTJvRG9jLnhtbK1TTa7T&#10;MBDeI3EHy3uatFKfaNT0LV4pGwSVgANMHSex5D953Ka9BBdAYgcrluy5DY9jMHZKHzw2XZCFM/aM&#10;v5nv88zy9mg0O8iAytmaTyclZ9IK1yjb1fz9u82z55xhBNuAdlbW/CSR366ePlkOvpIz1zvdyMAI&#10;xGI1+Jr3MfqqKFD00gBOnJeWnK0LBiJtQ1c0AQZCN7qYleVNMbjQ+OCERKTT9ejkZ8RwDaBrWyXk&#10;2om9kTaOqEFqiEQJe+WRr3K1bStFfNO2KCPTNSemMa+UhOxdWovVEqougO+VOJcA15TwiJMBZSnp&#10;BWoNEdg+qH+gjBLBoWvjRDhTjESyIsRiWj7S5m0PXmYuJDX6i+j4/2DF68M2MNXUfHbDmQVDL37/&#10;8duPD59/fv9E6/3XL4w8JNPgsaLoO7sN5x36bUicj20w6U9s2DFLe7pIK4+RCTqczxbzRUmqC/JN&#10;F+U8S188XPYB40vpDEtGzbWyiTlUcHiFkRJS6O+QdKwtG2q+mM/mBAnUhi09P5nGExW0Xb6LTqtm&#10;o7RONzB0uzsd2AGoFTabkr5Ei3D/CktJ1oD9GJddY5P0EpoXtmHx5EkjS7PBUwlGNpxpSaOULAKE&#10;KoLS10RSam2pgqTsqGWydq450ZPsfVBdT0pMc5XJQy2Q6z23a+qxP/cZ6WFE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v16NNYAAAAIAQAADwAAAAAAAAABACAAAAAiAAAAZHJzL2Rvd25yZXYu&#10;eG1sUEsBAhQAFAAAAAgAh07iQJAYKuz9AQAA6gMAAA4AAAAAAAAAAQAgAAAAJQEAAGRycy9lMm9E&#10;b2MueG1sUEsFBgAAAAAGAAYAWQEAAJ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4"/>
          <w:szCs w:val="44"/>
          <w:lang w:eastAsia="zh-CN"/>
        </w:rPr>
        <w:t>嘉祥县综合行政执法局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潮汐摊区（疏导点）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推动城区夜经济发展，帮助群众解决就业、生活、消费需求，维护市容环境卫生，保障道路畅通有序，根据《中华人民共和国安全生产法》《山东省城镇容貌和环境卫生管理办法》和《济宁市城镇容貌和环境卫生管理条例》等法律法规规定，结合济宁市2025年重点民生实事工作任务和要求和嘉祥县实际，决定在建成区范围内设置潮汐摊区（疏导点）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深入贯彻落实习近平总书记“城市管理应该像绣花一样精细”的指示精神，按照部门牵头、属地为主、因地制宜、各司其职、分工协作、齐抓共管的工作思路，以“绣花功夫”管理城市，实施审慎包容服务监管，进一步提升城市精细化管理水平，打造安全、整洁、文明、有序的城市环境，提升城市形象和市民群众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二、工作目标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" w:eastAsia="zh-CN" w:bidi="ar-SA"/>
        </w:rPr>
        <w:t>坚持“以人为本、为民服务”工作理念，从群众实际需求出发，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因地制宜在县城建成区设置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潮汐摊区（疏导点）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/>
        </w:rPr>
        <w:t>，引导摊贩入点规范经营，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" w:eastAsia="zh-CN" w:bidi="ar-SA"/>
        </w:rPr>
        <w:t>给原来“打游击”的流动商贩提供相对固定的经营场所。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/>
        </w:rPr>
        <w:t>通过服务引导和依法治理，进一步规范门店、摊贩的经营行为，改善城区市容市貌，提升市民群众对城市管理工作的获得感、幸福感和满意度。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三、工作原则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（一）坚持规范安全原则：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疏导点设置以保障交通安全为首要原则，应符合国家交通法规和标准，保持统一、规范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确保车辆和行人通行的安全。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（二）坚持灵活便捷原则：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根据县城区实际情况，科学利用辖区闲置空地，结合交通流量的变化，合理安排摊点数量、控制经营时间，提高交通通行效率，减少拥堵，方便市民出行。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（三）坚持疏堵结合原则：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根据各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潮汐摊区（疏导点）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不同位置特点，采取归类疏导、分片管理，按照“以法育人、以理服人、以情动人”的工作方法，对符合标准要求的流动摊贩进行集中疏导、统一管理，对不符合的责令整改或坚决取缔。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（四）坚持标准治理原则：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潮汐摊区（疏导点）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根据各自不同情况自行确定并严格执行“六统一”管理标准，即：统一进驻标准，统一摊位规格，统一经营朝向，统一车载牌匾，统一开放和关闭时间，统一卫生管理标准。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（一）调研分析（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—2月28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结合城区实际，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充分考虑交通流量、道路状况、停车位冗余和公共卫生间配套等情况，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根据需求选取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个（可多报）设置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潮汐摊区（疏导点）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的路段或点位。由市容科组织各执法中队开展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实地调研，论证设置潮汐摊区（疏导点）可行性。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（二）制定方案（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—3月16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根据确定的设置路段和点位，制定工作方案，包括设置的位置、标志标线的样式和数量等，经局党组审核后向社会统一公示。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（三）组织落实（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—4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局市容分管干部牵头，组织相关科室、执法中队人员，积极对接属地社区，落实潮汐摊区（疏导点）设置措施。包括完成场地划分，审核登记准入摊贩，建立管理台账，明确管理职责和人员，设置标志标线等。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（四）评估调整（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—6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各投入运营的潮汐摊区（疏导点）试运行一至二个月，根据周边卫生保持、市容秩序规范、流商减少、投诉举报增减等方面进行评估并调整优化、逐步推广。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（五）定期检查（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日以后）。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对已设置的潮汐摊区（疏导点）纳入重点监管范围，进行定期检查和督导，督促管理人员和经营摊贩按照要求做好设施维护和管理，形成常态长效管理机制。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遵循“政府主导、部门牵头、街道主责、社区主管”的原则，各级相关部门、单位上下联动、各司其职，协调配合、形成合力，切实把设置潮汐摊区（疏导点）工作做成惠民、利民、老百姓拍手叫好的工程。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（二）明确责任分工。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坚持“谁举办、谁管理、谁负责”，切实落实属地管理责任，积极联系对接市场监管、商务、应急、公安、交通、住建、消防、卫健等部门，按照各自职能积极落实行业指导和部门监管责任。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（三）实施精细管理。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落实潮汐摊区（疏导点）主办方主体责任，督促主办方靠前履职、主动服务。经营商户要服从管理，合法有序经营。经营过程中造成公共设施的损毁和产生的垃圾，按照“谁造成、谁负责，谁产生、谁清理”原则，以经营商户负责维修和清理为主，相关部门指导配合为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（四）制定负面清单。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一制定潮汐摊区（疏导点）负面清单，从经营地点、经营时间、经营秩序、经营内容方面对商户经营行为进行规范。经营商户存在违反负面清单的行为，由管理单位工作人员进行批评教育和责令限期整改，对屡教不改、拒不服从的经营商户，坚决予以取缔驱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（五）加强宣传引导。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利用报纸、广播、电视、自媒体等媒介，加大宣传引导力度，大力宣传设置潮汐摊区（疏导点）的目的意义和有关要求，及时报道工作进展和成果，引导摊贩主动进点规范经营，争取市民群众理解、支持和配合，打造共管、共治、共享的良好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（六）加大督导力度。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采取明察和暗访相结合、专项检查和随机抽查相结合等方式，加强对各疏导点设置和管理的督导检查，定期通报督查结果。对管理规范、成效好的进行通报表扬，并及时总结经验推广做法。对成效不明显的限期整改，及时予以调整。</w:t>
      </w:r>
    </w:p>
    <w:p>
      <w:pPr>
        <w:pStyle w:val="2"/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bookmarkStart w:id="1" w:name="_GoBack"/>
      <w:bookmarkEnd w:id="1"/>
    </w:p>
    <w:p>
      <w:pPr>
        <w:rPr>
          <w:rFonts w:hint="eastAsia"/>
          <w:b/>
          <w:bCs/>
          <w:lang w:eastAsia="zh-CN"/>
        </w:rPr>
      </w:pPr>
    </w:p>
    <w:p>
      <w:pPr>
        <w:pStyle w:val="2"/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19" w:firstLineChars="15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嘉祥县综合行政执法局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19" w:firstLineChars="1500"/>
        <w:textAlignment w:val="auto"/>
        <w:rPr>
          <w:rFonts w:hint="eastAsia" w:eastAsia="方正仿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8036D"/>
    <w:rsid w:val="250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2025-04-25T02:03:00Z</dcterms:created>
  <dc:creator>午后红茶</dc:creator>
  <cp:lastModifiedBy>午后红茶</cp:lastModifiedBy>
  <dcterms:modified xsi:type="dcterms:W3CDTF">2025-04-25T02:04:07Z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BE4D8239F0C54D3CBAF35CBE30D5601C</vt:lpwstr>
  </property>
</Properties>
</file>