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嘉祥县港航事业服务中心</w:t>
      </w:r>
    </w:p>
    <w:p>
      <w:pPr>
        <w:spacing w:line="590" w:lineRule="exact"/>
        <w:ind w:right="-105" w:rightChars="-50"/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2023年政府信息公开工作年度报告</w:t>
      </w:r>
    </w:p>
    <w:p>
      <w:pPr>
        <w:spacing w:line="590" w:lineRule="exact"/>
        <w:ind w:right="-105" w:rightChars="-50"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本报告由嘉祥县港航事业服务中心按照《中华人民共和国政府信息公开条例》（以下简称《条例》）和《中华人民共和国政府信息公开工作年度报告格式》（国办公开办函〔2021〕30号）要求编制。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本报告所列数据的统计期限自2023年1月1日起至20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年12月31日止。本报告电子版可在嘉祥县人民政府网站（http://www.jiaxiang.gov.cn/）查阅或下载。如对本报告有疑问，请与嘉祥县港航事业服务中心联系（地址：嘉祥县建设南路72号，联系电话：0537-6506653）。</w:t>
      </w:r>
    </w:p>
    <w:p>
      <w:pPr>
        <w:spacing w:line="590" w:lineRule="exact"/>
        <w:ind w:right="-105" w:rightChars="-50" w:firstLine="640" w:firstLineChars="200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实行政府信息公开，可以提高政府工作的透明度，促进依法行政，改善服务，方便群众。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港航事业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中心（以下简称“中心”）把政府信息公开工作作为加强效能建设的一项重要内容来抓，中心领导高度重视政务公开工作，认真研究部署，积极推进落实。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年中心及时更新公布了政府信息公开指南，完成主动公开政府信息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条，其中更新机构职能、领导信息 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条；发布部门动态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条；部门预决算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条；其他财税信息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条；政府采购1 条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98060" cy="2743200"/>
            <wp:effectExtent l="4445" t="5080" r="17145" b="139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中心未收到政府信息公开申请。 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定专人负责政府信息公开编辑和审核，完善政府信息公开保密审查制度，对拟公开的政府信息依法依规严格做好保密审查，防止泄露国家秘密、工作秘密和敏感信息，防范数据汇聚引发泄密风险。定期对网上政府公开信息进行隐私排查，对发布的政务信息和政务公开信息严格执行三审制。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（四）政府信息公开平台建设情况 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按照省市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县政务公开相关要求，切实加强政务公开平台建设，完善政务公开目录，及时更新网站内容，认真贯彻落实县委、县政府重大决策部署，围绕政府工作报告确定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港航事业服务中心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牵头的重点工作及全县政务公开工作要点中涉及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港航中心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牵头落实的工作要点，加强政策解读。</w:t>
      </w:r>
    </w:p>
    <w:p>
      <w:pPr>
        <w:widowControl/>
        <w:shd w:val="clear" w:color="auto" w:fill="FFFFFF"/>
        <w:ind w:left="105" w:leftChars="50" w:firstLine="640" w:firstLineChars="200"/>
        <w:jc w:val="lef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0" w:firstLineChars="200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根据工作分工，及时调整政务公开工作领导小组成员，组织召开政务公开专题会议，研究部署推进政务公开工作。强化监督检查，严格规范工作程序，对发布的政府信息进行严格把关，确保公开的范围、形式、时限、程序等符合要求。 </w:t>
      </w:r>
    </w:p>
    <w:p>
      <w:pPr>
        <w:spacing w:line="590" w:lineRule="exact"/>
        <w:ind w:right="-105" w:rightChars="-50" w:firstLine="640" w:firstLineChars="200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（二）部分公开</w:t>
            </w:r>
            <w:r>
              <w:rPr>
                <w:rFonts w:hint="eastAsia" w:cs="楷体" w:asciiTheme="minorEastAsia" w:hAnsiTheme="minorEastAsia"/>
                <w:kern w:val="0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存在的问题：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一是上下衔接不到位，存在更新较慢情况。二是信息公开队伍建设相对较弱。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改进情况：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一是进一步充实完善网站栏目，使政府信息及时公开，方便群众了解最新的港航工作动态；二是加强学习培训，切实提高工作人员业务水平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90" w:lineRule="exact"/>
        <w:ind w:right="-105" w:rightChars="-50"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依据《政府信息公开信息处理费管理办法》，嘉祥县港航事业服务中心2023年没有收取信息处理费情况。</w:t>
      </w:r>
    </w:p>
    <w:p>
      <w:pPr>
        <w:widowControl/>
        <w:shd w:val="clear" w:color="auto" w:fill="FFFFFF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32"/>
          <w:szCs w:val="32"/>
          <w:shd w:val="clear" w:color="auto" w:fill="FFFFFF"/>
        </w:rPr>
        <w:t>（二）落实上级年度政务公开工作要点情况</w:t>
      </w:r>
    </w:p>
    <w:p>
      <w:pPr>
        <w:spacing w:line="590" w:lineRule="exact"/>
        <w:ind w:right="-105" w:rightChars="-50" w:firstLine="640" w:firstLineChars="200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港航事业服务中心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按照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上级下发的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相关文件精神，认真贯彻落实中央、省、市关于全面推进政务公开工作的决策部署，不断完善法定主动公开内容，进一步加强基础信息发布的统一规范。依法规范公开，便民高速高效。在政务公开工作中，我们突出重点，讲求实效，注重强化信息公开法规的学习和内容审核，使信息工作人员明确了解政务公开的主体和原则、范围和内容、方式和程序、监督和保障等，增强了贯彻落实的自觉性和主动性，政务公开工作水平不断提高。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" w:hAnsi="楷体" w:eastAsia="楷体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宋体"/>
          <w:kern w:val="0"/>
          <w:sz w:val="32"/>
          <w:szCs w:val="32"/>
          <w:shd w:val="clear" w:color="auto" w:fill="FFFFFF"/>
          <w:lang w:val="en-US" w:eastAsia="zh-CN"/>
        </w:rPr>
        <w:t>（三）人大代表建议和政协提案办理结果公开情况</w:t>
      </w:r>
    </w:p>
    <w:p>
      <w:pPr>
        <w:spacing w:line="590" w:lineRule="exact"/>
        <w:ind w:right="-105" w:rightChars="-50" w:firstLine="640" w:firstLineChars="200"/>
        <w:rPr>
          <w:rFonts w:hint="default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2023年，本单位收到人大建议0件、政协提案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件，已办结，办结率、满意率均为100%。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zU5MWYwYjViNmVjNTFmNzFhNDU5YTg4ZTNmYzMifQ=="/>
  </w:docVars>
  <w:rsids>
    <w:rsidRoot w:val="00DD35C9"/>
    <w:rsid w:val="000357C8"/>
    <w:rsid w:val="000358A0"/>
    <w:rsid w:val="00043C78"/>
    <w:rsid w:val="00084FF9"/>
    <w:rsid w:val="000C2D7A"/>
    <w:rsid w:val="000E3DC9"/>
    <w:rsid w:val="00104DC4"/>
    <w:rsid w:val="001265AB"/>
    <w:rsid w:val="00137707"/>
    <w:rsid w:val="001B298F"/>
    <w:rsid w:val="001D64BA"/>
    <w:rsid w:val="001F1525"/>
    <w:rsid w:val="00294354"/>
    <w:rsid w:val="00332772"/>
    <w:rsid w:val="00337046"/>
    <w:rsid w:val="00404659"/>
    <w:rsid w:val="005B0BF3"/>
    <w:rsid w:val="00626EB5"/>
    <w:rsid w:val="00640A0A"/>
    <w:rsid w:val="007427D7"/>
    <w:rsid w:val="007A39DF"/>
    <w:rsid w:val="008125F8"/>
    <w:rsid w:val="008D2ACC"/>
    <w:rsid w:val="009948AE"/>
    <w:rsid w:val="00996708"/>
    <w:rsid w:val="009C45AE"/>
    <w:rsid w:val="009E7D28"/>
    <w:rsid w:val="00A02F0B"/>
    <w:rsid w:val="00A619FD"/>
    <w:rsid w:val="00A93C57"/>
    <w:rsid w:val="00AA3D46"/>
    <w:rsid w:val="00B17132"/>
    <w:rsid w:val="00BC608C"/>
    <w:rsid w:val="00C25F4C"/>
    <w:rsid w:val="00C33321"/>
    <w:rsid w:val="00C83732"/>
    <w:rsid w:val="00CF1874"/>
    <w:rsid w:val="00D40831"/>
    <w:rsid w:val="00D526F0"/>
    <w:rsid w:val="00DD0416"/>
    <w:rsid w:val="00DD35C9"/>
    <w:rsid w:val="00E76961"/>
    <w:rsid w:val="00EA69F8"/>
    <w:rsid w:val="00EB6EA0"/>
    <w:rsid w:val="00F16708"/>
    <w:rsid w:val="00FB0064"/>
    <w:rsid w:val="09DB11AB"/>
    <w:rsid w:val="0F5B601B"/>
    <w:rsid w:val="0F8912E0"/>
    <w:rsid w:val="2F5916F0"/>
    <w:rsid w:val="3DF740A0"/>
    <w:rsid w:val="3EAF79DC"/>
    <w:rsid w:val="40F802A0"/>
    <w:rsid w:val="422403F2"/>
    <w:rsid w:val="466A420D"/>
    <w:rsid w:val="4CB94610"/>
    <w:rsid w:val="5AE062DA"/>
    <w:rsid w:val="6E5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Strong"/>
    <w:autoRedefine/>
    <w:qFormat/>
    <w:uiPriority w:val="0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主动公开情况</a:t>
            </a:r>
            <a:endParaRPr lang="zh-CN" alt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Sheet1!$A$2:$A$7</c15:sqref>
                  </c15:fullRef>
                </c:ext>
              </c:extLst>
              <c:f>Sheet1!$A$2:$A$6</c:f>
              <c:strCache>
                <c:ptCount val="5"/>
                <c:pt idx="0">
                  <c:v>更新机构职能、领导信息 </c:v>
                </c:pt>
                <c:pt idx="1">
                  <c:v>发布部门动态</c:v>
                </c:pt>
                <c:pt idx="2">
                  <c:v>部门预决算</c:v>
                </c:pt>
                <c:pt idx="3">
                  <c:v>其他财税信息</c:v>
                </c:pt>
                <c:pt idx="4">
                  <c:v>政府采购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Sheet1!$B$2:$B$7</c15:sqref>
                  </c15:fullRef>
                </c:ext>
              </c:extLst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464192"/>
        <c:axId val="153470464"/>
      </c:barChart>
      <c:catAx>
        <c:axId val="153464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470464"/>
        <c:crosses val="autoZero"/>
        <c:auto val="1"/>
        <c:lblAlgn val="ctr"/>
        <c:lblOffset val="100"/>
        <c:noMultiLvlLbl val="0"/>
      </c:catAx>
      <c:valAx>
        <c:axId val="1534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464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</Words>
  <Characters>2594</Characters>
  <Lines>21</Lines>
  <Paragraphs>6</Paragraphs>
  <TotalTime>69</TotalTime>
  <ScaleCrop>false</ScaleCrop>
  <LinksUpToDate>false</LinksUpToDate>
  <CharactersWithSpaces>3042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2024-01-09T07:19:00Z</dcterms:created>
  <dc:creator>Administrator</dc:creator>
  <cp:lastModifiedBy>永远没多远</cp:lastModifiedBy>
  <cp:lastPrinted>2023-01-29T03:40:00Z</cp:lastPrinted>
  <dcterms:modified xsi:type="dcterms:W3CDTF">2024-03-01T06:45:05Z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DE846B64201C4EE1AEC0A1314060B35D_13</vt:lpwstr>
  </property>
</Properties>
</file>