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eastAsia="方正小标宋简体"/>
          <w:b/>
          <w:sz w:val="44"/>
          <w:szCs w:val="44"/>
        </w:rPr>
      </w:pPr>
    </w:p>
    <w:p>
      <w:pPr>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rPr>
        <w:t>全县文旅系统人员密集场所</w:t>
      </w:r>
    </w:p>
    <w:p>
      <w:pPr>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rPr>
        <w:t>疏散通道和外窗专项治理工作实施方案</w:t>
      </w:r>
    </w:p>
    <w:p>
      <w:pPr>
        <w:rPr>
          <w:rFonts w:hint="eastAsia" w:ascii="仿宋_GB2312" w:eastAsia="仿宋_GB2312"/>
          <w:b/>
          <w:sz w:val="32"/>
          <w:szCs w:val="32"/>
        </w:rPr>
      </w:pPr>
    </w:p>
    <w:p>
      <w:pPr>
        <w:rPr>
          <w:rFonts w:hint="eastAsia" w:ascii="仿宋_GB2312" w:eastAsia="仿宋_GB2312"/>
          <w:b/>
          <w:sz w:val="32"/>
          <w:szCs w:val="32"/>
        </w:rPr>
      </w:pPr>
      <w:r>
        <w:rPr>
          <w:rFonts w:hint="eastAsia" w:ascii="仿宋_GB2312" w:eastAsia="仿宋_GB2312"/>
          <w:b/>
          <w:sz w:val="32"/>
          <w:szCs w:val="32"/>
        </w:rPr>
        <w:t>局属各单位，局机关各科室，文旅系统各生产经营单位：</w:t>
      </w:r>
    </w:p>
    <w:p>
      <w:pPr>
        <w:ind w:firstLine="643" w:firstLineChars="200"/>
        <w:rPr>
          <w:rFonts w:hint="eastAsia" w:ascii="仿宋_GB2312" w:eastAsia="仿宋_GB2312"/>
          <w:b/>
          <w:sz w:val="32"/>
          <w:szCs w:val="32"/>
        </w:rPr>
      </w:pPr>
      <w:r>
        <w:rPr>
          <w:rFonts w:hint="eastAsia" w:ascii="仿宋_GB2312" w:eastAsia="仿宋_GB2312"/>
          <w:b/>
          <w:sz w:val="32"/>
          <w:szCs w:val="32"/>
        </w:rPr>
        <w:t>为深入贯彻习近平总书记关于银川市兴庆区富洋烧烤店燃气爆炸事故重要指示精神，全面落实全国安全防范工作紧急视频会议部署，深刻汲取事故教训，有效提高人员密集场所抵御火灾能力，依据《中华人民共和国消防法》有关规定和《建筑防火通用规范》（GB55037-2022）及市县消防安全委员会办公室要求，决定从即日起至10月15日，在全县文旅系统开展人员密集场所疏散通道和外窗专项治理工作（以下简称专项治理工作），特制定本方案。</w:t>
      </w:r>
    </w:p>
    <w:p>
      <w:pPr>
        <w:ind w:firstLine="643" w:firstLineChars="200"/>
        <w:rPr>
          <w:rFonts w:hint="eastAsia" w:ascii="黑体" w:hAnsi="黑体" w:eastAsia="黑体"/>
          <w:b/>
          <w:sz w:val="32"/>
          <w:szCs w:val="32"/>
        </w:rPr>
      </w:pPr>
      <w:r>
        <w:rPr>
          <w:rFonts w:hint="eastAsia" w:ascii="黑体" w:hAnsi="黑体" w:eastAsia="黑体"/>
          <w:b/>
          <w:sz w:val="32"/>
          <w:szCs w:val="32"/>
        </w:rPr>
        <w:t>一、检查范围及整治重点</w:t>
      </w:r>
    </w:p>
    <w:p>
      <w:pPr>
        <w:ind w:firstLine="643" w:firstLineChars="200"/>
        <w:rPr>
          <w:rFonts w:hint="eastAsia" w:ascii="仿宋_GB2312" w:eastAsia="仿宋_GB2312"/>
          <w:b/>
          <w:sz w:val="32"/>
          <w:szCs w:val="32"/>
        </w:rPr>
      </w:pPr>
      <w:r>
        <w:rPr>
          <w:rFonts w:hint="eastAsia" w:ascii="楷体_GB2312" w:eastAsia="楷体_GB2312"/>
          <w:b/>
          <w:sz w:val="32"/>
          <w:szCs w:val="32"/>
        </w:rPr>
        <w:t>检查范围：</w:t>
      </w:r>
      <w:r>
        <w:rPr>
          <w:rFonts w:hint="eastAsia" w:ascii="仿宋_GB2312" w:eastAsia="仿宋_GB2312"/>
          <w:b/>
          <w:sz w:val="32"/>
          <w:szCs w:val="32"/>
        </w:rPr>
        <w:t>文旅系统所有生产经营单位。</w:t>
      </w:r>
    </w:p>
    <w:p>
      <w:pPr>
        <w:ind w:firstLine="643" w:firstLineChars="200"/>
        <w:rPr>
          <w:rFonts w:hint="eastAsia" w:ascii="仿宋_GB2312" w:eastAsia="仿宋_GB2312"/>
          <w:b/>
          <w:sz w:val="32"/>
          <w:szCs w:val="32"/>
        </w:rPr>
      </w:pPr>
      <w:r>
        <w:rPr>
          <w:rFonts w:hint="eastAsia" w:ascii="楷体_GB2312" w:eastAsia="楷体_GB2312"/>
          <w:b/>
          <w:sz w:val="32"/>
          <w:szCs w:val="32"/>
        </w:rPr>
        <w:t>整治重点：</w:t>
      </w:r>
      <w:r>
        <w:rPr>
          <w:rFonts w:hint="eastAsia" w:ascii="仿宋_GB2312" w:eastAsia="仿宋_GB2312"/>
          <w:b/>
          <w:sz w:val="32"/>
          <w:szCs w:val="32"/>
        </w:rPr>
        <w:t>疏散通道及安全出口是否被占用、堵塞、封闭，人员密集场所在门窗上是否设置影响逃生和灭火救援的铁栅栏、广告牌等障碍物。</w:t>
      </w:r>
    </w:p>
    <w:p>
      <w:pPr>
        <w:ind w:firstLine="643" w:firstLineChars="200"/>
        <w:rPr>
          <w:rFonts w:hint="eastAsia" w:ascii="黑体" w:hAnsi="黑体" w:eastAsia="黑体"/>
          <w:b/>
          <w:sz w:val="32"/>
          <w:szCs w:val="32"/>
        </w:rPr>
      </w:pPr>
      <w:r>
        <w:rPr>
          <w:rFonts w:hint="eastAsia" w:ascii="黑体" w:hAnsi="黑体" w:eastAsia="黑体"/>
          <w:b/>
          <w:sz w:val="32"/>
          <w:szCs w:val="32"/>
        </w:rPr>
        <w:t>二、疏散通道（安全出口）治理</w:t>
      </w:r>
    </w:p>
    <w:p>
      <w:pPr>
        <w:ind w:firstLine="643" w:firstLineChars="200"/>
        <w:rPr>
          <w:rFonts w:hint="eastAsia" w:ascii="楷体_GB2312" w:eastAsia="楷体_GB2312"/>
          <w:b/>
          <w:sz w:val="32"/>
          <w:szCs w:val="32"/>
        </w:rPr>
      </w:pPr>
      <w:r>
        <w:rPr>
          <w:rFonts w:hint="eastAsia" w:ascii="楷体_GB2312" w:eastAsia="楷体_GB2312"/>
          <w:b/>
          <w:sz w:val="32"/>
          <w:szCs w:val="32"/>
        </w:rPr>
        <w:t>（一）疏散通道（安全出口）设置标准</w:t>
      </w:r>
      <w:bookmarkStart w:id="0" w:name="_GoBack"/>
      <w:bookmarkEnd w:id="0"/>
    </w:p>
    <w:p>
      <w:pPr>
        <w:ind w:firstLine="643" w:firstLineChars="200"/>
        <w:rPr>
          <w:rFonts w:hint="eastAsia" w:ascii="仿宋_GB2312" w:eastAsia="仿宋_GB2312"/>
          <w:b/>
          <w:sz w:val="32"/>
          <w:szCs w:val="32"/>
        </w:rPr>
      </w:pPr>
      <w:r>
        <w:rPr>
          <w:rFonts w:hint="eastAsia" w:ascii="仿宋_GB2312" w:eastAsia="仿宋_GB2312"/>
          <w:b/>
          <w:sz w:val="32"/>
          <w:szCs w:val="32"/>
        </w:rPr>
        <w:t>1.儿童活动场所、歌舞娱乐放映游艺场所，均应设置不少于 2 部疏散通道（安全出口）。</w:t>
      </w:r>
    </w:p>
    <w:p>
      <w:pPr>
        <w:ind w:firstLine="643" w:firstLineChars="200"/>
        <w:rPr>
          <w:rFonts w:hint="eastAsia" w:ascii="仿宋_GB2312" w:eastAsia="仿宋_GB2312"/>
          <w:b/>
          <w:sz w:val="32"/>
          <w:szCs w:val="32"/>
        </w:rPr>
      </w:pPr>
      <w:r>
        <w:rPr>
          <w:rFonts w:hint="eastAsia" w:ascii="仿宋_GB2312" w:eastAsia="仿宋_GB2312"/>
          <w:b/>
          <w:sz w:val="32"/>
          <w:szCs w:val="32"/>
        </w:rPr>
        <w:t>2.人员密集场所设置在平房或多层建筑的首层时，建筑面积小于200平方米且人员少于50人的，至少应设置1部疏散通道（安全出口），除此以外均应设置不少于2 部疏散通道（安全出口）。</w:t>
      </w:r>
    </w:p>
    <w:p>
      <w:pPr>
        <w:ind w:firstLine="643" w:firstLineChars="200"/>
        <w:rPr>
          <w:rFonts w:hint="eastAsia" w:ascii="仿宋_GB2312" w:eastAsia="仿宋_GB2312"/>
          <w:b/>
          <w:sz w:val="32"/>
          <w:szCs w:val="32"/>
        </w:rPr>
      </w:pPr>
      <w:r>
        <w:rPr>
          <w:rFonts w:hint="eastAsia" w:ascii="仿宋_GB2312" w:eastAsia="仿宋_GB2312"/>
          <w:b/>
          <w:sz w:val="32"/>
          <w:szCs w:val="32"/>
        </w:rPr>
        <w:t>3.人员密集场所设置在二至三层，单层建筑面积超过 200平方米或二、三层人数之和超过50人的，均应设置不少于2部疏散通道（安全出口）。</w:t>
      </w:r>
    </w:p>
    <w:p>
      <w:pPr>
        <w:ind w:firstLine="643" w:firstLineChars="200"/>
        <w:rPr>
          <w:rFonts w:hint="eastAsia" w:ascii="仿宋_GB2312" w:eastAsia="仿宋_GB2312"/>
          <w:b/>
          <w:sz w:val="32"/>
          <w:szCs w:val="32"/>
        </w:rPr>
      </w:pPr>
      <w:r>
        <w:rPr>
          <w:rFonts w:hint="eastAsia" w:ascii="仿宋_GB2312" w:eastAsia="仿宋_GB2312"/>
          <w:b/>
          <w:sz w:val="32"/>
          <w:szCs w:val="32"/>
        </w:rPr>
        <w:t>4.人员密集场所设置在建筑的四层及以上楼层的，均应设置不少于2部疏散通道（安全出口）。</w:t>
      </w:r>
    </w:p>
    <w:p>
      <w:pPr>
        <w:ind w:firstLine="643" w:firstLineChars="200"/>
        <w:rPr>
          <w:rFonts w:hint="eastAsia" w:ascii="楷体_GB2312" w:eastAsia="楷体_GB2312"/>
          <w:b/>
          <w:sz w:val="32"/>
          <w:szCs w:val="32"/>
        </w:rPr>
      </w:pPr>
      <w:r>
        <w:rPr>
          <w:rFonts w:hint="eastAsia" w:ascii="楷体_GB2312" w:eastAsia="楷体_GB2312"/>
          <w:b/>
          <w:sz w:val="32"/>
          <w:szCs w:val="32"/>
        </w:rPr>
        <w:t>（二）疏散通道（安全出口）治理内容</w:t>
      </w:r>
    </w:p>
    <w:p>
      <w:pPr>
        <w:ind w:firstLine="643" w:firstLineChars="200"/>
        <w:rPr>
          <w:rFonts w:hint="eastAsia" w:ascii="仿宋_GB2312" w:eastAsia="仿宋_GB2312"/>
          <w:b/>
          <w:sz w:val="32"/>
          <w:szCs w:val="32"/>
        </w:rPr>
      </w:pPr>
      <w:r>
        <w:rPr>
          <w:rFonts w:hint="eastAsia" w:ascii="仿宋_GB2312" w:eastAsia="仿宋_GB2312"/>
          <w:b/>
          <w:sz w:val="32"/>
          <w:szCs w:val="32"/>
        </w:rPr>
        <w:t>1.依法依规设置疏散通道（安全出口），对不符合规范要求的，按照《建筑防火通用规范》（GB55037-2022），增设符合标准的疏散通道（安全出口）。</w:t>
      </w:r>
    </w:p>
    <w:p>
      <w:pPr>
        <w:ind w:firstLine="643" w:firstLineChars="200"/>
        <w:rPr>
          <w:rFonts w:hint="eastAsia" w:ascii="仿宋_GB2312" w:eastAsia="仿宋_GB2312"/>
          <w:b/>
          <w:sz w:val="32"/>
          <w:szCs w:val="32"/>
        </w:rPr>
      </w:pPr>
      <w:r>
        <w:rPr>
          <w:rFonts w:hint="eastAsia" w:ascii="仿宋_GB2312" w:eastAsia="仿宋_GB2312"/>
          <w:b/>
          <w:sz w:val="32"/>
          <w:szCs w:val="32"/>
        </w:rPr>
        <w:t>2.按照要求设置应急照明及疏散指示标志灯，全面清理疏散通道及楼梯间使用不符合规定的镜面反光材料，及楼梯间顶棚、墙面、地面违规使用的可燃、易燃装饰材料。</w:t>
      </w:r>
    </w:p>
    <w:p>
      <w:pPr>
        <w:ind w:firstLine="643" w:firstLineChars="200"/>
        <w:rPr>
          <w:rFonts w:hint="eastAsia" w:ascii="仿宋_GB2312" w:eastAsia="仿宋_GB2312"/>
          <w:b/>
          <w:sz w:val="32"/>
          <w:szCs w:val="32"/>
        </w:rPr>
      </w:pPr>
      <w:r>
        <w:rPr>
          <w:rFonts w:hint="eastAsia" w:ascii="仿宋_GB2312" w:eastAsia="仿宋_GB2312"/>
          <w:b/>
          <w:sz w:val="32"/>
          <w:szCs w:val="32"/>
        </w:rPr>
        <w:t>3.全面清理疏散通道及楼梯间内违规设置的烧水间、可燃材料储藏室、垃圾道及其他影响人员疏散及灭火救援的凸出物或障碍物。</w:t>
      </w:r>
    </w:p>
    <w:p>
      <w:pPr>
        <w:ind w:firstLine="643" w:firstLineChars="200"/>
        <w:rPr>
          <w:rFonts w:hint="eastAsia" w:ascii="仿宋_GB2312" w:eastAsia="仿宋_GB2312"/>
          <w:b/>
          <w:sz w:val="32"/>
          <w:szCs w:val="32"/>
        </w:rPr>
      </w:pPr>
      <w:r>
        <w:rPr>
          <w:rFonts w:hint="eastAsia" w:ascii="仿宋_GB2312" w:eastAsia="仿宋_GB2312"/>
          <w:b/>
          <w:sz w:val="32"/>
          <w:szCs w:val="32"/>
        </w:rPr>
        <w:t>4.确实不具备设置疏散通道（安全出口）条件或改造确有困难时的，应考虑实际情况，按不低于所在建筑原防火规范标准执行。</w:t>
      </w:r>
    </w:p>
    <w:p>
      <w:pPr>
        <w:ind w:firstLine="643" w:firstLineChars="200"/>
        <w:rPr>
          <w:rFonts w:hint="eastAsia" w:ascii="黑体" w:hAnsi="黑体" w:eastAsia="黑体"/>
          <w:b/>
          <w:sz w:val="32"/>
          <w:szCs w:val="32"/>
        </w:rPr>
      </w:pPr>
      <w:r>
        <w:rPr>
          <w:rFonts w:hint="eastAsia" w:ascii="黑体" w:hAnsi="黑体" w:eastAsia="黑体"/>
          <w:b/>
          <w:sz w:val="32"/>
          <w:szCs w:val="32"/>
        </w:rPr>
        <w:t>三、消防救援口（外窗、逃生通道）治理</w:t>
      </w:r>
    </w:p>
    <w:p>
      <w:pPr>
        <w:ind w:firstLine="643" w:firstLineChars="200"/>
        <w:rPr>
          <w:rFonts w:hint="eastAsia" w:ascii="楷体_GB2312" w:eastAsia="楷体_GB2312"/>
          <w:b/>
          <w:sz w:val="32"/>
          <w:szCs w:val="32"/>
        </w:rPr>
      </w:pPr>
      <w:r>
        <w:rPr>
          <w:rFonts w:hint="eastAsia" w:ascii="楷体_GB2312" w:eastAsia="楷体_GB2312"/>
          <w:b/>
          <w:sz w:val="32"/>
          <w:szCs w:val="32"/>
        </w:rPr>
        <w:t>（一）消防救援口（外窗、逃生通道）设置标准</w:t>
      </w:r>
    </w:p>
    <w:p>
      <w:pPr>
        <w:ind w:firstLine="643" w:firstLineChars="200"/>
        <w:rPr>
          <w:rFonts w:hint="eastAsia" w:ascii="仿宋_GB2312" w:eastAsia="仿宋_GB2312"/>
          <w:b/>
          <w:sz w:val="32"/>
          <w:szCs w:val="32"/>
        </w:rPr>
      </w:pPr>
      <w:r>
        <w:rPr>
          <w:rFonts w:hint="eastAsia" w:ascii="仿宋_GB2312" w:eastAsia="仿宋_GB2312"/>
          <w:b/>
          <w:sz w:val="32"/>
          <w:szCs w:val="32"/>
        </w:rPr>
        <w:t>1.人员密集场所位于无外窗的建筑时，每层根据实际情况至少设置1个消防救援口（外窗、逃生通道）。有外窗的建筑，每层应至少保证1个外窗作为消防救援口，因防噪需要做隔音处理的窗口也应便于开启，并设置明显标识。二、三层应配置符合标准的逃生绳（长度要超过逃生出口至室外地面距离的1.5倍），四层、五层应配置符合标准的逃生软梯。</w:t>
      </w:r>
    </w:p>
    <w:p>
      <w:pPr>
        <w:ind w:firstLine="643" w:firstLineChars="200"/>
        <w:rPr>
          <w:rFonts w:hint="eastAsia" w:ascii="仿宋_GB2312" w:eastAsia="仿宋_GB2312"/>
          <w:b/>
          <w:sz w:val="32"/>
          <w:szCs w:val="32"/>
        </w:rPr>
      </w:pPr>
      <w:r>
        <w:rPr>
          <w:rFonts w:hint="eastAsia" w:ascii="仿宋_GB2312" w:eastAsia="仿宋_GB2312"/>
          <w:b/>
          <w:sz w:val="32"/>
          <w:szCs w:val="32"/>
        </w:rPr>
        <w:t>2.消防救援口（外窗、逃生通道）应设置于临街、临路等便于开展应急救援行动的区域，并确保消防救援通道畅通。</w:t>
      </w:r>
    </w:p>
    <w:p>
      <w:pPr>
        <w:ind w:firstLine="643" w:firstLineChars="200"/>
        <w:rPr>
          <w:rFonts w:hint="eastAsia" w:ascii="仿宋_GB2312" w:eastAsia="仿宋_GB2312"/>
          <w:b/>
          <w:sz w:val="32"/>
          <w:szCs w:val="32"/>
        </w:rPr>
      </w:pPr>
      <w:r>
        <w:rPr>
          <w:rFonts w:hint="eastAsia" w:ascii="仿宋_GB2312" w:eastAsia="仿宋_GB2312"/>
          <w:b/>
          <w:sz w:val="32"/>
          <w:szCs w:val="32"/>
        </w:rPr>
        <w:t>3.消防救援口（外窗、逃生通道）的净高度和净宽度均不应小于1米。公共娱乐场所的每层外墙上应设置外窗（含阳台），间隔不应大于 20 米。</w:t>
      </w:r>
    </w:p>
    <w:p>
      <w:pPr>
        <w:ind w:firstLine="643" w:firstLineChars="200"/>
        <w:rPr>
          <w:rFonts w:hint="eastAsia" w:ascii="楷体_GB2312" w:eastAsia="楷体_GB2312"/>
          <w:b/>
          <w:sz w:val="32"/>
          <w:szCs w:val="32"/>
        </w:rPr>
      </w:pPr>
      <w:r>
        <w:rPr>
          <w:rFonts w:hint="eastAsia" w:ascii="楷体_GB2312" w:eastAsia="楷体_GB2312"/>
          <w:b/>
          <w:sz w:val="32"/>
          <w:szCs w:val="32"/>
        </w:rPr>
        <w:t>（二）消防救援口（外窗、逃生通道）治理内容</w:t>
      </w:r>
    </w:p>
    <w:p>
      <w:pPr>
        <w:ind w:firstLine="643" w:firstLineChars="200"/>
        <w:rPr>
          <w:rFonts w:hint="eastAsia" w:ascii="仿宋_GB2312" w:eastAsia="仿宋_GB2312"/>
          <w:b/>
          <w:sz w:val="32"/>
          <w:szCs w:val="32"/>
        </w:rPr>
      </w:pPr>
      <w:r>
        <w:rPr>
          <w:rFonts w:hint="eastAsia" w:ascii="仿宋_GB2312" w:eastAsia="仿宋_GB2312"/>
          <w:b/>
          <w:sz w:val="32"/>
          <w:szCs w:val="32"/>
        </w:rPr>
        <w:t>1.人员密集场所所在建筑原有外窗被封堵的应恢复原状。</w:t>
      </w:r>
    </w:p>
    <w:p>
      <w:pPr>
        <w:ind w:firstLine="643" w:firstLineChars="200"/>
        <w:rPr>
          <w:rFonts w:hint="eastAsia" w:ascii="仿宋_GB2312" w:eastAsia="仿宋_GB2312"/>
          <w:b/>
          <w:sz w:val="32"/>
          <w:szCs w:val="32"/>
        </w:rPr>
      </w:pPr>
      <w:r>
        <w:rPr>
          <w:rFonts w:hint="eastAsia" w:ascii="仿宋_GB2312" w:eastAsia="仿宋_GB2312"/>
          <w:b/>
          <w:sz w:val="32"/>
          <w:szCs w:val="32"/>
        </w:rPr>
        <w:t>2.人员密集场所建筑外立面设置遮挡外窗的障碍物，应当采取拆除或调整规格、位置等有效措施，确保外窗不被遮挡；确实无法拆除或调整规格、位置的，在障碍物上开设可用于逃生的开口。</w:t>
      </w:r>
    </w:p>
    <w:p>
      <w:pPr>
        <w:ind w:firstLine="643" w:firstLineChars="200"/>
        <w:rPr>
          <w:rFonts w:hint="eastAsia" w:ascii="仿宋_GB2312" w:eastAsia="仿宋_GB2312"/>
          <w:b/>
          <w:sz w:val="32"/>
          <w:szCs w:val="32"/>
        </w:rPr>
      </w:pPr>
      <w:r>
        <w:rPr>
          <w:rFonts w:hint="eastAsia" w:ascii="仿宋_GB2312" w:eastAsia="仿宋_GB2312"/>
          <w:b/>
          <w:sz w:val="32"/>
          <w:szCs w:val="32"/>
        </w:rPr>
        <w:t>3.人员密集场所在门窗上违规设置影响逃生和灭火救援的障碍物的，经责令改正拒不改正的，依法强制执行，所需费用由违法行为人承担。</w:t>
      </w:r>
    </w:p>
    <w:p>
      <w:pPr>
        <w:ind w:firstLine="643" w:firstLineChars="200"/>
        <w:rPr>
          <w:rFonts w:hint="eastAsia" w:ascii="仿宋_GB2312" w:eastAsia="仿宋_GB2312"/>
          <w:b/>
          <w:sz w:val="32"/>
          <w:szCs w:val="32"/>
        </w:rPr>
      </w:pPr>
      <w:r>
        <w:rPr>
          <w:rFonts w:hint="eastAsia" w:ascii="仿宋_GB2312" w:eastAsia="仿宋_GB2312"/>
          <w:b/>
          <w:sz w:val="32"/>
          <w:szCs w:val="32"/>
        </w:rPr>
        <w:t>4.确实不具备增设消防救援口（外窗、逃生通道）条件或改造确有困难时的，应考虑实际情况，按不低于所在建筑原防火规范标准执行。</w:t>
      </w:r>
    </w:p>
    <w:p>
      <w:pPr>
        <w:ind w:firstLine="643" w:firstLineChars="200"/>
        <w:rPr>
          <w:rFonts w:hint="eastAsia" w:ascii="黑体" w:hAnsi="黑体" w:eastAsia="黑体"/>
          <w:b/>
          <w:sz w:val="32"/>
          <w:szCs w:val="32"/>
        </w:rPr>
      </w:pPr>
      <w:r>
        <w:rPr>
          <w:rFonts w:hint="eastAsia" w:ascii="黑体" w:hAnsi="黑体" w:eastAsia="黑体"/>
          <w:b/>
          <w:sz w:val="32"/>
          <w:szCs w:val="32"/>
        </w:rPr>
        <w:t>四、实施步骤</w:t>
      </w:r>
    </w:p>
    <w:p>
      <w:pPr>
        <w:ind w:firstLine="643" w:firstLineChars="200"/>
        <w:rPr>
          <w:rFonts w:hint="eastAsia" w:ascii="仿宋_GB2312" w:eastAsia="仿宋_GB2312"/>
          <w:b/>
          <w:sz w:val="32"/>
          <w:szCs w:val="32"/>
        </w:rPr>
      </w:pPr>
      <w:r>
        <w:rPr>
          <w:rFonts w:hint="eastAsia" w:ascii="楷体_GB2312" w:eastAsia="楷体_GB2312"/>
          <w:b/>
          <w:sz w:val="32"/>
          <w:szCs w:val="32"/>
        </w:rPr>
        <w:t>（一）组织部署阶段（8月22日前）。</w:t>
      </w:r>
      <w:r>
        <w:rPr>
          <w:rFonts w:hint="eastAsia" w:ascii="仿宋_GB2312" w:eastAsia="仿宋_GB2312"/>
          <w:b/>
          <w:sz w:val="32"/>
          <w:szCs w:val="32"/>
        </w:rPr>
        <w:t>局安全监督管理科制定实施方案下发到各单位、具有安全生产监管职责的科室。</w:t>
      </w:r>
    </w:p>
    <w:p>
      <w:pPr>
        <w:ind w:firstLine="643" w:firstLineChars="200"/>
        <w:rPr>
          <w:rFonts w:hint="eastAsia" w:ascii="仿宋_GB2312" w:eastAsia="仿宋_GB2312"/>
          <w:b/>
          <w:sz w:val="32"/>
          <w:szCs w:val="32"/>
        </w:rPr>
      </w:pPr>
      <w:r>
        <w:rPr>
          <w:rFonts w:hint="eastAsia" w:ascii="楷体_GB2312" w:eastAsia="楷体_GB2312"/>
          <w:b/>
          <w:sz w:val="32"/>
          <w:szCs w:val="32"/>
        </w:rPr>
        <w:t>（二）自查自改阶段（8月23日至9月1日）。</w:t>
      </w:r>
      <w:r>
        <w:rPr>
          <w:rFonts w:hint="eastAsia" w:ascii="仿宋_GB2312" w:eastAsia="仿宋_GB2312"/>
          <w:b/>
          <w:sz w:val="32"/>
          <w:szCs w:val="32"/>
        </w:rPr>
        <w:t>各单位（科室）要组织监管范围内的生产经营单位全面开展自查自改工作，自行清理疏散通道、安全出口，拆除或清除违规设置在门窗上的铁栅栏、广告牌等障碍物，及时消除消防安全隐患。</w:t>
      </w:r>
    </w:p>
    <w:p>
      <w:pPr>
        <w:ind w:firstLine="643" w:firstLineChars="200"/>
        <w:rPr>
          <w:rFonts w:hint="eastAsia" w:ascii="仿宋_GB2312" w:eastAsia="仿宋_GB2312"/>
          <w:b/>
          <w:sz w:val="32"/>
          <w:szCs w:val="32"/>
        </w:rPr>
      </w:pPr>
      <w:r>
        <w:rPr>
          <w:rFonts w:hint="eastAsia" w:ascii="楷体_GB2312" w:eastAsia="楷体_GB2312"/>
          <w:b/>
          <w:sz w:val="32"/>
          <w:szCs w:val="32"/>
        </w:rPr>
        <w:t>（三）排查整治阶段（即日起至10月15日）。</w:t>
      </w:r>
      <w:r>
        <w:rPr>
          <w:rFonts w:hint="eastAsia" w:ascii="仿宋_GB2312" w:eastAsia="仿宋_GB2312"/>
          <w:b/>
          <w:sz w:val="32"/>
          <w:szCs w:val="32"/>
        </w:rPr>
        <w:t>各单位（科室）要对照具体工作方案，从严从实从细抓好排查整治，建立问题隐患清单、问题隐患整改清单、隐患整改责任清单“三张清单”，对隐患进行销号管理，确保闭环整改。</w:t>
      </w:r>
    </w:p>
    <w:p>
      <w:pPr>
        <w:ind w:firstLine="643" w:firstLineChars="200"/>
        <w:rPr>
          <w:rFonts w:hint="eastAsia" w:ascii="仿宋_GB2312" w:eastAsia="仿宋_GB2312"/>
          <w:b/>
          <w:sz w:val="32"/>
          <w:szCs w:val="32"/>
        </w:rPr>
      </w:pPr>
      <w:r>
        <w:rPr>
          <w:rFonts w:hint="eastAsia" w:ascii="仿宋_GB2312" w:eastAsia="仿宋_GB2312"/>
          <w:b/>
          <w:sz w:val="32"/>
          <w:szCs w:val="32"/>
        </w:rPr>
        <w:t>各单位（科室）要对专项治理工作情况进行总结，及时报送好的经验做法和典型案例。《全县文旅系统人员密集场所疏散通道和外窗专项治理工作情况统计表》（见附件）请分别于9月15日、10月16日报局安全监督管理科，10月17日前报送工作总结。</w:t>
      </w:r>
    </w:p>
    <w:p>
      <w:pPr>
        <w:ind w:firstLine="643" w:firstLineChars="200"/>
        <w:rPr>
          <w:rFonts w:hint="eastAsia" w:ascii="仿宋_GB2312" w:eastAsia="仿宋_GB2312"/>
          <w:b/>
          <w:sz w:val="32"/>
          <w:szCs w:val="32"/>
        </w:rPr>
      </w:pPr>
      <w:r>
        <w:rPr>
          <w:rFonts w:hint="eastAsia" w:ascii="仿宋_GB2312" w:eastAsia="仿宋_GB2312"/>
          <w:b/>
          <w:sz w:val="32"/>
          <w:szCs w:val="32"/>
        </w:rPr>
        <w:t>联系人：侯炯</w:t>
      </w:r>
    </w:p>
    <w:p>
      <w:pPr>
        <w:ind w:firstLine="643" w:firstLineChars="200"/>
        <w:rPr>
          <w:rFonts w:hint="eastAsia"/>
          <w:b/>
        </w:rPr>
      </w:pPr>
      <w:r>
        <w:rPr>
          <w:rFonts w:hint="eastAsia" w:ascii="仿宋_GB2312" w:eastAsia="仿宋_GB2312"/>
          <w:b/>
          <w:sz w:val="32"/>
          <w:szCs w:val="32"/>
        </w:rPr>
        <w:t>联系邮箱：</w:t>
      </w:r>
      <w:r>
        <w:rPr>
          <w:rFonts w:hint="eastAsia" w:ascii="仿宋_GB2312" w:hAnsi="仿宋" w:eastAsia="仿宋_GB2312" w:cs="仿宋"/>
          <w:b/>
          <w:sz w:val="32"/>
          <w:szCs w:val="32"/>
        </w:rPr>
        <w:t>jxxwljaqjdk@163.com</w:t>
      </w:r>
    </w:p>
    <w:p>
      <w:pPr>
        <w:ind w:firstLine="643" w:firstLineChars="200"/>
        <w:rPr>
          <w:rFonts w:hint="eastAsia" w:ascii="仿宋_GB2312" w:eastAsia="仿宋_GB2312"/>
          <w:b/>
          <w:sz w:val="32"/>
          <w:szCs w:val="32"/>
        </w:rPr>
      </w:pPr>
    </w:p>
    <w:p>
      <w:pPr>
        <w:ind w:left="1594" w:leftChars="300" w:hanging="964" w:hangingChars="300"/>
        <w:rPr>
          <w:rFonts w:hint="eastAsia" w:ascii="仿宋_GB2312" w:eastAsia="仿宋_GB2312"/>
          <w:b/>
          <w:sz w:val="32"/>
          <w:szCs w:val="32"/>
        </w:rPr>
      </w:pPr>
      <w:r>
        <w:rPr>
          <w:rFonts w:hint="eastAsia" w:ascii="仿宋_GB2312" w:eastAsia="仿宋_GB2312"/>
          <w:b/>
          <w:sz w:val="32"/>
          <w:szCs w:val="32"/>
        </w:rPr>
        <w:t>附件：全县文旅系统人员密集场所疏散通道和外窗专项治理工作情况统计表</w:t>
      </w:r>
    </w:p>
    <w:p>
      <w:pPr>
        <w:ind w:left="1594" w:leftChars="300" w:hanging="964" w:hangingChars="300"/>
        <w:rPr>
          <w:rFonts w:hint="eastAsia" w:ascii="仿宋_GB2312" w:eastAsia="仿宋_GB2312"/>
          <w:b/>
          <w:sz w:val="32"/>
          <w:szCs w:val="32"/>
        </w:rPr>
      </w:pPr>
    </w:p>
    <w:p>
      <w:pPr>
        <w:ind w:left="1594" w:leftChars="300" w:hanging="964" w:hangingChars="300"/>
        <w:rPr>
          <w:rFonts w:hint="eastAsia" w:ascii="仿宋_GB2312" w:eastAsia="仿宋_GB2312"/>
          <w:b/>
          <w:sz w:val="32"/>
          <w:szCs w:val="32"/>
        </w:rPr>
      </w:pPr>
    </w:p>
    <w:p>
      <w:pPr>
        <w:ind w:left="1594" w:leftChars="300" w:hanging="964" w:hangingChars="300"/>
        <w:rPr>
          <w:rFonts w:hint="eastAsia" w:ascii="仿宋_GB2312" w:eastAsia="仿宋_GB2312"/>
          <w:b/>
          <w:sz w:val="32"/>
          <w:szCs w:val="32"/>
        </w:rPr>
      </w:pPr>
    </w:p>
    <w:p>
      <w:pPr>
        <w:ind w:left="1594" w:leftChars="300" w:hanging="964" w:hangingChars="300"/>
        <w:jc w:val="right"/>
        <w:rPr>
          <w:rFonts w:hint="eastAsia" w:ascii="仿宋_GB2312" w:eastAsia="仿宋_GB2312"/>
          <w:b/>
          <w:sz w:val="32"/>
          <w:szCs w:val="32"/>
        </w:rPr>
      </w:pPr>
      <w:r>
        <w:rPr>
          <w:rFonts w:hint="eastAsia" w:ascii="仿宋_GB2312" w:eastAsia="仿宋_GB2312"/>
          <w:b/>
          <w:sz w:val="32"/>
          <w:szCs w:val="32"/>
        </w:rPr>
        <w:t>嘉祥县文化和旅游局</w:t>
      </w:r>
    </w:p>
    <w:p>
      <w:pPr>
        <w:ind w:left="1594" w:leftChars="300" w:hanging="964" w:hangingChars="300"/>
        <w:jc w:val="right"/>
        <w:rPr>
          <w:rFonts w:hint="eastAsia" w:ascii="仿宋_GB2312" w:eastAsia="仿宋_GB2312"/>
          <w:b/>
          <w:sz w:val="32"/>
          <w:szCs w:val="32"/>
        </w:rPr>
      </w:pPr>
      <w:r>
        <w:rPr>
          <w:rFonts w:hint="eastAsia" w:ascii="仿宋_GB2312" w:eastAsia="仿宋_GB2312"/>
          <w:b/>
          <w:sz w:val="32"/>
          <w:szCs w:val="32"/>
        </w:rPr>
        <w:t>2023年8月15日</w:t>
      </w:r>
    </w:p>
    <w:p>
      <w:pPr>
        <w:ind w:left="1594" w:leftChars="300" w:hanging="964" w:hangingChars="300"/>
        <w:jc w:val="right"/>
        <w:rPr>
          <w:rFonts w:hint="eastAsia" w:ascii="仿宋_GB2312" w:eastAsia="仿宋_GB2312"/>
          <w:b/>
          <w:sz w:val="32"/>
          <w:szCs w:val="32"/>
          <w:lang w:eastAsia="zh-CN"/>
        </w:rPr>
      </w:pPr>
      <w:r>
        <w:rPr>
          <w:rFonts w:hint="eastAsia" w:ascii="仿宋_GB2312" w:eastAsia="仿宋_GB2312"/>
          <w:b/>
          <w:sz w:val="32"/>
          <w:szCs w:val="32"/>
          <w:lang w:eastAsia="zh-CN"/>
        </w:rPr>
        <w:t>（此件公开发布）</w:t>
      </w:r>
    </w:p>
    <w:p>
      <w:pPr>
        <w:ind w:left="1590" w:leftChars="300" w:hanging="960" w:hangingChars="300"/>
        <w:jc w:val="right"/>
        <w:rPr>
          <w:rFonts w:hint="eastAsia" w:ascii="仿宋_GB2312" w:eastAsia="仿宋_GB2312"/>
          <w:sz w:val="32"/>
          <w:szCs w:val="32"/>
        </w:rPr>
      </w:pPr>
    </w:p>
    <w:p>
      <w:pPr>
        <w:ind w:left="1590" w:leftChars="300" w:hanging="960" w:hangingChars="300"/>
        <w:jc w:val="right"/>
        <w:rPr>
          <w:rFonts w:hint="eastAsia" w:ascii="仿宋_GB2312" w:eastAsia="仿宋_GB2312"/>
          <w:sz w:val="32"/>
          <w:szCs w:val="32"/>
        </w:rPr>
      </w:pPr>
    </w:p>
    <w:p>
      <w:pPr>
        <w:ind w:left="1590" w:leftChars="300" w:hanging="960" w:hangingChars="300"/>
        <w:jc w:val="right"/>
        <w:rPr>
          <w:rFonts w:hint="eastAsia" w:ascii="仿宋_GB2312" w:eastAsia="仿宋_GB2312"/>
          <w:sz w:val="32"/>
          <w:szCs w:val="32"/>
        </w:rPr>
      </w:pPr>
    </w:p>
    <w:p>
      <w:pPr>
        <w:ind w:left="1590" w:leftChars="300" w:hanging="960" w:hangingChars="300"/>
        <w:jc w:val="right"/>
        <w:rPr>
          <w:rFonts w:hint="eastAsia" w:ascii="仿宋_GB2312" w:eastAsia="仿宋_GB2312"/>
          <w:sz w:val="32"/>
          <w:szCs w:val="32"/>
        </w:rPr>
      </w:pPr>
    </w:p>
    <w:p>
      <w:pPr>
        <w:ind w:left="1590" w:leftChars="300" w:hanging="960" w:hangingChars="300"/>
        <w:jc w:val="right"/>
        <w:rPr>
          <w:rFonts w:hint="eastAsia" w:ascii="仿宋_GB2312" w:eastAsia="仿宋_GB2312"/>
          <w:sz w:val="32"/>
          <w:szCs w:val="32"/>
        </w:rPr>
      </w:pPr>
    </w:p>
    <w:p>
      <w:pPr>
        <w:ind w:left="1590" w:leftChars="300" w:hanging="960" w:hangingChars="300"/>
        <w:jc w:val="right"/>
        <w:rPr>
          <w:rFonts w:hint="eastAsia"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widowControl/>
        <w:jc w:val="left"/>
        <w:rPr>
          <w:rFonts w:ascii="仿宋_GB2312" w:eastAsia="仿宋_GB2312"/>
          <w:sz w:val="32"/>
          <w:szCs w:val="32"/>
        </w:rPr>
        <w:sectPr>
          <w:pgSz w:w="11906" w:h="16838"/>
          <w:pgMar w:top="1440" w:right="1800" w:bottom="1440" w:left="1800" w:header="851" w:footer="992" w:gutter="0"/>
          <w:cols w:space="425" w:num="1"/>
          <w:docGrid w:type="lines" w:linePitch="312" w:charSpace="0"/>
        </w:sectPr>
      </w:pPr>
    </w:p>
    <w:p>
      <w:pPr>
        <w:rPr>
          <w:rFonts w:hint="eastAsia" w:ascii="仿宋_GB2312" w:hAnsi="宋体" w:eastAsia="仿宋_GB2312" w:cs="宋体"/>
          <w:kern w:val="0"/>
          <w:sz w:val="24"/>
          <w:szCs w:val="24"/>
        </w:rPr>
      </w:pPr>
      <w:r>
        <w:rPr>
          <w:rFonts w:hint="eastAsia" w:ascii="仿宋_GB2312" w:hAnsi="黑体" w:eastAsia="仿宋_GB2312" w:cs="宋体"/>
          <w:color w:val="000000"/>
          <w:kern w:val="0"/>
          <w:sz w:val="32"/>
          <w:szCs w:val="32"/>
        </w:rPr>
        <w:t>附件：</w:t>
      </w:r>
    </w:p>
    <w:p>
      <w:pPr>
        <w:widowControl/>
        <w:jc w:val="center"/>
        <w:rPr>
          <w:rFonts w:ascii="宋体" w:hAnsi="宋体" w:eastAsia="宋体" w:cs="宋体"/>
          <w:kern w:val="0"/>
          <w:sz w:val="24"/>
          <w:szCs w:val="24"/>
        </w:rPr>
      </w:pPr>
      <w:r>
        <w:rPr>
          <w:rFonts w:hint="eastAsia" w:ascii="方正小标宋简体" w:hAnsi="宋体" w:eastAsia="方正小标宋简体" w:cs="宋体"/>
          <w:color w:val="000000"/>
          <w:kern w:val="0"/>
          <w:sz w:val="44"/>
          <w:szCs w:val="44"/>
        </w:rPr>
        <w:t>全县文旅系统人员密集场所疏散通道和外窗专项治理工作情况统计表</w:t>
      </w:r>
    </w:p>
    <w:p>
      <w:pPr>
        <w:widowControl/>
        <w:jc w:val="left"/>
        <w:rPr>
          <w:rFonts w:ascii="宋体" w:hAnsi="宋体" w:eastAsia="宋体" w:cs="宋体"/>
          <w:kern w:val="0"/>
          <w:sz w:val="24"/>
          <w:szCs w:val="24"/>
        </w:rPr>
      </w:pPr>
      <w:r>
        <w:rPr>
          <w:rFonts w:hint="eastAsia" w:ascii="楷体_GB2312" w:hAnsi="宋体" w:eastAsia="楷体_GB2312" w:cs="宋体"/>
          <w:color w:val="000000"/>
          <w:kern w:val="0"/>
          <w:sz w:val="28"/>
          <w:szCs w:val="28"/>
        </w:rPr>
        <w:t xml:space="preserve">填报单位（科室）： </w:t>
      </w:r>
      <w:r>
        <w:rPr>
          <w:rFonts w:hint="eastAsia" w:ascii="宋体" w:hAnsi="宋体" w:eastAsia="宋体" w:cs="宋体"/>
          <w:kern w:val="0"/>
          <w:sz w:val="24"/>
          <w:szCs w:val="24"/>
        </w:rPr>
        <w:t xml:space="preserve">                                                             </w:t>
      </w:r>
      <w:r>
        <w:rPr>
          <w:rFonts w:hint="eastAsia" w:ascii="楷体_GB2312" w:hAnsi="宋体" w:eastAsia="楷体_GB2312" w:cs="宋体"/>
          <w:color w:val="000000"/>
          <w:kern w:val="0"/>
          <w:sz w:val="28"/>
          <w:szCs w:val="28"/>
        </w:rPr>
        <w:t xml:space="preserve">填报时间：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596"/>
        <w:gridCol w:w="963"/>
        <w:gridCol w:w="1375"/>
        <w:gridCol w:w="1562"/>
        <w:gridCol w:w="323"/>
        <w:gridCol w:w="1071"/>
        <w:gridCol w:w="488"/>
        <w:gridCol w:w="568"/>
        <w:gridCol w:w="850"/>
        <w:gridCol w:w="1136"/>
        <w:gridCol w:w="1056"/>
        <w:gridCol w:w="218"/>
        <w:gridCol w:w="838"/>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602" w:type="dxa"/>
            <w:gridSpan w:val="4"/>
          </w:tcPr>
          <w:p>
            <w:pPr>
              <w:widowControl/>
              <w:jc w:val="center"/>
              <w:rPr>
                <w:rFonts w:hint="eastAsia" w:ascii="宋体" w:hAnsi="宋体" w:eastAsia="宋体" w:cs="宋体"/>
                <w:kern w:val="0"/>
                <w:sz w:val="24"/>
                <w:szCs w:val="24"/>
              </w:rPr>
            </w:pPr>
            <w:r>
              <w:rPr>
                <w:rFonts w:hint="eastAsia" w:ascii="黑体" w:hAnsi="黑体" w:eastAsia="黑体" w:cs="宋体"/>
                <w:color w:val="000000"/>
                <w:kern w:val="0"/>
                <w:sz w:val="28"/>
                <w:szCs w:val="28"/>
              </w:rPr>
              <w:t>出动检查组和力量情况</w:t>
            </w:r>
          </w:p>
        </w:tc>
        <w:tc>
          <w:tcPr>
            <w:tcW w:w="9572" w:type="dxa"/>
            <w:gridSpan w:val="11"/>
          </w:tcPr>
          <w:p>
            <w:pPr>
              <w:widowControl/>
              <w:jc w:val="center"/>
              <w:rPr>
                <w:rFonts w:hint="eastAsia" w:ascii="宋体" w:hAnsi="宋体" w:eastAsia="宋体" w:cs="宋体"/>
                <w:kern w:val="0"/>
                <w:sz w:val="24"/>
                <w:szCs w:val="24"/>
              </w:rPr>
            </w:pPr>
            <w:r>
              <w:rPr>
                <w:rFonts w:hint="eastAsia" w:ascii="黑体" w:hAnsi="黑体" w:eastAsia="黑体" w:cs="宋体"/>
                <w:color w:val="000000"/>
                <w:kern w:val="0"/>
                <w:sz w:val="28"/>
                <w:szCs w:val="28"/>
              </w:rPr>
              <w:t>检查单位、场所情况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4" w:type="dxa"/>
            <w:gridSpan w:val="2"/>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color w:val="000000"/>
                <w:kern w:val="0"/>
                <w:sz w:val="28"/>
                <w:szCs w:val="28"/>
              </w:rPr>
              <w:t>出动检查组</w:t>
            </w:r>
          </w:p>
          <w:p>
            <w:pPr>
              <w:widowControl/>
              <w:jc w:val="center"/>
              <w:rPr>
                <w:rFonts w:hint="eastAsia" w:cs="宋体" w:asciiTheme="majorEastAsia" w:hAnsiTheme="majorEastAsia" w:eastAsiaTheme="majorEastAsia"/>
                <w:kern w:val="0"/>
                <w:sz w:val="28"/>
                <w:szCs w:val="28"/>
              </w:rPr>
            </w:pPr>
            <w:r>
              <w:rPr>
                <w:rFonts w:hint="eastAsia" w:cs="宋体" w:asciiTheme="majorEastAsia" w:hAnsiTheme="majorEastAsia" w:eastAsiaTheme="majorEastAsia"/>
                <w:color w:val="000000"/>
                <w:kern w:val="0"/>
                <w:sz w:val="28"/>
                <w:szCs w:val="28"/>
              </w:rPr>
              <w:t>（个）</w:t>
            </w:r>
          </w:p>
        </w:tc>
        <w:tc>
          <w:tcPr>
            <w:tcW w:w="2338" w:type="dxa"/>
            <w:gridSpan w:val="2"/>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color w:val="000000"/>
                <w:kern w:val="0"/>
                <w:sz w:val="28"/>
                <w:szCs w:val="28"/>
              </w:rPr>
              <w:t>出动检查人员</w:t>
            </w:r>
          </w:p>
          <w:p>
            <w:pPr>
              <w:widowControl/>
              <w:jc w:val="center"/>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（名）</w:t>
            </w:r>
          </w:p>
        </w:tc>
        <w:tc>
          <w:tcPr>
            <w:tcW w:w="1562" w:type="dxa"/>
          </w:tcPr>
          <w:p>
            <w:pPr>
              <w:widowControl/>
              <w:jc w:val="center"/>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景区</w:t>
            </w:r>
          </w:p>
          <w:p>
            <w:pPr>
              <w:widowControl/>
              <w:jc w:val="center"/>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（个）</w:t>
            </w:r>
          </w:p>
        </w:tc>
        <w:tc>
          <w:tcPr>
            <w:tcW w:w="1394" w:type="dxa"/>
            <w:gridSpan w:val="2"/>
          </w:tcPr>
          <w:p>
            <w:pPr>
              <w:widowControl/>
              <w:jc w:val="center"/>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星级酒店（个）</w:t>
            </w:r>
          </w:p>
        </w:tc>
        <w:tc>
          <w:tcPr>
            <w:tcW w:w="1056" w:type="dxa"/>
            <w:gridSpan w:val="2"/>
          </w:tcPr>
          <w:p>
            <w:pPr>
              <w:widowControl/>
              <w:jc w:val="center"/>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旅行社（个）</w:t>
            </w:r>
          </w:p>
        </w:tc>
        <w:tc>
          <w:tcPr>
            <w:tcW w:w="1986" w:type="dxa"/>
            <w:gridSpan w:val="2"/>
          </w:tcPr>
          <w:p>
            <w:pPr>
              <w:widowControl/>
              <w:jc w:val="center"/>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文化娱乐场所（个）</w:t>
            </w:r>
          </w:p>
        </w:tc>
        <w:tc>
          <w:tcPr>
            <w:tcW w:w="1056" w:type="dxa"/>
          </w:tcPr>
          <w:p>
            <w:pPr>
              <w:widowControl/>
              <w:jc w:val="center"/>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影院（个）</w:t>
            </w:r>
          </w:p>
        </w:tc>
        <w:tc>
          <w:tcPr>
            <w:tcW w:w="1056" w:type="dxa"/>
            <w:gridSpan w:val="2"/>
          </w:tcPr>
          <w:p>
            <w:pPr>
              <w:widowControl/>
              <w:jc w:val="center"/>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书店（个）</w:t>
            </w:r>
          </w:p>
        </w:tc>
        <w:tc>
          <w:tcPr>
            <w:tcW w:w="1462" w:type="dxa"/>
          </w:tcPr>
          <w:p>
            <w:pPr>
              <w:widowControl/>
              <w:jc w:val="center"/>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印刷企业（个）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4" w:type="dxa"/>
            <w:gridSpan w:val="2"/>
          </w:tcPr>
          <w:p>
            <w:pPr>
              <w:widowControl/>
              <w:jc w:val="left"/>
              <w:rPr>
                <w:rFonts w:hint="eastAsia" w:ascii="黑体" w:hAnsi="黑体" w:eastAsia="黑体" w:cs="宋体"/>
                <w:color w:val="000000"/>
                <w:kern w:val="0"/>
                <w:sz w:val="28"/>
                <w:szCs w:val="28"/>
              </w:rPr>
            </w:pPr>
          </w:p>
        </w:tc>
        <w:tc>
          <w:tcPr>
            <w:tcW w:w="2338" w:type="dxa"/>
            <w:gridSpan w:val="2"/>
          </w:tcPr>
          <w:p>
            <w:pPr>
              <w:widowControl/>
              <w:jc w:val="left"/>
              <w:rPr>
                <w:rFonts w:hint="eastAsia" w:ascii="黑体" w:hAnsi="黑体" w:eastAsia="黑体" w:cs="宋体"/>
                <w:color w:val="000000"/>
                <w:kern w:val="0"/>
                <w:sz w:val="28"/>
                <w:szCs w:val="28"/>
              </w:rPr>
            </w:pPr>
          </w:p>
        </w:tc>
        <w:tc>
          <w:tcPr>
            <w:tcW w:w="1562" w:type="dxa"/>
          </w:tcPr>
          <w:p>
            <w:pPr>
              <w:widowControl/>
              <w:jc w:val="left"/>
              <w:rPr>
                <w:rFonts w:hint="eastAsia" w:ascii="黑体" w:hAnsi="黑体" w:eastAsia="黑体" w:cs="宋体"/>
                <w:color w:val="000000"/>
                <w:kern w:val="0"/>
                <w:sz w:val="28"/>
                <w:szCs w:val="28"/>
              </w:rPr>
            </w:pPr>
          </w:p>
        </w:tc>
        <w:tc>
          <w:tcPr>
            <w:tcW w:w="1394" w:type="dxa"/>
            <w:gridSpan w:val="2"/>
          </w:tcPr>
          <w:p>
            <w:pPr>
              <w:widowControl/>
              <w:jc w:val="left"/>
              <w:rPr>
                <w:rFonts w:hint="eastAsia" w:ascii="黑体" w:hAnsi="黑体" w:eastAsia="黑体" w:cs="宋体"/>
                <w:color w:val="000000"/>
                <w:kern w:val="0"/>
                <w:sz w:val="28"/>
                <w:szCs w:val="28"/>
              </w:rPr>
            </w:pPr>
          </w:p>
        </w:tc>
        <w:tc>
          <w:tcPr>
            <w:tcW w:w="1056" w:type="dxa"/>
            <w:gridSpan w:val="2"/>
          </w:tcPr>
          <w:p>
            <w:pPr>
              <w:widowControl/>
              <w:jc w:val="left"/>
              <w:rPr>
                <w:rFonts w:hint="eastAsia" w:ascii="黑体" w:hAnsi="黑体" w:eastAsia="黑体" w:cs="宋体"/>
                <w:color w:val="000000"/>
                <w:kern w:val="0"/>
                <w:sz w:val="28"/>
                <w:szCs w:val="28"/>
              </w:rPr>
            </w:pPr>
          </w:p>
        </w:tc>
        <w:tc>
          <w:tcPr>
            <w:tcW w:w="1986" w:type="dxa"/>
            <w:gridSpan w:val="2"/>
          </w:tcPr>
          <w:p>
            <w:pPr>
              <w:widowControl/>
              <w:jc w:val="left"/>
              <w:rPr>
                <w:rFonts w:hint="eastAsia" w:ascii="黑体" w:hAnsi="黑体" w:eastAsia="黑体" w:cs="宋体"/>
                <w:color w:val="000000"/>
                <w:kern w:val="0"/>
                <w:sz w:val="28"/>
                <w:szCs w:val="28"/>
              </w:rPr>
            </w:pPr>
          </w:p>
        </w:tc>
        <w:tc>
          <w:tcPr>
            <w:tcW w:w="1056" w:type="dxa"/>
          </w:tcPr>
          <w:p>
            <w:pPr>
              <w:widowControl/>
              <w:jc w:val="left"/>
              <w:rPr>
                <w:rFonts w:hint="eastAsia" w:ascii="黑体" w:hAnsi="黑体" w:eastAsia="黑体" w:cs="宋体"/>
                <w:color w:val="000000"/>
                <w:kern w:val="0"/>
                <w:sz w:val="28"/>
                <w:szCs w:val="28"/>
              </w:rPr>
            </w:pPr>
          </w:p>
        </w:tc>
        <w:tc>
          <w:tcPr>
            <w:tcW w:w="1056" w:type="dxa"/>
            <w:gridSpan w:val="2"/>
          </w:tcPr>
          <w:p>
            <w:pPr>
              <w:widowControl/>
              <w:jc w:val="left"/>
              <w:rPr>
                <w:rFonts w:hint="eastAsia" w:ascii="黑体" w:hAnsi="黑体" w:eastAsia="黑体" w:cs="宋体"/>
                <w:color w:val="000000"/>
                <w:kern w:val="0"/>
                <w:sz w:val="28"/>
                <w:szCs w:val="28"/>
              </w:rPr>
            </w:pPr>
          </w:p>
        </w:tc>
        <w:tc>
          <w:tcPr>
            <w:tcW w:w="1462" w:type="dxa"/>
          </w:tcPr>
          <w:p>
            <w:pPr>
              <w:widowControl/>
              <w:jc w:val="left"/>
              <w:rPr>
                <w:rFonts w:hint="eastAsia" w:ascii="黑体" w:hAnsi="黑体" w:eastAsia="黑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5"/>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执法情况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sz w:val="28"/>
                <w:szCs w:val="28"/>
              </w:rPr>
            </w:pPr>
            <w:r>
              <w:rPr>
                <w:rFonts w:hint="eastAsia"/>
                <w:color w:val="000000"/>
                <w:sz w:val="28"/>
                <w:szCs w:val="28"/>
              </w:rPr>
              <w:t>发现隐患（处）</w:t>
            </w:r>
          </w:p>
        </w:tc>
        <w:tc>
          <w:tcPr>
            <w:tcW w:w="1559" w:type="dxa"/>
            <w:gridSpan w:val="2"/>
          </w:tcPr>
          <w:p>
            <w:pPr>
              <w:jc w:val="center"/>
              <w:rPr>
                <w:sz w:val="28"/>
                <w:szCs w:val="28"/>
              </w:rPr>
            </w:pPr>
            <w:r>
              <w:rPr>
                <w:rFonts w:hint="eastAsia"/>
                <w:color w:val="000000"/>
                <w:sz w:val="28"/>
                <w:szCs w:val="28"/>
              </w:rPr>
              <w:t>整改隐患（处）</w:t>
            </w:r>
          </w:p>
        </w:tc>
        <w:tc>
          <w:tcPr>
            <w:tcW w:w="3260" w:type="dxa"/>
            <w:gridSpan w:val="3"/>
          </w:tcPr>
          <w:p>
            <w:pPr>
              <w:jc w:val="center"/>
              <w:rPr>
                <w:color w:val="000000"/>
                <w:sz w:val="28"/>
                <w:szCs w:val="28"/>
              </w:rPr>
            </w:pPr>
            <w:r>
              <w:rPr>
                <w:rFonts w:hint="eastAsia"/>
                <w:color w:val="000000"/>
                <w:sz w:val="28"/>
                <w:szCs w:val="28"/>
              </w:rPr>
              <w:t>责令停止使用停产停业（家）</w:t>
            </w:r>
          </w:p>
        </w:tc>
        <w:tc>
          <w:tcPr>
            <w:tcW w:w="1559" w:type="dxa"/>
            <w:gridSpan w:val="2"/>
          </w:tcPr>
          <w:p>
            <w:pPr>
              <w:widowControl/>
              <w:jc w:val="center"/>
              <w:rPr>
                <w:rFonts w:ascii="宋体" w:hAnsi="宋体" w:eastAsia="宋体" w:cs="宋体"/>
                <w:kern w:val="0"/>
                <w:sz w:val="28"/>
                <w:szCs w:val="28"/>
              </w:rPr>
            </w:pPr>
            <w:r>
              <w:rPr>
                <w:rFonts w:hint="eastAsia" w:ascii="宋体" w:hAnsi="宋体" w:eastAsia="宋体" w:cs="宋体"/>
                <w:color w:val="000000"/>
                <w:kern w:val="0"/>
                <w:sz w:val="28"/>
                <w:szCs w:val="28"/>
              </w:rPr>
              <w:t>临时查封</w:t>
            </w:r>
          </w:p>
          <w:p>
            <w:pPr>
              <w:jc w:val="center"/>
              <w:rPr>
                <w:sz w:val="28"/>
                <w:szCs w:val="28"/>
              </w:rPr>
            </w:pPr>
            <w:r>
              <w:rPr>
                <w:rFonts w:hint="eastAsia" w:ascii="宋体" w:hAnsi="宋体" w:eastAsia="宋体" w:cs="宋体"/>
                <w:color w:val="000000"/>
                <w:kern w:val="0"/>
                <w:sz w:val="28"/>
                <w:szCs w:val="28"/>
              </w:rPr>
              <w:t>（家）</w:t>
            </w:r>
          </w:p>
        </w:tc>
        <w:tc>
          <w:tcPr>
            <w:tcW w:w="1418" w:type="dxa"/>
            <w:gridSpan w:val="2"/>
          </w:tcPr>
          <w:p>
            <w:pPr>
              <w:widowControl/>
              <w:jc w:val="center"/>
              <w:rPr>
                <w:rFonts w:ascii="宋体" w:hAnsi="宋体" w:eastAsia="宋体" w:cs="宋体"/>
                <w:kern w:val="0"/>
                <w:sz w:val="28"/>
                <w:szCs w:val="28"/>
              </w:rPr>
            </w:pPr>
            <w:r>
              <w:rPr>
                <w:rFonts w:hint="eastAsia" w:ascii="宋体" w:hAnsi="宋体" w:eastAsia="宋体" w:cs="宋体"/>
                <w:color w:val="000000"/>
                <w:kern w:val="0"/>
                <w:sz w:val="28"/>
                <w:szCs w:val="28"/>
              </w:rPr>
              <w:t>强制执行</w:t>
            </w:r>
          </w:p>
          <w:p>
            <w:pPr>
              <w:jc w:val="center"/>
              <w:rPr>
                <w:sz w:val="28"/>
                <w:szCs w:val="28"/>
              </w:rPr>
            </w:pPr>
            <w:r>
              <w:rPr>
                <w:rFonts w:hint="eastAsia" w:ascii="宋体" w:hAnsi="宋体" w:eastAsia="宋体" w:cs="宋体"/>
                <w:color w:val="000000"/>
                <w:kern w:val="0"/>
                <w:sz w:val="28"/>
                <w:szCs w:val="28"/>
              </w:rPr>
              <w:t>（家）</w:t>
            </w:r>
          </w:p>
        </w:tc>
        <w:tc>
          <w:tcPr>
            <w:tcW w:w="2410" w:type="dxa"/>
            <w:gridSpan w:val="3"/>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清理疏散楼梯、安全出口（处）</w:t>
            </w:r>
          </w:p>
        </w:tc>
        <w:tc>
          <w:tcPr>
            <w:tcW w:w="2300" w:type="dxa"/>
            <w:gridSpan w:val="2"/>
          </w:tcPr>
          <w:p>
            <w:pPr>
              <w:widowControl/>
              <w:jc w:val="center"/>
              <w:rPr>
                <w:rFonts w:ascii="宋体" w:hAnsi="宋体" w:eastAsia="宋体" w:cs="宋体"/>
                <w:kern w:val="0"/>
                <w:sz w:val="28"/>
                <w:szCs w:val="28"/>
              </w:rPr>
            </w:pPr>
            <w:r>
              <w:rPr>
                <w:rFonts w:hint="eastAsia" w:ascii="宋体" w:hAnsi="宋体" w:eastAsia="宋体" w:cs="宋体"/>
                <w:color w:val="000000"/>
                <w:kern w:val="0"/>
                <w:sz w:val="28"/>
                <w:szCs w:val="28"/>
              </w:rPr>
              <w:t>拆除门窗障碍物</w:t>
            </w:r>
          </w:p>
          <w:p>
            <w:pPr>
              <w:widowControl/>
              <w:jc w:val="center"/>
              <w:rPr>
                <w:rFonts w:hint="eastAsia" w:ascii="黑体" w:hAnsi="黑体" w:eastAsia="黑体" w:cs="宋体"/>
                <w:color w:val="000000"/>
                <w:kern w:val="0"/>
                <w:sz w:val="28"/>
                <w:szCs w:val="28"/>
              </w:rPr>
            </w:pPr>
            <w:r>
              <w:rPr>
                <w:rFonts w:hint="eastAsia" w:ascii="宋体" w:hAnsi="宋体" w:eastAsia="宋体" w:cs="宋体"/>
                <w:color w:val="000000"/>
                <w:kern w:val="0"/>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idowControl/>
              <w:jc w:val="left"/>
              <w:rPr>
                <w:rFonts w:hint="eastAsia" w:ascii="黑体" w:hAnsi="黑体" w:eastAsia="黑体" w:cs="宋体"/>
                <w:color w:val="000000"/>
                <w:kern w:val="0"/>
                <w:sz w:val="28"/>
                <w:szCs w:val="28"/>
              </w:rPr>
            </w:pPr>
          </w:p>
        </w:tc>
        <w:tc>
          <w:tcPr>
            <w:tcW w:w="1559" w:type="dxa"/>
            <w:gridSpan w:val="2"/>
          </w:tcPr>
          <w:p>
            <w:pPr>
              <w:widowControl/>
              <w:jc w:val="left"/>
              <w:rPr>
                <w:rFonts w:hint="eastAsia" w:ascii="黑体" w:hAnsi="黑体" w:eastAsia="黑体" w:cs="宋体"/>
                <w:color w:val="000000"/>
                <w:kern w:val="0"/>
                <w:sz w:val="28"/>
                <w:szCs w:val="28"/>
              </w:rPr>
            </w:pPr>
          </w:p>
        </w:tc>
        <w:tc>
          <w:tcPr>
            <w:tcW w:w="3260" w:type="dxa"/>
            <w:gridSpan w:val="3"/>
          </w:tcPr>
          <w:p>
            <w:pPr>
              <w:widowControl/>
              <w:jc w:val="left"/>
              <w:rPr>
                <w:rFonts w:hint="eastAsia" w:ascii="黑体" w:hAnsi="黑体" w:eastAsia="黑体" w:cs="宋体"/>
                <w:color w:val="000000"/>
                <w:kern w:val="0"/>
                <w:sz w:val="28"/>
                <w:szCs w:val="28"/>
              </w:rPr>
            </w:pPr>
          </w:p>
        </w:tc>
        <w:tc>
          <w:tcPr>
            <w:tcW w:w="1559" w:type="dxa"/>
            <w:gridSpan w:val="2"/>
          </w:tcPr>
          <w:p>
            <w:pPr>
              <w:widowControl/>
              <w:jc w:val="left"/>
              <w:rPr>
                <w:rFonts w:hint="eastAsia" w:ascii="黑体" w:hAnsi="黑体" w:eastAsia="黑体" w:cs="宋体"/>
                <w:color w:val="000000"/>
                <w:kern w:val="0"/>
                <w:sz w:val="28"/>
                <w:szCs w:val="28"/>
              </w:rPr>
            </w:pPr>
          </w:p>
        </w:tc>
        <w:tc>
          <w:tcPr>
            <w:tcW w:w="1418" w:type="dxa"/>
            <w:gridSpan w:val="2"/>
          </w:tcPr>
          <w:p>
            <w:pPr>
              <w:widowControl/>
              <w:jc w:val="left"/>
              <w:rPr>
                <w:rFonts w:hint="eastAsia" w:ascii="黑体" w:hAnsi="黑体" w:eastAsia="黑体" w:cs="宋体"/>
                <w:color w:val="000000"/>
                <w:kern w:val="0"/>
                <w:sz w:val="28"/>
                <w:szCs w:val="28"/>
              </w:rPr>
            </w:pPr>
          </w:p>
        </w:tc>
        <w:tc>
          <w:tcPr>
            <w:tcW w:w="2410" w:type="dxa"/>
            <w:gridSpan w:val="3"/>
          </w:tcPr>
          <w:p>
            <w:pPr>
              <w:widowControl/>
              <w:jc w:val="left"/>
              <w:rPr>
                <w:rFonts w:hint="eastAsia" w:ascii="黑体" w:hAnsi="黑体" w:eastAsia="黑体" w:cs="宋体"/>
                <w:color w:val="000000"/>
                <w:kern w:val="0"/>
                <w:sz w:val="28"/>
                <w:szCs w:val="28"/>
              </w:rPr>
            </w:pPr>
          </w:p>
        </w:tc>
        <w:tc>
          <w:tcPr>
            <w:tcW w:w="2300" w:type="dxa"/>
            <w:gridSpan w:val="2"/>
          </w:tcPr>
          <w:p>
            <w:pPr>
              <w:widowControl/>
              <w:jc w:val="left"/>
              <w:rPr>
                <w:rFonts w:hint="eastAsia" w:ascii="黑体" w:hAnsi="黑体" w:eastAsia="黑体" w:cs="宋体"/>
                <w:color w:val="000000"/>
                <w:kern w:val="0"/>
                <w:sz w:val="28"/>
                <w:szCs w:val="28"/>
              </w:rPr>
            </w:pPr>
          </w:p>
        </w:tc>
      </w:tr>
    </w:tbl>
    <w:p>
      <w:pPr>
        <w:widowControl/>
        <w:jc w:val="left"/>
        <w:rPr>
          <w:rFonts w:hint="eastAsia" w:ascii="仿宋_GB2312" w:eastAsia="仿宋_GB2312"/>
          <w:b/>
          <w:sz w:val="28"/>
          <w:szCs w:val="28"/>
        </w:rPr>
      </w:pPr>
      <w:r>
        <w:rPr>
          <w:rFonts w:hint="eastAsia" w:ascii="仿宋_GB2312" w:hAnsi="宋体" w:eastAsia="仿宋_GB2312" w:cs="宋体"/>
          <w:b/>
          <w:color w:val="000000"/>
          <w:kern w:val="0"/>
          <w:sz w:val="28"/>
          <w:szCs w:val="28"/>
        </w:rPr>
        <w:t>备注：此表为累计值。</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BiYzAwNjFiZjY4NTY1YWY3OWViMmQ4ZWU5YTJjYjAifQ=="/>
  </w:docVars>
  <w:rsids>
    <w:rsidRoot w:val="00047C67"/>
    <w:rsid w:val="00047C67"/>
    <w:rsid w:val="00177112"/>
    <w:rsid w:val="003133F4"/>
    <w:rsid w:val="00866740"/>
    <w:rsid w:val="00C50D5E"/>
    <w:rsid w:val="00F64BBA"/>
    <w:rsid w:val="39CA4792"/>
    <w:rsid w:val="4E353A96"/>
    <w:rsid w:val="6D467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unhideWhenUsed/>
    <w:qFormat/>
    <w:uiPriority w:val="99"/>
    <w:rPr>
      <w:color w:val="0000FF" w:themeColor="hyperlink"/>
      <w:u w:val="single"/>
    </w:rPr>
  </w:style>
  <w:style w:type="character" w:customStyle="1" w:styleId="7">
    <w:name w:val="日期 Char"/>
    <w:basedOn w:val="5"/>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345</Words>
  <Characters>1971</Characters>
  <Lines>16</Lines>
  <Paragraphs>4</Paragraphs>
  <TotalTime>55</TotalTime>
  <ScaleCrop>false</ScaleCrop>
  <LinksUpToDate>false</LinksUpToDate>
  <CharactersWithSpaces>2312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2023-08-15T01:32:00Z</dcterms:created>
  <dc:creator>Administrator</dc:creator>
  <cp:lastModifiedBy>孟雨</cp:lastModifiedBy>
  <cp:lastPrinted>2023-08-18T07:27:51Z</cp:lastPrinted>
  <dcterms:modified xsi:type="dcterms:W3CDTF">2023-08-18T07:45:42Z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686213F9DC3F4B6785840F9C25CE4209_12</vt:lpwstr>
  </property>
</Properties>
</file>