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600"/>
        <w:jc w:val="center"/>
        <w:rPr>
          <w:rFonts w:ascii="方正小标宋简体" w:eastAsia="方正小标宋简体"/>
          <w:b/>
          <w:sz w:val="44"/>
          <w:szCs w:val="44"/>
        </w:rPr>
      </w:pPr>
      <w:r>
        <w:rPr>
          <w:rFonts w:ascii="方正小标宋简体" w:eastAsia="方正小标宋简体" w:hint="eastAsia"/>
          <w:b/>
          <w:sz w:val="44"/>
          <w:szCs w:val="44"/>
        </w:rPr>
        <w:t>中共嘉祥街道工作委员会  嘉祥街道办事处</w:t>
      </w:r>
    </w:p>
    <w:p>
      <w:pPr>
        <w:pStyle w:val="style0"/>
        <w:spacing w:lineRule="exact" w:line="600"/>
        <w:jc w:val="center"/>
        <w:rPr>
          <w:rFonts w:ascii="方正小标宋简体" w:eastAsia="方正小标宋简体"/>
          <w:b/>
          <w:sz w:val="44"/>
          <w:szCs w:val="44"/>
        </w:rPr>
      </w:pPr>
      <w:r>
        <w:rPr>
          <w:rFonts w:ascii="方正小标宋简体" w:eastAsia="方正小标宋简体" w:hint="eastAsia"/>
          <w:b/>
          <w:sz w:val="44"/>
          <w:szCs w:val="44"/>
        </w:rPr>
        <w:t>202</w:t>
      </w:r>
      <w:r>
        <w:rPr>
          <w:rFonts w:ascii="方正小标宋简体" w:eastAsia="方正小标宋简体" w:hint="eastAsia"/>
          <w:b/>
          <w:sz w:val="44"/>
          <w:szCs w:val="44"/>
          <w:lang w:val="en-US" w:eastAsia="zh-CN"/>
        </w:rPr>
        <w:t>3年度</w:t>
      </w:r>
      <w:r>
        <w:rPr>
          <w:rFonts w:ascii="方正小标宋简体" w:eastAsia="方正小标宋简体" w:hint="eastAsia"/>
          <w:b/>
          <w:sz w:val="44"/>
          <w:szCs w:val="44"/>
        </w:rPr>
        <w:t>法治政府建设报告</w:t>
      </w:r>
    </w:p>
    <w:p>
      <w:pPr>
        <w:pStyle w:val="style0"/>
        <w:spacing w:lineRule="exact" w:line="560"/>
        <w:ind w:firstLine="630" w:firstLineChars="196"/>
        <w:jc w:val="left"/>
        <w:rPr>
          <w:rFonts w:ascii="仿宋_GB2312" w:eastAsia="仿宋_GB2312"/>
          <w:b/>
          <w:sz w:val="32"/>
          <w:szCs w:val="32"/>
        </w:rPr>
      </w:pPr>
    </w:p>
    <w:p>
      <w:pPr>
        <w:pStyle w:val="style94"/>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right="0" w:rightChars="0" w:firstLine="643" w:firstLineChars="200"/>
        <w:jc w:val="both"/>
        <w:textAlignment w:val="auto"/>
        <w:rPr>
          <w:rFonts w:ascii="Times New Roman" w:cs="Times New Roman" w:eastAsia="方正仿宋简体" w:hAnsi="Times New Roman" w:hint="default"/>
          <w:b/>
          <w:bCs/>
          <w:sz w:val="32"/>
          <w:szCs w:val="32"/>
        </w:rPr>
      </w:pPr>
      <w:r>
        <w:rPr>
          <w:rFonts w:ascii="Times New Roman" w:cs="Times New Roman" w:eastAsia="方正仿宋简体" w:hAnsi="Times New Roman" w:hint="default"/>
          <w:b/>
          <w:bCs/>
          <w:sz w:val="32"/>
          <w:szCs w:val="32"/>
        </w:rPr>
        <w:t>202</w:t>
      </w:r>
      <w:r>
        <w:rPr>
          <w:rFonts w:ascii="Times New Roman" w:cs="Times New Roman" w:eastAsia="方正仿宋简体" w:hAnsi="Times New Roman" w:hint="default"/>
          <w:b/>
          <w:bCs/>
          <w:sz w:val="32"/>
          <w:szCs w:val="32"/>
          <w:lang w:val="en-US" w:eastAsia="zh-CN"/>
        </w:rPr>
        <w:t>3</w:t>
      </w:r>
      <w:r>
        <w:rPr>
          <w:rFonts w:ascii="Times New Roman" w:cs="Times New Roman" w:eastAsia="方正仿宋简体" w:hAnsi="Times New Roman" w:hint="default"/>
          <w:b/>
          <w:bCs/>
          <w:sz w:val="32"/>
          <w:szCs w:val="32"/>
        </w:rPr>
        <w:t>年，</w:t>
      </w:r>
      <w:r>
        <w:rPr>
          <w:rFonts w:ascii="Times New Roman" w:cs="Times New Roman" w:eastAsia="方正仿宋简体" w:hAnsi="Times New Roman" w:hint="default"/>
          <w:b/>
          <w:bCs/>
          <w:sz w:val="32"/>
          <w:szCs w:val="32"/>
          <w:lang w:eastAsia="zh-CN"/>
        </w:rPr>
        <w:t>嘉祥街道办事处</w:t>
      </w:r>
      <w:r>
        <w:rPr>
          <w:rFonts w:ascii="Times New Roman" w:cs="Times New Roman" w:eastAsia="方正仿宋简体" w:hAnsi="Times New Roman" w:hint="default"/>
          <w:b/>
          <w:bCs/>
          <w:sz w:val="32"/>
          <w:szCs w:val="32"/>
        </w:rPr>
        <w:t>认真学习党的二十大精神，深入贯彻落实中央、省、市</w:t>
      </w:r>
      <w:r>
        <w:rPr>
          <w:rFonts w:ascii="Times New Roman" w:cs="Times New Roman" w:eastAsia="方正仿宋简体" w:hAnsi="Times New Roman" w:hint="default"/>
          <w:b/>
          <w:bCs/>
          <w:sz w:val="32"/>
          <w:szCs w:val="32"/>
          <w:lang w:eastAsia="zh-CN"/>
        </w:rPr>
        <w:t>、县</w:t>
      </w:r>
      <w:r>
        <w:rPr>
          <w:rFonts w:ascii="Times New Roman" w:cs="Times New Roman" w:eastAsia="方正仿宋简体" w:hAnsi="Times New Roman" w:hint="default"/>
          <w:b/>
          <w:bCs/>
          <w:sz w:val="32"/>
          <w:szCs w:val="32"/>
        </w:rPr>
        <w:t>关于法治建设的决策部署，切实强化党政主要负责人履行推进法治建设第一责任人职责，</w:t>
      </w:r>
      <w:r>
        <w:rPr>
          <w:rFonts w:ascii="Times New Roman" w:cs="Times New Roman" w:eastAsia="方正仿宋简体" w:hAnsi="Times New Roman" w:hint="default"/>
          <w:b/>
          <w:bCs/>
          <w:sz w:val="32"/>
          <w:szCs w:val="32"/>
          <w:lang w:eastAsia="zh-CN"/>
        </w:rPr>
        <w:t>结合工作实际</w:t>
      </w:r>
      <w:r>
        <w:rPr>
          <w:rFonts w:ascii="Times New Roman" w:cs="Times New Roman" w:eastAsia="方正仿宋简体" w:hAnsi="Times New Roman" w:hint="default"/>
          <w:b/>
          <w:bCs/>
          <w:sz w:val="32"/>
          <w:szCs w:val="32"/>
        </w:rPr>
        <w:t>，全面推进法治建设工作。现将有关情况报告如下:</w:t>
      </w:r>
    </w:p>
    <w:p>
      <w:pPr>
        <w:pStyle w:val="style0"/>
        <w:spacing w:lineRule="exact" w:line="560"/>
        <w:ind w:firstLine="630" w:firstLineChars="196"/>
        <w:jc w:val="left"/>
        <w:rPr>
          <w:rFonts w:ascii="黑体" w:cs="黑体" w:eastAsia="黑体" w:hAnsi="黑体" w:hint="eastAsia"/>
          <w:b/>
          <w:sz w:val="32"/>
          <w:szCs w:val="32"/>
        </w:rPr>
      </w:pPr>
      <w:r>
        <w:rPr>
          <w:rFonts w:ascii="黑体" w:cs="黑体" w:eastAsia="黑体" w:hAnsi="黑体" w:hint="eastAsia"/>
          <w:b/>
          <w:sz w:val="32"/>
          <w:szCs w:val="32"/>
        </w:rPr>
        <w:t>一、202</w:t>
      </w:r>
      <w:r>
        <w:rPr>
          <w:rFonts w:ascii="黑体" w:cs="黑体" w:eastAsia="黑体" w:hAnsi="黑体" w:hint="eastAsia"/>
          <w:b/>
          <w:sz w:val="32"/>
          <w:szCs w:val="32"/>
          <w:lang w:val="en-US" w:eastAsia="zh-CN"/>
        </w:rPr>
        <w:t>3</w:t>
      </w:r>
      <w:r>
        <w:rPr>
          <w:rFonts w:ascii="黑体" w:cs="黑体" w:eastAsia="黑体" w:hAnsi="黑体" w:hint="eastAsia"/>
          <w:b/>
          <w:sz w:val="32"/>
          <w:szCs w:val="32"/>
        </w:rPr>
        <w:t>年度推进法治政府建设的主要举措和成效</w:t>
      </w:r>
    </w:p>
    <w:p>
      <w:pPr>
        <w:pStyle w:val="style0"/>
        <w:keepNext w:val="false"/>
        <w:keepLines w:val="false"/>
        <w:pageBreakBefore w:val="false"/>
        <w:widowControl w:val="false"/>
        <w:numPr>
          <w:ilvl w:val="0"/>
          <w:numId w:val="0"/>
        </w:numPr>
        <w:kinsoku/>
        <w:wordWrap/>
        <w:overflowPunct/>
        <w:topLinePunct w:val="false"/>
        <w:autoSpaceDN/>
        <w:bidi w:val="false"/>
        <w:spacing w:lineRule="exact" w:line="560"/>
        <w:ind w:firstLine="643" w:firstLineChars="200"/>
        <w:jc w:val="left"/>
        <w:textAlignment w:val="auto"/>
        <w:rPr>
          <w:rFonts w:ascii="Times New Roman" w:cs="Times New Roman" w:eastAsia="方正仿宋简体" w:hAnsi="Times New Roman" w:hint="default"/>
          <w:b/>
          <w:bCs/>
          <w:sz w:val="32"/>
          <w:szCs w:val="32"/>
          <w:lang w:val="en-US" w:eastAsia="zh-CN"/>
        </w:rPr>
      </w:pPr>
      <w:r>
        <w:rPr>
          <w:rFonts w:ascii="楷体_GB2312" w:cs="楷体_GB2312" w:eastAsia="楷体_GB2312" w:hAnsi="楷体_GB2312" w:hint="eastAsia"/>
          <w:b/>
          <w:sz w:val="32"/>
          <w:szCs w:val="32"/>
        </w:rPr>
        <w:t>（一）</w:t>
      </w:r>
      <w:r>
        <w:rPr>
          <w:rFonts w:ascii="楷体_GB2312" w:cs="楷体_GB2312" w:eastAsia="楷体_GB2312" w:hAnsi="楷体_GB2312" w:hint="eastAsia"/>
          <w:b/>
          <w:sz w:val="32"/>
          <w:szCs w:val="32"/>
          <w:lang w:eastAsia="zh-CN"/>
        </w:rPr>
        <w:t>强化</w:t>
      </w:r>
      <w:r>
        <w:rPr>
          <w:rFonts w:ascii="楷体_GB2312" w:cs="楷体_GB2312" w:eastAsia="楷体_GB2312" w:hAnsi="楷体_GB2312" w:hint="eastAsia"/>
          <w:b/>
          <w:sz w:val="32"/>
          <w:szCs w:val="32"/>
        </w:rPr>
        <w:t>法治理念，增强依法行政意识</w:t>
      </w:r>
      <w:r>
        <w:rPr>
          <w:rFonts w:ascii="楷体_GB2312" w:cs="楷体_GB2312" w:eastAsia="楷体_GB2312" w:hAnsi="楷体_GB2312" w:hint="eastAsia"/>
          <w:b/>
          <w:sz w:val="32"/>
          <w:szCs w:val="32"/>
          <w:lang w:eastAsia="zh-CN"/>
        </w:rPr>
        <w:t>。</w:t>
      </w:r>
      <w:r>
        <w:rPr>
          <w:rFonts w:ascii="Times New Roman" w:cs="Times New Roman" w:eastAsia="方正仿宋简体" w:hAnsi="Times New Roman" w:hint="eastAsia"/>
          <w:b/>
          <w:bCs/>
          <w:sz w:val="32"/>
          <w:szCs w:val="32"/>
          <w:lang w:val="en-US" w:eastAsia="zh-CN"/>
        </w:rPr>
        <w:t>将法治建设工作纳入年度工作计划和任务清单，多次召开法治政府建设推进会，</w:t>
      </w:r>
      <w:r>
        <w:rPr>
          <w:rFonts w:ascii="Times New Roman" w:cs="Times New Roman" w:eastAsia="方正仿宋简体" w:hAnsi="Times New Roman" w:hint="default"/>
          <w:b/>
          <w:bCs/>
          <w:sz w:val="32"/>
          <w:szCs w:val="32"/>
          <w:lang w:val="en-US" w:eastAsia="zh-CN"/>
        </w:rPr>
        <w:t>定期听取法治</w:t>
      </w:r>
      <w:r>
        <w:rPr>
          <w:rFonts w:ascii="Times New Roman" w:cs="Times New Roman" w:eastAsia="方正仿宋简体" w:hAnsi="Times New Roman" w:hint="eastAsia"/>
          <w:b/>
          <w:bCs/>
          <w:sz w:val="32"/>
          <w:szCs w:val="32"/>
          <w:lang w:val="en-US" w:eastAsia="zh-CN"/>
        </w:rPr>
        <w:t>建设</w:t>
      </w:r>
      <w:r>
        <w:rPr>
          <w:rFonts w:ascii="Times New Roman" w:cs="Times New Roman" w:eastAsia="方正仿宋简体" w:hAnsi="Times New Roman" w:hint="default"/>
          <w:b/>
          <w:bCs/>
          <w:sz w:val="32"/>
          <w:szCs w:val="32"/>
          <w:lang w:val="en-US" w:eastAsia="zh-CN"/>
        </w:rPr>
        <w:t>工作汇报，及时研究有关重大问题，有效解决法治建设中突出问题。</w:t>
      </w:r>
      <w:r>
        <w:rPr>
          <w:rFonts w:ascii="Times New Roman" w:cs="Times New Roman" w:eastAsia="方正仿宋简体" w:hAnsi="Times New Roman" w:hint="eastAsia"/>
          <w:b/>
          <w:bCs/>
          <w:sz w:val="32"/>
          <w:szCs w:val="32"/>
          <w:lang w:val="en-US" w:eastAsia="zh-CN"/>
        </w:rPr>
        <w:t>2023年度理论中心组织法治学习5次、召开法治工作会议4次，系统学习了“十个明确”彰显马克思主</w:t>
      </w:r>
      <w:r>
        <w:rPr>
          <w:rFonts w:ascii="Times New Roman" w:cs="Times New Roman" w:eastAsia="方正仿宋简体" w:hAnsi="Times New Roman" w:hint="default"/>
          <w:b/>
          <w:bCs/>
          <w:sz w:val="32"/>
          <w:szCs w:val="32"/>
          <w:lang w:val="en-US" w:eastAsia="zh-CN"/>
        </w:rPr>
        <w:t>义中国化</w:t>
      </w:r>
      <w:r>
        <w:rPr>
          <w:rFonts w:ascii="Times New Roman" w:cs="Times New Roman" w:eastAsia="方正仿宋简体" w:hAnsi="Times New Roman" w:hint="eastAsia"/>
          <w:b/>
          <w:bCs/>
          <w:sz w:val="32"/>
          <w:szCs w:val="32"/>
          <w:lang w:val="en-US" w:eastAsia="zh-CN"/>
        </w:rPr>
        <w:t>、“十一个坚持”擘画全面依法治国路线图等习近平法治思想。每年度12月初开展班子成员对分管领域的法治建设工作开展情况进行述法，历年来干部职工学法考试参学率均达到100% ，法治学习氛围浓厚。</w:t>
      </w:r>
    </w:p>
    <w:p>
      <w:pPr>
        <w:pStyle w:val="style0"/>
        <w:keepNext w:val="false"/>
        <w:keepLines w:val="false"/>
        <w:pageBreakBefore w:val="false"/>
        <w:widowControl w:val="false"/>
        <w:kinsoku/>
        <w:wordWrap/>
        <w:overflowPunct/>
        <w:topLinePunct w:val="false"/>
        <w:autoSpaceDN/>
        <w:bidi w:val="false"/>
        <w:spacing w:lineRule="exact" w:line="560"/>
        <w:ind w:firstLine="630" w:firstLineChars="196"/>
        <w:jc w:val="left"/>
        <w:textAlignment w:val="auto"/>
        <w:rPr>
          <w:rFonts w:ascii="Times New Roman" w:cs="Times New Roman" w:eastAsia="方正仿宋简体" w:hAnsi="Times New Roman" w:hint="default"/>
          <w:b/>
          <w:bCs/>
          <w:sz w:val="32"/>
          <w:szCs w:val="32"/>
          <w:lang w:val="en-US" w:eastAsia="zh-CN"/>
        </w:rPr>
      </w:pPr>
      <w:r>
        <w:rPr>
          <w:rFonts w:ascii="楷体_GB2312" w:cs="楷体_GB2312" w:eastAsia="楷体_GB2312" w:hAnsi="楷体_GB2312" w:hint="eastAsia"/>
          <w:b/>
          <w:sz w:val="32"/>
          <w:szCs w:val="32"/>
          <w:lang w:eastAsia="zh-CN"/>
        </w:rPr>
        <w:t>（二）坚持</w:t>
      </w:r>
      <w:r>
        <w:rPr>
          <w:rFonts w:ascii="楷体_GB2312" w:cs="楷体_GB2312" w:eastAsia="楷体_GB2312" w:hAnsi="楷体_GB2312" w:hint="eastAsia"/>
          <w:b/>
          <w:sz w:val="32"/>
          <w:szCs w:val="32"/>
          <w:lang w:val="en-US" w:eastAsia="zh-CN"/>
        </w:rPr>
        <w:t>依法依规决策。</w:t>
      </w:r>
      <w:r>
        <w:rPr>
          <w:rFonts w:ascii="Times New Roman" w:cs="Times New Roman" w:eastAsia="方正仿宋简体" w:hAnsi="Times New Roman" w:hint="eastAsia"/>
          <w:b/>
          <w:bCs/>
          <w:sz w:val="32"/>
          <w:szCs w:val="32"/>
          <w:lang w:val="en-US" w:eastAsia="zh-CN"/>
        </w:rPr>
        <w:t>严格落实行政规范性文件、重大行政决策、重大事项合法性审核，成立了“重大事项合法性审查工作领导小组和审查团队”，印发了“推进合法性审查工作实施方案”，工作制度和流程图均在合法性审查办公室上墙，明确司法所和党政办各一人专职负责合法性审查工作。本年度党工委发文39件，办事处发文26件，其中规范性文件5件，均进行了合法性审查。10月底市司法局备案审查科莅临嘉祥街道检查指导，对合法性审查工作的系统运行、卷宗质量给予高度评价。</w:t>
      </w:r>
    </w:p>
    <w:p>
      <w:pPr>
        <w:pStyle w:val="style0"/>
        <w:keepNext w:val="false"/>
        <w:keepLines w:val="false"/>
        <w:pageBreakBefore w:val="false"/>
        <w:widowControl w:val="false"/>
        <w:kinsoku/>
        <w:wordWrap/>
        <w:overflowPunct/>
        <w:topLinePunct w:val="false"/>
        <w:autoSpaceDN/>
        <w:bidi w:val="false"/>
        <w:spacing w:lineRule="exact" w:line="560"/>
        <w:ind w:firstLine="630" w:firstLineChars="196"/>
        <w:jc w:val="left"/>
        <w:textAlignment w:val="auto"/>
        <w:rPr>
          <w:rFonts w:ascii="Times New Roman" w:cs="Times New Roman" w:eastAsia="方正仿宋简体" w:hAnsi="Times New Roman" w:hint="eastAsia"/>
          <w:b/>
          <w:bCs/>
          <w:sz w:val="32"/>
          <w:szCs w:val="32"/>
          <w:lang w:val="en-US" w:eastAsia="zh-CN"/>
        </w:rPr>
      </w:pPr>
      <w:r>
        <w:rPr>
          <w:rFonts w:ascii="楷体_GB2312" w:cs="楷体_GB2312" w:eastAsia="楷体_GB2312" w:hAnsi="楷体_GB2312" w:hint="eastAsia"/>
          <w:b/>
          <w:sz w:val="32"/>
          <w:szCs w:val="32"/>
          <w:lang w:eastAsia="zh-CN"/>
        </w:rPr>
        <w:t>（三）严格落实</w:t>
      </w:r>
      <w:r>
        <w:rPr>
          <w:rFonts w:ascii="楷体_GB2312" w:cs="楷体_GB2312" w:eastAsia="楷体_GB2312" w:hAnsi="楷体_GB2312" w:hint="eastAsia"/>
          <w:b/>
          <w:sz w:val="32"/>
          <w:szCs w:val="32"/>
          <w:lang w:val="en-US" w:eastAsia="zh-CN"/>
        </w:rPr>
        <w:t>“谁执法谁普法”普法责任制。</w:t>
      </w:r>
      <w:r>
        <w:rPr>
          <w:rFonts w:ascii="Times New Roman" w:cs="Times New Roman" w:eastAsia="方正仿宋简体" w:hAnsi="Times New Roman" w:hint="eastAsia"/>
          <w:b/>
          <w:bCs/>
          <w:sz w:val="32"/>
          <w:szCs w:val="32"/>
          <w:lang w:val="en-US" w:eastAsia="zh-CN"/>
        </w:rPr>
        <w:t>在“谁执法谁普法”工作开展方面，</w:t>
      </w:r>
      <w:r>
        <w:rPr>
          <w:rFonts w:ascii="Times New Roman" w:cs="Times New Roman" w:eastAsia="方正仿宋简体" w:hAnsi="Times New Roman" w:hint="default"/>
          <w:b/>
          <w:bCs/>
          <w:sz w:val="32"/>
          <w:szCs w:val="32"/>
          <w:lang w:val="en-US" w:eastAsia="zh-CN"/>
        </w:rPr>
        <w:t>一是开展专项</w:t>
      </w:r>
      <w:r>
        <w:rPr>
          <w:rFonts w:ascii="Times New Roman" w:cs="Times New Roman" w:eastAsia="方正仿宋简体" w:hAnsi="Times New Roman" w:hint="eastAsia"/>
          <w:b/>
          <w:bCs/>
          <w:sz w:val="32"/>
          <w:szCs w:val="32"/>
          <w:lang w:val="en-US" w:eastAsia="zh-CN"/>
        </w:rPr>
        <w:t>法治</w:t>
      </w:r>
      <w:r>
        <w:rPr>
          <w:rFonts w:ascii="Times New Roman" w:cs="Times New Roman" w:eastAsia="方正仿宋简体" w:hAnsi="Times New Roman" w:hint="default"/>
          <w:b/>
          <w:bCs/>
          <w:sz w:val="32"/>
          <w:szCs w:val="32"/>
          <w:lang w:val="en-US" w:eastAsia="zh-CN"/>
        </w:rPr>
        <w:t>宣传。</w:t>
      </w:r>
      <w:r>
        <w:rPr>
          <w:rFonts w:ascii="Times New Roman" w:cs="Times New Roman" w:eastAsia="方正仿宋简体" w:hAnsi="Times New Roman" w:hint="eastAsia"/>
          <w:b/>
          <w:bCs/>
          <w:sz w:val="32"/>
          <w:szCs w:val="32"/>
          <w:lang w:val="en-US" w:eastAsia="zh-CN"/>
        </w:rPr>
        <w:t>各执法部门</w:t>
      </w:r>
      <w:r>
        <w:rPr>
          <w:rFonts w:ascii="Times New Roman" w:cs="Times New Roman" w:eastAsia="方正仿宋简体" w:hAnsi="Times New Roman" w:hint="default"/>
          <w:b/>
          <w:bCs/>
          <w:sz w:val="32"/>
          <w:szCs w:val="32"/>
          <w:lang w:val="en-US" w:eastAsia="zh-CN"/>
        </w:rPr>
        <w:t>在“12.4”宪法</w:t>
      </w:r>
      <w:r>
        <w:rPr>
          <w:rFonts w:ascii="Times New Roman" w:cs="Times New Roman" w:eastAsia="方正仿宋简体" w:hAnsi="Times New Roman" w:hint="eastAsia"/>
          <w:b/>
          <w:bCs/>
          <w:sz w:val="32"/>
          <w:szCs w:val="32"/>
          <w:lang w:val="en-US" w:eastAsia="zh-CN"/>
        </w:rPr>
        <w:t>宣传周</w:t>
      </w:r>
      <w:r>
        <w:rPr>
          <w:rFonts w:ascii="Times New Roman" w:cs="Times New Roman" w:eastAsia="方正仿宋简体" w:hAnsi="Times New Roman" w:hint="default"/>
          <w:b/>
          <w:bCs/>
          <w:sz w:val="32"/>
          <w:szCs w:val="32"/>
          <w:lang w:val="en-US" w:eastAsia="zh-CN"/>
        </w:rPr>
        <w:t>、</w:t>
      </w:r>
      <w:r>
        <w:rPr>
          <w:rFonts w:ascii="Times New Roman" w:cs="Times New Roman" w:eastAsia="方正仿宋简体" w:hAnsi="Times New Roman" w:hint="eastAsia"/>
          <w:b/>
          <w:bCs/>
          <w:sz w:val="32"/>
          <w:szCs w:val="32"/>
          <w:lang w:val="en-US" w:eastAsia="zh-CN"/>
        </w:rPr>
        <w:t>“3.8”妇女权益保护日、“5.1”劳动节</w:t>
      </w:r>
      <w:r>
        <w:rPr>
          <w:rFonts w:ascii="Times New Roman" w:cs="Times New Roman" w:eastAsia="方正仿宋简体" w:hAnsi="Times New Roman" w:hint="default"/>
          <w:b/>
          <w:bCs/>
          <w:sz w:val="32"/>
          <w:szCs w:val="32"/>
          <w:lang w:val="en-US" w:eastAsia="zh-CN"/>
        </w:rPr>
        <w:t>等</w:t>
      </w:r>
      <w:r>
        <w:rPr>
          <w:rFonts w:ascii="Times New Roman" w:cs="Times New Roman" w:eastAsia="方正仿宋简体" w:hAnsi="Times New Roman" w:hint="eastAsia"/>
          <w:b/>
          <w:bCs/>
          <w:sz w:val="32"/>
          <w:szCs w:val="32"/>
          <w:lang w:val="en-US" w:eastAsia="zh-CN"/>
        </w:rPr>
        <w:t>重要时间节点</w:t>
      </w:r>
      <w:r>
        <w:rPr>
          <w:rFonts w:ascii="Times New Roman" w:cs="Times New Roman" w:eastAsia="方正仿宋简体" w:hAnsi="Times New Roman" w:hint="default"/>
          <w:b/>
          <w:bCs/>
          <w:sz w:val="32"/>
          <w:szCs w:val="32"/>
          <w:lang w:val="en-US" w:eastAsia="zh-CN"/>
        </w:rPr>
        <w:t>集中宣传</w:t>
      </w:r>
      <w:r>
        <w:rPr>
          <w:rFonts w:ascii="Times New Roman" w:cs="Times New Roman" w:eastAsia="方正仿宋简体" w:hAnsi="Times New Roman" w:hint="eastAsia"/>
          <w:b/>
          <w:bCs/>
          <w:sz w:val="32"/>
          <w:szCs w:val="32"/>
          <w:lang w:val="en-US" w:eastAsia="zh-CN"/>
        </w:rPr>
        <w:t>48场次</w:t>
      </w:r>
      <w:r>
        <w:rPr>
          <w:rFonts w:ascii="Times New Roman" w:cs="Times New Roman" w:eastAsia="方正仿宋简体" w:hAnsi="Times New Roman" w:hint="default"/>
          <w:b/>
          <w:bCs/>
          <w:sz w:val="32"/>
          <w:szCs w:val="32"/>
          <w:lang w:val="en-US" w:eastAsia="zh-CN"/>
        </w:rPr>
        <w:t>，以</w:t>
      </w:r>
      <w:r>
        <w:rPr>
          <w:rFonts w:ascii="Times New Roman" w:cs="Times New Roman" w:eastAsia="方正仿宋简体" w:hAnsi="Times New Roman" w:hint="eastAsia"/>
          <w:b/>
          <w:bCs/>
          <w:sz w:val="32"/>
          <w:szCs w:val="32"/>
          <w:lang w:val="en-US" w:eastAsia="zh-CN"/>
        </w:rPr>
        <w:t>法治讲座、</w:t>
      </w:r>
      <w:r>
        <w:rPr>
          <w:rFonts w:ascii="Times New Roman" w:cs="Times New Roman" w:eastAsia="方正仿宋简体" w:hAnsi="Times New Roman" w:hint="default"/>
          <w:b/>
          <w:bCs/>
          <w:sz w:val="32"/>
          <w:szCs w:val="32"/>
          <w:lang w:val="en-US" w:eastAsia="zh-CN"/>
        </w:rPr>
        <w:t>发放宣传资料、设置展板的方式对百姓生活息息相关的法律知识进行宣传。二是</w:t>
      </w:r>
      <w:r>
        <w:rPr>
          <w:rFonts w:ascii="Times New Roman" w:cs="Times New Roman" w:eastAsia="方正仿宋简体" w:hAnsi="Times New Roman" w:hint="eastAsia"/>
          <w:b/>
          <w:bCs/>
          <w:sz w:val="32"/>
          <w:szCs w:val="32"/>
          <w:lang w:val="en-US" w:eastAsia="zh-CN"/>
        </w:rPr>
        <w:t>开展线上普法。将《安全生产法》、《劳动法》、《治安管理条例》等常见法律法规内容使用微信公众号、二维码链接的方式，通过网格员宣传到各居民微信群中，利用竞猜、坚持打卡赢奖品等方式引导群众积极学法。三</w:t>
      </w:r>
      <w:r>
        <w:rPr>
          <w:rFonts w:ascii="Times New Roman" w:cs="Times New Roman" w:eastAsia="方正仿宋简体" w:hAnsi="Times New Roman" w:hint="default"/>
          <w:b/>
          <w:bCs/>
          <w:sz w:val="32"/>
          <w:szCs w:val="32"/>
          <w:lang w:val="en-US" w:eastAsia="zh-CN"/>
        </w:rPr>
        <w:t>是执法人员依法依规行使职权。执法人员亮证执法、文明执法。严格协勤人员的准入，进行</w:t>
      </w:r>
      <w:r>
        <w:rPr>
          <w:rFonts w:ascii="Times New Roman" w:cs="Times New Roman" w:eastAsia="方正仿宋简体" w:hAnsi="Times New Roman" w:hint="eastAsia"/>
          <w:b/>
          <w:bCs/>
          <w:sz w:val="32"/>
          <w:szCs w:val="32"/>
          <w:lang w:val="en-US" w:eastAsia="zh-CN"/>
        </w:rPr>
        <w:t>常态化</w:t>
      </w:r>
      <w:r>
        <w:rPr>
          <w:rFonts w:ascii="Times New Roman" w:cs="Times New Roman" w:eastAsia="方正仿宋简体" w:hAnsi="Times New Roman" w:hint="default"/>
          <w:b/>
          <w:bCs/>
          <w:sz w:val="32"/>
          <w:szCs w:val="32"/>
          <w:lang w:val="en-US" w:eastAsia="zh-CN"/>
        </w:rPr>
        <w:t>法律知识考试，全面考察协勤人员的法治素质</w:t>
      </w:r>
      <w:r>
        <w:rPr>
          <w:rFonts w:ascii="Times New Roman" w:cs="Times New Roman" w:eastAsia="方正仿宋简体" w:hAnsi="Times New Roman" w:hint="eastAsia"/>
          <w:b/>
          <w:bCs/>
          <w:sz w:val="32"/>
          <w:szCs w:val="32"/>
          <w:lang w:val="en-US" w:eastAsia="zh-CN"/>
        </w:rPr>
        <w:t>和法律素养</w:t>
      </w:r>
      <w:r>
        <w:rPr>
          <w:rFonts w:ascii="Times New Roman" w:cs="Times New Roman" w:eastAsia="方正仿宋简体" w:hAnsi="Times New Roman" w:hint="default"/>
          <w:b/>
          <w:bCs/>
          <w:sz w:val="32"/>
          <w:szCs w:val="32"/>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560"/>
        <w:ind w:firstLine="643" w:firstLineChars="200"/>
        <w:textAlignment w:val="auto"/>
        <w:rPr>
          <w:rFonts w:ascii="Times New Roman" w:cs="Times New Roman" w:eastAsia="方正仿宋简体" w:hAnsi="Times New Roman" w:hint="default"/>
          <w:b/>
          <w:bCs/>
          <w:sz w:val="32"/>
          <w:szCs w:val="32"/>
          <w:lang w:val="en-US" w:eastAsia="zh-CN"/>
        </w:rPr>
      </w:pPr>
      <w:r>
        <w:rPr>
          <w:rFonts w:ascii="楷体_GB2312" w:cs="楷体_GB2312" w:eastAsia="楷体_GB2312" w:hAnsi="楷体_GB2312" w:hint="eastAsia"/>
          <w:b/>
          <w:sz w:val="32"/>
          <w:szCs w:val="32"/>
          <w:lang w:eastAsia="zh-CN"/>
        </w:rPr>
        <w:t>（四）</w:t>
      </w:r>
      <w:r>
        <w:rPr>
          <w:rFonts w:ascii="楷体_GB2312" w:cs="楷体_GB2312" w:eastAsia="楷体_GB2312" w:hAnsi="楷体_GB2312" w:hint="eastAsia"/>
          <w:b/>
          <w:sz w:val="32"/>
          <w:szCs w:val="32"/>
          <w:lang w:val="en-US" w:eastAsia="zh-CN"/>
        </w:rPr>
        <w:t>严格落实行政执法“三项制度”</w:t>
      </w:r>
      <w:r>
        <w:rPr>
          <w:rFonts w:ascii="楷体_GB2312" w:cs="楷体_GB2312" w:eastAsia="楷体_GB2312" w:hAnsi="楷体_GB2312" w:hint="eastAsia"/>
          <w:b/>
          <w:sz w:val="32"/>
          <w:szCs w:val="32"/>
          <w:lang w:eastAsia="zh-CN"/>
        </w:rPr>
        <w:t>。</w:t>
      </w:r>
      <w:r>
        <w:rPr>
          <w:rFonts w:ascii="Times New Roman" w:cs="Times New Roman" w:eastAsia="方正仿宋简体" w:hAnsi="Times New Roman" w:hint="eastAsia"/>
          <w:b/>
          <w:bCs/>
          <w:sz w:val="32"/>
          <w:szCs w:val="32"/>
          <w:lang w:val="en-US" w:eastAsia="zh-CN"/>
        </w:rPr>
        <w:t>街道现有15名工作人员持有行政执法证，设立法制审核人员2名，严格执法案卷审查。2023年度检查企业和商户4528家次，受应急管理局委托承办行政处罚案件4件，办结2件处罚金额3万元。开展行政执法人员培训5次、案卷评查3次、行政执法监督员随同执法6次。</w:t>
      </w:r>
      <w:r>
        <w:rPr>
          <w:rFonts w:ascii="Times New Roman" w:cs="Times New Roman" w:eastAsia="方正仿宋简体" w:hAnsi="Times New Roman" w:hint="default"/>
          <w:b/>
          <w:bCs/>
          <w:sz w:val="32"/>
          <w:szCs w:val="32"/>
          <w:lang w:val="en-US" w:eastAsia="zh-CN"/>
        </w:rPr>
        <w:t>全年</w:t>
      </w:r>
      <w:r>
        <w:rPr>
          <w:rFonts w:ascii="Times New Roman" w:cs="Times New Roman" w:eastAsia="方正仿宋简体" w:hAnsi="Times New Roman" w:hint="eastAsia"/>
          <w:b/>
          <w:bCs/>
          <w:sz w:val="32"/>
          <w:szCs w:val="32"/>
          <w:lang w:val="en-US" w:eastAsia="zh-CN"/>
        </w:rPr>
        <w:t>无</w:t>
      </w:r>
      <w:r>
        <w:rPr>
          <w:rFonts w:ascii="Times New Roman" w:cs="Times New Roman" w:eastAsia="方正仿宋简体" w:hAnsi="Times New Roman" w:hint="default"/>
          <w:b/>
          <w:bCs/>
          <w:sz w:val="32"/>
          <w:szCs w:val="32"/>
          <w:lang w:val="en-US" w:eastAsia="zh-CN"/>
        </w:rPr>
        <w:t>因野蛮执法、不作为、乱作为而引起的群体性事件发生。未发生违规行政案件</w:t>
      </w:r>
      <w:r>
        <w:rPr>
          <w:rFonts w:ascii="Times New Roman" w:cs="Times New Roman" w:eastAsia="方正仿宋简体" w:hAnsi="Times New Roman" w:hint="eastAsia"/>
          <w:b/>
          <w:bCs/>
          <w:sz w:val="32"/>
          <w:szCs w:val="32"/>
          <w:lang w:val="en-US" w:eastAsia="zh-CN"/>
        </w:rPr>
        <w:t>和</w:t>
      </w:r>
      <w:r>
        <w:rPr>
          <w:rFonts w:ascii="Times New Roman" w:cs="Times New Roman" w:eastAsia="方正仿宋简体" w:hAnsi="Times New Roman" w:hint="default"/>
          <w:b/>
          <w:bCs/>
          <w:sz w:val="32"/>
          <w:szCs w:val="32"/>
          <w:lang w:val="en-US" w:eastAsia="zh-CN"/>
        </w:rPr>
        <w:t>行政执法人员违规违纪案件。</w:t>
      </w:r>
      <w:r>
        <w:rPr>
          <w:rFonts w:ascii="Times New Roman" w:cs="Times New Roman" w:eastAsia="方正仿宋简体" w:hAnsi="Times New Roman" w:hint="eastAsia"/>
          <w:b/>
          <w:bCs/>
          <w:sz w:val="32"/>
          <w:szCs w:val="32"/>
          <w:lang w:val="en-US" w:eastAsia="zh-CN"/>
        </w:rPr>
        <w:t>2名执法人员在县司法局10月底组织的《行政处罚法》考试中取得全县第3名的好成绩。</w:t>
      </w:r>
    </w:p>
    <w:p>
      <w:pPr>
        <w:pStyle w:val="style0"/>
        <w:keepNext w:val="false"/>
        <w:keepLines w:val="false"/>
        <w:widowControl/>
        <w:suppressLineNumbers w:val="false"/>
        <w:ind w:firstLine="643" w:firstLineChars="200"/>
        <w:jc w:val="left"/>
        <w:rPr>
          <w:rFonts w:ascii="Times New Roman" w:cs="Times New Roman" w:eastAsia="方正仿宋简体" w:hAnsi="Times New Roman" w:hint="default"/>
          <w:b/>
          <w:bCs/>
          <w:sz w:val="32"/>
          <w:szCs w:val="32"/>
          <w:lang w:val="en-US" w:eastAsia="zh-CN"/>
        </w:rPr>
      </w:pPr>
      <w:r>
        <w:rPr>
          <w:rFonts w:ascii="楷体_GB2312" w:cs="楷体_GB2312" w:eastAsia="楷体_GB2312" w:hAnsi="楷体_GB2312" w:hint="eastAsia"/>
          <w:b/>
          <w:sz w:val="32"/>
          <w:szCs w:val="32"/>
          <w:lang w:eastAsia="zh-CN"/>
        </w:rPr>
        <w:t>（五）</w:t>
      </w:r>
      <w:r>
        <w:rPr>
          <w:rFonts w:ascii="楷体_GB2312" w:cs="楷体_GB2312" w:eastAsia="楷体_GB2312" w:hAnsi="楷体_GB2312" w:hint="eastAsia"/>
          <w:b/>
          <w:sz w:val="32"/>
          <w:szCs w:val="32"/>
          <w:lang w:val="en-US" w:eastAsia="zh-CN"/>
        </w:rPr>
        <w:t>法律顾问制度、公职律师制度完善。</w:t>
      </w:r>
      <w:r>
        <w:rPr>
          <w:rFonts w:ascii="Times New Roman" w:cs="Times New Roman" w:eastAsia="方正仿宋简体" w:hAnsi="Times New Roman" w:hint="eastAsia"/>
          <w:b/>
          <w:bCs/>
          <w:sz w:val="32"/>
          <w:szCs w:val="32"/>
          <w:lang w:val="en-US" w:eastAsia="zh-CN"/>
        </w:rPr>
        <w:t>认真贯彻“一村（社区）一法律顾问”制度，社区、村法律顾问覆盖率100%，为辖区居民提供法律咨询1600余人次、提供法律援助服务30件</w:t>
      </w:r>
      <w:r>
        <w:rPr>
          <w:rFonts w:cs="Times New Roman" w:eastAsia="方正仿宋简体" w:hint="eastAsia"/>
          <w:b/>
          <w:bCs/>
          <w:sz w:val="32"/>
          <w:szCs w:val="32"/>
          <w:lang w:val="en-US" w:eastAsia="zh-CN"/>
        </w:rPr>
        <w:t>，</w:t>
      </w:r>
      <w:r>
        <w:rPr>
          <w:rFonts w:ascii="Times New Roman" w:cs="Times New Roman" w:eastAsia="方正仿宋简体" w:hAnsi="Times New Roman" w:hint="eastAsia"/>
          <w:b/>
          <w:bCs/>
          <w:sz w:val="32"/>
          <w:szCs w:val="32"/>
          <w:lang w:val="en-US" w:eastAsia="zh-CN"/>
        </w:rPr>
        <w:t>制定</w:t>
      </w:r>
      <w:r>
        <w:rPr>
          <w:rFonts w:cs="Times New Roman" w:eastAsia="方正仿宋简体" w:hint="eastAsia"/>
          <w:b/>
          <w:bCs/>
          <w:sz w:val="32"/>
          <w:szCs w:val="32"/>
          <w:lang w:val="en-US" w:eastAsia="zh-CN"/>
        </w:rPr>
        <w:t>了</w:t>
      </w:r>
      <w:r>
        <w:rPr>
          <w:rFonts w:ascii="Times New Roman" w:cs="Times New Roman" w:eastAsia="方正仿宋简体" w:hAnsi="Times New Roman" w:hint="eastAsia"/>
          <w:b/>
          <w:bCs/>
          <w:sz w:val="32"/>
          <w:szCs w:val="32"/>
          <w:lang w:val="en-US" w:eastAsia="zh-CN"/>
        </w:rPr>
        <w:t>《公职律师工作方案》和《管理办法》。</w:t>
      </w:r>
    </w:p>
    <w:p>
      <w:pPr>
        <w:pStyle w:val="style0"/>
        <w:keepNext w:val="false"/>
        <w:keepLines w:val="false"/>
        <w:widowControl/>
        <w:suppressLineNumbers w:val="false"/>
        <w:ind w:firstLine="643" w:firstLineChars="200"/>
        <w:jc w:val="left"/>
        <w:rPr>
          <w:rFonts w:ascii="Times New Roman" w:cs="Times New Roman" w:eastAsia="方正仿宋简体" w:hAnsi="Times New Roman" w:hint="default"/>
          <w:b/>
          <w:bCs/>
          <w:sz w:val="32"/>
          <w:szCs w:val="32"/>
          <w:lang w:val="en-US" w:eastAsia="zh-CN"/>
        </w:rPr>
      </w:pPr>
      <w:r>
        <w:rPr>
          <w:rFonts w:ascii="Times New Roman" w:cs="Times New Roman" w:eastAsia="方正仿宋简体" w:hAnsi="Times New Roman" w:hint="eastAsia"/>
          <w:b/>
          <w:bCs/>
          <w:sz w:val="32"/>
          <w:szCs w:val="32"/>
          <w:lang w:val="en-US" w:eastAsia="zh-CN"/>
        </w:rPr>
        <w:t>在合法性审查、行政复议、行政应诉、重大决策等工作中坚持“党政一体法律顾问”制度和公职律师参与，2023年度申请使用党政一体法律顾问38人次。行政应诉工作取得较好成绩，全年共22件行政应诉案件，其中受县政府委托承办5件。和解2件，确认行政协议有效6件，胜诉6件，已开庭未判决6件，二审书面审理中2件，无败诉案件，机关负责人出庭应诉率100%。</w:t>
      </w:r>
    </w:p>
    <w:p>
      <w:pPr>
        <w:pStyle w:val="style0"/>
        <w:keepNext w:val="false"/>
        <w:keepLines w:val="false"/>
        <w:pageBreakBefore w:val="false"/>
        <w:widowControl w:val="false"/>
        <w:kinsoku/>
        <w:wordWrap/>
        <w:overflowPunct/>
        <w:topLinePunct w:val="false"/>
        <w:autoSpaceDE w:val="false"/>
        <w:autoSpaceDN/>
        <w:bidi w:val="false"/>
        <w:adjustRightInd w:val="false"/>
        <w:snapToGrid w:val="false"/>
        <w:spacing w:before="0" w:beforeAutospacing="false" w:after="0" w:lineRule="exact" w:line="560"/>
        <w:ind w:firstLine="643" w:firstLineChars="200"/>
        <w:jc w:val="left"/>
        <w:textAlignment w:val="auto"/>
        <w:rPr>
          <w:rFonts w:ascii="Times New Roman" w:cs="Times New Roman" w:eastAsia="方正仿宋简体" w:hAnsi="Times New Roman" w:hint="eastAsia"/>
          <w:b/>
          <w:bCs/>
          <w:sz w:val="32"/>
          <w:szCs w:val="32"/>
          <w:lang w:val="en-US" w:eastAsia="zh-CN"/>
        </w:rPr>
      </w:pPr>
      <w:r>
        <w:rPr>
          <w:rFonts w:ascii="楷体_GB2312" w:cs="楷体_GB2312" w:eastAsia="楷体_GB2312" w:hAnsi="楷体_GB2312" w:hint="eastAsia"/>
          <w:b/>
          <w:sz w:val="32"/>
          <w:szCs w:val="32"/>
          <w:lang w:eastAsia="zh-CN"/>
        </w:rPr>
        <w:t>（六）守牢底线，构建和谐稳定大局。</w:t>
      </w:r>
      <w:r>
        <w:rPr>
          <w:rFonts w:ascii="Times New Roman" w:cs="Times New Roman" w:eastAsia="方正仿宋简体" w:hAnsi="Times New Roman" w:hint="eastAsia"/>
          <w:b/>
          <w:bCs/>
          <w:sz w:val="32"/>
          <w:szCs w:val="32"/>
          <w:lang w:val="en-US" w:eastAsia="zh-CN"/>
        </w:rPr>
        <w:t>一是全力推进警保联控，街道组织辖区内酒店、小区、学校等单位的安保人员265人共设置警保联控执勤点32个，1个警保联控中队。二是大力开展社区戒毒工作，全年共制作宣传条幅100余条，制作宣传版面100余版。掌握吸毒人员19人，社区康复6人，社区戒毒 14人，强戒1人。三是积极做好社区矫正、安置帮教工作，全年共接收社区矫正人员73人，解除54人，接收安置帮教人员88人，解除40人，无脱管、漏管、虚管和重新犯罪现象。四是多措并举处理信访案件，全年共办理信访案件26件，结案20件，上级交办治重化积工作16起，完成10起。建设“红色议事厅”、“和睦嘉议事厅”12处，组建“和睦嘉”小分队80支，开展“五老议事”、“拉呱说事”等微自治活动140次，排查预警矛盾纠纷860件，化解820件，其中重大疑难矛盾纠纷30件。</w:t>
      </w:r>
    </w:p>
    <w:p>
      <w:pPr>
        <w:pStyle w:val="style0"/>
        <w:keepNext w:val="false"/>
        <w:keepLines w:val="false"/>
        <w:pageBreakBefore w:val="false"/>
        <w:widowControl w:val="false"/>
        <w:numPr>
          <w:ilvl w:val="0"/>
          <w:numId w:val="0"/>
        </w:numPr>
        <w:kinsoku/>
        <w:wordWrap/>
        <w:overflowPunct/>
        <w:topLinePunct w:val="false"/>
        <w:autoSpaceDE w:val="false"/>
        <w:autoSpaceDN/>
        <w:bidi w:val="false"/>
        <w:adjustRightInd w:val="false"/>
        <w:snapToGrid w:val="false"/>
        <w:spacing w:before="0" w:beforeAutospacing="false" w:after="0" w:lineRule="exact" w:line="560"/>
        <w:ind w:firstLine="643" w:firstLineChars="200"/>
        <w:jc w:val="left"/>
        <w:textAlignment w:val="auto"/>
        <w:rPr>
          <w:rFonts w:hint="eastAsia"/>
        </w:rPr>
      </w:pPr>
      <w:r>
        <w:rPr>
          <w:rFonts w:ascii="楷体_GB2312" w:cs="楷体_GB2312" w:eastAsia="楷体_GB2312" w:hAnsi="楷体_GB2312" w:hint="eastAsia"/>
          <w:b/>
          <w:sz w:val="32"/>
          <w:szCs w:val="32"/>
          <w:lang w:val="en-US" w:eastAsia="zh-CN"/>
        </w:rPr>
        <w:t>（七）司法所建设及业务开展情况。</w:t>
      </w:r>
      <w:r>
        <w:rPr>
          <w:rFonts w:ascii="Times New Roman" w:cs="Times New Roman" w:eastAsia="方正仿宋简体" w:hAnsi="Times New Roman" w:hint="eastAsia"/>
          <w:b/>
          <w:bCs/>
          <w:sz w:val="32"/>
          <w:szCs w:val="32"/>
          <w:lang w:val="en-US" w:eastAsia="zh-CN"/>
        </w:rPr>
        <w:t>建设200余平方米的“嘉祥街道公共法律服务中心”，设置法律顾问、社区矫正、安置帮教、信访受理、社区戒毒等窗口。司法所提升改造，划分为普法宣传、法律服务、人民调解、特殊人群管理4个功能区，实现了标准化司法所1+4+N功能布局。公开招聘专职人民调解员3名，负责指导、化解信访和矛盾纠纷案件。9月份市司法局领导到街道司法所进行“五星级”验收，对司法所建设工作给予肯定。</w:t>
      </w:r>
    </w:p>
    <w:p>
      <w:pPr>
        <w:pStyle w:val="style0"/>
        <w:spacing w:lineRule="exact" w:line="560"/>
        <w:ind w:firstLine="630" w:firstLineChars="196"/>
        <w:jc w:val="left"/>
        <w:rPr>
          <w:rFonts w:ascii="黑体" w:cs="黑体" w:eastAsia="黑体" w:hAnsi="黑体" w:hint="eastAsia"/>
          <w:b/>
          <w:sz w:val="32"/>
          <w:szCs w:val="32"/>
        </w:rPr>
      </w:pPr>
      <w:r>
        <w:rPr>
          <w:rFonts w:ascii="黑体" w:cs="黑体" w:eastAsia="黑体" w:hAnsi="黑体" w:hint="eastAsia"/>
          <w:b/>
          <w:sz w:val="32"/>
          <w:szCs w:val="32"/>
        </w:rPr>
        <w:t>二、推进法治政府建设存在的不足和原因</w:t>
      </w:r>
    </w:p>
    <w:p>
      <w:pPr>
        <w:pStyle w:val="style0"/>
        <w:keepNext w:val="false"/>
        <w:keepLines w:val="false"/>
        <w:pageBreakBefore w:val="false"/>
        <w:widowControl w:val="false"/>
        <w:numPr>
          <w:ilvl w:val="0"/>
          <w:numId w:val="0"/>
        </w:numPr>
        <w:kinsoku/>
        <w:wordWrap/>
        <w:overflowPunct/>
        <w:topLinePunct w:val="false"/>
        <w:autoSpaceDE w:val="false"/>
        <w:autoSpaceDN/>
        <w:bidi w:val="false"/>
        <w:adjustRightInd w:val="false"/>
        <w:snapToGrid w:val="false"/>
        <w:spacing w:before="0" w:beforeAutospacing="false" w:after="0" w:lineRule="exact" w:line="560"/>
        <w:ind w:firstLine="643" w:firstLineChars="200"/>
        <w:jc w:val="both"/>
        <w:textAlignment w:val="auto"/>
        <w:rPr>
          <w:rFonts w:ascii="微软雅黑" w:cs="微软雅黑" w:eastAsia="微软雅黑" w:hAnsi="微软雅黑" w:hint="eastAsia"/>
          <w:b/>
          <w:bCs/>
          <w:sz w:val="32"/>
          <w:szCs w:val="32"/>
          <w:lang w:eastAsia="zh-CN"/>
        </w:rPr>
      </w:pPr>
      <w:r>
        <w:rPr>
          <w:rFonts w:ascii="Times New Roman" w:cs="Times New Roman" w:eastAsia="方正仿宋简体" w:hAnsi="Times New Roman" w:hint="eastAsia"/>
          <w:b/>
          <w:bCs/>
          <w:sz w:val="32"/>
          <w:szCs w:val="32"/>
          <w:lang w:val="en-US" w:eastAsia="zh-CN"/>
        </w:rPr>
        <w:t>2023年</w:t>
      </w:r>
      <w:r>
        <w:rPr>
          <w:rFonts w:cs="Times New Roman" w:eastAsia="方正仿宋简体" w:hint="eastAsia"/>
          <w:b/>
          <w:bCs/>
          <w:sz w:val="32"/>
          <w:szCs w:val="32"/>
          <w:lang w:val="en-US" w:eastAsia="zh-CN"/>
        </w:rPr>
        <w:t>党政主要负责人</w:t>
      </w:r>
      <w:r>
        <w:rPr>
          <w:rFonts w:ascii="Times New Roman" w:cs="Times New Roman" w:eastAsia="方正仿宋简体" w:hAnsi="Times New Roman" w:hint="eastAsia"/>
          <w:b/>
          <w:bCs/>
          <w:sz w:val="32"/>
          <w:szCs w:val="32"/>
          <w:lang w:val="en-US" w:eastAsia="zh-CN"/>
        </w:rPr>
        <w:t>切实挑起法治政府建设第一责任人职责，依法治理工作取得较好成绩，但也存在一些不足，比如法律法规学习还不够系统深入，运用法律处理疑难复杂问题的能力还需要进一步提升。市级民主法治示范村（社区）法治建设标准不够高，且未达到全覆盖，“谁执法谁普法”普法责任制工作中，街道与双管部门之间的沟通不够顺畅，各双管部门的工作完成质量参差不齐。</w:t>
      </w:r>
    </w:p>
    <w:p>
      <w:pPr>
        <w:pStyle w:val="style0"/>
        <w:spacing w:lineRule="exact" w:line="560"/>
        <w:ind w:firstLine="630" w:firstLineChars="196"/>
        <w:jc w:val="left"/>
        <w:rPr>
          <w:rFonts w:ascii="黑体" w:cs="黑体" w:eastAsia="黑体" w:hAnsi="黑体" w:hint="eastAsia"/>
          <w:b/>
          <w:sz w:val="32"/>
          <w:szCs w:val="32"/>
        </w:rPr>
      </w:pPr>
      <w:r>
        <w:rPr>
          <w:rFonts w:ascii="黑体" w:cs="黑体" w:eastAsia="黑体" w:hAnsi="黑体" w:hint="eastAsia"/>
          <w:b/>
          <w:sz w:val="32"/>
          <w:szCs w:val="32"/>
        </w:rPr>
        <w:t>三、党政主要负责人积极履行推进法治建设第一责任人职责</w:t>
      </w:r>
    </w:p>
    <w:p>
      <w:pPr>
        <w:pStyle w:val="style94"/>
        <w:keepNext w:val="false"/>
        <w:keepLines w:val="false"/>
        <w:pageBreakBefore w:val="false"/>
        <w:widowControl/>
        <w:numPr>
          <w:ilvl w:val="0"/>
          <w:numId w:val="0"/>
        </w:numPr>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right="0" w:rightChars="0" w:firstLine="643" w:firstLineChars="200"/>
        <w:jc w:val="both"/>
        <w:textAlignment w:val="auto"/>
        <w:rPr>
          <w:rFonts w:ascii="Times New Roman" w:cs="Times New Roman" w:eastAsia="方正仿宋简体" w:hAnsi="Times New Roman" w:hint="default"/>
          <w:b/>
          <w:bCs/>
          <w:kern w:val="2"/>
          <w:sz w:val="32"/>
          <w:szCs w:val="32"/>
          <w:lang w:val="en-US" w:bidi="ar-SA" w:eastAsia="zh-CN"/>
        </w:rPr>
      </w:pPr>
      <w:r>
        <w:rPr>
          <w:rFonts w:ascii="楷体_GB2312" w:cs="楷体_GB2312" w:eastAsia="楷体_GB2312" w:hAnsi="楷体_GB2312" w:hint="eastAsia"/>
          <w:b/>
          <w:kern w:val="2"/>
          <w:sz w:val="32"/>
          <w:szCs w:val="32"/>
          <w:lang w:val="en-US" w:bidi="ar-SA" w:eastAsia="zh-CN"/>
        </w:rPr>
        <w:t>（一）</w:t>
      </w:r>
      <w:r>
        <w:rPr>
          <w:rFonts w:ascii="楷体_GB2312" w:cs="楷体_GB2312" w:eastAsia="楷体_GB2312" w:hAnsi="楷体_GB2312" w:hint="default"/>
          <w:b/>
          <w:kern w:val="2"/>
          <w:sz w:val="32"/>
          <w:szCs w:val="32"/>
          <w:lang w:val="en-US" w:bidi="ar-SA" w:eastAsia="zh-CN"/>
        </w:rPr>
        <w:t>提高政治站位，强化责任意识。</w:t>
      </w:r>
      <w:r>
        <w:rPr>
          <w:rFonts w:ascii="Times New Roman" w:cs="Times New Roman" w:eastAsia="方正仿宋简体" w:hAnsi="Times New Roman" w:hint="default"/>
          <w:b/>
          <w:bCs/>
          <w:kern w:val="2"/>
          <w:sz w:val="32"/>
          <w:szCs w:val="32"/>
          <w:lang w:val="en-US" w:bidi="ar-SA" w:eastAsia="zh-CN"/>
        </w:rPr>
        <w:t>认真学习贯彻《习近平谈治国理政》等有关全面依法治国新思想、新战略篇章。组织学习党的二十大精神和省市县有关会议精神，班子成员进行学习体会交流。明确主要负责人的主体责任，分管领导具体抓工作落实做好法治建设各项具体工作。年初制定了《2023年度依法行政工作要点》，明确年度依法行政工作重点。主要负责人积极履行法治政府建设第一责任人职责，对法治建设重要工作亲自部署，重大问题亲自过问，重点环节亲自协调，重要任务亲自督查，把各项工作纳入法治轨道，坚持听取普法和依法行政工作汇报，保障法治工作的开展。</w:t>
      </w:r>
    </w:p>
    <w:p>
      <w:pPr>
        <w:pStyle w:val="style0"/>
        <w:kinsoku w:val="false"/>
        <w:spacing w:lineRule="exact" w:line="560"/>
        <w:ind w:firstLine="643" w:firstLineChars="200"/>
        <w:jc w:val="both"/>
        <w:rPr>
          <w:rFonts w:ascii="Times New Roman" w:cs="Times New Roman" w:eastAsia="方正仿宋简体" w:hAnsi="Times New Roman" w:hint="default"/>
          <w:b/>
          <w:bCs/>
          <w:sz w:val="32"/>
          <w:szCs w:val="32"/>
          <w:lang w:val="en-US" w:eastAsia="zh-CN"/>
        </w:rPr>
      </w:pPr>
      <w:r>
        <w:rPr>
          <w:rFonts w:ascii="楷体_GB2312" w:cs="楷体_GB2312" w:eastAsia="楷体_GB2312" w:hAnsi="楷体_GB2312" w:hint="eastAsia"/>
          <w:b/>
          <w:sz w:val="32"/>
          <w:szCs w:val="32"/>
          <w:lang w:val="en-US" w:eastAsia="zh-CN"/>
        </w:rPr>
        <w:t>（二）</w:t>
      </w:r>
      <w:r>
        <w:rPr>
          <w:rFonts w:ascii="楷体_GB2312" w:cs="楷体_GB2312" w:eastAsia="楷体_GB2312" w:hAnsi="楷体_GB2312" w:hint="default"/>
          <w:b/>
          <w:sz w:val="32"/>
          <w:szCs w:val="32"/>
          <w:lang w:val="en-US" w:eastAsia="zh-CN"/>
        </w:rPr>
        <w:t>持续发力法治阵地建设。</w:t>
      </w:r>
      <w:r>
        <w:rPr>
          <w:rFonts w:ascii="Times New Roman" w:cs="Times New Roman" w:eastAsia="方正仿宋简体" w:hAnsi="Times New Roman" w:hint="default"/>
          <w:b/>
          <w:bCs/>
          <w:sz w:val="32"/>
          <w:szCs w:val="32"/>
          <w:lang w:val="en-US" w:eastAsia="zh-CN"/>
        </w:rPr>
        <w:t>以社区党群服务中心为主阵地，以红帆驿站、党建用房、物业用房等服务场所为辅阵地，打造“一中心多站点”法治阵地，构建“蜂巢式”服务版图。以现有社区党群服务中心为根基，按照重点社区全力打造、特色社区综合提升、一般社区稳步推进等方式打造法治阵地。二是特色协商平台作用凸显。搭建“1+4+N”“四长议事”协商平台。专门设立“四长议事”室，让议事有固定场所。支部牵头、全程参与，解决牵扯面广、利益复杂的问题。投资20余万元建设迎凤社区“法治迎凤·德润人心”品牌，建设建设社区法治教育基地、心理咨询室、人民调解室、戒毒场所和法治广场，代表</w:t>
      </w:r>
      <w:r>
        <w:rPr>
          <w:rFonts w:cs="Times New Roman" w:eastAsia="方正仿宋简体" w:hint="eastAsia"/>
          <w:b/>
          <w:bCs/>
          <w:sz w:val="32"/>
          <w:szCs w:val="32"/>
          <w:lang w:val="en-US" w:eastAsia="zh-CN"/>
        </w:rPr>
        <w:t>嘉祥</w:t>
      </w:r>
      <w:r>
        <w:rPr>
          <w:rFonts w:ascii="Times New Roman" w:cs="Times New Roman" w:eastAsia="方正仿宋简体" w:hAnsi="Times New Roman" w:hint="default"/>
          <w:b/>
          <w:bCs/>
          <w:sz w:val="32"/>
          <w:szCs w:val="32"/>
          <w:lang w:val="en-US" w:eastAsia="zh-CN"/>
        </w:rPr>
        <w:t>县迎接了全市“八五”普法工作中期验收，得到市领导较高评价。</w:t>
      </w:r>
    </w:p>
    <w:p>
      <w:pPr>
        <w:pStyle w:val="style0"/>
        <w:spacing w:lineRule="exact" w:line="560"/>
        <w:ind w:firstLine="630" w:firstLineChars="196"/>
        <w:jc w:val="left"/>
        <w:rPr>
          <w:rFonts w:ascii="Times New Roman" w:cs="Times New Roman" w:eastAsia="方正仿宋简体" w:hAnsi="Times New Roman" w:hint="default"/>
          <w:b/>
          <w:bCs/>
          <w:sz w:val="32"/>
          <w:szCs w:val="32"/>
          <w:lang w:val="en-US" w:eastAsia="zh-CN"/>
        </w:rPr>
      </w:pPr>
      <w:r>
        <w:rPr>
          <w:rFonts w:ascii="楷体_GB2312" w:cs="楷体_GB2312" w:eastAsia="楷体_GB2312" w:hAnsi="楷体_GB2312" w:hint="eastAsia"/>
          <w:b/>
          <w:sz w:val="32"/>
          <w:szCs w:val="32"/>
          <w:lang w:val="en-US" w:eastAsia="zh-CN"/>
        </w:rPr>
        <w:t>（三）</w:t>
      </w:r>
      <w:r>
        <w:rPr>
          <w:rFonts w:ascii="楷体_GB2312" w:cs="楷体_GB2312" w:eastAsia="楷体_GB2312" w:hAnsi="楷体_GB2312" w:hint="default"/>
          <w:b/>
          <w:sz w:val="32"/>
          <w:szCs w:val="32"/>
          <w:lang w:val="en-US" w:eastAsia="zh-CN"/>
        </w:rPr>
        <w:t>行政执法人员、法治素养人员培训常态化。</w:t>
      </w:r>
      <w:r>
        <w:rPr>
          <w:rFonts w:ascii="Times New Roman" w:cs="Times New Roman" w:eastAsia="方正仿宋简体" w:hAnsi="Times New Roman" w:hint="default"/>
          <w:b/>
          <w:bCs/>
          <w:sz w:val="32"/>
          <w:szCs w:val="32"/>
          <w:lang w:val="en-US" w:eastAsia="zh-CN"/>
        </w:rPr>
        <w:t>县委依法治县委员会抽取街道两名行政执法人员参加组织的《行政处罚法》考试全县排名第3，市、县法治素养考试均取得较好成绩，2023年工作人员学法用法考试注册率100%，确保全部通过测试。2024年，嘉祥街道将组织好行政执法案卷评查及行政执法人员的培训，提高行政执法人员法律素养，改变以往不规范执法、野蛮执法的情况。组织法律顾问和公职律师，与街道党政办材料室对接，做好规范性文件合法性审查工作，做到应审尽审。对街道22名法治带头人、66名法律明白人开展常态化“法治带头人”“法律明白人”培训工作常态化，保持好“法律明白人”的学习状态，做到招之能战、战之能胜，并将法治观念融入到社区、村居治理工作中，形成依法治理的思维方式。</w:t>
      </w:r>
    </w:p>
    <w:p>
      <w:pPr>
        <w:pStyle w:val="style0"/>
        <w:keepNext w:val="false"/>
        <w:keepLines w:val="false"/>
        <w:pageBreakBefore w:val="false"/>
        <w:widowControl w:val="false"/>
        <w:numPr>
          <w:ilvl w:val="0"/>
          <w:numId w:val="0"/>
        </w:numPr>
        <w:kinsoku/>
        <w:wordWrap/>
        <w:overflowPunct/>
        <w:topLinePunct w:val="false"/>
        <w:autoSpaceDE w:val="false"/>
        <w:autoSpaceDN/>
        <w:bidi w:val="false"/>
        <w:adjustRightInd w:val="false"/>
        <w:snapToGrid w:val="false"/>
        <w:spacing w:before="0" w:beforeAutospacing="false" w:after="0" w:lineRule="exact" w:line="560"/>
        <w:ind w:firstLine="643" w:firstLineChars="200"/>
        <w:jc w:val="both"/>
        <w:textAlignment w:val="auto"/>
        <w:rPr>
          <w:rFonts w:hint="default"/>
          <w:lang w:val="en-US" w:eastAsia="zh-CN"/>
        </w:rPr>
      </w:pPr>
      <w:r>
        <w:rPr>
          <w:rFonts w:ascii="楷体_GB2312" w:cs="楷体_GB2312" w:eastAsia="楷体_GB2312" w:hAnsi="楷体_GB2312" w:hint="eastAsia"/>
          <w:b/>
          <w:sz w:val="32"/>
          <w:szCs w:val="32"/>
          <w:lang w:val="en-US" w:eastAsia="zh-CN"/>
        </w:rPr>
        <w:t>（四）</w:t>
      </w:r>
      <w:r>
        <w:rPr>
          <w:rFonts w:ascii="楷体_GB2312" w:cs="楷体_GB2312" w:eastAsia="楷体_GB2312" w:hAnsi="楷体_GB2312" w:hint="default"/>
          <w:b/>
          <w:sz w:val="32"/>
          <w:szCs w:val="32"/>
          <w:lang w:val="en-US" w:eastAsia="zh-CN"/>
        </w:rPr>
        <w:t>积极开展行政应诉工作。</w:t>
      </w:r>
      <w:r>
        <w:rPr>
          <w:rFonts w:ascii="Times New Roman" w:cs="Times New Roman" w:eastAsia="方正仿宋简体" w:hAnsi="Times New Roman" w:hint="default"/>
          <w:b/>
          <w:bCs/>
          <w:sz w:val="32"/>
          <w:szCs w:val="32"/>
          <w:lang w:val="en-US" w:eastAsia="zh-CN"/>
        </w:rPr>
        <w:t>嘉祥街道在2022年的行政诉讼案件为7件，2023年的22件，存在行政诉讼案件增多的情况。2023年11月底召开了2023年依法治街委员会第二次全体会议，集中研究了本年度的行政诉讼案件。22件均是因征地拆迁引起的房屋征补案，其中和解2件、确认行政协议有效6件、胜诉6件、已开庭未判决6件、二审书面审理中2件，无败诉。减少案件数量和确保胜诉率，一是完善征地拆迁程序，广泛听取群众代表意见，制定科学的补偿方案。二是征地拆迁工作中坚持法律顾问和公职律师全程参与，把“预防”作为工作核心，通过法律顾问在重大决策、行政行为作出前进行法律论证，提供法律意见和建议，改变以往亡羊补牢的被动局面。三是在审前化解纠纷，将调解工作前置于立案阶段，争取法律效果与社会效果的最佳统一。四是加强与各县法院机关的沟通，听取诉讼案件的意见建议，积极落实，确保2024年无败诉。</w:t>
      </w:r>
    </w:p>
    <w:p>
      <w:pPr>
        <w:pStyle w:val="style0"/>
        <w:spacing w:lineRule="exact" w:line="560"/>
        <w:ind w:firstLine="630" w:firstLineChars="196"/>
        <w:jc w:val="left"/>
        <w:rPr>
          <w:rFonts w:ascii="黑体" w:cs="黑体" w:eastAsia="黑体" w:hAnsi="黑体" w:hint="eastAsia"/>
          <w:b/>
          <w:sz w:val="32"/>
          <w:szCs w:val="32"/>
        </w:rPr>
      </w:pPr>
      <w:r>
        <w:rPr>
          <w:rFonts w:ascii="黑体" w:cs="黑体" w:eastAsia="黑体" w:hAnsi="黑体" w:hint="eastAsia"/>
          <w:b/>
          <w:sz w:val="32"/>
          <w:szCs w:val="32"/>
        </w:rPr>
        <w:t>四、下一年度推进法治政府建设的主要安排</w:t>
      </w:r>
    </w:p>
    <w:p>
      <w:pPr>
        <w:pStyle w:val="style0"/>
        <w:keepNext w:val="false"/>
        <w:keepLines w:val="false"/>
        <w:pageBreakBefore w:val="false"/>
        <w:widowControl w:val="false"/>
        <w:numPr>
          <w:ilvl w:val="0"/>
          <w:numId w:val="0"/>
        </w:numPr>
        <w:kinsoku/>
        <w:wordWrap/>
        <w:overflowPunct/>
        <w:topLinePunct w:val="false"/>
        <w:autoSpaceDE w:val="false"/>
        <w:autoSpaceDN/>
        <w:bidi w:val="false"/>
        <w:adjustRightInd w:val="false"/>
        <w:snapToGrid w:val="false"/>
        <w:spacing w:before="0" w:beforeAutospacing="false" w:after="0" w:lineRule="exact" w:line="560"/>
        <w:ind w:firstLine="643" w:firstLineChars="200"/>
        <w:jc w:val="both"/>
        <w:textAlignment w:val="auto"/>
        <w:rPr>
          <w:rFonts w:ascii="Times New Roman" w:cs="Times New Roman" w:eastAsia="方正仿宋简体" w:hAnsi="Times New Roman" w:hint="eastAsia"/>
          <w:b/>
          <w:bCs/>
          <w:sz w:val="32"/>
          <w:szCs w:val="32"/>
          <w:lang w:val="en-US" w:eastAsia="zh-CN"/>
        </w:rPr>
      </w:pPr>
      <w:r>
        <w:rPr>
          <w:rFonts w:ascii="Times New Roman" w:cs="Times New Roman" w:eastAsia="方正仿宋简体" w:hAnsi="Times New Roman" w:hint="default"/>
          <w:b/>
          <w:bCs/>
          <w:sz w:val="32"/>
          <w:szCs w:val="32"/>
          <w:lang w:val="en-US" w:eastAsia="zh-CN"/>
        </w:rPr>
        <w:t>一是强化担当，压实法治建设责任。坚持以习近平新时代中国特色社会主义思想为指导，认真学习贯彻党的二十大精神，认真贯彻落实主要负责人法治建设第一责任人职责和班子成员“一岗双责”，全面落实细化分解县委县政府制定的年度法治政府建设的重点工作任务，压紧压实责任，把法治建设工作融入到日常工作中来抓落实。二</w:t>
      </w:r>
      <w:r>
        <w:rPr>
          <w:rFonts w:cs="Times New Roman" w:eastAsia="方正仿宋简体" w:hint="eastAsia"/>
          <w:b/>
          <w:bCs/>
          <w:sz w:val="32"/>
          <w:szCs w:val="32"/>
          <w:lang w:val="en-US" w:eastAsia="zh-CN"/>
        </w:rPr>
        <w:t>是</w:t>
      </w:r>
      <w:r>
        <w:rPr>
          <w:rFonts w:ascii="Times New Roman" w:cs="Times New Roman" w:eastAsia="方正仿宋简体" w:hAnsi="Times New Roman" w:hint="default"/>
          <w:b/>
          <w:bCs/>
          <w:sz w:val="32"/>
          <w:szCs w:val="32"/>
          <w:lang w:val="en-US" w:eastAsia="zh-CN"/>
        </w:rPr>
        <w:t>坚持以营造遵法学法守法用法良好社会氛围为普法实践重心,集中开展党章、准则、条例等党内法规的学习宣传活动,推动实现党内法规宣传的常态化、制度化,注重党内法规宣传与国家法律法规宣传的衔接和协调,教育引导全体机关干部做党章党规党纪和国家法律的自觉尊崇者、模范遵守者、坚定捍卫者。</w:t>
      </w:r>
      <w:r>
        <w:rPr>
          <w:rFonts w:cs="Times New Roman" w:eastAsia="方正仿宋简体" w:hint="eastAsia"/>
          <w:b/>
          <w:bCs/>
          <w:sz w:val="32"/>
          <w:szCs w:val="32"/>
          <w:lang w:val="en-US" w:eastAsia="zh-CN"/>
        </w:rPr>
        <w:t>三是</w:t>
      </w:r>
      <w:r>
        <w:rPr>
          <w:rFonts w:ascii="Times New Roman" w:cs="Times New Roman" w:eastAsia="方正仿宋简体" w:hAnsi="Times New Roman" w:hint="eastAsia"/>
          <w:b/>
          <w:bCs/>
          <w:sz w:val="32"/>
          <w:szCs w:val="32"/>
          <w:lang w:val="en-US" w:eastAsia="zh-CN"/>
        </w:rPr>
        <w:t>实现民主法治示范村（社区）全覆盖，通过法治讲座、座谈等方式进一步提升群众的法治观念，在辖区内形成依法治理的法治氛围。</w:t>
      </w:r>
      <w:r>
        <w:rPr>
          <w:rFonts w:cs="Times New Roman" w:eastAsia="方正仿宋简体" w:hint="eastAsia"/>
          <w:b/>
          <w:bCs/>
          <w:sz w:val="32"/>
          <w:szCs w:val="32"/>
          <w:lang w:val="en-US" w:eastAsia="zh-CN"/>
        </w:rPr>
        <w:t>四是</w:t>
      </w:r>
      <w:r>
        <w:rPr>
          <w:rFonts w:ascii="Times New Roman" w:cs="Times New Roman" w:eastAsia="方正仿宋简体" w:hAnsi="Times New Roman" w:hint="eastAsia"/>
          <w:b/>
          <w:bCs/>
          <w:sz w:val="32"/>
          <w:szCs w:val="32"/>
          <w:lang w:val="en-US" w:eastAsia="zh-CN"/>
        </w:rPr>
        <w:t>加强行政执法案卷评查及行政执法人员的培训，提高行政执法人员的法治素养。组织法律顾问和公职律师进一步做好规范性文件合法性审查工作。</w:t>
      </w:r>
    </w:p>
    <w:p>
      <w:pPr>
        <w:pStyle w:val="style0"/>
        <w:keepNext w:val="false"/>
        <w:keepLines w:val="false"/>
        <w:pageBreakBefore w:val="false"/>
        <w:widowControl w:val="false"/>
        <w:numPr>
          <w:ilvl w:val="0"/>
          <w:numId w:val="0"/>
        </w:numPr>
        <w:kinsoku/>
        <w:wordWrap/>
        <w:overflowPunct/>
        <w:topLinePunct w:val="false"/>
        <w:autoSpaceDE w:val="false"/>
        <w:autoSpaceDN/>
        <w:bidi w:val="false"/>
        <w:adjustRightInd w:val="false"/>
        <w:snapToGrid w:val="false"/>
        <w:spacing w:before="0" w:beforeAutospacing="false" w:after="0" w:lineRule="exact" w:line="560"/>
        <w:jc w:val="both"/>
        <w:textAlignment w:val="auto"/>
        <w:rPr>
          <w:rFonts w:ascii="Times New Roman" w:cs="Times New Roman" w:eastAsia="方正仿宋简体" w:hAnsi="Times New Roman" w:hint="eastAsia"/>
          <w:b/>
          <w:bCs/>
          <w:sz w:val="32"/>
          <w:szCs w:val="32"/>
          <w:lang w:val="en-US" w:eastAsia="zh-CN"/>
        </w:rPr>
      </w:pPr>
      <w:r>
        <w:rPr>
          <w:rFonts w:cs="Times New Roman" w:eastAsia="方正仿宋简体" w:hint="eastAsia"/>
          <w:b/>
          <w:bCs/>
          <w:sz w:val="32"/>
          <w:szCs w:val="32"/>
          <w:lang w:val="en-US" w:eastAsia="zh-CN"/>
        </w:rPr>
        <w:t>五是</w:t>
      </w:r>
      <w:r>
        <w:rPr>
          <w:rFonts w:ascii="Times New Roman" w:cs="Times New Roman" w:eastAsia="方正仿宋简体" w:hAnsi="Times New Roman" w:hint="eastAsia"/>
          <w:b/>
          <w:bCs/>
          <w:sz w:val="32"/>
          <w:szCs w:val="32"/>
          <w:lang w:val="en-US" w:eastAsia="zh-CN"/>
        </w:rPr>
        <w:t>强化新提拔科级干部、新招录公务员、行政执法人员及法律明白人的培训，确保法治素养测试取得较好成绩。</w:t>
      </w:r>
    </w:p>
    <w:p>
      <w:pPr>
        <w:pStyle w:val="style0"/>
        <w:keepNext w:val="false"/>
        <w:keepLines w:val="false"/>
        <w:pageBreakBefore w:val="false"/>
        <w:widowControl w:val="false"/>
        <w:numPr>
          <w:ilvl w:val="0"/>
          <w:numId w:val="0"/>
        </w:numPr>
        <w:kinsoku/>
        <w:wordWrap/>
        <w:overflowPunct/>
        <w:topLinePunct w:val="false"/>
        <w:autoSpaceDE w:val="false"/>
        <w:autoSpaceDN/>
        <w:bidi w:val="false"/>
        <w:adjustRightInd w:val="false"/>
        <w:snapToGrid w:val="false"/>
        <w:spacing w:before="0" w:beforeAutospacing="false" w:after="0" w:lineRule="exact" w:line="560"/>
        <w:ind w:firstLine="643" w:firstLineChars="200"/>
        <w:jc w:val="both"/>
        <w:textAlignment w:val="auto"/>
        <w:rPr>
          <w:rFonts w:ascii="Times New Roman" w:cs="Times New Roman" w:eastAsia="方正仿宋简体" w:hAnsi="Times New Roman" w:hint="eastAsia"/>
          <w:b/>
          <w:bCs/>
          <w:sz w:val="32"/>
          <w:szCs w:val="32"/>
          <w:lang w:val="en-US" w:eastAsia="zh-CN"/>
        </w:rPr>
      </w:pPr>
    </w:p>
    <w:p>
      <w:pPr>
        <w:pStyle w:val="style0"/>
        <w:keepNext w:val="false"/>
        <w:keepLines w:val="false"/>
        <w:pageBreakBefore w:val="false"/>
        <w:widowControl w:val="false"/>
        <w:numPr>
          <w:ilvl w:val="0"/>
          <w:numId w:val="0"/>
        </w:numPr>
        <w:kinsoku/>
        <w:wordWrap/>
        <w:overflowPunct/>
        <w:topLinePunct w:val="false"/>
        <w:autoSpaceDE w:val="false"/>
        <w:autoSpaceDN/>
        <w:bidi w:val="false"/>
        <w:adjustRightInd w:val="false"/>
        <w:snapToGrid w:val="false"/>
        <w:spacing w:before="0" w:beforeAutospacing="false" w:after="0" w:lineRule="exact" w:line="560"/>
        <w:ind w:firstLine="643" w:firstLineChars="200"/>
        <w:jc w:val="both"/>
        <w:textAlignment w:val="auto"/>
        <w:rPr>
          <w:rFonts w:ascii="Times New Roman" w:cs="Times New Roman" w:eastAsia="方正仿宋简体" w:hAnsi="Times New Roman" w:hint="eastAsia"/>
          <w:b/>
          <w:bCs/>
          <w:sz w:val="32"/>
          <w:szCs w:val="32"/>
          <w:lang w:val="en-US" w:eastAsia="zh-CN"/>
        </w:rPr>
      </w:pPr>
      <w:r>
        <w:rPr>
          <w:rFonts w:ascii="Times New Roman" w:cs="Times New Roman" w:eastAsia="方正仿宋简体" w:hAnsi="Times New Roman" w:hint="eastAsia"/>
          <w:b/>
          <w:bCs/>
          <w:sz w:val="32"/>
          <w:szCs w:val="32"/>
          <w:lang w:val="en-US" w:eastAsia="zh-CN"/>
        </w:rPr>
        <w:t>在今后的工作中，</w:t>
      </w:r>
      <w:r>
        <w:rPr>
          <w:rFonts w:cs="Times New Roman" w:eastAsia="方正仿宋简体" w:hint="eastAsia"/>
          <w:b/>
          <w:bCs/>
          <w:sz w:val="32"/>
          <w:szCs w:val="32"/>
          <w:lang w:val="en-US" w:eastAsia="zh-CN"/>
        </w:rPr>
        <w:t>嘉祥街道</w:t>
      </w:r>
      <w:r>
        <w:rPr>
          <w:rFonts w:ascii="Times New Roman" w:cs="Times New Roman" w:eastAsia="方正仿宋简体" w:hAnsi="Times New Roman" w:hint="eastAsia"/>
          <w:b/>
          <w:bCs/>
          <w:sz w:val="32"/>
          <w:szCs w:val="32"/>
          <w:lang w:val="en-US" w:eastAsia="zh-CN"/>
        </w:rPr>
        <w:t xml:space="preserve">将不断创新工作方法，提高领导能力，坚持学法守法用法，依法办事，依法行政，坚决扛起法治建设第一责任人职责，为“强富和美”新嘉祥、法治嘉祥街道建设努力奋斗。  </w:t>
      </w:r>
    </w:p>
    <w:p>
      <w:pPr>
        <w:pStyle w:val="style0"/>
        <w:keepNext w:val="false"/>
        <w:keepLines w:val="false"/>
        <w:pageBreakBefore w:val="false"/>
        <w:widowControl w:val="false"/>
        <w:numPr>
          <w:ilvl w:val="0"/>
          <w:numId w:val="0"/>
        </w:numPr>
        <w:kinsoku/>
        <w:wordWrap/>
        <w:overflowPunct/>
        <w:topLinePunct w:val="false"/>
        <w:autoSpaceDE w:val="false"/>
        <w:autoSpaceDN/>
        <w:bidi w:val="false"/>
        <w:adjustRightInd w:val="false"/>
        <w:snapToGrid w:val="false"/>
        <w:spacing w:before="0" w:beforeAutospacing="false" w:after="0" w:lineRule="exact" w:line="560"/>
        <w:ind w:firstLine="643" w:firstLineChars="200"/>
        <w:jc w:val="both"/>
        <w:textAlignment w:val="auto"/>
        <w:rPr>
          <w:rFonts w:ascii="Times New Roman" w:cs="Times New Roman" w:eastAsia="方正仿宋简体" w:hAnsi="Times New Roman" w:hint="eastAsia"/>
          <w:b/>
          <w:bCs/>
          <w:sz w:val="32"/>
          <w:szCs w:val="32"/>
          <w:lang w:val="en-US" w:eastAsia="zh-CN"/>
        </w:rPr>
      </w:pPr>
      <w:r>
        <w:rPr>
          <w:rFonts w:ascii="Times New Roman" w:cs="Times New Roman" w:eastAsia="方正仿宋简体" w:hAnsi="Times New Roman" w:hint="default"/>
          <w:b/>
          <w:bCs/>
          <w:sz w:val="32"/>
          <w:szCs w:val="32"/>
          <w:lang w:val="en-US" w:eastAsia="zh-CN"/>
        </w:rPr>
        <w:t>(主动公开)</w:t>
      </w:r>
    </w:p>
    <w:p>
      <w:pPr>
        <w:pStyle w:val="style0"/>
        <w:spacing w:lineRule="exact" w:line="560"/>
        <w:ind w:firstLine="630" w:firstLineChars="196"/>
        <w:jc w:val="left"/>
        <w:rPr>
          <w:rFonts w:ascii="仿宋_GB2312" w:eastAsia="仿宋_GB2312" w:hint="eastAsia"/>
          <w:b/>
          <w:sz w:val="32"/>
          <w:szCs w:val="32"/>
        </w:rPr>
      </w:pPr>
    </w:p>
    <w:p>
      <w:pPr>
        <w:pStyle w:val="style0"/>
        <w:spacing w:lineRule="exact" w:line="560"/>
        <w:ind w:firstLine="157" w:firstLineChars="49"/>
        <w:jc w:val="left"/>
        <w:rPr>
          <w:rFonts w:ascii="仿宋_GB2312" w:eastAsia="仿宋_GB2312"/>
          <w:b/>
          <w:sz w:val="32"/>
          <w:szCs w:val="32"/>
        </w:rPr>
      </w:pPr>
      <w:r>
        <w:rPr>
          <w:rFonts w:ascii="仿宋_GB2312" w:eastAsia="仿宋_GB2312" w:hint="eastAsia"/>
          <w:b/>
          <w:sz w:val="32"/>
          <w:szCs w:val="32"/>
        </w:rPr>
        <w:t>　</w:t>
      </w:r>
      <w:bookmarkStart w:id="0" w:name="_GoBack"/>
      <w:bookmarkEnd w:id="0"/>
    </w:p>
    <w:p>
      <w:pPr>
        <w:pStyle w:val="style0"/>
        <w:spacing w:lineRule="exact" w:line="560"/>
        <w:ind w:firstLine="157" w:firstLineChars="49"/>
        <w:jc w:val="left"/>
        <w:rPr>
          <w:rFonts w:ascii="仿宋_GB2312" w:eastAsia="仿宋_GB2312"/>
          <w:b/>
          <w:sz w:val="32"/>
          <w:szCs w:val="32"/>
        </w:rPr>
      </w:pPr>
    </w:p>
    <w:p>
      <w:pPr>
        <w:pStyle w:val="style0"/>
        <w:spacing w:lineRule="exact" w:line="560"/>
        <w:ind w:firstLine="157" w:firstLineChars="49"/>
        <w:jc w:val="left"/>
        <w:rPr>
          <w:rFonts w:ascii="仿宋_GB2312" w:eastAsia="仿宋_GB2312"/>
          <w:b/>
          <w:sz w:val="32"/>
          <w:szCs w:val="32"/>
        </w:rPr>
      </w:pPr>
      <w:r>
        <w:rPr>
          <w:rFonts w:ascii="仿宋_GB2312" w:eastAsia="仿宋_GB2312" w:hint="eastAsia"/>
          <w:b/>
          <w:sz w:val="32"/>
          <w:szCs w:val="32"/>
        </w:rPr>
        <w:t>中共嘉祥县嘉祥街道工作委员会    嘉祥县嘉祥街道办事处</w:t>
      </w:r>
    </w:p>
    <w:p>
      <w:pPr>
        <w:pStyle w:val="style0"/>
        <w:spacing w:lineRule="exact" w:line="560"/>
        <w:ind w:firstLine="790" w:firstLineChars="246"/>
        <w:jc w:val="left"/>
        <w:rPr>
          <w:rFonts w:ascii="仿宋_GB2312" w:eastAsia="仿宋_GB2312"/>
          <w:b/>
          <w:sz w:val="32"/>
          <w:szCs w:val="32"/>
        </w:rPr>
      </w:pPr>
      <w:r>
        <w:rPr>
          <w:rFonts w:ascii="仿宋_GB2312" w:eastAsia="仿宋_GB2312" w:hint="eastAsia"/>
          <w:b/>
          <w:sz w:val="32"/>
          <w:szCs w:val="32"/>
        </w:rPr>
        <w:t>202</w:t>
      </w:r>
      <w:r>
        <w:rPr>
          <w:rFonts w:ascii="仿宋_GB2312" w:eastAsia="仿宋_GB2312" w:hint="eastAsia"/>
          <w:b/>
          <w:sz w:val="32"/>
          <w:szCs w:val="32"/>
          <w:lang w:val="en-US" w:eastAsia="zh-CN"/>
        </w:rPr>
        <w:t>4</w:t>
      </w:r>
      <w:r>
        <w:rPr>
          <w:rFonts w:ascii="仿宋_GB2312" w:eastAsia="仿宋_GB2312" w:hint="eastAsia"/>
          <w:b/>
          <w:sz w:val="32"/>
          <w:szCs w:val="32"/>
        </w:rPr>
        <w:t>年</w:t>
      </w:r>
      <w:r>
        <w:rPr>
          <w:rFonts w:ascii="仿宋_GB2312" w:eastAsia="仿宋_GB2312" w:hint="eastAsia"/>
          <w:b/>
          <w:sz w:val="32"/>
          <w:szCs w:val="32"/>
          <w:lang w:val="en-US" w:eastAsia="zh-CN"/>
        </w:rPr>
        <w:t>1</w:t>
      </w:r>
      <w:r>
        <w:rPr>
          <w:rFonts w:ascii="仿宋_GB2312" w:eastAsia="仿宋_GB2312" w:hint="eastAsia"/>
          <w:b/>
          <w:sz w:val="32"/>
          <w:szCs w:val="32"/>
        </w:rPr>
        <w:t>月</w:t>
      </w:r>
      <w:r>
        <w:rPr>
          <w:rFonts w:ascii="仿宋_GB2312" w:eastAsia="仿宋_GB2312" w:hint="eastAsia"/>
          <w:b/>
          <w:sz w:val="32"/>
          <w:szCs w:val="32"/>
          <w:lang w:val="en-US" w:eastAsia="zh-CN"/>
        </w:rPr>
        <w:t>19</w:t>
      </w:r>
      <w:r>
        <w:rPr>
          <w:rFonts w:ascii="仿宋_GB2312" w:eastAsia="仿宋_GB2312" w:hint="eastAsia"/>
          <w:b/>
          <w:sz w:val="32"/>
          <w:szCs w:val="32"/>
        </w:rPr>
        <w:t>日               202</w:t>
      </w:r>
      <w:r>
        <w:rPr>
          <w:rFonts w:ascii="仿宋_GB2312" w:eastAsia="仿宋_GB2312" w:hint="eastAsia"/>
          <w:b/>
          <w:sz w:val="32"/>
          <w:szCs w:val="32"/>
          <w:lang w:val="en-US" w:eastAsia="zh-CN"/>
        </w:rPr>
        <w:t>4</w:t>
      </w:r>
      <w:r>
        <w:rPr>
          <w:rFonts w:ascii="仿宋_GB2312" w:eastAsia="仿宋_GB2312" w:hint="eastAsia"/>
          <w:b/>
          <w:sz w:val="32"/>
          <w:szCs w:val="32"/>
        </w:rPr>
        <w:t>年</w:t>
      </w:r>
      <w:r>
        <w:rPr>
          <w:rFonts w:ascii="仿宋_GB2312" w:eastAsia="仿宋_GB2312" w:hint="eastAsia"/>
          <w:b/>
          <w:sz w:val="32"/>
          <w:szCs w:val="32"/>
          <w:lang w:val="en-US" w:eastAsia="zh-CN"/>
        </w:rPr>
        <w:t>1</w:t>
      </w:r>
      <w:r>
        <w:rPr>
          <w:rFonts w:ascii="仿宋_GB2312" w:eastAsia="仿宋_GB2312" w:hint="eastAsia"/>
          <w:b/>
          <w:sz w:val="32"/>
          <w:szCs w:val="32"/>
        </w:rPr>
        <w:t>月</w:t>
      </w:r>
      <w:r>
        <w:rPr>
          <w:rFonts w:ascii="仿宋_GB2312" w:eastAsia="仿宋_GB2312" w:hint="eastAsia"/>
          <w:b/>
          <w:sz w:val="32"/>
          <w:szCs w:val="32"/>
          <w:lang w:val="en-US" w:eastAsia="zh-CN"/>
        </w:rPr>
        <w:t>19</w:t>
      </w:r>
      <w:r>
        <w:rPr>
          <w:rFonts w:ascii="仿宋_GB2312" w:eastAsia="仿宋_GB2312" w:hint="eastAsia"/>
          <w:b/>
          <w:sz w:val="32"/>
          <w:szCs w:val="32"/>
        </w:rPr>
        <w:t>日</w:t>
      </w:r>
    </w:p>
    <w:p>
      <w:pPr>
        <w:pStyle w:val="style0"/>
        <w:spacing w:lineRule="exact" w:line="560"/>
        <w:ind w:firstLine="630" w:firstLineChars="196"/>
        <w:jc w:val="left"/>
        <w:rPr>
          <w:rFonts w:ascii="仿宋_GB2312" w:eastAsia="仿宋_GB2312"/>
          <w:b/>
          <w:sz w:val="32"/>
          <w:szCs w:val="32"/>
        </w:rPr>
      </w:pPr>
    </w:p>
    <w:p>
      <w:pPr>
        <w:pStyle w:val="style0"/>
        <w:spacing w:lineRule="exact" w:line="560"/>
        <w:ind w:firstLine="630" w:firstLineChars="196"/>
        <w:jc w:val="left"/>
        <w:rPr>
          <w:rFonts w:ascii="仿宋_GB2312" w:eastAsia="仿宋_GB2312"/>
          <w:b/>
          <w:sz w:val="32"/>
          <w:szCs w:val="32"/>
        </w:rPr>
      </w:pPr>
    </w:p>
    <w:p>
      <w:pPr>
        <w:pStyle w:val="style78"/>
        <w:spacing w:after="0"/>
        <w:ind w:firstLine="0" w:firstLineChars="0"/>
        <w:rPr>
          <w:rFonts w:ascii="仿宋_GB2312" w:eastAsia="仿宋_GB2312" w:hint="eastAsia"/>
          <w:b/>
          <w:sz w:val="32"/>
          <w:szCs w:val="32"/>
        </w:rPr>
      </w:pPr>
    </w:p>
    <w:sectPr>
      <w:footerReference w:type="even" r:id="rId2"/>
      <w:footerReference w:type="default" r:id="rId3"/>
      <w:pgSz w:w="11906" w:h="16838" w:orient="portrait"/>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AFF" w:usb1="C0007841" w:usb2="00000009" w:usb3="00000000" w:csb0="400001FF" w:csb1="FFFF0000"/>
  </w:font>
  <w:font w:name="宋体">
    <w:altName w:val="宋体"/>
    <w:panose1 w:val="02010600030001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10002FF" w:usb1="4000ACFF" w:usb2="00000009" w:usb3="00000000" w:csb0="2000019F" w:csb1="00000000"/>
  </w:font>
  <w:font w:name="Verdana">
    <w:altName w:val="Verdana"/>
    <w:panose1 w:val="020b0604030005040204"/>
    <w:charset w:val="00"/>
    <w:family w:val="auto"/>
    <w:pitch w:val="default"/>
    <w:sig w:usb0="A10006FF" w:usb1="4000205B" w:usb2="00000010" w:usb3="00000000" w:csb0="2000019F" w:csb1="00000000"/>
  </w:font>
  <w:font w:name="Microsoft JhengHei">
    <w:altName w:val="Microsoft JhengHei"/>
    <w:panose1 w:val="020b0604030005040204"/>
    <w:charset w:val="88"/>
    <w:family w:val="swiss"/>
    <w:pitch w:val="default"/>
    <w:sig w:usb0="00000087" w:usb1="28AF4000" w:usb2="00000016" w:usb3="00000000" w:csb0="00100009" w:csb1="00000000"/>
  </w:font>
  <w:font w:name="仿宋_GB2312">
    <w:altName w:val="仿宋"/>
    <w:panose1 w:val="02010609030001010101"/>
    <w:charset w:val="86"/>
    <w:family w:val="modern"/>
    <w:pitch w:val="default"/>
    <w:sig w:usb0="00000000" w:usb1="00000000" w:usb2="00000000" w:usb3="00000000" w:csb0="00040000" w:csb1="00000000"/>
  </w:font>
  <w:font w:name="创艺简标宋">
    <w:altName w:val="Times New Roman"/>
    <w:panose1 w:val="00000000000000000000"/>
    <w:charset w:val="00"/>
    <w:family w:val="auto"/>
    <w:pitch w:val="default"/>
    <w:sig w:usb0="00000000" w:usb1="00000000" w:usb2="00000000" w:usb3="00000000" w:csb0="00040001" w:csb1="00000000"/>
  </w:font>
  <w:font w:name="楷体_GB2312">
    <w:altName w:val="楷体"/>
    <w:panose1 w:val="02010609030001010101"/>
    <w:charset w:val="86"/>
    <w:family w:val="modern"/>
    <w:pitch w:val="default"/>
    <w:sig w:usb0="00000000" w:usb1="00000000" w:usb2="00000000" w:usb3="00000000" w:csb0="00040000" w:csb1="00000000"/>
  </w:font>
  <w:font w:name="方正小标宋简体">
    <w:altName w:val="方正小标宋简体"/>
    <w:panose1 w:val="03000509000000000000"/>
    <w:charset w:val="86"/>
    <w:family w:val="script"/>
    <w:pitch w:val="default"/>
    <w:sig w:usb0="00000001" w:usb1="080E0000" w:usb2="00000000" w:usb3="00000000" w:csb0="00040000" w:csb1="00000000"/>
  </w:font>
  <w:font w:name="方正仿宋简体">
    <w:altName w:val="方正仿宋简体"/>
    <w:panose1 w:val="02000000000000000000"/>
    <w:charset w:val="86"/>
    <w:family w:val="auto"/>
    <w:pitch w:val="default"/>
    <w:sig w:usb0="A00002BF" w:usb1="184F6CFA" w:usb2="00000012" w:usb3="00000000" w:csb0="00040001" w:csb1="00000000"/>
  </w:font>
  <w:font w:name="微软雅黑">
    <w:altName w:val="微软雅黑"/>
    <w:panose1 w:val="020b0503020002020204"/>
    <w:charset w:val="86"/>
    <w:family w:val="auto"/>
    <w:pitch w:val="default"/>
    <w:sig w:usb0="80000287" w:usb1="280F3C52" w:usb2="00000016" w:usb3="00000000" w:csb0="0004001F" w:csb1="00000000"/>
  </w:font>
  <w:font w:name="仿宋">
    <w:altName w:val="仿宋"/>
    <w:panose1 w:val="02010609060001010101"/>
    <w:charset w:val="86"/>
    <w:family w:val="auto"/>
    <w:pitch w:val="default"/>
    <w:sig w:usb0="800002BF" w:usb1="38CF7CFA" w:usb2="00000016" w:usb3="00000000" w:csb0="00040001" w:csb1="00000000"/>
  </w:font>
  <w:font w:name="楷体">
    <w:altName w:val="楷体"/>
    <w:panose1 w:val="02010609060001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5"/>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0"/>
    <w:qFormat/>
    <w:uiPriority w:val="99"/>
    <w:pPr>
      <w:ind w:firstLine="420" w:firstLineChars="200"/>
    </w:pPr>
    <w:rPr/>
  </w:style>
  <w:style w:type="paragraph" w:styleId="style66">
    <w:name w:val="Body Text"/>
    <w:basedOn w:val="style0"/>
    <w:next w:val="style0"/>
    <w:qFormat/>
    <w:uiPriority w:val="0"/>
    <w:pPr>
      <w:ind w:left="492"/>
    </w:pPr>
    <w:rPr>
      <w:rFonts w:ascii="Microsoft JhengHei" w:cs="Microsoft JhengHei" w:eastAsia="Microsoft JhengHei" w:hAnsi="Microsoft JhengHei"/>
      <w:sz w:val="32"/>
      <w:szCs w:val="32"/>
      <w:lang w:val="zh-CN" w:bidi="zh-CN"/>
    </w:rPr>
  </w:style>
  <w:style w:type="paragraph" w:styleId="style67">
    <w:name w:val="Body Text Indent"/>
    <w:basedOn w:val="style0"/>
    <w:next w:val="style28"/>
    <w:qFormat/>
    <w:uiPriority w:val="99"/>
    <w:pPr>
      <w:spacing w:after="120"/>
      <w:ind w:left="420" w:leftChars="200"/>
    </w:pPr>
    <w:rPr/>
  </w:style>
  <w:style w:type="paragraph" w:styleId="style82">
    <w:name w:val="Body Text Indent 2"/>
    <w:basedOn w:val="style0"/>
    <w:next w:val="style82"/>
    <w:qFormat/>
    <w:uiPriority w:val="0"/>
    <w:pPr>
      <w:snapToGrid w:val="false"/>
      <w:spacing w:lineRule="exact" w:line="600"/>
      <w:ind w:left="0" w:leftChars="0" w:firstLine="2464" w:firstLineChars="200"/>
    </w:pPr>
    <w:rPr>
      <w:rFonts w:ascii="Times New Roman" w:cs="Times New Roman" w:eastAsia="仿宋_GB2312" w:hAnsi="Times New Roman"/>
      <w:sz w:val="32"/>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spacing w:before="100" w:beforeAutospacing="true" w:after="100" w:afterAutospacing="true"/>
      <w:ind w:left="0" w:right="0"/>
      <w:jc w:val="left"/>
    </w:pPr>
    <w:rPr>
      <w:kern w:val="0"/>
      <w:sz w:val="24"/>
      <w:lang w:val="en-US" w:eastAsia="zh-CN"/>
    </w:rPr>
  </w:style>
  <w:style w:type="paragraph" w:styleId="style77">
    <w:name w:val="Body Text First Indent"/>
    <w:basedOn w:val="style66"/>
    <w:next w:val="style77"/>
    <w:qFormat/>
    <w:uiPriority w:val="0"/>
    <w:pPr>
      <w:ind w:firstLine="420" w:firstLineChars="100"/>
    </w:pPr>
    <w:rPr/>
  </w:style>
  <w:style w:type="paragraph" w:styleId="style78">
    <w:name w:val="Body Text First Indent 2"/>
    <w:basedOn w:val="style67"/>
    <w:next w:val="style77"/>
    <w:qFormat/>
    <w:uiPriority w:val="99"/>
    <w:pPr>
      <w:spacing w:after="200"/>
      <w:ind w:left="0" w:leftChars="0" w:firstLine="420" w:firstLineChars="200"/>
    </w:pPr>
    <w:rPr>
      <w:rFonts w:ascii="仿宋_GB2312" w:eastAsia="仿宋_GB2312" w:hAnsi="创艺简标宋"/>
      <w:sz w:val="32"/>
      <w:szCs w:val="32"/>
    </w:rPr>
  </w:style>
  <w:style w:type="character" w:customStyle="1" w:styleId="style4097">
    <w:name w:val="页眉 Char"/>
    <w:basedOn w:val="style65"/>
    <w:next w:val="style4097"/>
    <w:link w:val="style31"/>
    <w:qFormat/>
    <w:uiPriority w:val="99"/>
    <w:rPr>
      <w:rFonts w:ascii="Times New Roman" w:cs="Times New Roman" w:eastAsia="宋体" w:hAnsi="Times New Roman"/>
      <w:sz w:val="18"/>
      <w:szCs w:val="18"/>
    </w:rPr>
  </w:style>
  <w:style w:type="character" w:customStyle="1" w:styleId="style4098">
    <w:name w:val="页脚 Char"/>
    <w:basedOn w:val="style65"/>
    <w:next w:val="style4098"/>
    <w:link w:val="style32"/>
    <w:qFormat/>
    <w:uiPriority w:val="99"/>
    <w:rPr>
      <w:rFonts w:ascii="Times New Roman" w:cs="Times New Roman" w:eastAsia="宋体" w:hAnsi="Times New Roman"/>
      <w:sz w:val="18"/>
      <w:szCs w:val="18"/>
    </w:rPr>
  </w:style>
  <w:style w:type="paragraph" w:customStyle="1" w:styleId="style4099">
    <w:name w:val="样式 样式 左侧:  2 字符 + 左侧:  0.85 厘米 首行缩进:  2 字符1"/>
    <w:basedOn w:val="style0"/>
    <w:next w:val="style4099"/>
    <w:qFormat/>
    <w:uiPriority w:val="0"/>
    <w:pPr>
      <w:spacing w:lineRule="exact" w:line="560"/>
      <w:ind w:left="482"/>
    </w:pPr>
    <w:rPr>
      <w:rFonts w:cs="宋体"/>
      <w:sz w:val="24"/>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D6FFA-3D70-4E1F-9CA8-BA7CD642A1B8}">
  <ds:schemaRefs/>
</ds:datastoreItem>
</file>

<file path=docProps/app.xml><?xml version="1.0" encoding="utf-8"?>
<Properties xmlns="http://schemas.openxmlformats.org/officeDocument/2006/extended-properties" xmlns:vt="http://schemas.openxmlformats.org/officeDocument/2006/docPropsVTypes">
  <Template>Normal</Template>
  <TotalTime>8</TotalTime>
  <Words>4003</Words>
  <Pages>9</Pages>
  <Characters>4133</Characters>
  <Application>WPS Office</Application>
  <DocSecurity>0</DocSecurity>
  <Paragraphs>38</Paragraphs>
  <ScaleCrop>false</ScaleCrop>
  <Company>Sky123.Org</Company>
  <LinksUpToDate>false</LinksUpToDate>
  <CharactersWithSpaces>4159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2020-02-27T07:34:00Z</dcterms:created>
  <dc:creator>User</dc:creator>
  <lastModifiedBy>DCO-AL00</lastModifiedBy>
  <lastPrinted>2022-02-14T06:38:00Z</lastPrinted>
  <dcterms:modified xsi:type="dcterms:W3CDTF">2024-03-05T03:26:02Z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BCB9536B9C4F4CB0BE0FCA14FDB2D468</vt:lpwstr>
  </property>
</Properties>
</file>