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FA219">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36"/>
          <w:szCs w:val="36"/>
        </w:rPr>
      </w:pPr>
    </w:p>
    <w:p w14:paraId="352DBD19">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36"/>
          <w:szCs w:val="36"/>
        </w:rPr>
      </w:pPr>
    </w:p>
    <w:p w14:paraId="248EBADC">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36"/>
          <w:szCs w:val="36"/>
        </w:rPr>
      </w:pPr>
    </w:p>
    <w:p w14:paraId="40D87CA4">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36"/>
          <w:szCs w:val="36"/>
        </w:rPr>
      </w:pPr>
    </w:p>
    <w:p w14:paraId="3AC1C137">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36"/>
          <w:szCs w:val="36"/>
        </w:rPr>
      </w:pPr>
    </w:p>
    <w:p w14:paraId="1F14B486">
      <w:pPr>
        <w:keepNext w:val="0"/>
        <w:keepLines w:val="0"/>
        <w:pageBreakBefore w:val="0"/>
        <w:widowControl w:val="0"/>
        <w:kinsoku/>
        <w:wordWrap/>
        <w:overflowPunct/>
        <w:topLinePunct w:val="0"/>
        <w:autoSpaceDE/>
        <w:autoSpaceDN/>
        <w:bidi w:val="0"/>
        <w:adjustRightInd w:val="0"/>
        <w:snapToGrid w:val="0"/>
        <w:ind w:left="0" w:leftChars="0" w:firstLine="0"/>
        <w:jc w:val="center"/>
        <w:textAlignment w:val="auto"/>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609083AF">
      <w:pPr>
        <w:keepNext w:val="0"/>
        <w:keepLines w:val="0"/>
        <w:pageBreakBefore w:val="0"/>
        <w:widowControl w:val="0"/>
        <w:kinsoku/>
        <w:wordWrap/>
        <w:overflowPunct/>
        <w:topLinePunct w:val="0"/>
        <w:autoSpaceDE/>
        <w:autoSpaceDN/>
        <w:bidi w:val="0"/>
        <w:adjustRightInd w:val="0"/>
        <w:snapToGrid w:val="0"/>
        <w:spacing w:before="192" w:beforeLines="80"/>
        <w:ind w:left="0" w:leftChars="0" w:firstLine="0"/>
        <w:jc w:val="center"/>
        <w:textAlignment w:val="auto"/>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5ECDB620">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jc w:val="center"/>
        <w:textAlignment w:val="auto"/>
        <w:outlineLvl w:val="0"/>
        <w:rPr>
          <w:rFonts w:hint="default" w:ascii="Times New Roman" w:hAnsi="Times New Roman" w:eastAsia="宋体" w:cs="Times New Roman"/>
          <w:color w:val="auto"/>
          <w:kern w:val="44"/>
          <w:sz w:val="44"/>
          <w:szCs w:val="44"/>
        </w:rPr>
      </w:pPr>
    </w:p>
    <w:p w14:paraId="3CDE1BF8">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52"/>
          <w:szCs w:val="52"/>
        </w:rPr>
      </w:pPr>
    </w:p>
    <w:p w14:paraId="24924F48">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44"/>
          <w:szCs w:val="44"/>
        </w:rPr>
      </w:pPr>
    </w:p>
    <w:p w14:paraId="2D990C88">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44"/>
          <w:szCs w:val="44"/>
        </w:rPr>
      </w:pPr>
    </w:p>
    <w:p w14:paraId="231CB63B">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44"/>
          <w:szCs w:val="44"/>
        </w:rPr>
      </w:pPr>
    </w:p>
    <w:p w14:paraId="4A8BA2E1">
      <w:pPr>
        <w:keepNext w:val="0"/>
        <w:keepLines w:val="0"/>
        <w:pageBreakBefore w:val="0"/>
        <w:widowControl w:val="0"/>
        <w:kinsoku/>
        <w:wordWrap/>
        <w:overflowPunct/>
        <w:topLinePunct w:val="0"/>
        <w:autoSpaceDE/>
        <w:autoSpaceDN/>
        <w:bidi w:val="0"/>
        <w:ind w:left="0" w:leftChars="0" w:firstLine="0"/>
        <w:jc w:val="center"/>
        <w:textAlignment w:val="auto"/>
        <w:rPr>
          <w:rFonts w:hint="default" w:ascii="Times New Roman" w:hAnsi="Times New Roman" w:eastAsia="宋体" w:cs="Times New Roman"/>
          <w:color w:val="auto"/>
          <w:sz w:val="44"/>
          <w:szCs w:val="44"/>
        </w:rPr>
      </w:pPr>
    </w:p>
    <w:p w14:paraId="30BCB0D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auto"/>
          <w:sz w:val="36"/>
          <w:szCs w:val="36"/>
        </w:rPr>
      </w:pPr>
    </w:p>
    <w:p w14:paraId="67FDF7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auto"/>
          <w:sz w:val="36"/>
          <w:szCs w:val="36"/>
        </w:rPr>
      </w:pPr>
    </w:p>
    <w:p w14:paraId="71A43FF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auto"/>
          <w:sz w:val="36"/>
          <w:szCs w:val="36"/>
        </w:rPr>
      </w:pPr>
    </w:p>
    <w:p w14:paraId="2EAD533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sz w:val="36"/>
          <w:szCs w:val="36"/>
          <w:u w:val="single"/>
        </w:rPr>
      </w:pPr>
      <w:r>
        <w:rPr>
          <w:rFonts w:hint="default" w:ascii="Times New Roman" w:hAnsi="Times New Roman" w:eastAsia="宋体" w:cs="Times New Roman"/>
          <w:b/>
          <w:bCs/>
          <w:color w:val="auto"/>
          <w:sz w:val="36"/>
          <w:szCs w:val="36"/>
        </w:rPr>
        <w:t>项目名称：</w:t>
      </w:r>
      <w:r>
        <w:rPr>
          <w:rFonts w:hint="eastAsia" w:ascii="Times New Roman" w:hAnsi="Times New Roman" w:eastAsia="宋体" w:cs="Times New Roman"/>
          <w:b/>
          <w:bCs/>
          <w:color w:val="auto"/>
          <w:sz w:val="36"/>
          <w:szCs w:val="36"/>
          <w:u w:val="single"/>
          <w:lang w:eastAsia="zh-CN"/>
        </w:rPr>
        <w:t>年产5万吨沥青混凝土和200吨乳化沥青改扩建项目</w:t>
      </w:r>
    </w:p>
    <w:p w14:paraId="185D166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color w:val="auto"/>
          <w:sz w:val="36"/>
          <w:szCs w:val="36"/>
          <w:u w:val="single"/>
          <w:lang w:eastAsia="zh-CN"/>
        </w:rPr>
      </w:pPr>
      <w:r>
        <w:rPr>
          <w:rFonts w:hint="default" w:ascii="Times New Roman" w:hAnsi="Times New Roman" w:eastAsia="宋体" w:cs="Times New Roman"/>
          <w:b/>
          <w:bCs/>
          <w:color w:val="auto"/>
          <w:sz w:val="36"/>
          <w:szCs w:val="36"/>
        </w:rPr>
        <w:t>建设单位（盖章）：</w:t>
      </w:r>
      <w:r>
        <w:rPr>
          <w:rFonts w:hint="eastAsia" w:ascii="Times New Roman" w:hAnsi="Times New Roman" w:eastAsia="宋体" w:cs="Times New Roman"/>
          <w:b/>
          <w:bCs/>
          <w:color w:val="auto"/>
          <w:sz w:val="36"/>
          <w:szCs w:val="36"/>
          <w:u w:val="single"/>
          <w:lang w:eastAsia="zh-CN"/>
        </w:rPr>
        <w:t>嘉祥兴亮公路工程设备有限公司</w:t>
      </w:r>
    </w:p>
    <w:p w14:paraId="1577E08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b/>
          <w:bCs/>
          <w:color w:val="auto"/>
          <w:sz w:val="36"/>
          <w:szCs w:val="36"/>
        </w:rPr>
        <w:t>编制日期：</w:t>
      </w:r>
      <w:r>
        <w:rPr>
          <w:rFonts w:hint="default" w:ascii="Times New Roman" w:hAnsi="Times New Roman" w:eastAsia="宋体" w:cs="Times New Roman"/>
          <w:b/>
          <w:bCs/>
          <w:color w:val="auto"/>
          <w:sz w:val="36"/>
          <w:szCs w:val="36"/>
          <w:u w:val="single"/>
          <w:lang w:val="en-US" w:eastAsia="zh-CN"/>
        </w:rPr>
        <w:t>2024年7月</w:t>
      </w:r>
    </w:p>
    <w:p w14:paraId="224C00FE">
      <w:pPr>
        <w:adjustRightInd w:val="0"/>
        <w:snapToGrid w:val="0"/>
        <w:spacing w:line="288" w:lineRule="auto"/>
        <w:ind w:firstLine="1040"/>
        <w:rPr>
          <w:rFonts w:hint="default" w:ascii="Times New Roman" w:hAnsi="Times New Roman" w:eastAsia="宋体" w:cs="Times New Roman"/>
          <w:color w:val="auto"/>
          <w:sz w:val="36"/>
          <w:szCs w:val="36"/>
        </w:rPr>
      </w:pPr>
      <w:bookmarkStart w:id="0" w:name="_Hlk57884087"/>
    </w:p>
    <w:p w14:paraId="4A9A59BD">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453D418E">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63E41934">
      <w:pPr>
        <w:adjustRightInd w:val="0"/>
        <w:snapToGrid w:val="0"/>
        <w:spacing w:line="288" w:lineRule="auto"/>
        <w:ind w:firstLine="1040"/>
        <w:rPr>
          <w:rFonts w:hint="default" w:ascii="Times New Roman" w:hAnsi="Times New Roman" w:eastAsia="宋体" w:cs="Times New Roman"/>
          <w:color w:val="auto"/>
          <w:sz w:val="36"/>
          <w:szCs w:val="36"/>
        </w:rPr>
        <w:sectPr>
          <w:footerReference r:id="rId3" w:type="default"/>
          <w:footerReference r:id="rId4" w:type="even"/>
          <w:pgSz w:w="11906" w:h="16838"/>
          <w:pgMar w:top="1440" w:right="1800" w:bottom="1440" w:left="1800" w:header="1077" w:footer="1077" w:gutter="0"/>
          <w:pgBorders>
            <w:top w:val="none" w:sz="0" w:space="0"/>
            <w:left w:val="none" w:sz="0" w:space="0"/>
            <w:bottom w:val="none" w:sz="0" w:space="0"/>
            <w:right w:val="none" w:sz="0" w:space="0"/>
          </w:pgBorders>
          <w:pgNumType w:start="3"/>
          <w:cols w:space="720" w:num="1"/>
          <w:docGrid w:linePitch="312" w:charSpace="0"/>
        </w:sectPr>
      </w:pPr>
    </w:p>
    <w:p w14:paraId="371D3CA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一、建设项目基本情况</w:t>
      </w:r>
    </w:p>
    <w:tbl>
      <w:tblPr>
        <w:tblStyle w:val="24"/>
        <w:tblW w:w="49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62"/>
        <w:gridCol w:w="954"/>
        <w:gridCol w:w="2368"/>
        <w:gridCol w:w="1578"/>
        <w:gridCol w:w="3043"/>
      </w:tblGrid>
      <w:tr w14:paraId="0F06D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20B62175">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建设项目</w:t>
            </w:r>
          </w:p>
          <w:p w14:paraId="08BA1196">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名称</w:t>
            </w:r>
          </w:p>
        </w:tc>
        <w:tc>
          <w:tcPr>
            <w:tcW w:w="4207" w:type="pct"/>
            <w:gridSpan w:val="3"/>
            <w:noWrap w:val="0"/>
            <w:vAlign w:val="center"/>
          </w:tcPr>
          <w:p w14:paraId="251A79BD">
            <w:pPr>
              <w:adjustRightInd w:val="0"/>
              <w:snapToGrid w:val="0"/>
              <w:jc w:val="center"/>
              <w:rPr>
                <w:rFonts w:hint="default" w:ascii="Times New Roman" w:hAnsi="Times New Roman" w:eastAsia="宋体" w:cs="Times New Roman"/>
                <w:color w:val="auto"/>
                <w:spacing w:val="0"/>
                <w:kern w:val="0"/>
                <w:position w:val="0"/>
                <w:sz w:val="24"/>
                <w:szCs w:val="24"/>
                <w:lang w:eastAsia="zh-CN"/>
              </w:rPr>
            </w:pPr>
            <w:r>
              <w:rPr>
                <w:rFonts w:hint="eastAsia" w:ascii="Times New Roman" w:hAnsi="Times New Roman" w:eastAsia="宋体" w:cs="Times New Roman"/>
                <w:color w:val="auto"/>
                <w:spacing w:val="0"/>
                <w:kern w:val="0"/>
                <w:position w:val="0"/>
                <w:sz w:val="24"/>
                <w:szCs w:val="24"/>
                <w:lang w:eastAsia="zh-CN"/>
              </w:rPr>
              <w:t>年产5万吨沥青混凝土和200吨乳化沥青改扩建项目</w:t>
            </w:r>
          </w:p>
        </w:tc>
      </w:tr>
      <w:tr w14:paraId="5AD28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3D36C1EE">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项目代码</w:t>
            </w:r>
          </w:p>
        </w:tc>
        <w:tc>
          <w:tcPr>
            <w:tcW w:w="4207" w:type="pct"/>
            <w:gridSpan w:val="3"/>
            <w:noWrap w:val="0"/>
            <w:vAlign w:val="center"/>
          </w:tcPr>
          <w:p w14:paraId="3EE1589D">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2406-370829-04-01-173611</w:t>
            </w:r>
          </w:p>
        </w:tc>
      </w:tr>
      <w:tr w14:paraId="5A972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672264E6">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建设单位</w:t>
            </w:r>
          </w:p>
          <w:p w14:paraId="539443DB">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联系人</w:t>
            </w:r>
          </w:p>
        </w:tc>
        <w:tc>
          <w:tcPr>
            <w:tcW w:w="1425" w:type="pct"/>
            <w:noWrap w:val="0"/>
            <w:vAlign w:val="center"/>
          </w:tcPr>
          <w:p w14:paraId="5344B6C4">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付赫然</w:t>
            </w:r>
          </w:p>
        </w:tc>
        <w:tc>
          <w:tcPr>
            <w:tcW w:w="949" w:type="pct"/>
            <w:noWrap w:val="0"/>
            <w:vAlign w:val="center"/>
          </w:tcPr>
          <w:p w14:paraId="60D7F17F">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联系方式</w:t>
            </w:r>
          </w:p>
        </w:tc>
        <w:tc>
          <w:tcPr>
            <w:tcW w:w="1832" w:type="pct"/>
            <w:noWrap w:val="0"/>
            <w:vAlign w:val="center"/>
          </w:tcPr>
          <w:p w14:paraId="111B73BE">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15763755556</w:t>
            </w:r>
          </w:p>
        </w:tc>
      </w:tr>
      <w:tr w14:paraId="66DA3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1A0C3572">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建设地点</w:t>
            </w:r>
          </w:p>
        </w:tc>
        <w:tc>
          <w:tcPr>
            <w:tcW w:w="4207" w:type="pct"/>
            <w:gridSpan w:val="3"/>
            <w:noWrap w:val="0"/>
            <w:vAlign w:val="center"/>
          </w:tcPr>
          <w:p w14:paraId="6C384C68">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山东省济宁市嘉祥县卧龙山街道嘉金线西（嘉冠公司对过）</w:t>
            </w:r>
          </w:p>
        </w:tc>
      </w:tr>
      <w:tr w14:paraId="06B27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387AEC88">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地理坐标</w:t>
            </w:r>
          </w:p>
        </w:tc>
        <w:tc>
          <w:tcPr>
            <w:tcW w:w="4207" w:type="pct"/>
            <w:gridSpan w:val="3"/>
            <w:noWrap w:val="0"/>
            <w:vAlign w:val="center"/>
          </w:tcPr>
          <w:p w14:paraId="1A4BF5B2">
            <w:pPr>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4"/>
                <w:szCs w:val="24"/>
                <w:u w:val="none"/>
              </w:rPr>
              <w:t>（</w:t>
            </w:r>
            <w:r>
              <w:rPr>
                <w:rFonts w:hint="default" w:ascii="Times New Roman" w:hAnsi="Times New Roman" w:eastAsia="宋体" w:cs="Times New Roman"/>
                <w:b w:val="0"/>
                <w:bCs w:val="0"/>
                <w:color w:val="auto"/>
                <w:spacing w:val="0"/>
                <w:kern w:val="0"/>
                <w:position w:val="0"/>
                <w:sz w:val="24"/>
                <w:szCs w:val="24"/>
                <w:u w:val="none"/>
                <w:lang w:val="en-US" w:eastAsia="zh-CN"/>
              </w:rPr>
              <w:t>116</w:t>
            </w:r>
            <w:r>
              <w:rPr>
                <w:rFonts w:hint="default" w:ascii="Times New Roman" w:hAnsi="Times New Roman" w:eastAsia="宋体" w:cs="Times New Roman"/>
                <w:b w:val="0"/>
                <w:bCs w:val="0"/>
                <w:color w:val="auto"/>
                <w:spacing w:val="0"/>
                <w:kern w:val="0"/>
                <w:position w:val="0"/>
                <w:sz w:val="24"/>
                <w:szCs w:val="24"/>
                <w:u w:val="none"/>
              </w:rPr>
              <w:t>度</w:t>
            </w:r>
            <w:r>
              <w:rPr>
                <w:rFonts w:hint="eastAsia" w:ascii="Times New Roman" w:hAnsi="Times New Roman" w:eastAsia="宋体" w:cs="Times New Roman"/>
                <w:b w:val="0"/>
                <w:bCs w:val="0"/>
                <w:color w:val="auto"/>
                <w:spacing w:val="0"/>
                <w:kern w:val="0"/>
                <w:position w:val="0"/>
                <w:sz w:val="24"/>
                <w:szCs w:val="24"/>
                <w:u w:val="none"/>
                <w:lang w:val="en-US" w:eastAsia="zh-CN"/>
              </w:rPr>
              <w:t>19</w:t>
            </w:r>
            <w:r>
              <w:rPr>
                <w:rFonts w:hint="default" w:ascii="Times New Roman" w:hAnsi="Times New Roman" w:eastAsia="宋体" w:cs="Times New Roman"/>
                <w:b w:val="0"/>
                <w:bCs w:val="0"/>
                <w:color w:val="auto"/>
                <w:spacing w:val="0"/>
                <w:kern w:val="0"/>
                <w:position w:val="0"/>
                <w:sz w:val="24"/>
                <w:szCs w:val="24"/>
                <w:u w:val="none"/>
              </w:rPr>
              <w:t>分</w:t>
            </w:r>
            <w:r>
              <w:rPr>
                <w:rFonts w:hint="eastAsia" w:ascii="Times New Roman" w:hAnsi="Times New Roman" w:eastAsia="宋体" w:cs="Times New Roman"/>
                <w:b w:val="0"/>
                <w:bCs w:val="0"/>
                <w:color w:val="auto"/>
                <w:spacing w:val="0"/>
                <w:kern w:val="0"/>
                <w:position w:val="0"/>
                <w:sz w:val="24"/>
                <w:szCs w:val="24"/>
                <w:u w:val="none"/>
                <w:lang w:val="en-US" w:eastAsia="zh-CN"/>
              </w:rPr>
              <w:t>5</w:t>
            </w:r>
            <w:r>
              <w:rPr>
                <w:rFonts w:hint="default" w:ascii="Times New Roman" w:hAnsi="Times New Roman" w:eastAsia="宋体" w:cs="Times New Roman"/>
                <w:b w:val="0"/>
                <w:bCs w:val="0"/>
                <w:color w:val="auto"/>
                <w:spacing w:val="0"/>
                <w:kern w:val="0"/>
                <w:position w:val="0"/>
                <w:sz w:val="24"/>
                <w:szCs w:val="24"/>
                <w:u w:val="none"/>
                <w:lang w:val="en-US" w:eastAsia="zh-CN"/>
              </w:rPr>
              <w:t>.</w:t>
            </w:r>
            <w:r>
              <w:rPr>
                <w:rFonts w:hint="eastAsia" w:ascii="Times New Roman" w:hAnsi="Times New Roman" w:eastAsia="宋体" w:cs="Times New Roman"/>
                <w:b w:val="0"/>
                <w:bCs w:val="0"/>
                <w:color w:val="auto"/>
                <w:spacing w:val="0"/>
                <w:kern w:val="0"/>
                <w:position w:val="0"/>
                <w:sz w:val="24"/>
                <w:szCs w:val="24"/>
                <w:u w:val="none"/>
                <w:lang w:val="en-US" w:eastAsia="zh-CN"/>
              </w:rPr>
              <w:t>541</w:t>
            </w:r>
            <w:r>
              <w:rPr>
                <w:rFonts w:hint="default" w:ascii="Times New Roman" w:hAnsi="Times New Roman" w:eastAsia="宋体" w:cs="Times New Roman"/>
                <w:b w:val="0"/>
                <w:bCs w:val="0"/>
                <w:color w:val="auto"/>
                <w:spacing w:val="0"/>
                <w:kern w:val="0"/>
                <w:position w:val="0"/>
                <w:sz w:val="24"/>
                <w:szCs w:val="24"/>
                <w:u w:val="none"/>
              </w:rPr>
              <w:t>秒，</w:t>
            </w:r>
            <w:r>
              <w:rPr>
                <w:rFonts w:hint="default" w:ascii="Times New Roman" w:hAnsi="Times New Roman" w:eastAsia="宋体" w:cs="Times New Roman"/>
                <w:b w:val="0"/>
                <w:bCs w:val="0"/>
                <w:color w:val="auto"/>
                <w:spacing w:val="0"/>
                <w:kern w:val="0"/>
                <w:position w:val="0"/>
                <w:sz w:val="24"/>
                <w:szCs w:val="24"/>
                <w:u w:val="none"/>
                <w:lang w:val="en-US" w:eastAsia="zh-CN"/>
              </w:rPr>
              <w:t>35</w:t>
            </w:r>
            <w:r>
              <w:rPr>
                <w:rFonts w:hint="default" w:ascii="Times New Roman" w:hAnsi="Times New Roman" w:eastAsia="宋体" w:cs="Times New Roman"/>
                <w:b w:val="0"/>
                <w:bCs w:val="0"/>
                <w:color w:val="auto"/>
                <w:spacing w:val="0"/>
                <w:kern w:val="0"/>
                <w:position w:val="0"/>
                <w:sz w:val="24"/>
                <w:szCs w:val="24"/>
                <w:u w:val="none"/>
              </w:rPr>
              <w:t>度</w:t>
            </w:r>
            <w:r>
              <w:rPr>
                <w:rFonts w:hint="eastAsia" w:ascii="Times New Roman" w:hAnsi="Times New Roman" w:eastAsia="宋体" w:cs="Times New Roman"/>
                <w:b w:val="0"/>
                <w:bCs w:val="0"/>
                <w:color w:val="auto"/>
                <w:spacing w:val="0"/>
                <w:kern w:val="0"/>
                <w:position w:val="0"/>
                <w:sz w:val="24"/>
                <w:szCs w:val="24"/>
                <w:u w:val="none"/>
                <w:lang w:val="en-US" w:eastAsia="zh-CN"/>
              </w:rPr>
              <w:t>22</w:t>
            </w:r>
            <w:r>
              <w:rPr>
                <w:rFonts w:hint="default" w:ascii="Times New Roman" w:hAnsi="Times New Roman" w:eastAsia="宋体" w:cs="Times New Roman"/>
                <w:b w:val="0"/>
                <w:bCs w:val="0"/>
                <w:color w:val="auto"/>
                <w:spacing w:val="0"/>
                <w:kern w:val="0"/>
                <w:position w:val="0"/>
                <w:sz w:val="24"/>
                <w:szCs w:val="24"/>
                <w:u w:val="none"/>
              </w:rPr>
              <w:t>分</w:t>
            </w:r>
            <w:r>
              <w:rPr>
                <w:rFonts w:hint="eastAsia" w:ascii="Times New Roman" w:hAnsi="Times New Roman" w:eastAsia="宋体" w:cs="Times New Roman"/>
                <w:b w:val="0"/>
                <w:bCs w:val="0"/>
                <w:color w:val="auto"/>
                <w:spacing w:val="0"/>
                <w:kern w:val="0"/>
                <w:position w:val="0"/>
                <w:sz w:val="24"/>
                <w:szCs w:val="24"/>
                <w:u w:val="none"/>
                <w:lang w:val="en-US" w:eastAsia="zh-CN"/>
              </w:rPr>
              <w:t>53.411</w:t>
            </w:r>
            <w:r>
              <w:rPr>
                <w:rFonts w:hint="default" w:ascii="Times New Roman" w:hAnsi="Times New Roman" w:eastAsia="宋体" w:cs="Times New Roman"/>
                <w:b w:val="0"/>
                <w:bCs w:val="0"/>
                <w:color w:val="auto"/>
                <w:spacing w:val="0"/>
                <w:kern w:val="0"/>
                <w:position w:val="0"/>
                <w:sz w:val="24"/>
                <w:szCs w:val="24"/>
                <w:u w:val="none"/>
              </w:rPr>
              <w:t>秒）</w:t>
            </w:r>
          </w:p>
        </w:tc>
      </w:tr>
      <w:tr w14:paraId="64AE4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92" w:type="pct"/>
            <w:gridSpan w:val="2"/>
            <w:noWrap w:val="0"/>
            <w:tcMar>
              <w:top w:w="16" w:type="dxa"/>
              <w:left w:w="16" w:type="dxa"/>
              <w:right w:w="16" w:type="dxa"/>
            </w:tcMar>
            <w:vAlign w:val="center"/>
          </w:tcPr>
          <w:p w14:paraId="4D4E3A2A">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国民经济</w:t>
            </w:r>
          </w:p>
          <w:p w14:paraId="60A5F6F5">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行业类别</w:t>
            </w:r>
          </w:p>
        </w:tc>
        <w:tc>
          <w:tcPr>
            <w:tcW w:w="1425" w:type="pct"/>
            <w:noWrap w:val="0"/>
            <w:vAlign w:val="center"/>
          </w:tcPr>
          <w:p w14:paraId="5203E41F">
            <w:pPr>
              <w:adjustRightInd w:val="0"/>
              <w:snapToGrid w:val="0"/>
              <w:jc w:val="center"/>
              <w:rPr>
                <w:rFonts w:hint="default" w:ascii="Times New Roman" w:hAnsi="Times New Roman" w:eastAsia="宋体" w:cs="Times New Roman"/>
                <w:color w:val="auto"/>
                <w:spacing w:val="0"/>
                <w:kern w:val="0"/>
                <w:position w:val="0"/>
                <w:sz w:val="24"/>
                <w:szCs w:val="24"/>
                <w:lang w:val="en-US"/>
              </w:rPr>
            </w:pPr>
            <w:r>
              <w:rPr>
                <w:rFonts w:hint="default" w:ascii="Times New Roman" w:hAnsi="Times New Roman" w:eastAsia="宋体" w:cs="Times New Roman"/>
                <w:color w:val="auto"/>
                <w:spacing w:val="0"/>
                <w:kern w:val="0"/>
                <w:position w:val="0"/>
                <w:sz w:val="24"/>
                <w:szCs w:val="24"/>
                <w:lang w:val="en-US"/>
              </w:rPr>
              <w:t>C3099其他非金属矿物制品制造</w:t>
            </w:r>
          </w:p>
        </w:tc>
        <w:tc>
          <w:tcPr>
            <w:tcW w:w="949" w:type="pct"/>
            <w:noWrap w:val="0"/>
            <w:vAlign w:val="center"/>
          </w:tcPr>
          <w:p w14:paraId="6F895A3B">
            <w:pPr>
              <w:adjustRightInd w:val="0"/>
              <w:snapToGrid w:val="0"/>
              <w:jc w:val="center"/>
              <w:rPr>
                <w:rFonts w:hint="default" w:ascii="Times New Roman" w:hAnsi="Times New Roman" w:eastAsia="宋体" w:cs="Times New Roman"/>
                <w:color w:val="auto"/>
                <w:spacing w:val="0"/>
                <w:kern w:val="0"/>
                <w:position w:val="0"/>
                <w:sz w:val="24"/>
                <w:szCs w:val="24"/>
              </w:rPr>
            </w:pPr>
            <w:bookmarkStart w:id="1" w:name="_Hlk49843745"/>
            <w:r>
              <w:rPr>
                <w:rFonts w:hint="default" w:ascii="Times New Roman" w:hAnsi="Times New Roman" w:eastAsia="宋体" w:cs="Times New Roman"/>
                <w:color w:val="auto"/>
                <w:spacing w:val="0"/>
                <w:kern w:val="0"/>
                <w:position w:val="0"/>
                <w:sz w:val="24"/>
                <w:szCs w:val="24"/>
              </w:rPr>
              <w:t>建设项目</w:t>
            </w:r>
          </w:p>
          <w:p w14:paraId="242F37E7">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行业类别</w:t>
            </w:r>
            <w:bookmarkEnd w:id="1"/>
          </w:p>
        </w:tc>
        <w:tc>
          <w:tcPr>
            <w:tcW w:w="1832" w:type="pct"/>
            <w:noWrap w:val="0"/>
            <w:vAlign w:val="center"/>
          </w:tcPr>
          <w:p w14:paraId="1AF2A8C1">
            <w:pPr>
              <w:adjustRightInd w:val="0"/>
              <w:snapToGrid w:val="0"/>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二十七、非金属矿物制品业</w:t>
            </w:r>
            <w:r>
              <w:rPr>
                <w:rFonts w:hint="eastAsia" w:cs="Times New Roman"/>
                <w:color w:val="auto"/>
                <w:spacing w:val="0"/>
                <w:kern w:val="0"/>
                <w:position w:val="0"/>
                <w:sz w:val="24"/>
                <w:szCs w:val="24"/>
                <w:lang w:val="en-US" w:eastAsia="zh-CN"/>
              </w:rPr>
              <w:t>--</w:t>
            </w:r>
            <w:r>
              <w:rPr>
                <w:rFonts w:hint="default" w:ascii="Times New Roman" w:hAnsi="Times New Roman" w:eastAsia="宋体" w:cs="Times New Roman"/>
                <w:color w:val="auto"/>
                <w:spacing w:val="0"/>
                <w:kern w:val="0"/>
                <w:position w:val="0"/>
                <w:sz w:val="24"/>
                <w:szCs w:val="24"/>
                <w:lang w:val="en-US" w:eastAsia="zh-CN"/>
              </w:rPr>
              <w:t>“60石墨及其他非金属矿物制品制造309”</w:t>
            </w:r>
            <w:r>
              <w:rPr>
                <w:rFonts w:hint="eastAsia" w:cs="Times New Roman"/>
                <w:color w:val="auto"/>
                <w:spacing w:val="0"/>
                <w:kern w:val="0"/>
                <w:position w:val="0"/>
                <w:sz w:val="24"/>
                <w:szCs w:val="24"/>
                <w:lang w:val="en-US" w:eastAsia="zh-CN"/>
              </w:rPr>
              <w:t>--</w:t>
            </w:r>
            <w:r>
              <w:rPr>
                <w:rFonts w:hint="default" w:ascii="Times New Roman" w:hAnsi="Times New Roman" w:eastAsia="宋体" w:cs="Times New Roman"/>
                <w:color w:val="auto"/>
                <w:spacing w:val="0"/>
                <w:kern w:val="0"/>
                <w:position w:val="0"/>
                <w:sz w:val="24"/>
                <w:szCs w:val="24"/>
                <w:lang w:val="en-US" w:eastAsia="zh-CN"/>
              </w:rPr>
              <w:t>“其他”</w:t>
            </w:r>
          </w:p>
        </w:tc>
      </w:tr>
      <w:tr w14:paraId="41C42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92" w:type="pct"/>
            <w:gridSpan w:val="2"/>
            <w:noWrap w:val="0"/>
            <w:tcMar>
              <w:top w:w="16" w:type="dxa"/>
              <w:left w:w="16" w:type="dxa"/>
              <w:right w:w="16" w:type="dxa"/>
            </w:tcMar>
            <w:vAlign w:val="center"/>
          </w:tcPr>
          <w:p w14:paraId="6CF7237B">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建设性质</w:t>
            </w:r>
          </w:p>
        </w:tc>
        <w:tc>
          <w:tcPr>
            <w:tcW w:w="1425" w:type="pct"/>
            <w:noWrap w:val="0"/>
            <w:vAlign w:val="center"/>
          </w:tcPr>
          <w:p w14:paraId="60FBD81E">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新建（迁建）</w:t>
            </w:r>
          </w:p>
          <w:p w14:paraId="61C16596">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改建</w:t>
            </w:r>
          </w:p>
          <w:p w14:paraId="56DD48E2">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扩建</w:t>
            </w:r>
          </w:p>
          <w:p w14:paraId="1E9533BD">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技术改造</w:t>
            </w:r>
          </w:p>
        </w:tc>
        <w:tc>
          <w:tcPr>
            <w:tcW w:w="949" w:type="pct"/>
            <w:noWrap w:val="0"/>
            <w:vAlign w:val="center"/>
          </w:tcPr>
          <w:p w14:paraId="0D5A261D">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建设项目</w:t>
            </w:r>
          </w:p>
          <w:p w14:paraId="05BDF36E">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申报情形</w:t>
            </w:r>
          </w:p>
        </w:tc>
        <w:tc>
          <w:tcPr>
            <w:tcW w:w="1832" w:type="pct"/>
            <w:noWrap w:val="0"/>
            <w:vAlign w:val="center"/>
          </w:tcPr>
          <w:p w14:paraId="79CF4A93">
            <w:pPr>
              <w:jc w:val="both"/>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sym w:font="Wingdings 2" w:char="0052"/>
            </w:r>
            <w:r>
              <w:rPr>
                <w:rFonts w:hint="default" w:ascii="Times New Roman" w:hAnsi="Times New Roman" w:eastAsia="宋体" w:cs="Times New Roman"/>
                <w:color w:val="auto"/>
                <w:spacing w:val="0"/>
                <w:kern w:val="0"/>
                <w:position w:val="0"/>
                <w:sz w:val="24"/>
                <w:szCs w:val="24"/>
              </w:rPr>
              <w:t>首次申报项目</w:t>
            </w:r>
          </w:p>
          <w:p w14:paraId="3FFDF32B">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不予批准后再次申报项目</w:t>
            </w:r>
          </w:p>
          <w:p w14:paraId="60D465C1">
            <w:pPr>
              <w:jc w:val="both"/>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sym w:font="Wingdings 2" w:char="00A3"/>
            </w:r>
            <w:r>
              <w:rPr>
                <w:rFonts w:hint="default" w:ascii="Times New Roman" w:hAnsi="Times New Roman" w:eastAsia="宋体" w:cs="Times New Roman"/>
                <w:color w:val="auto"/>
                <w:spacing w:val="0"/>
                <w:kern w:val="0"/>
                <w:position w:val="0"/>
                <w:sz w:val="24"/>
                <w:szCs w:val="24"/>
              </w:rPr>
              <w:t>超五年重新审核项目</w:t>
            </w:r>
          </w:p>
          <w:p w14:paraId="0AF2D850">
            <w:pPr>
              <w:jc w:val="both"/>
              <w:rPr>
                <w:rFonts w:hint="default" w:ascii="Times New Roman" w:hAnsi="Times New Roman" w:eastAsia="宋体" w:cs="Times New Roman"/>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重大变动重新报批项目</w:t>
            </w:r>
          </w:p>
        </w:tc>
      </w:tr>
      <w:tr w14:paraId="0BBCB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92" w:type="pct"/>
            <w:gridSpan w:val="2"/>
            <w:noWrap w:val="0"/>
            <w:tcMar>
              <w:top w:w="16" w:type="dxa"/>
              <w:left w:w="16" w:type="dxa"/>
              <w:right w:w="16" w:type="dxa"/>
            </w:tcMar>
            <w:vAlign w:val="center"/>
          </w:tcPr>
          <w:p w14:paraId="50CDB0F6">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项目审批（核准/备案）部门（选填）</w:t>
            </w:r>
          </w:p>
        </w:tc>
        <w:tc>
          <w:tcPr>
            <w:tcW w:w="1425" w:type="pct"/>
            <w:noWrap w:val="0"/>
            <w:vAlign w:val="center"/>
          </w:tcPr>
          <w:p w14:paraId="6363C050">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嘉祥县行政审批服务局</w:t>
            </w:r>
          </w:p>
        </w:tc>
        <w:tc>
          <w:tcPr>
            <w:tcW w:w="949" w:type="pct"/>
            <w:noWrap w:val="0"/>
            <w:vAlign w:val="center"/>
          </w:tcPr>
          <w:p w14:paraId="11210275">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项目审批（核准/备案）文号（选填）</w:t>
            </w:r>
          </w:p>
        </w:tc>
        <w:tc>
          <w:tcPr>
            <w:tcW w:w="1832" w:type="pct"/>
            <w:noWrap w:val="0"/>
            <w:vAlign w:val="center"/>
          </w:tcPr>
          <w:p w14:paraId="27BDBFB7">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2406-370829-04-01-173611</w:t>
            </w:r>
          </w:p>
        </w:tc>
      </w:tr>
      <w:tr w14:paraId="51ABA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92" w:type="pct"/>
            <w:gridSpan w:val="2"/>
            <w:noWrap w:val="0"/>
            <w:tcMar>
              <w:top w:w="16" w:type="dxa"/>
              <w:left w:w="16" w:type="dxa"/>
              <w:right w:w="16" w:type="dxa"/>
            </w:tcMar>
            <w:vAlign w:val="center"/>
          </w:tcPr>
          <w:p w14:paraId="519E5018">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总投资</w:t>
            </w:r>
          </w:p>
          <w:p w14:paraId="72266F0F">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（万元）</w:t>
            </w:r>
          </w:p>
        </w:tc>
        <w:tc>
          <w:tcPr>
            <w:tcW w:w="1425" w:type="pct"/>
            <w:noWrap w:val="0"/>
            <w:vAlign w:val="center"/>
          </w:tcPr>
          <w:p w14:paraId="399A0C1C">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500</w:t>
            </w:r>
          </w:p>
        </w:tc>
        <w:tc>
          <w:tcPr>
            <w:tcW w:w="949" w:type="pct"/>
            <w:noWrap w:val="0"/>
            <w:tcMar>
              <w:top w:w="16" w:type="dxa"/>
              <w:left w:w="16" w:type="dxa"/>
              <w:right w:w="16" w:type="dxa"/>
            </w:tcMar>
            <w:vAlign w:val="center"/>
          </w:tcPr>
          <w:p w14:paraId="49E1F077">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环保投资（万元）</w:t>
            </w:r>
          </w:p>
        </w:tc>
        <w:tc>
          <w:tcPr>
            <w:tcW w:w="1832" w:type="pct"/>
            <w:noWrap w:val="0"/>
            <w:vAlign w:val="center"/>
          </w:tcPr>
          <w:p w14:paraId="700028EA">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36</w:t>
            </w:r>
          </w:p>
        </w:tc>
      </w:tr>
      <w:tr w14:paraId="6A83F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54FE08C2">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环保投资</w:t>
            </w:r>
          </w:p>
          <w:p w14:paraId="7DF7E69A">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占比（%）</w:t>
            </w:r>
          </w:p>
        </w:tc>
        <w:tc>
          <w:tcPr>
            <w:tcW w:w="1425" w:type="pct"/>
            <w:noWrap w:val="0"/>
            <w:vAlign w:val="center"/>
          </w:tcPr>
          <w:p w14:paraId="7BA96139">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7.2</w:t>
            </w:r>
          </w:p>
        </w:tc>
        <w:tc>
          <w:tcPr>
            <w:tcW w:w="949" w:type="pct"/>
            <w:noWrap w:val="0"/>
            <w:tcMar>
              <w:top w:w="16" w:type="dxa"/>
              <w:left w:w="16" w:type="dxa"/>
              <w:right w:w="16" w:type="dxa"/>
            </w:tcMar>
            <w:vAlign w:val="center"/>
          </w:tcPr>
          <w:p w14:paraId="21A375BC">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施工工期</w:t>
            </w:r>
          </w:p>
        </w:tc>
        <w:tc>
          <w:tcPr>
            <w:tcW w:w="1832" w:type="pct"/>
            <w:noWrap w:val="0"/>
            <w:vAlign w:val="center"/>
          </w:tcPr>
          <w:p w14:paraId="7D4E26F3">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1</w:t>
            </w:r>
            <w:r>
              <w:rPr>
                <w:rFonts w:hint="default" w:ascii="Times New Roman" w:hAnsi="Times New Roman" w:eastAsia="宋体" w:cs="Times New Roman"/>
                <w:color w:val="auto"/>
                <w:spacing w:val="0"/>
                <w:kern w:val="0"/>
                <w:position w:val="0"/>
                <w:sz w:val="24"/>
                <w:szCs w:val="24"/>
                <w:lang w:val="en-US" w:eastAsia="zh-CN"/>
              </w:rPr>
              <w:t>个月</w:t>
            </w:r>
          </w:p>
        </w:tc>
      </w:tr>
      <w:tr w14:paraId="3ED9C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2" w:type="pct"/>
            <w:gridSpan w:val="2"/>
            <w:noWrap w:val="0"/>
            <w:tcMar>
              <w:top w:w="16" w:type="dxa"/>
              <w:left w:w="16" w:type="dxa"/>
              <w:right w:w="16" w:type="dxa"/>
            </w:tcMar>
            <w:vAlign w:val="center"/>
          </w:tcPr>
          <w:p w14:paraId="08904188">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是否开工</w:t>
            </w:r>
          </w:p>
          <w:p w14:paraId="0FE9D5FC">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建设</w:t>
            </w:r>
          </w:p>
        </w:tc>
        <w:tc>
          <w:tcPr>
            <w:tcW w:w="1425" w:type="pct"/>
            <w:noWrap w:val="0"/>
            <w:vAlign w:val="center"/>
          </w:tcPr>
          <w:p w14:paraId="7E871FFF">
            <w:pPr>
              <w:adjustRightInd w:val="0"/>
              <w:snapToGrid w:val="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sym w:font="Wingdings 2" w:char="0052"/>
            </w:r>
            <w:r>
              <w:rPr>
                <w:rFonts w:hint="default" w:ascii="Times New Roman" w:hAnsi="Times New Roman" w:eastAsia="宋体" w:cs="Times New Roman"/>
                <w:color w:val="auto"/>
                <w:spacing w:val="0"/>
                <w:kern w:val="0"/>
                <w:position w:val="0"/>
                <w:sz w:val="24"/>
                <w:szCs w:val="24"/>
              </w:rPr>
              <w:t>否</w:t>
            </w:r>
          </w:p>
          <w:p w14:paraId="3F2E0229">
            <w:pPr>
              <w:adjustRightInd w:val="0"/>
              <w:snapToGrid w:val="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sym w:font="Wingdings 2" w:char="00A3"/>
            </w:r>
            <w:r>
              <w:rPr>
                <w:rFonts w:hint="default" w:ascii="Times New Roman" w:hAnsi="Times New Roman" w:eastAsia="宋体" w:cs="Times New Roman"/>
                <w:color w:val="auto"/>
                <w:spacing w:val="0"/>
                <w:kern w:val="0"/>
                <w:position w:val="0"/>
                <w:sz w:val="24"/>
                <w:szCs w:val="24"/>
              </w:rPr>
              <w:t>是：</w:t>
            </w:r>
            <w:r>
              <w:rPr>
                <w:rFonts w:hint="default" w:ascii="Times New Roman" w:hAnsi="Times New Roman" w:eastAsia="宋体" w:cs="Times New Roman"/>
                <w:color w:val="auto"/>
                <w:spacing w:val="0"/>
                <w:kern w:val="0"/>
                <w:position w:val="0"/>
                <w:sz w:val="24"/>
                <w:szCs w:val="24"/>
                <w:u w:val="single"/>
              </w:rPr>
              <w:t xml:space="preserve">             </w:t>
            </w:r>
          </w:p>
        </w:tc>
        <w:tc>
          <w:tcPr>
            <w:tcW w:w="949" w:type="pct"/>
            <w:noWrap w:val="0"/>
            <w:tcMar>
              <w:top w:w="16" w:type="dxa"/>
              <w:left w:w="16" w:type="dxa"/>
              <w:right w:w="16" w:type="dxa"/>
            </w:tcMar>
            <w:vAlign w:val="center"/>
          </w:tcPr>
          <w:p w14:paraId="12330C59">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用地面积（m</w:t>
            </w:r>
            <w:r>
              <w:rPr>
                <w:rFonts w:hint="default" w:ascii="Times New Roman" w:hAnsi="Times New Roman" w:eastAsia="宋体" w:cs="Times New Roman"/>
                <w:color w:val="auto"/>
                <w:spacing w:val="0"/>
                <w:kern w:val="0"/>
                <w:position w:val="0"/>
                <w:sz w:val="24"/>
                <w:szCs w:val="24"/>
                <w:vertAlign w:val="superscript"/>
              </w:rPr>
              <w:t>2</w:t>
            </w:r>
            <w:r>
              <w:rPr>
                <w:rFonts w:hint="default" w:ascii="Times New Roman" w:hAnsi="Times New Roman" w:eastAsia="宋体" w:cs="Times New Roman"/>
                <w:color w:val="auto"/>
                <w:spacing w:val="0"/>
                <w:kern w:val="0"/>
                <w:position w:val="0"/>
                <w:sz w:val="24"/>
                <w:szCs w:val="24"/>
              </w:rPr>
              <w:t>）</w:t>
            </w:r>
          </w:p>
        </w:tc>
        <w:tc>
          <w:tcPr>
            <w:tcW w:w="1832" w:type="pct"/>
            <w:noWrap w:val="0"/>
            <w:vAlign w:val="center"/>
          </w:tcPr>
          <w:p w14:paraId="056821B4">
            <w:pPr>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0</w:t>
            </w:r>
            <w:r>
              <w:rPr>
                <w:rFonts w:hint="eastAsia" w:ascii="Times New Roman" w:hAnsi="Times New Roman" w:eastAsia="宋体" w:cs="Times New Roman"/>
                <w:color w:val="auto"/>
                <w:spacing w:val="0"/>
                <w:kern w:val="0"/>
                <w:position w:val="0"/>
                <w:sz w:val="24"/>
                <w:szCs w:val="24"/>
                <w:lang w:val="en-US" w:eastAsia="zh-CN"/>
              </w:rPr>
              <w:t>（不新增用地）</w:t>
            </w:r>
          </w:p>
        </w:tc>
      </w:tr>
      <w:tr w14:paraId="4F0E3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2" w:type="pct"/>
            <w:gridSpan w:val="2"/>
            <w:noWrap w:val="0"/>
            <w:vAlign w:val="center"/>
          </w:tcPr>
          <w:p w14:paraId="6B40C2D3">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专项评价设置情况</w:t>
            </w:r>
          </w:p>
        </w:tc>
        <w:tc>
          <w:tcPr>
            <w:tcW w:w="4207" w:type="pct"/>
            <w:gridSpan w:val="3"/>
            <w:noWrap w:val="0"/>
            <w:vAlign w:val="center"/>
          </w:tcPr>
          <w:p w14:paraId="7614B798">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eastAsia" w:ascii="Times New Roman" w:hAnsi="Times New Roman" w:eastAsia="宋体" w:cs="Times New Roman"/>
                <w:color w:val="auto"/>
                <w:spacing w:val="0"/>
                <w:kern w:val="0"/>
                <w:position w:val="0"/>
                <w:sz w:val="24"/>
                <w:szCs w:val="24"/>
                <w:lang w:val="en-US" w:eastAsia="zh-CN"/>
              </w:rPr>
              <w:t>有毒有害和易燃易爆危险物质存储量超过临界量</w:t>
            </w:r>
            <w:r>
              <w:rPr>
                <w:rFonts w:hint="eastAsia" w:cs="Times New Roman"/>
                <w:color w:val="auto"/>
                <w:spacing w:val="0"/>
                <w:kern w:val="0"/>
                <w:position w:val="0"/>
                <w:sz w:val="24"/>
                <w:szCs w:val="24"/>
                <w:lang w:val="en-US" w:eastAsia="zh-CN"/>
              </w:rPr>
              <w:t>，设置环境风险专项</w:t>
            </w:r>
          </w:p>
        </w:tc>
      </w:tr>
      <w:tr w14:paraId="37B24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2" w:type="pct"/>
            <w:gridSpan w:val="2"/>
            <w:noWrap w:val="0"/>
            <w:vAlign w:val="center"/>
          </w:tcPr>
          <w:p w14:paraId="2CAD8617">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规划情况</w:t>
            </w:r>
          </w:p>
        </w:tc>
        <w:tc>
          <w:tcPr>
            <w:tcW w:w="4207" w:type="pct"/>
            <w:gridSpan w:val="3"/>
            <w:noWrap w:val="0"/>
            <w:vAlign w:val="center"/>
          </w:tcPr>
          <w:p w14:paraId="417868FC">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w:t>
            </w:r>
          </w:p>
        </w:tc>
      </w:tr>
      <w:tr w14:paraId="29EB3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2" w:type="pct"/>
            <w:gridSpan w:val="2"/>
            <w:noWrap w:val="0"/>
            <w:vAlign w:val="center"/>
          </w:tcPr>
          <w:p w14:paraId="6C006516">
            <w:pPr>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规划环境影响评价情况</w:t>
            </w:r>
          </w:p>
        </w:tc>
        <w:tc>
          <w:tcPr>
            <w:tcW w:w="4207" w:type="pct"/>
            <w:gridSpan w:val="3"/>
            <w:noWrap w:val="0"/>
            <w:vAlign w:val="center"/>
          </w:tcPr>
          <w:p w14:paraId="72211780">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w:t>
            </w:r>
          </w:p>
        </w:tc>
      </w:tr>
      <w:tr w14:paraId="5B409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2" w:type="pct"/>
            <w:gridSpan w:val="2"/>
            <w:noWrap w:val="0"/>
            <w:vAlign w:val="center"/>
          </w:tcPr>
          <w:p w14:paraId="77BB2B36">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规划及规划环境影响评价符合性分析</w:t>
            </w:r>
          </w:p>
        </w:tc>
        <w:tc>
          <w:tcPr>
            <w:tcW w:w="4207" w:type="pct"/>
            <w:gridSpan w:val="3"/>
            <w:noWrap w:val="0"/>
            <w:vAlign w:val="center"/>
          </w:tcPr>
          <w:p w14:paraId="5380F421">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w:t>
            </w:r>
          </w:p>
        </w:tc>
      </w:tr>
      <w:tr w14:paraId="27A24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7" w:type="pct"/>
            <w:noWrap w:val="0"/>
            <w:vAlign w:val="center"/>
          </w:tcPr>
          <w:p w14:paraId="4FEF3A1D">
            <w:pPr>
              <w:autoSpaceDE w:val="0"/>
              <w:autoSpaceDN w:val="0"/>
              <w:adjustRightInd w:val="0"/>
              <w:snapToGrid w:val="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其他符合性分析</w:t>
            </w:r>
          </w:p>
        </w:tc>
        <w:tc>
          <w:tcPr>
            <w:tcW w:w="4782" w:type="pct"/>
            <w:gridSpan w:val="4"/>
            <w:noWrap w:val="0"/>
            <w:vAlign w:val="center"/>
          </w:tcPr>
          <w:p w14:paraId="5CB66EE6">
            <w:pPr>
              <w:pageBreakBefore w:val="0"/>
              <w:tabs>
                <w:tab w:val="left" w:pos="900"/>
              </w:tabs>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pacing w:val="0"/>
                <w:kern w:val="0"/>
                <w:position w:val="0"/>
                <w:sz w:val="24"/>
                <w:szCs w:val="24"/>
              </w:rPr>
            </w:pPr>
            <w:r>
              <w:rPr>
                <w:rFonts w:hint="default" w:ascii="Times New Roman" w:hAnsi="Times New Roman" w:eastAsia="宋体" w:cs="Times New Roman"/>
                <w:b/>
                <w:color w:val="auto"/>
                <w:spacing w:val="0"/>
                <w:kern w:val="0"/>
                <w:position w:val="0"/>
                <w:sz w:val="24"/>
                <w:szCs w:val="24"/>
              </w:rPr>
              <w:t>1、产业政策符合性</w:t>
            </w:r>
          </w:p>
          <w:p w14:paraId="6084A6F7">
            <w:pPr>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rPr>
              <w:t>根据《产业结构调整指导目录（20</w:t>
            </w:r>
            <w:r>
              <w:rPr>
                <w:rFonts w:hint="default" w:ascii="Times New Roman" w:hAnsi="Times New Roman" w:eastAsia="宋体" w:cs="Times New Roman"/>
                <w:color w:val="auto"/>
                <w:spacing w:val="0"/>
                <w:kern w:val="0"/>
                <w:position w:val="0"/>
                <w:sz w:val="24"/>
                <w:szCs w:val="24"/>
                <w:lang w:val="en-US" w:eastAsia="zh-CN"/>
              </w:rPr>
              <w:t>24</w:t>
            </w:r>
            <w:r>
              <w:rPr>
                <w:rFonts w:hint="default" w:ascii="Times New Roman" w:hAnsi="Times New Roman" w:eastAsia="宋体" w:cs="Times New Roman"/>
                <w:color w:val="auto"/>
                <w:spacing w:val="0"/>
                <w:kern w:val="0"/>
                <w:position w:val="0"/>
                <w:sz w:val="24"/>
                <w:szCs w:val="24"/>
              </w:rPr>
              <w:t>年本）》，本项目不属于</w:t>
            </w:r>
            <w:r>
              <w:rPr>
                <w:rFonts w:hint="default" w:ascii="Times New Roman" w:hAnsi="Times New Roman" w:eastAsia="宋体" w:cs="Times New Roman"/>
                <w:color w:val="auto"/>
                <w:spacing w:val="0"/>
                <w:kern w:val="0"/>
                <w:position w:val="0"/>
                <w:sz w:val="24"/>
                <w:szCs w:val="24"/>
                <w:lang w:val="en-US" w:eastAsia="zh-CN"/>
              </w:rPr>
              <w:t>鼓励类、</w:t>
            </w:r>
            <w:r>
              <w:rPr>
                <w:rFonts w:hint="default" w:ascii="Times New Roman" w:hAnsi="Times New Roman" w:eastAsia="宋体" w:cs="Times New Roman"/>
                <w:color w:val="auto"/>
                <w:spacing w:val="0"/>
                <w:kern w:val="0"/>
                <w:position w:val="0"/>
                <w:sz w:val="24"/>
                <w:szCs w:val="24"/>
              </w:rPr>
              <w:t>限制类和淘汰类项目，属于</w:t>
            </w:r>
            <w:r>
              <w:rPr>
                <w:rFonts w:hint="default" w:ascii="Times New Roman" w:hAnsi="Times New Roman" w:eastAsia="宋体" w:cs="Times New Roman"/>
                <w:color w:val="auto"/>
                <w:spacing w:val="0"/>
                <w:kern w:val="0"/>
                <w:position w:val="0"/>
                <w:sz w:val="24"/>
                <w:szCs w:val="24"/>
                <w:lang w:val="en-US" w:eastAsia="zh-CN"/>
              </w:rPr>
              <w:t>允许</w:t>
            </w:r>
            <w:r>
              <w:rPr>
                <w:rFonts w:hint="eastAsia" w:ascii="Times New Roman" w:hAnsi="Times New Roman" w:eastAsia="宋体" w:cs="Times New Roman"/>
                <w:color w:val="auto"/>
                <w:spacing w:val="0"/>
                <w:kern w:val="0"/>
                <w:position w:val="0"/>
                <w:sz w:val="24"/>
                <w:szCs w:val="24"/>
                <w:lang w:val="en-US" w:eastAsia="zh-CN"/>
              </w:rPr>
              <w:t>建设的</w:t>
            </w:r>
            <w:r>
              <w:rPr>
                <w:rFonts w:hint="default" w:ascii="Times New Roman" w:hAnsi="Times New Roman" w:eastAsia="宋体" w:cs="Times New Roman"/>
                <w:color w:val="auto"/>
                <w:spacing w:val="0"/>
                <w:kern w:val="0"/>
                <w:position w:val="0"/>
                <w:sz w:val="24"/>
                <w:szCs w:val="24"/>
              </w:rPr>
              <w:t>项目，</w:t>
            </w:r>
            <w:r>
              <w:rPr>
                <w:rFonts w:hint="eastAsia" w:ascii="Times New Roman" w:hAnsi="Times New Roman" w:eastAsia="宋体" w:cs="Times New Roman"/>
                <w:color w:val="auto"/>
                <w:spacing w:val="0"/>
                <w:kern w:val="0"/>
                <w:position w:val="0"/>
                <w:sz w:val="24"/>
                <w:szCs w:val="24"/>
                <w:lang w:eastAsia="zh-CN"/>
              </w:rPr>
              <w:t>本项目已经取得山东省建设项目备案证明，代码</w:t>
            </w:r>
            <w:r>
              <w:rPr>
                <w:rFonts w:hint="eastAsia" w:ascii="Times New Roman" w:hAnsi="Times New Roman" w:eastAsia="宋体" w:cs="Times New Roman"/>
                <w:color w:val="auto"/>
                <w:spacing w:val="0"/>
                <w:kern w:val="0"/>
                <w:position w:val="0"/>
                <w:sz w:val="24"/>
                <w:szCs w:val="24"/>
                <w:lang w:val="en-US" w:eastAsia="zh-CN"/>
              </w:rPr>
              <w:t>2406-370829-04-01-173611，因此本项目符合国家产业政策的要求。</w:t>
            </w:r>
          </w:p>
          <w:p w14:paraId="25C1CA5D">
            <w:pPr>
              <w:pStyle w:val="11"/>
              <w:pageBreakBefore w:val="0"/>
              <w:kinsoku/>
              <w:wordWrap/>
              <w:overflowPunct/>
              <w:topLinePunct w:val="0"/>
              <w:bidi w:val="0"/>
              <w:adjustRightInd/>
              <w:snapToGrid/>
              <w:spacing w:before="0" w:after="0" w:line="360" w:lineRule="auto"/>
              <w:ind w:firstLine="482" w:firstLineChars="200"/>
              <w:jc w:val="both"/>
              <w:textAlignment w:val="auto"/>
              <w:rPr>
                <w:rFonts w:hint="default" w:ascii="Times New Roman" w:hAnsi="Times New Roman" w:eastAsia="宋体" w:cs="Times New Roman"/>
                <w:b w:val="0"/>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2、《限制用地项目目录》和《禁止用地项目目录》符合性</w:t>
            </w:r>
          </w:p>
          <w:p w14:paraId="09BB86FD">
            <w:pPr>
              <w:pStyle w:val="21"/>
              <w:pageBreakBefore w:val="0"/>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凡列入《禁止目录》的建设项目或者采用所列工艺技术、装备、规模的建设项目，国土资源管理部门和投资管理部门不得办理相关手续。凡采用《</w:t>
            </w:r>
            <w:r>
              <w:rPr>
                <w:rFonts w:hint="default" w:ascii="Times New Roman" w:hAnsi="Times New Roman" w:eastAsia="宋体" w:cs="Times New Roman"/>
                <w:color w:val="auto"/>
                <w:spacing w:val="0"/>
                <w:kern w:val="0"/>
                <w:position w:val="0"/>
                <w:sz w:val="24"/>
                <w:szCs w:val="24"/>
              </w:rPr>
              <w:t>产业结构调整指导目录（20</w:t>
            </w:r>
            <w:r>
              <w:rPr>
                <w:rFonts w:hint="default" w:ascii="Times New Roman" w:hAnsi="Times New Roman" w:eastAsia="宋体" w:cs="Times New Roman"/>
                <w:color w:val="auto"/>
                <w:spacing w:val="0"/>
                <w:kern w:val="0"/>
                <w:position w:val="0"/>
                <w:sz w:val="24"/>
                <w:szCs w:val="24"/>
                <w:lang w:val="en-US" w:eastAsia="zh-CN"/>
              </w:rPr>
              <w:t>24</w:t>
            </w:r>
            <w:r>
              <w:rPr>
                <w:rFonts w:hint="default" w:ascii="Times New Roman" w:hAnsi="Times New Roman" w:eastAsia="宋体" w:cs="Times New Roman"/>
                <w:color w:val="auto"/>
                <w:spacing w:val="0"/>
                <w:kern w:val="0"/>
                <w:position w:val="0"/>
                <w:sz w:val="24"/>
                <w:szCs w:val="24"/>
              </w:rPr>
              <w:t>年本）</w:t>
            </w:r>
            <w:r>
              <w:rPr>
                <w:rFonts w:hint="default" w:ascii="Times New Roman" w:hAnsi="Times New Roman" w:eastAsia="宋体" w:cs="Times New Roman"/>
                <w:color w:val="auto"/>
                <w:spacing w:val="0"/>
                <w:kern w:val="0"/>
                <w:position w:val="0"/>
                <w:sz w:val="24"/>
                <w:szCs w:val="24"/>
                <w:lang w:val="en-US" w:eastAsia="zh-CN"/>
              </w:rPr>
              <w:t>》明令淘汰的落后工艺技术，装备或者生产明令淘汰产品的建设项目，国土资源管理部门和投资管理部门一律不得办理相关手续。《限制目录》和《禁止目录》执行中，国务院发布的产业政策和土地资源管理政策对限制和禁止用地项目另有规定的，按国务院规定办理。</w:t>
            </w:r>
          </w:p>
          <w:p w14:paraId="37C3E146">
            <w:pPr>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color w:val="auto"/>
                <w:spacing w:val="0"/>
                <w:kern w:val="0"/>
                <w:position w:val="0"/>
                <w:sz w:val="24"/>
                <w:szCs w:val="24"/>
              </w:rPr>
            </w:pPr>
            <w:r>
              <w:rPr>
                <w:rFonts w:hint="eastAsia" w:ascii="Times New Roman" w:hAnsi="Times New Roman" w:eastAsia="宋体" w:cs="Times New Roman"/>
                <w:color w:val="auto"/>
                <w:spacing w:val="0"/>
                <w:kern w:val="0"/>
                <w:position w:val="0"/>
                <w:sz w:val="24"/>
                <w:szCs w:val="24"/>
                <w:lang w:eastAsia="zh-CN"/>
              </w:rPr>
              <w:t>本项目在现有厂区内建设，不新增用地</w:t>
            </w:r>
            <w:r>
              <w:rPr>
                <w:rFonts w:hint="default" w:ascii="Times New Roman" w:hAnsi="Times New Roman" w:eastAsia="宋体" w:cs="Times New Roman"/>
                <w:color w:val="auto"/>
                <w:spacing w:val="0"/>
                <w:kern w:val="0"/>
                <w:position w:val="0"/>
                <w:sz w:val="24"/>
                <w:szCs w:val="24"/>
              </w:rPr>
              <w:t>。根据《限制用地项目目录》（2012年本）和《禁止用地项目目录》（2012年本），本项目</w:t>
            </w:r>
            <w:r>
              <w:rPr>
                <w:rFonts w:hint="default" w:ascii="Times New Roman" w:hAnsi="Times New Roman" w:eastAsia="宋体" w:cs="Times New Roman"/>
                <w:color w:val="auto"/>
                <w:spacing w:val="0"/>
                <w:kern w:val="0"/>
                <w:position w:val="0"/>
                <w:sz w:val="24"/>
                <w:szCs w:val="24"/>
                <w:lang w:val="en-US" w:eastAsia="zh-CN"/>
              </w:rPr>
              <w:t>用地</w:t>
            </w:r>
            <w:r>
              <w:rPr>
                <w:rFonts w:hint="default" w:ascii="Times New Roman" w:hAnsi="Times New Roman" w:eastAsia="宋体" w:cs="Times New Roman"/>
                <w:color w:val="auto"/>
                <w:spacing w:val="0"/>
                <w:kern w:val="0"/>
                <w:position w:val="0"/>
                <w:sz w:val="24"/>
                <w:szCs w:val="24"/>
              </w:rPr>
              <w:t>不属于限制用地和禁止用地范围。</w:t>
            </w:r>
          </w:p>
          <w:p w14:paraId="6870EC80">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color w:val="auto"/>
                <w:spacing w:val="0"/>
                <w:kern w:val="0"/>
                <w:position w:val="0"/>
                <w:sz w:val="24"/>
                <w:szCs w:val="24"/>
              </w:rPr>
              <w:t>3、</w:t>
            </w:r>
            <w:r>
              <w:rPr>
                <w:rFonts w:hint="default" w:ascii="Times New Roman" w:hAnsi="Times New Roman" w:eastAsia="宋体" w:cs="Times New Roman"/>
                <w:b/>
                <w:color w:val="auto"/>
                <w:spacing w:val="0"/>
                <w:kern w:val="0"/>
                <w:position w:val="0"/>
                <w:sz w:val="24"/>
                <w:szCs w:val="24"/>
                <w:lang w:val="en-US" w:eastAsia="zh-CN"/>
              </w:rPr>
              <w:t>“三线一单”符合性</w:t>
            </w:r>
          </w:p>
          <w:p w14:paraId="196355E7">
            <w:pPr>
              <w:pStyle w:val="2"/>
              <w:keepNext w:val="0"/>
              <w:keepLines w:val="0"/>
              <w:pageBreakBefore w:val="0"/>
              <w:widowControl w:val="0"/>
              <w:suppressLineNumbers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lang w:val="en-US" w:eastAsia="zh-CN"/>
              </w:rPr>
              <w:t>1</w:t>
            </w:r>
            <w:r>
              <w:rPr>
                <w:rFonts w:hint="default"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生态保护红线</w:t>
            </w:r>
          </w:p>
          <w:p w14:paraId="4531EA4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eastAsia="zh-CN"/>
              </w:rPr>
              <w:t>“三区三线”是根据城镇空间、农业空间、生态空间三种类型的空间，分别对应划定的城镇开发边界、永久基本农田保护红线、生态保护红线三条控制线。其中“三区”突出主导功能划分，“三线”侧重边界的刚性管控。它是国土空间用途管制的重要内容，也是国土空间用途管制的核心框架。“三区”内部统筹要素分类，是功能分区和用途分类的基础；“三线”是“三区”内部最核心的刚性要求。空间关系上，“三区”各自包含“三线”。生态空间，包括生态保护红线范围和一般生态空间；农业空间，包括永久基本农田和一般农业空间；城镇空间，包括城镇开发边界内和边界外部分城镇空间。根据嘉祥县三区三线划定成果（附图</w:t>
            </w:r>
            <w:r>
              <w:rPr>
                <w:rFonts w:hint="eastAsia" w:cs="Times New Roman"/>
                <w:color w:val="auto"/>
                <w:spacing w:val="0"/>
                <w:kern w:val="0"/>
                <w:position w:val="0"/>
                <w:sz w:val="24"/>
                <w:szCs w:val="24"/>
                <w:lang w:val="en-US" w:eastAsia="zh-CN"/>
              </w:rPr>
              <w:t>5</w:t>
            </w:r>
            <w:r>
              <w:rPr>
                <w:rFonts w:hint="default" w:ascii="Times New Roman" w:hAnsi="Times New Roman" w:eastAsia="宋体" w:cs="Times New Roman"/>
                <w:color w:val="auto"/>
                <w:spacing w:val="0"/>
                <w:kern w:val="0"/>
                <w:position w:val="0"/>
                <w:sz w:val="24"/>
                <w:szCs w:val="24"/>
                <w:lang w:eastAsia="zh-CN"/>
              </w:rPr>
              <w:t>），本项目位于城镇开发边界内，符合三区三线要求</w:t>
            </w:r>
            <w:r>
              <w:rPr>
                <w:rFonts w:hint="default" w:ascii="Times New Roman" w:hAnsi="Times New Roman" w:eastAsia="宋体" w:cs="Times New Roman"/>
                <w:color w:val="auto"/>
                <w:spacing w:val="0"/>
                <w:kern w:val="0"/>
                <w:position w:val="0"/>
                <w:sz w:val="24"/>
                <w:szCs w:val="24"/>
              </w:rPr>
              <w:t>。</w:t>
            </w:r>
          </w:p>
          <w:p w14:paraId="4C58EC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val="en-US" w:eastAsia="zh-CN"/>
              </w:rPr>
              <w:t>（2）环境质量底线</w:t>
            </w:r>
          </w:p>
          <w:p w14:paraId="7227F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环境质量底线是国家和地方设置的环境质量目标，也是改善环境质量的基准线。</w:t>
            </w:r>
            <w:r>
              <w:rPr>
                <w:color w:val="auto"/>
                <w:kern w:val="0"/>
                <w:sz w:val="24"/>
                <w:szCs w:val="24"/>
                <w:lang w:bidi="ar"/>
              </w:rPr>
              <w:t>项目所在区域的环境质量持续改善，全市PM</w:t>
            </w:r>
            <w:r>
              <w:rPr>
                <w:color w:val="auto"/>
                <w:kern w:val="0"/>
                <w:sz w:val="24"/>
                <w:szCs w:val="24"/>
                <w:vertAlign w:val="subscript"/>
                <w:lang w:bidi="ar"/>
              </w:rPr>
              <w:t>2.5</w:t>
            </w:r>
            <w:r>
              <w:rPr>
                <w:color w:val="auto"/>
                <w:kern w:val="0"/>
                <w:sz w:val="24"/>
                <w:szCs w:val="24"/>
                <w:lang w:bidi="ar"/>
              </w:rPr>
              <w:t>平均浓度为44μg/m</w:t>
            </w:r>
            <w:r>
              <w:rPr>
                <w:color w:val="auto"/>
                <w:kern w:val="0"/>
                <w:sz w:val="24"/>
                <w:szCs w:val="24"/>
                <w:vertAlign w:val="superscript"/>
                <w:lang w:bidi="ar"/>
              </w:rPr>
              <w:t>3</w:t>
            </w:r>
            <w:r>
              <w:rPr>
                <w:color w:val="auto"/>
                <w:kern w:val="0"/>
                <w:sz w:val="24"/>
                <w:szCs w:val="24"/>
                <w:lang w:bidi="ar"/>
              </w:rPr>
              <w:t>，空气质量优良天数比率均达到70%以上。南水北调输水干线及重点河流市控以上断面全部达到或优于地表水Ⅲ类标准，水质优良率达到100%，建成区内劣五类水体全面消除，水环境质量不断改善。土壤环境质量总体保持稳定，受污染耕地和污染地块安全利用得到进一步巩固提升，全市受污染耕地安全利用率达到92%左右，污染地块安全利用率达到92%以上。</w:t>
            </w:r>
          </w:p>
          <w:p w14:paraId="7FF94B58">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lang w:eastAsia="zh-CN"/>
              </w:rPr>
            </w:pPr>
            <w:r>
              <w:rPr>
                <w:color w:val="auto"/>
                <w:sz w:val="24"/>
                <w:szCs w:val="24"/>
              </w:rPr>
              <w:t>本项目废气达标排放，</w:t>
            </w:r>
            <w:r>
              <w:rPr>
                <w:rFonts w:hint="eastAsia"/>
                <w:color w:val="auto"/>
                <w:sz w:val="24"/>
                <w:szCs w:val="24"/>
              </w:rPr>
              <w:t>污染物排放量较小</w:t>
            </w:r>
            <w:r>
              <w:rPr>
                <w:rFonts w:hint="eastAsia"/>
                <w:color w:val="auto"/>
                <w:sz w:val="24"/>
                <w:szCs w:val="24"/>
                <w:lang w:eastAsia="zh-CN"/>
              </w:rPr>
              <w:t>；</w:t>
            </w:r>
            <w:r>
              <w:rPr>
                <w:rFonts w:hint="eastAsia"/>
                <w:color w:val="auto"/>
                <w:sz w:val="24"/>
                <w:szCs w:val="24"/>
                <w:lang w:val="en-US" w:eastAsia="zh-CN"/>
              </w:rPr>
              <w:t>不新增废水排放</w:t>
            </w:r>
            <w:r>
              <w:rPr>
                <w:color w:val="auto"/>
                <w:sz w:val="24"/>
                <w:szCs w:val="24"/>
              </w:rPr>
              <w:t>；厂界噪声达标；固体废物</w:t>
            </w:r>
            <w:r>
              <w:rPr>
                <w:rFonts w:hint="eastAsia"/>
                <w:color w:val="auto"/>
                <w:sz w:val="24"/>
                <w:szCs w:val="24"/>
              </w:rPr>
              <w:t>全部</w:t>
            </w:r>
            <w:r>
              <w:rPr>
                <w:color w:val="auto"/>
                <w:sz w:val="24"/>
                <w:szCs w:val="24"/>
              </w:rPr>
              <w:t>合理处置。因此，本项目基本不会对区域环境质量造成影响</w:t>
            </w:r>
            <w:r>
              <w:rPr>
                <w:b/>
                <w:color w:val="auto"/>
                <w:sz w:val="24"/>
                <w:szCs w:val="24"/>
              </w:rPr>
              <w:t>，</w:t>
            </w:r>
            <w:r>
              <w:rPr>
                <w:color w:val="auto"/>
                <w:sz w:val="24"/>
                <w:szCs w:val="24"/>
              </w:rPr>
              <w:t>符合环境质量底线要求</w:t>
            </w:r>
            <w:r>
              <w:rPr>
                <w:rFonts w:hint="eastAsia"/>
                <w:color w:val="auto"/>
                <w:sz w:val="24"/>
                <w:szCs w:val="24"/>
                <w:lang w:eastAsia="zh-CN"/>
              </w:rPr>
              <w:t>。</w:t>
            </w:r>
          </w:p>
          <w:p w14:paraId="3600AF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val="en-US" w:eastAsia="zh-CN"/>
              </w:rPr>
              <w:t>（3）资源利用上线</w:t>
            </w:r>
          </w:p>
          <w:p w14:paraId="7271851B">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bidi="ar-SA"/>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4336FE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本项目运营过程中</w:t>
            </w:r>
            <w:r>
              <w:rPr>
                <w:rFonts w:hint="default" w:ascii="Times New Roman" w:hAnsi="Times New Roman" w:eastAsia="宋体" w:cs="Times New Roman"/>
                <w:color w:val="auto"/>
                <w:spacing w:val="0"/>
                <w:kern w:val="0"/>
                <w:position w:val="0"/>
                <w:sz w:val="24"/>
                <w:szCs w:val="24"/>
                <w:lang w:val="en-US" w:eastAsia="zh-CN"/>
              </w:rPr>
              <w:t>所利用的资源主要为水、电、天然气，不属于高耗能行业，资源整体消耗量相对于区域而言较小</w:t>
            </w:r>
            <w:r>
              <w:rPr>
                <w:rFonts w:hint="default" w:ascii="Times New Roman" w:hAnsi="Times New Roman" w:eastAsia="宋体" w:cs="Times New Roman"/>
                <w:color w:val="auto"/>
                <w:spacing w:val="0"/>
                <w:kern w:val="0"/>
                <w:position w:val="0"/>
                <w:sz w:val="24"/>
                <w:szCs w:val="24"/>
              </w:rPr>
              <w:t>，不会触及当地资源分配的上线，符合资源利用上限要求。</w:t>
            </w:r>
          </w:p>
          <w:p w14:paraId="7C1D3D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val="en-US" w:eastAsia="zh-CN"/>
              </w:rPr>
              <w:t>（4）生态环境准入清单</w:t>
            </w:r>
          </w:p>
          <w:p w14:paraId="654FDB7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rPr>
              <w:t>根据</w:t>
            </w:r>
            <w:r>
              <w:rPr>
                <w:rFonts w:hint="default" w:ascii="Times New Roman" w:hAnsi="Times New Roman" w:eastAsia="宋体" w:cs="Times New Roman"/>
                <w:b w:val="0"/>
                <w:bCs w:val="0"/>
                <w:color w:val="auto"/>
                <w:spacing w:val="0"/>
                <w:kern w:val="0"/>
                <w:position w:val="0"/>
                <w:sz w:val="24"/>
                <w:szCs w:val="24"/>
              </w:rPr>
              <w:t>济宁市生态环境委员会办公室《关于发布2023年生态环境分区管控动态更新成果的通知》〔2024〕5号</w:t>
            </w:r>
            <w:r>
              <w:rPr>
                <w:rFonts w:hint="default" w:ascii="Times New Roman" w:hAnsi="Times New Roman" w:eastAsia="宋体" w:cs="Times New Roman"/>
                <w:color w:val="auto"/>
                <w:spacing w:val="0"/>
                <w:kern w:val="0"/>
                <w:position w:val="0"/>
                <w:sz w:val="24"/>
                <w:szCs w:val="24"/>
              </w:rPr>
              <w:t>的要求，本项目</w:t>
            </w:r>
            <w:r>
              <w:rPr>
                <w:rFonts w:hint="eastAsia" w:ascii="Times New Roman" w:hAnsi="Times New Roman" w:eastAsia="宋体" w:cs="Times New Roman"/>
                <w:color w:val="auto"/>
                <w:sz w:val="24"/>
                <w:szCs w:val="24"/>
                <w:highlight w:val="none"/>
              </w:rPr>
              <w:t>生态环境准入清单符合性见下表</w:t>
            </w:r>
            <w:r>
              <w:rPr>
                <w:rFonts w:hint="default" w:ascii="Times New Roman" w:hAnsi="Times New Roman" w:eastAsia="宋体" w:cs="Times New Roman"/>
                <w:color w:val="auto"/>
                <w:spacing w:val="0"/>
                <w:kern w:val="0"/>
                <w:position w:val="0"/>
                <w:sz w:val="24"/>
                <w:szCs w:val="24"/>
                <w:lang w:val="en-US" w:eastAsia="zh-CN"/>
              </w:rPr>
              <w:t>。</w:t>
            </w:r>
          </w:p>
          <w:p w14:paraId="66D411B9">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color w:val="auto"/>
                <w:spacing w:val="0"/>
                <w:kern w:val="0"/>
                <w:position w:val="0"/>
                <w:sz w:val="24"/>
                <w:szCs w:val="24"/>
                <w:lang w:val="en-US" w:eastAsia="zh-CN"/>
              </w:rPr>
            </w:pPr>
            <w:r>
              <w:rPr>
                <w:rFonts w:hint="default" w:ascii="Times New Roman" w:hAnsi="Times New Roman" w:eastAsia="宋体" w:cs="Times New Roman"/>
                <w:b/>
                <w:bCs/>
                <w:caps w:val="0"/>
                <w:color w:val="auto"/>
                <w:spacing w:val="0"/>
                <w:kern w:val="0"/>
                <w:position w:val="0"/>
                <w:sz w:val="24"/>
                <w:szCs w:val="24"/>
                <w:lang w:val="en-US" w:eastAsia="zh-CN"/>
              </w:rPr>
              <w:t>生态环境准入清单符合性分析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444"/>
              <w:gridCol w:w="2480"/>
              <w:gridCol w:w="847"/>
            </w:tblGrid>
            <w:tr w14:paraId="61B3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70F4D46F">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eastAsia" w:ascii="Times New Roman" w:hAnsi="Times New Roman" w:eastAsia="宋体" w:cs="Times New Roman"/>
                      <w:color w:val="auto"/>
                      <w:spacing w:val="0"/>
                      <w:kern w:val="0"/>
                      <w:position w:val="0"/>
                      <w:sz w:val="21"/>
                      <w:szCs w:val="21"/>
                      <w:vertAlign w:val="baseline"/>
                      <w:lang w:val="en-US" w:eastAsia="zh-CN"/>
                    </w:rPr>
                    <w:t>卧龙山</w:t>
                  </w:r>
                  <w:r>
                    <w:rPr>
                      <w:rFonts w:hint="default" w:ascii="Times New Roman" w:hAnsi="Times New Roman" w:eastAsia="宋体" w:cs="Times New Roman"/>
                      <w:color w:val="auto"/>
                      <w:spacing w:val="0"/>
                      <w:kern w:val="0"/>
                      <w:position w:val="0"/>
                      <w:sz w:val="21"/>
                      <w:szCs w:val="21"/>
                      <w:vertAlign w:val="baseline"/>
                      <w:lang w:val="en-US" w:eastAsia="zh-CN"/>
                    </w:rPr>
                    <w:t>街道（一般管控区）（ZH37082930012）</w:t>
                  </w:r>
                </w:p>
              </w:tc>
            </w:tr>
            <w:tr w14:paraId="4576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noWrap w:val="0"/>
                  <w:vAlign w:val="center"/>
                </w:tcPr>
                <w:p w14:paraId="69EC9DA0">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管控单元分类</w:t>
                  </w:r>
                </w:p>
              </w:tc>
              <w:tc>
                <w:tcPr>
                  <w:tcW w:w="2231" w:type="pct"/>
                  <w:noWrap w:val="0"/>
                  <w:vAlign w:val="center"/>
                </w:tcPr>
                <w:p w14:paraId="1B58786D">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管控要求</w:t>
                  </w:r>
                </w:p>
              </w:tc>
              <w:tc>
                <w:tcPr>
                  <w:tcW w:w="1607" w:type="pct"/>
                  <w:noWrap w:val="0"/>
                  <w:vAlign w:val="center"/>
                </w:tcPr>
                <w:p w14:paraId="2A0622DB">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本项目情况</w:t>
                  </w:r>
                </w:p>
              </w:tc>
              <w:tc>
                <w:tcPr>
                  <w:tcW w:w="547" w:type="pct"/>
                  <w:noWrap w:val="0"/>
                  <w:vAlign w:val="center"/>
                </w:tcPr>
                <w:p w14:paraId="0C2B9911">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符合性</w:t>
                  </w:r>
                </w:p>
              </w:tc>
            </w:tr>
            <w:tr w14:paraId="4C14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noWrap w:val="0"/>
                  <w:vAlign w:val="center"/>
                </w:tcPr>
                <w:p w14:paraId="190A19E2">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空间布局约束</w:t>
                  </w:r>
                </w:p>
              </w:tc>
              <w:tc>
                <w:tcPr>
                  <w:tcW w:w="2231" w:type="pct"/>
                  <w:noWrap w:val="0"/>
                  <w:vAlign w:val="center"/>
                </w:tcPr>
                <w:p w14:paraId="588EB640">
                  <w:pPr>
                    <w:keepNext w:val="0"/>
                    <w:keepLines w:val="0"/>
                    <w:widowControl/>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1.新建、改建、扩建涉气工业项目，在满足产业准入、总量控制、排放标准等管理制度要求的前提下，应大力推进项目进园、集约高效发展。</w:t>
                  </w:r>
                </w:p>
                <w:p w14:paraId="511E3963">
                  <w:pPr>
                    <w:keepNext w:val="0"/>
                    <w:keepLines w:val="0"/>
                    <w:widowControl/>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2.一般生态空间原则上按限制开发区域的要求进行管理。</w:t>
                  </w:r>
                </w:p>
              </w:tc>
              <w:tc>
                <w:tcPr>
                  <w:tcW w:w="1607" w:type="pct"/>
                  <w:noWrap w:val="0"/>
                  <w:vAlign w:val="center"/>
                </w:tcPr>
                <w:p w14:paraId="2C51ECE3">
                  <w:pPr>
                    <w:numPr>
                      <w:ilvl w:val="0"/>
                      <w:numId w:val="0"/>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1.本项目属于</w:t>
                  </w:r>
                  <w:r>
                    <w:rPr>
                      <w:rFonts w:hint="default" w:ascii="Times New Roman" w:hAnsi="Times New Roman" w:eastAsia="宋体" w:cs="Times New Roman"/>
                      <w:b w:val="0"/>
                      <w:bCs w:val="0"/>
                      <w:color w:val="auto"/>
                      <w:spacing w:val="0"/>
                      <w:kern w:val="0"/>
                      <w:position w:val="0"/>
                      <w:sz w:val="21"/>
                      <w:szCs w:val="21"/>
                      <w:vertAlign w:val="baseline"/>
                      <w:lang w:val="en-US" w:eastAsia="zh-CN"/>
                    </w:rPr>
                    <w:t>扩建涉气工业项目</w:t>
                  </w:r>
                  <w:r>
                    <w:rPr>
                      <w:rFonts w:hint="eastAsia" w:ascii="Times New Roman" w:hAnsi="Times New Roman" w:eastAsia="宋体" w:cs="Times New Roman"/>
                      <w:b w:val="0"/>
                      <w:bCs w:val="0"/>
                      <w:color w:val="auto"/>
                      <w:spacing w:val="0"/>
                      <w:kern w:val="0"/>
                      <w:position w:val="0"/>
                      <w:sz w:val="21"/>
                      <w:szCs w:val="21"/>
                      <w:vertAlign w:val="baseline"/>
                      <w:lang w:val="en-US" w:eastAsia="zh-CN"/>
                    </w:rPr>
                    <w:t>，符合</w:t>
                  </w:r>
                  <w:r>
                    <w:rPr>
                      <w:rFonts w:hint="default" w:ascii="Times New Roman" w:hAnsi="Times New Roman" w:eastAsia="宋体" w:cs="Times New Roman"/>
                      <w:b w:val="0"/>
                      <w:bCs w:val="0"/>
                      <w:color w:val="auto"/>
                      <w:spacing w:val="0"/>
                      <w:kern w:val="0"/>
                      <w:position w:val="0"/>
                      <w:sz w:val="21"/>
                      <w:szCs w:val="21"/>
                      <w:vertAlign w:val="baseline"/>
                      <w:lang w:val="en-US" w:eastAsia="zh-CN"/>
                    </w:rPr>
                    <w:t>产业准入、总量控制、排放标准</w:t>
                  </w:r>
                  <w:r>
                    <w:rPr>
                      <w:rFonts w:hint="eastAsia" w:ascii="Times New Roman" w:hAnsi="Times New Roman" w:eastAsia="宋体" w:cs="Times New Roman"/>
                      <w:b w:val="0"/>
                      <w:bCs w:val="0"/>
                      <w:color w:val="auto"/>
                      <w:spacing w:val="0"/>
                      <w:kern w:val="0"/>
                      <w:position w:val="0"/>
                      <w:sz w:val="21"/>
                      <w:szCs w:val="21"/>
                      <w:vertAlign w:val="baseline"/>
                      <w:lang w:val="en-US" w:eastAsia="zh-CN"/>
                    </w:rPr>
                    <w:t>等要求。不新增用地，厂区位于当地工业聚集区</w:t>
                  </w:r>
                  <w:r>
                    <w:rPr>
                      <w:rFonts w:hint="default" w:ascii="Times New Roman" w:hAnsi="Times New Roman" w:eastAsia="宋体" w:cs="Times New Roman"/>
                      <w:color w:val="auto"/>
                      <w:spacing w:val="0"/>
                      <w:kern w:val="0"/>
                      <w:position w:val="0"/>
                      <w:sz w:val="21"/>
                      <w:szCs w:val="21"/>
                      <w:vertAlign w:val="baseline"/>
                      <w:lang w:val="en-US" w:eastAsia="zh-CN"/>
                    </w:rPr>
                    <w:t>；</w:t>
                  </w:r>
                </w:p>
                <w:p w14:paraId="0B6F0815">
                  <w:pPr>
                    <w:numPr>
                      <w:ilvl w:val="0"/>
                      <w:numId w:val="0"/>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2.</w:t>
                  </w:r>
                  <w:r>
                    <w:rPr>
                      <w:rFonts w:hint="eastAsia" w:cs="Times New Roman"/>
                      <w:color w:val="auto"/>
                      <w:spacing w:val="0"/>
                      <w:kern w:val="0"/>
                      <w:position w:val="0"/>
                      <w:sz w:val="21"/>
                      <w:szCs w:val="21"/>
                      <w:vertAlign w:val="baseline"/>
                      <w:lang w:val="en-US" w:eastAsia="zh-CN"/>
                    </w:rPr>
                    <w:t>本</w:t>
                  </w:r>
                  <w:r>
                    <w:rPr>
                      <w:rFonts w:hint="default" w:ascii="Times New Roman" w:hAnsi="Times New Roman" w:eastAsia="宋体" w:cs="Times New Roman"/>
                      <w:b w:val="0"/>
                      <w:bCs w:val="0"/>
                      <w:color w:val="auto"/>
                      <w:spacing w:val="0"/>
                      <w:kern w:val="0"/>
                      <w:position w:val="0"/>
                      <w:sz w:val="21"/>
                      <w:szCs w:val="21"/>
                      <w:vertAlign w:val="baseline"/>
                      <w:lang w:val="en-US" w:eastAsia="zh-CN"/>
                    </w:rPr>
                    <w:t>项目不位于一般生态空间内。</w:t>
                  </w:r>
                </w:p>
              </w:tc>
              <w:tc>
                <w:tcPr>
                  <w:tcW w:w="547" w:type="pct"/>
                  <w:noWrap w:val="0"/>
                  <w:vAlign w:val="center"/>
                </w:tcPr>
                <w:p w14:paraId="48162A5F">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符合</w:t>
                  </w:r>
                </w:p>
              </w:tc>
            </w:tr>
            <w:tr w14:paraId="18F6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noWrap w:val="0"/>
                  <w:vAlign w:val="center"/>
                </w:tcPr>
                <w:p w14:paraId="1B25C632">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污染物排放管控</w:t>
                  </w:r>
                </w:p>
              </w:tc>
              <w:tc>
                <w:tcPr>
                  <w:tcW w:w="2231" w:type="pct"/>
                  <w:noWrap w:val="0"/>
                  <w:vAlign w:val="center"/>
                </w:tcPr>
                <w:p w14:paraId="3DD0D8E7">
                  <w:pPr>
                    <w:keepNext w:val="0"/>
                    <w:keepLines w:val="0"/>
                    <w:widowControl/>
                    <w:numPr>
                      <w:ilvl w:val="0"/>
                      <w:numId w:val="0"/>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eastAsia" w:cs="Times New Roman"/>
                      <w:b w:val="0"/>
                      <w:bCs w:val="0"/>
                      <w:color w:val="auto"/>
                      <w:spacing w:val="0"/>
                      <w:kern w:val="0"/>
                      <w:position w:val="0"/>
                      <w:sz w:val="21"/>
                      <w:szCs w:val="21"/>
                      <w:vertAlign w:val="baseline"/>
                      <w:lang w:val="en-US" w:eastAsia="zh-CN"/>
                    </w:rPr>
                    <w:t>1.</w:t>
                  </w:r>
                  <w:r>
                    <w:rPr>
                      <w:rFonts w:hint="default" w:ascii="Times New Roman" w:hAnsi="Times New Roman" w:eastAsia="宋体" w:cs="Times New Roman"/>
                      <w:b w:val="0"/>
                      <w:bCs w:val="0"/>
                      <w:color w:val="auto"/>
                      <w:spacing w:val="0"/>
                      <w:kern w:val="0"/>
                      <w:position w:val="0"/>
                      <w:sz w:val="21"/>
                      <w:szCs w:val="21"/>
                      <w:vertAlign w:val="baseline"/>
                      <w:lang w:val="en-US" w:eastAsia="zh-CN"/>
                    </w:rPr>
                    <w:t>落实水环境保护的普适性要求。推进城乡生活污染和农业面源污染治理，加强污染物排放管控，推动水环境质量不断改善。</w:t>
                  </w:r>
                </w:p>
                <w:p w14:paraId="6A96DD3C">
                  <w:pPr>
                    <w:keepNext w:val="0"/>
                    <w:keepLines w:val="0"/>
                    <w:widowControl/>
                    <w:numPr>
                      <w:ilvl w:val="0"/>
                      <w:numId w:val="0"/>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2.严格执行山东省《区域性大气污染物综合排放标准》（DB37/2376-2019）排放要求，SO</w:t>
                  </w:r>
                  <w:r>
                    <w:rPr>
                      <w:rFonts w:hint="default" w:ascii="Times New Roman" w:hAnsi="Times New Roman" w:eastAsia="宋体" w:cs="Times New Roman"/>
                      <w:b w:val="0"/>
                      <w:bCs w:val="0"/>
                      <w:color w:val="auto"/>
                      <w:spacing w:val="0"/>
                      <w:kern w:val="0"/>
                      <w:position w:val="0"/>
                      <w:sz w:val="21"/>
                      <w:szCs w:val="21"/>
                      <w:vertAlign w:val="subscript"/>
                      <w:lang w:val="en-US" w:eastAsia="zh-CN"/>
                    </w:rPr>
                    <w:t>2</w:t>
                  </w:r>
                  <w:r>
                    <w:rPr>
                      <w:rFonts w:hint="default" w:ascii="Times New Roman" w:hAnsi="Times New Roman" w:eastAsia="宋体" w:cs="Times New Roman"/>
                      <w:b w:val="0"/>
                      <w:bCs w:val="0"/>
                      <w:color w:val="auto"/>
                      <w:spacing w:val="0"/>
                      <w:kern w:val="0"/>
                      <w:position w:val="0"/>
                      <w:sz w:val="21"/>
                      <w:szCs w:val="21"/>
                      <w:vertAlign w:val="baseline"/>
                      <w:lang w:val="en-US" w:eastAsia="zh-CN"/>
                    </w:rPr>
                    <w:t>、NOx、烟粉尘、VOCs排放量不得超过区域允许排放量。全面加强VOCs污染管控。加大秸秆禁烧管控力度。</w:t>
                  </w:r>
                </w:p>
              </w:tc>
              <w:tc>
                <w:tcPr>
                  <w:tcW w:w="1607" w:type="pct"/>
                  <w:noWrap w:val="0"/>
                  <w:vAlign w:val="center"/>
                </w:tcPr>
                <w:p w14:paraId="6657E9DF">
                  <w:pPr>
                    <w:numPr>
                      <w:ilvl w:val="0"/>
                      <w:numId w:val="0"/>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1.本项目</w:t>
                  </w:r>
                  <w:r>
                    <w:rPr>
                      <w:rFonts w:hint="eastAsia" w:cs="Times New Roman"/>
                      <w:color w:val="auto"/>
                      <w:spacing w:val="0"/>
                      <w:kern w:val="0"/>
                      <w:position w:val="0"/>
                      <w:sz w:val="21"/>
                      <w:szCs w:val="21"/>
                      <w:lang w:val="en-US" w:eastAsia="zh-CN"/>
                    </w:rPr>
                    <w:t>无生产废水</w:t>
                  </w:r>
                  <w:r>
                    <w:rPr>
                      <w:rFonts w:hint="default" w:ascii="Times New Roman" w:hAnsi="Times New Roman" w:eastAsia="宋体" w:cs="Times New Roman"/>
                      <w:color w:val="auto"/>
                      <w:spacing w:val="0"/>
                      <w:kern w:val="0"/>
                      <w:position w:val="0"/>
                      <w:sz w:val="21"/>
                      <w:szCs w:val="21"/>
                    </w:rPr>
                    <w:t>外排</w:t>
                  </w:r>
                  <w:r>
                    <w:rPr>
                      <w:rFonts w:hint="default" w:ascii="Times New Roman" w:hAnsi="Times New Roman" w:eastAsia="宋体" w:cs="Times New Roman"/>
                      <w:color w:val="auto"/>
                      <w:spacing w:val="0"/>
                      <w:kern w:val="0"/>
                      <w:position w:val="0"/>
                      <w:sz w:val="21"/>
                      <w:szCs w:val="21"/>
                      <w:lang w:eastAsia="zh-CN"/>
                    </w:rPr>
                    <w:t>，</w:t>
                  </w:r>
                  <w:r>
                    <w:rPr>
                      <w:rFonts w:hint="eastAsia" w:cs="Times New Roman"/>
                      <w:bCs/>
                      <w:color w:val="auto"/>
                      <w:sz w:val="21"/>
                      <w:szCs w:val="21"/>
                      <w:vertAlign w:val="baseline"/>
                      <w:lang w:val="en-US" w:eastAsia="zh-CN"/>
                    </w:rPr>
                    <w:t>职工生活污水经化粪池处理后排入嘉祥公用水务有限公司处理，</w:t>
                  </w:r>
                  <w:r>
                    <w:rPr>
                      <w:rFonts w:hint="default" w:ascii="Times New Roman" w:hAnsi="Times New Roman" w:eastAsia="宋体" w:cs="Times New Roman"/>
                      <w:color w:val="auto"/>
                      <w:spacing w:val="0"/>
                      <w:kern w:val="0"/>
                      <w:position w:val="0"/>
                      <w:sz w:val="21"/>
                      <w:szCs w:val="21"/>
                      <w:lang w:val="en-US" w:eastAsia="zh-CN"/>
                    </w:rPr>
                    <w:t>对水环境影响较小。</w:t>
                  </w:r>
                </w:p>
                <w:p w14:paraId="6EF0FE23">
                  <w:pPr>
                    <w:numPr>
                      <w:ilvl w:val="0"/>
                      <w:numId w:val="0"/>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lang w:val="en-US" w:eastAsia="zh-CN"/>
                    </w:rPr>
                    <w:t>4.本项目</w:t>
                  </w:r>
                  <w:r>
                    <w:rPr>
                      <w:rFonts w:hint="default" w:ascii="Times New Roman" w:hAnsi="Times New Roman" w:eastAsia="宋体" w:cs="Times New Roman"/>
                      <w:b w:val="0"/>
                      <w:bCs w:val="0"/>
                      <w:color w:val="auto"/>
                      <w:spacing w:val="0"/>
                      <w:kern w:val="0"/>
                      <w:position w:val="0"/>
                      <w:sz w:val="21"/>
                      <w:szCs w:val="21"/>
                      <w:vertAlign w:val="baseline"/>
                      <w:lang w:val="en-US" w:eastAsia="zh-CN"/>
                    </w:rPr>
                    <w:t>严格执行废气排放要求，SO</w:t>
                  </w:r>
                  <w:r>
                    <w:rPr>
                      <w:rFonts w:hint="default" w:ascii="Times New Roman" w:hAnsi="Times New Roman" w:eastAsia="宋体" w:cs="Times New Roman"/>
                      <w:b w:val="0"/>
                      <w:bCs w:val="0"/>
                      <w:color w:val="auto"/>
                      <w:spacing w:val="0"/>
                      <w:kern w:val="0"/>
                      <w:position w:val="0"/>
                      <w:sz w:val="21"/>
                      <w:szCs w:val="21"/>
                      <w:vertAlign w:val="subscript"/>
                      <w:lang w:val="en-US" w:eastAsia="zh-CN"/>
                    </w:rPr>
                    <w:t>2</w:t>
                  </w:r>
                  <w:r>
                    <w:rPr>
                      <w:rFonts w:hint="default" w:ascii="Times New Roman" w:hAnsi="Times New Roman" w:eastAsia="宋体" w:cs="Times New Roman"/>
                      <w:b w:val="0"/>
                      <w:bCs w:val="0"/>
                      <w:color w:val="auto"/>
                      <w:spacing w:val="0"/>
                      <w:kern w:val="0"/>
                      <w:position w:val="0"/>
                      <w:sz w:val="21"/>
                      <w:szCs w:val="21"/>
                      <w:vertAlign w:val="baseline"/>
                      <w:lang w:val="en-US" w:eastAsia="zh-CN"/>
                    </w:rPr>
                    <w:t>、NOx、烟粉尘、VOCs排放量不会超过区域允许排放量。</w:t>
                  </w:r>
                </w:p>
              </w:tc>
              <w:tc>
                <w:tcPr>
                  <w:tcW w:w="547" w:type="pct"/>
                  <w:noWrap w:val="0"/>
                  <w:vAlign w:val="center"/>
                </w:tcPr>
                <w:p w14:paraId="74B916FA">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符合</w:t>
                  </w:r>
                </w:p>
              </w:tc>
            </w:tr>
            <w:tr w14:paraId="6524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noWrap w:val="0"/>
                  <w:vAlign w:val="center"/>
                </w:tcPr>
                <w:p w14:paraId="3B2BF88F">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环境风险管控</w:t>
                  </w:r>
                </w:p>
              </w:tc>
              <w:tc>
                <w:tcPr>
                  <w:tcW w:w="2231" w:type="pct"/>
                  <w:noWrap w:val="0"/>
                  <w:vAlign w:val="center"/>
                </w:tcPr>
                <w:p w14:paraId="480173B1">
                  <w:pPr>
                    <w:keepNext w:val="0"/>
                    <w:keepLines w:val="0"/>
                    <w:widowControl/>
                    <w:numPr>
                      <w:ilvl w:val="0"/>
                      <w:numId w:val="6"/>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当预测到区域将出现重污染天气时，根据预警发布，按级别启动应急响应，落实各项应急减排措施。</w:t>
                  </w:r>
                </w:p>
                <w:p w14:paraId="418628F9">
                  <w:pPr>
                    <w:keepNext w:val="0"/>
                    <w:keepLines w:val="0"/>
                    <w:widowControl/>
                    <w:numPr>
                      <w:ilvl w:val="0"/>
                      <w:numId w:val="6"/>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土壤污染重点监管单位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1607" w:type="pct"/>
                  <w:noWrap w:val="0"/>
                  <w:vAlign w:val="center"/>
                </w:tcPr>
                <w:p w14:paraId="5A1D2206">
                  <w:pPr>
                    <w:keepNext w:val="0"/>
                    <w:keepLines w:val="0"/>
                    <w:widowControl/>
                    <w:numPr>
                      <w:ilvl w:val="0"/>
                      <w:numId w:val="7"/>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当预测到区域将出现重污染天气时，根据预警发布，按级别启动应急响应，企业根据要求落实各项应急减排措施。</w:t>
                  </w:r>
                </w:p>
                <w:p w14:paraId="4D4046C4">
                  <w:pPr>
                    <w:keepNext w:val="0"/>
                    <w:keepLines w:val="0"/>
                    <w:widowControl/>
                    <w:numPr>
                      <w:ilvl w:val="0"/>
                      <w:numId w:val="7"/>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eastAsia" w:cs="Times New Roman"/>
                      <w:b w:val="0"/>
                      <w:bCs w:val="0"/>
                      <w:color w:val="auto"/>
                      <w:spacing w:val="0"/>
                      <w:kern w:val="0"/>
                      <w:position w:val="0"/>
                      <w:sz w:val="21"/>
                      <w:szCs w:val="21"/>
                      <w:vertAlign w:val="baseline"/>
                      <w:lang w:val="en-US" w:eastAsia="zh-CN"/>
                    </w:rPr>
                    <w:t>不属于土壤污染重点监管单位。</w:t>
                  </w:r>
                </w:p>
              </w:tc>
              <w:tc>
                <w:tcPr>
                  <w:tcW w:w="547" w:type="pct"/>
                  <w:noWrap w:val="0"/>
                  <w:vAlign w:val="center"/>
                </w:tcPr>
                <w:p w14:paraId="48F6D7BF">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符合</w:t>
                  </w:r>
                </w:p>
              </w:tc>
            </w:tr>
            <w:tr w14:paraId="533E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noWrap w:val="0"/>
                  <w:vAlign w:val="center"/>
                </w:tcPr>
                <w:p w14:paraId="58A83BFD">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资源开发效率要求</w:t>
                  </w:r>
                </w:p>
              </w:tc>
              <w:tc>
                <w:tcPr>
                  <w:tcW w:w="2231" w:type="pct"/>
                  <w:noWrap w:val="0"/>
                  <w:vAlign w:val="center"/>
                </w:tcPr>
                <w:p w14:paraId="44C56D19">
                  <w:pPr>
                    <w:keepNext w:val="0"/>
                    <w:keepLines w:val="0"/>
                    <w:widowControl/>
                    <w:numPr>
                      <w:ilvl w:val="0"/>
                      <w:numId w:val="8"/>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严控高耗水项目。水资源开发应当优先利用地表水，严格控制开采地下水。</w:t>
                  </w:r>
                </w:p>
                <w:p w14:paraId="40CCB372">
                  <w:pPr>
                    <w:keepNext w:val="0"/>
                    <w:keepLines w:val="0"/>
                    <w:widowControl/>
                    <w:numPr>
                      <w:ilvl w:val="0"/>
                      <w:numId w:val="8"/>
                    </w:numPr>
                    <w:suppressLineNumbers w:val="0"/>
                    <w:jc w:val="both"/>
                    <w:rPr>
                      <w:rFonts w:hint="default" w:ascii="Times New Roman" w:hAnsi="Times New Roman" w:eastAsia="宋体" w:cs="Times New Roman"/>
                      <w:b w:val="0"/>
                      <w:bCs w:val="0"/>
                      <w:color w:val="auto"/>
                      <w:spacing w:val="0"/>
                      <w:kern w:val="0"/>
                      <w:position w:val="0"/>
                      <w:sz w:val="21"/>
                      <w:szCs w:val="21"/>
                      <w:vertAlign w:val="baseline"/>
                      <w:lang w:val="en-US" w:eastAsia="zh-CN"/>
                    </w:rPr>
                  </w:pPr>
                  <w:r>
                    <w:rPr>
                      <w:rFonts w:hint="default" w:ascii="Times New Roman" w:hAnsi="Times New Roman" w:eastAsia="宋体" w:cs="Times New Roman"/>
                      <w:b w:val="0"/>
                      <w:bCs w:val="0"/>
                      <w:color w:val="auto"/>
                      <w:spacing w:val="0"/>
                      <w:kern w:val="0"/>
                      <w:position w:val="0"/>
                      <w:sz w:val="21"/>
                      <w:szCs w:val="21"/>
                      <w:vertAlign w:val="baseline"/>
                      <w:lang w:val="en-US" w:eastAsia="zh-CN"/>
                    </w:rPr>
                    <w:t>禁燃区禁止新建、扩建燃用高污染燃料的设施，已建成的应限期淘汰或改用天然气、电或者其他清洁能源。</w:t>
                  </w:r>
                </w:p>
              </w:tc>
              <w:tc>
                <w:tcPr>
                  <w:tcW w:w="1607" w:type="pct"/>
                  <w:noWrap w:val="0"/>
                  <w:vAlign w:val="center"/>
                </w:tcPr>
                <w:p w14:paraId="377CBCD8">
                  <w:pPr>
                    <w:numPr>
                      <w:ilvl w:val="0"/>
                      <w:numId w:val="9"/>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本</w:t>
                  </w:r>
                  <w:r>
                    <w:rPr>
                      <w:rFonts w:hint="default" w:ascii="Times New Roman" w:hAnsi="Times New Roman" w:eastAsia="宋体" w:cs="Times New Roman"/>
                      <w:color w:val="auto"/>
                      <w:spacing w:val="0"/>
                      <w:kern w:val="0"/>
                      <w:position w:val="0"/>
                      <w:sz w:val="21"/>
                      <w:szCs w:val="21"/>
                      <w:lang w:val="en-US" w:eastAsia="zh-CN"/>
                    </w:rPr>
                    <w:t>项目</w:t>
                  </w:r>
                  <w:r>
                    <w:rPr>
                      <w:rFonts w:hint="eastAsia" w:cs="Times New Roman"/>
                      <w:color w:val="auto"/>
                      <w:spacing w:val="0"/>
                      <w:kern w:val="0"/>
                      <w:position w:val="0"/>
                      <w:sz w:val="21"/>
                      <w:szCs w:val="21"/>
                      <w:lang w:val="en-US" w:eastAsia="zh-CN"/>
                    </w:rPr>
                    <w:t>不属于高耗水项目</w:t>
                  </w:r>
                  <w:r>
                    <w:rPr>
                      <w:rFonts w:hint="default" w:ascii="Times New Roman" w:hAnsi="Times New Roman" w:eastAsia="宋体" w:cs="Times New Roman"/>
                      <w:color w:val="auto"/>
                      <w:spacing w:val="0"/>
                      <w:kern w:val="0"/>
                      <w:position w:val="0"/>
                      <w:sz w:val="21"/>
                      <w:szCs w:val="21"/>
                      <w:vertAlign w:val="baseline"/>
                      <w:lang w:val="en-US" w:eastAsia="zh-CN"/>
                    </w:rPr>
                    <w:t>。</w:t>
                  </w:r>
                </w:p>
                <w:p w14:paraId="02669CF2">
                  <w:pPr>
                    <w:numPr>
                      <w:ilvl w:val="0"/>
                      <w:numId w:val="9"/>
                    </w:numPr>
                    <w:autoSpaceDE w:val="0"/>
                    <w:autoSpaceDN w:val="0"/>
                    <w:adjustRightInd w:val="0"/>
                    <w:snapToGrid w:val="0"/>
                    <w:jc w:val="both"/>
                    <w:rPr>
                      <w:rFonts w:hint="default" w:ascii="Times New Roman" w:hAnsi="Times New Roman" w:eastAsia="宋体" w:cs="Times New Roman"/>
                      <w:color w:val="auto"/>
                      <w:spacing w:val="0"/>
                      <w:kern w:val="0"/>
                      <w:position w:val="0"/>
                      <w:sz w:val="21"/>
                      <w:szCs w:val="21"/>
                      <w:vertAlign w:val="baseline"/>
                      <w:lang w:val="en-US" w:eastAsia="zh-CN"/>
                    </w:rPr>
                  </w:pPr>
                  <w:r>
                    <w:rPr>
                      <w:rFonts w:hint="eastAsia" w:cs="Times New Roman"/>
                      <w:color w:val="auto"/>
                      <w:spacing w:val="0"/>
                      <w:kern w:val="0"/>
                      <w:position w:val="0"/>
                      <w:sz w:val="21"/>
                      <w:szCs w:val="21"/>
                      <w:vertAlign w:val="baseline"/>
                      <w:lang w:val="en-US" w:eastAsia="zh-CN"/>
                    </w:rPr>
                    <w:t>本项目锅炉采用天然气为原料，不属于</w:t>
                  </w:r>
                  <w:r>
                    <w:rPr>
                      <w:rFonts w:hint="default" w:ascii="Times New Roman" w:hAnsi="Times New Roman" w:eastAsia="宋体" w:cs="Times New Roman"/>
                      <w:b w:val="0"/>
                      <w:bCs w:val="0"/>
                      <w:color w:val="auto"/>
                      <w:spacing w:val="0"/>
                      <w:kern w:val="0"/>
                      <w:position w:val="0"/>
                      <w:sz w:val="21"/>
                      <w:szCs w:val="21"/>
                      <w:vertAlign w:val="baseline"/>
                      <w:lang w:val="en-US" w:eastAsia="zh-CN"/>
                    </w:rPr>
                    <w:t>高污染燃料</w:t>
                  </w:r>
                  <w:r>
                    <w:rPr>
                      <w:rFonts w:hint="default" w:ascii="Times New Roman" w:hAnsi="Times New Roman" w:eastAsia="宋体" w:cs="Times New Roman"/>
                      <w:color w:val="auto"/>
                      <w:spacing w:val="0"/>
                      <w:kern w:val="0"/>
                      <w:position w:val="0"/>
                      <w:sz w:val="21"/>
                      <w:szCs w:val="21"/>
                      <w:vertAlign w:val="baseline"/>
                      <w:lang w:val="en-US" w:eastAsia="zh-CN"/>
                    </w:rPr>
                    <w:t>。</w:t>
                  </w:r>
                </w:p>
              </w:tc>
              <w:tc>
                <w:tcPr>
                  <w:tcW w:w="547" w:type="pct"/>
                  <w:noWrap w:val="0"/>
                  <w:vAlign w:val="center"/>
                </w:tcPr>
                <w:p w14:paraId="78EFFF5B">
                  <w:pPr>
                    <w:numPr>
                      <w:ilvl w:val="0"/>
                      <w:numId w:val="0"/>
                    </w:numPr>
                    <w:autoSpaceDE w:val="0"/>
                    <w:autoSpaceDN w:val="0"/>
                    <w:adjustRightInd w:val="0"/>
                    <w:snapToGrid w:val="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default" w:ascii="Times New Roman" w:hAnsi="Times New Roman" w:eastAsia="宋体" w:cs="Times New Roman"/>
                      <w:color w:val="auto"/>
                      <w:spacing w:val="0"/>
                      <w:kern w:val="0"/>
                      <w:position w:val="0"/>
                      <w:sz w:val="21"/>
                      <w:szCs w:val="21"/>
                      <w:vertAlign w:val="baseline"/>
                      <w:lang w:val="en-US" w:eastAsia="zh-CN"/>
                    </w:rPr>
                    <w:t>符合</w:t>
                  </w:r>
                </w:p>
              </w:tc>
            </w:tr>
          </w:tbl>
          <w:p w14:paraId="770CACF0">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rPr>
              <w:t>4</w:t>
            </w:r>
            <w:r>
              <w:rPr>
                <w:rFonts w:hint="default" w:ascii="Times New Roman" w:hAnsi="Times New Roman" w:eastAsia="宋体" w:cs="Times New Roman"/>
                <w:b/>
                <w:bCs/>
                <w:color w:val="auto"/>
                <w:spacing w:val="0"/>
                <w:kern w:val="0"/>
                <w:position w:val="0"/>
                <w:sz w:val="24"/>
                <w:szCs w:val="24"/>
                <w:lang w:val="en-US" w:eastAsia="zh-CN"/>
              </w:rPr>
              <w:t>、《山东省工业企业无组织排放分行业管控指导意见》（鲁环发〔2020〕30号）符合性</w:t>
            </w:r>
          </w:p>
          <w:p w14:paraId="73FDA644">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color w:val="auto"/>
                <w:spacing w:val="0"/>
                <w:kern w:val="0"/>
                <w:position w:val="0"/>
                <w:sz w:val="24"/>
                <w:szCs w:val="24"/>
                <w:lang w:val="en-US" w:eastAsia="zh-CN"/>
              </w:rPr>
            </w:pPr>
            <w:r>
              <w:rPr>
                <w:rFonts w:hint="default" w:ascii="Times New Roman" w:hAnsi="Times New Roman" w:eastAsia="宋体" w:cs="Times New Roman"/>
                <w:b/>
                <w:bCs/>
                <w:caps w:val="0"/>
                <w:color w:val="auto"/>
                <w:spacing w:val="0"/>
                <w:kern w:val="0"/>
                <w:position w:val="0"/>
                <w:sz w:val="24"/>
                <w:szCs w:val="24"/>
                <w:lang w:val="en-US" w:eastAsia="zh-CN"/>
              </w:rPr>
              <w:t>鲁环发〔2020〕30号符合性分析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951"/>
              <w:gridCol w:w="2229"/>
              <w:gridCol w:w="766"/>
            </w:tblGrid>
            <w:tr w14:paraId="0B77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noWrap w:val="0"/>
                  <w:vAlign w:val="center"/>
                </w:tcPr>
                <w:p w14:paraId="4706FFFE">
                  <w:pPr>
                    <w:widowControl/>
                    <w:adjustRightInd w:val="0"/>
                    <w:snapToGrid w:val="0"/>
                    <w:jc w:val="center"/>
                    <w:rPr>
                      <w:rFonts w:hint="default" w:ascii="Times New Roman" w:hAnsi="Times New Roman" w:eastAsia="宋体" w:cs="Times New Roman"/>
                      <w:b w:val="0"/>
                      <w:bCs/>
                      <w:color w:val="auto"/>
                      <w:spacing w:val="0"/>
                      <w:kern w:val="0"/>
                      <w:position w:val="0"/>
                      <w:sz w:val="21"/>
                      <w:szCs w:val="21"/>
                      <w:lang w:eastAsia="zh-CN"/>
                    </w:rPr>
                  </w:pPr>
                  <w:r>
                    <w:rPr>
                      <w:rFonts w:hint="default" w:ascii="Times New Roman" w:hAnsi="Times New Roman" w:eastAsia="宋体" w:cs="Times New Roman"/>
                      <w:b w:val="0"/>
                      <w:bCs/>
                      <w:color w:val="auto"/>
                      <w:spacing w:val="0"/>
                      <w:kern w:val="0"/>
                      <w:position w:val="0"/>
                      <w:sz w:val="21"/>
                      <w:szCs w:val="21"/>
                      <w:lang w:eastAsia="zh-CN"/>
                    </w:rPr>
                    <w:t>要求</w:t>
                  </w:r>
                </w:p>
              </w:tc>
              <w:tc>
                <w:tcPr>
                  <w:tcW w:w="2561" w:type="pct"/>
                  <w:tcBorders>
                    <w:tl2br w:val="nil"/>
                    <w:tr2bl w:val="nil"/>
                  </w:tcBorders>
                  <w:noWrap w:val="0"/>
                  <w:vAlign w:val="center"/>
                </w:tcPr>
                <w:p w14:paraId="12EBC527">
                  <w:pPr>
                    <w:widowControl/>
                    <w:adjustRightInd w:val="0"/>
                    <w:snapToGrid w:val="0"/>
                    <w:jc w:val="center"/>
                    <w:rPr>
                      <w:rFonts w:hint="default" w:ascii="Times New Roman" w:hAnsi="Times New Roman" w:eastAsia="宋体" w:cs="Times New Roman"/>
                      <w:b w:val="0"/>
                      <w:bCs/>
                      <w:color w:val="auto"/>
                      <w:spacing w:val="0"/>
                      <w:kern w:val="0"/>
                      <w:position w:val="0"/>
                      <w:sz w:val="21"/>
                      <w:szCs w:val="21"/>
                    </w:rPr>
                  </w:pPr>
                  <w:r>
                    <w:rPr>
                      <w:rFonts w:hint="default" w:ascii="Times New Roman" w:hAnsi="Times New Roman" w:eastAsia="宋体" w:cs="Times New Roman"/>
                      <w:b w:val="0"/>
                      <w:bCs/>
                      <w:color w:val="auto"/>
                      <w:spacing w:val="0"/>
                      <w:kern w:val="0"/>
                      <w:position w:val="0"/>
                      <w:sz w:val="21"/>
                      <w:szCs w:val="21"/>
                    </w:rPr>
                    <w:t>具体要求</w:t>
                  </w:r>
                </w:p>
              </w:tc>
              <w:tc>
                <w:tcPr>
                  <w:tcW w:w="1444" w:type="pct"/>
                  <w:tcBorders>
                    <w:tl2br w:val="nil"/>
                    <w:tr2bl w:val="nil"/>
                  </w:tcBorders>
                  <w:noWrap w:val="0"/>
                  <w:vAlign w:val="center"/>
                </w:tcPr>
                <w:p w14:paraId="67375B9F">
                  <w:pPr>
                    <w:widowControl/>
                    <w:adjustRightInd w:val="0"/>
                    <w:snapToGrid w:val="0"/>
                    <w:jc w:val="center"/>
                    <w:rPr>
                      <w:rFonts w:hint="default" w:ascii="Times New Roman" w:hAnsi="Times New Roman" w:eastAsia="宋体" w:cs="Times New Roman"/>
                      <w:b w:val="0"/>
                      <w:bCs/>
                      <w:color w:val="auto"/>
                      <w:spacing w:val="0"/>
                      <w:kern w:val="0"/>
                      <w:position w:val="0"/>
                      <w:sz w:val="21"/>
                      <w:szCs w:val="21"/>
                    </w:rPr>
                  </w:pPr>
                  <w:r>
                    <w:rPr>
                      <w:rFonts w:hint="eastAsia" w:cs="Times New Roman"/>
                      <w:b w:val="0"/>
                      <w:bCs/>
                      <w:color w:val="auto"/>
                      <w:spacing w:val="0"/>
                      <w:kern w:val="0"/>
                      <w:position w:val="0"/>
                      <w:sz w:val="21"/>
                      <w:szCs w:val="21"/>
                      <w:lang w:val="en-US" w:eastAsia="zh-CN"/>
                    </w:rPr>
                    <w:t>本项目</w:t>
                  </w:r>
                  <w:r>
                    <w:rPr>
                      <w:rFonts w:hint="default" w:ascii="Times New Roman" w:hAnsi="Times New Roman" w:eastAsia="宋体" w:cs="Times New Roman"/>
                      <w:b w:val="0"/>
                      <w:bCs/>
                      <w:color w:val="auto"/>
                      <w:spacing w:val="0"/>
                      <w:kern w:val="0"/>
                      <w:position w:val="0"/>
                      <w:sz w:val="21"/>
                      <w:szCs w:val="21"/>
                    </w:rPr>
                    <w:t>情况</w:t>
                  </w:r>
                </w:p>
              </w:tc>
              <w:tc>
                <w:tcPr>
                  <w:tcW w:w="496" w:type="pct"/>
                  <w:tcBorders>
                    <w:tl2br w:val="nil"/>
                    <w:tr2bl w:val="nil"/>
                  </w:tcBorders>
                  <w:noWrap w:val="0"/>
                  <w:vAlign w:val="center"/>
                </w:tcPr>
                <w:p w14:paraId="1029F717">
                  <w:pPr>
                    <w:widowControl/>
                    <w:adjustRightInd w:val="0"/>
                    <w:snapToGrid w:val="0"/>
                    <w:jc w:val="center"/>
                    <w:rPr>
                      <w:rFonts w:hint="default" w:ascii="Times New Roman" w:hAnsi="Times New Roman" w:eastAsia="宋体" w:cs="Times New Roman"/>
                      <w:b w:val="0"/>
                      <w:bCs/>
                      <w:color w:val="auto"/>
                      <w:spacing w:val="0"/>
                      <w:kern w:val="0"/>
                      <w:position w:val="0"/>
                      <w:sz w:val="21"/>
                      <w:szCs w:val="21"/>
                    </w:rPr>
                  </w:pPr>
                  <w:r>
                    <w:rPr>
                      <w:rFonts w:hint="default" w:ascii="Times New Roman" w:hAnsi="Times New Roman" w:eastAsia="宋体" w:cs="Times New Roman"/>
                      <w:b w:val="0"/>
                      <w:bCs/>
                      <w:color w:val="auto"/>
                      <w:spacing w:val="0"/>
                      <w:kern w:val="0"/>
                      <w:position w:val="0"/>
                      <w:sz w:val="21"/>
                      <w:szCs w:val="21"/>
                    </w:rPr>
                    <w:t>符合性</w:t>
                  </w:r>
                </w:p>
              </w:tc>
            </w:tr>
            <w:tr w14:paraId="5D00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noWrap w:val="0"/>
                  <w:vAlign w:val="center"/>
                </w:tcPr>
                <w:p w14:paraId="44297E54">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1.加强物料储存、输送环节管控</w:t>
                  </w:r>
                </w:p>
              </w:tc>
              <w:tc>
                <w:tcPr>
                  <w:tcW w:w="2561" w:type="pct"/>
                  <w:tcBorders>
                    <w:tl2br w:val="nil"/>
                    <w:tr2bl w:val="nil"/>
                  </w:tcBorders>
                  <w:noWrap w:val="0"/>
                  <w:vAlign w:val="center"/>
                </w:tcPr>
                <w:p w14:paraId="2618A8D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煤粉、粉煤灰、石灰、除尘灰、脱硫灰、原料药等粉状物料采用管状带式输送机、气力输送、真空罐车、密闭车厢等密闭方式运输</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砂石、矿石、煤、铁精矿、脱硫石膏等块状、粒状或粘湿物料采用皮带通廊、封闭车厢等封闭方式运输或苫盖严密，防止沿途抛洒和飞扬。料场或厂区出入口配备车辆清洗装置或采取其他控制措施，确保出场车辆清洁、运输不起尘。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w:t>
                  </w:r>
                </w:p>
              </w:tc>
              <w:tc>
                <w:tcPr>
                  <w:tcW w:w="1444" w:type="pct"/>
                  <w:tcBorders>
                    <w:tl2br w:val="nil"/>
                    <w:tr2bl w:val="nil"/>
                  </w:tcBorders>
                  <w:noWrap w:val="0"/>
                  <w:vAlign w:val="center"/>
                </w:tcPr>
                <w:p w14:paraId="759692E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本项目</w:t>
                  </w:r>
                  <w:r>
                    <w:rPr>
                      <w:rFonts w:hint="eastAsia" w:cs="Times New Roman"/>
                      <w:color w:val="auto"/>
                      <w:spacing w:val="0"/>
                      <w:kern w:val="0"/>
                      <w:position w:val="0"/>
                      <w:sz w:val="21"/>
                      <w:szCs w:val="21"/>
                      <w:lang w:val="en-US" w:eastAsia="zh-CN"/>
                    </w:rPr>
                    <w:t>产生粉尘的原料为石子、机制砂、石硝</w:t>
                  </w:r>
                  <w:r>
                    <w:rPr>
                      <w:rFonts w:hint="default" w:ascii="Times New Roman" w:hAnsi="Times New Roman" w:eastAsia="宋体" w:cs="Times New Roman"/>
                      <w:color w:val="auto"/>
                      <w:spacing w:val="0"/>
                      <w:kern w:val="0"/>
                      <w:position w:val="0"/>
                      <w:sz w:val="21"/>
                      <w:szCs w:val="21"/>
                      <w:lang w:val="en-US" w:eastAsia="zh-CN"/>
                    </w:rPr>
                    <w:t>，</w:t>
                  </w:r>
                  <w:r>
                    <w:rPr>
                      <w:rFonts w:hint="eastAsia" w:cs="Times New Roman"/>
                      <w:color w:val="auto"/>
                      <w:spacing w:val="0"/>
                      <w:kern w:val="0"/>
                      <w:position w:val="0"/>
                      <w:sz w:val="21"/>
                      <w:szCs w:val="21"/>
                      <w:lang w:val="en-US" w:eastAsia="zh-CN"/>
                    </w:rPr>
                    <w:t>传输带为密闭。车间地面</w:t>
                  </w:r>
                  <w:r>
                    <w:rPr>
                      <w:rFonts w:hint="default" w:ascii="Times New Roman" w:hAnsi="Times New Roman" w:eastAsia="宋体" w:cs="Times New Roman"/>
                      <w:color w:val="auto"/>
                      <w:spacing w:val="0"/>
                      <w:kern w:val="0"/>
                      <w:position w:val="0"/>
                      <w:sz w:val="21"/>
                      <w:szCs w:val="21"/>
                      <w:lang w:val="en-US" w:eastAsia="zh-CN"/>
                    </w:rPr>
                    <w:t>、</w:t>
                  </w:r>
                  <w:r>
                    <w:rPr>
                      <w:rFonts w:hint="default" w:ascii="Times New Roman" w:hAnsi="Times New Roman" w:eastAsia="宋体" w:cs="Times New Roman"/>
                      <w:color w:val="auto"/>
                      <w:spacing w:val="0"/>
                      <w:kern w:val="0"/>
                      <w:position w:val="0"/>
                      <w:sz w:val="21"/>
                      <w:szCs w:val="21"/>
                    </w:rPr>
                    <w:t>厂区</w:t>
                  </w:r>
                  <w:r>
                    <w:rPr>
                      <w:rFonts w:hint="eastAsia" w:cs="Times New Roman"/>
                      <w:color w:val="auto"/>
                      <w:spacing w:val="0"/>
                      <w:kern w:val="0"/>
                      <w:position w:val="0"/>
                      <w:sz w:val="21"/>
                      <w:szCs w:val="21"/>
                      <w:lang w:val="en-US" w:eastAsia="zh-CN"/>
                    </w:rPr>
                    <w:t>内道路</w:t>
                  </w:r>
                  <w:r>
                    <w:rPr>
                      <w:rFonts w:hint="default" w:ascii="Times New Roman" w:hAnsi="Times New Roman" w:eastAsia="宋体" w:cs="Times New Roman"/>
                      <w:color w:val="auto"/>
                      <w:spacing w:val="0"/>
                      <w:kern w:val="0"/>
                      <w:position w:val="0"/>
                      <w:sz w:val="21"/>
                      <w:szCs w:val="21"/>
                      <w:lang w:val="en-US" w:eastAsia="zh-CN"/>
                    </w:rPr>
                    <w:t>全部</w:t>
                  </w:r>
                  <w:r>
                    <w:rPr>
                      <w:rFonts w:hint="default" w:ascii="Times New Roman" w:hAnsi="Times New Roman" w:eastAsia="宋体" w:cs="Times New Roman"/>
                      <w:color w:val="auto"/>
                      <w:spacing w:val="0"/>
                      <w:kern w:val="0"/>
                      <w:position w:val="0"/>
                      <w:sz w:val="21"/>
                      <w:szCs w:val="21"/>
                    </w:rPr>
                    <w:t>硬化，平整无破损、无积尘，厂区无裸露空地，厂区道路</w:t>
                  </w:r>
                  <w:r>
                    <w:rPr>
                      <w:rFonts w:hint="default" w:ascii="Times New Roman" w:hAnsi="Times New Roman" w:eastAsia="宋体" w:cs="Times New Roman"/>
                      <w:color w:val="auto"/>
                      <w:spacing w:val="0"/>
                      <w:kern w:val="0"/>
                      <w:position w:val="0"/>
                      <w:sz w:val="21"/>
                      <w:szCs w:val="21"/>
                      <w:lang w:val="en-US" w:eastAsia="zh-CN"/>
                    </w:rPr>
                    <w:t>用洒水车</w:t>
                  </w:r>
                  <w:r>
                    <w:rPr>
                      <w:rFonts w:hint="default" w:ascii="Times New Roman" w:hAnsi="Times New Roman" w:eastAsia="宋体" w:cs="Times New Roman"/>
                      <w:color w:val="auto"/>
                      <w:spacing w:val="0"/>
                      <w:kern w:val="0"/>
                      <w:position w:val="0"/>
                      <w:sz w:val="21"/>
                      <w:szCs w:val="21"/>
                    </w:rPr>
                    <w:t>定期洒水清扫。</w:t>
                  </w:r>
                </w:p>
              </w:tc>
              <w:tc>
                <w:tcPr>
                  <w:tcW w:w="496" w:type="pct"/>
                  <w:tcBorders>
                    <w:tl2br w:val="nil"/>
                    <w:tr2bl w:val="nil"/>
                  </w:tcBorders>
                  <w:noWrap w:val="0"/>
                  <w:vAlign w:val="center"/>
                </w:tcPr>
                <w:p w14:paraId="7049C15E">
                  <w:pPr>
                    <w:adjustRightInd w:val="0"/>
                    <w:snapToGrid w:val="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50A1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noWrap w:val="0"/>
                  <w:vAlign w:val="center"/>
                </w:tcPr>
                <w:p w14:paraId="2D1175EB">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2.加强物料储存、输送环节管控</w:t>
                  </w:r>
                </w:p>
              </w:tc>
              <w:tc>
                <w:tcPr>
                  <w:tcW w:w="2561" w:type="pct"/>
                  <w:tcBorders>
                    <w:tl2br w:val="nil"/>
                    <w:tr2bl w:val="nil"/>
                  </w:tcBorders>
                  <w:noWrap w:val="0"/>
                  <w:vAlign w:val="center"/>
                </w:tcPr>
                <w:p w14:paraId="65B6C88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煤粉、粉煤灰、石灰、除尘灰、脱硫灰、原料药等粉状物料采用料仓、储罐、容器、包装袋等方式密闭储存，料仓、储罐配置高效除尘设施；采用管状带式输送机、气力输送、真空罐车、密闭车辆等方式输送。砂石、矿石、煤、铁精矿、脱硫石膏等块状、粒状或粘湿物料采用密闭料仓、封闭料棚或建设防风抑尘网等方式进行规范储存，封闭料棚和露天料场内设有喷淋装置，喷淋范围覆盖整个料堆。所储存物料对含水率有严格要求或遇水发生变化的，在料场内安装有效集尘除尘设施。封闭料棚进出口安装封闭性良好且便于开关的卷帘门、推拉门或自动感应门等，无车辆通过时将门关闭。防风抑尘网高度高于料场堆存高度，并对堆存物料进行严密苫盖。块状、粒状或粘湿物料投料口设置在封闭料棚内，采用管状带式输送机、皮带通廊、封闭车辆等方式输送。物料投料、输送、转接、出料和扒渣等过程中的产尘点采取有效抑尘、集尘除尘措施。</w:t>
                  </w:r>
                </w:p>
              </w:tc>
              <w:tc>
                <w:tcPr>
                  <w:tcW w:w="1444" w:type="pct"/>
                  <w:tcBorders>
                    <w:tl2br w:val="nil"/>
                    <w:tr2bl w:val="nil"/>
                  </w:tcBorders>
                  <w:noWrap w:val="0"/>
                  <w:vAlign w:val="center"/>
                </w:tcPr>
                <w:p w14:paraId="14EE6B5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石子、机制砂、石硝储存在密闭车间内，车间顶部设置</w:t>
                  </w:r>
                  <w:r>
                    <w:rPr>
                      <w:rFonts w:hint="default" w:ascii="Times New Roman" w:hAnsi="Times New Roman" w:eastAsia="宋体" w:cs="Times New Roman"/>
                      <w:color w:val="auto"/>
                      <w:spacing w:val="0"/>
                      <w:kern w:val="0"/>
                      <w:position w:val="0"/>
                      <w:sz w:val="21"/>
                      <w:szCs w:val="21"/>
                    </w:rPr>
                    <w:t>喷淋设施；装卸过程在密闭车间内，雾炮喷淋降尘，降低装卸高度</w:t>
                  </w:r>
                  <w:r>
                    <w:rPr>
                      <w:rFonts w:hint="eastAsia" w:cs="Times New Roman"/>
                      <w:color w:val="auto"/>
                      <w:spacing w:val="0"/>
                      <w:kern w:val="0"/>
                      <w:position w:val="0"/>
                      <w:sz w:val="21"/>
                      <w:szCs w:val="21"/>
                      <w:lang w:val="en-US" w:eastAsia="zh-CN"/>
                    </w:rPr>
                    <w:t>以减少装卸粉尘</w:t>
                  </w:r>
                  <w:r>
                    <w:rPr>
                      <w:rFonts w:hint="default" w:ascii="Times New Roman" w:hAnsi="Times New Roman" w:eastAsia="宋体" w:cs="Times New Roman"/>
                      <w:color w:val="auto"/>
                      <w:spacing w:val="0"/>
                      <w:kern w:val="0"/>
                      <w:position w:val="0"/>
                      <w:sz w:val="21"/>
                      <w:szCs w:val="21"/>
                    </w:rPr>
                    <w:t>；汽车运输过程产生的粉尘通过厂区道路硬化、洒水抑尘、进出车辆冲洗、运输车辆全覆盖等措施</w:t>
                  </w:r>
                  <w:r>
                    <w:rPr>
                      <w:rFonts w:hint="default" w:ascii="Times New Roman" w:hAnsi="Times New Roman" w:eastAsia="宋体" w:cs="Times New Roman"/>
                      <w:color w:val="auto"/>
                      <w:spacing w:val="0"/>
                      <w:kern w:val="0"/>
                      <w:position w:val="0"/>
                      <w:sz w:val="21"/>
                      <w:szCs w:val="21"/>
                      <w:lang w:val="en-US" w:eastAsia="zh-CN"/>
                    </w:rPr>
                    <w:t>抑尘</w:t>
                  </w:r>
                  <w:r>
                    <w:rPr>
                      <w:rFonts w:hint="default" w:ascii="Times New Roman" w:hAnsi="Times New Roman" w:eastAsia="宋体" w:cs="Times New Roman"/>
                      <w:color w:val="auto"/>
                      <w:spacing w:val="0"/>
                      <w:kern w:val="0"/>
                      <w:position w:val="0"/>
                      <w:sz w:val="21"/>
                      <w:szCs w:val="21"/>
                    </w:rPr>
                    <w:t>。</w:t>
                  </w:r>
                  <w:r>
                    <w:rPr>
                      <w:rFonts w:hint="default" w:ascii="Times New Roman" w:hAnsi="Times New Roman" w:eastAsia="宋体" w:cs="Times New Roman"/>
                      <w:bCs/>
                      <w:color w:val="auto"/>
                      <w:spacing w:val="0"/>
                      <w:kern w:val="0"/>
                      <w:position w:val="0"/>
                      <w:sz w:val="21"/>
                      <w:szCs w:val="21"/>
                      <w:lang w:val="en-US" w:eastAsia="zh-CN"/>
                    </w:rPr>
                    <w:t>封闭式仓库和车间进出口安装封闭性良好且便于开关的卷帘门，无车辆通过时处于封闭状态。</w:t>
                  </w:r>
                </w:p>
              </w:tc>
              <w:tc>
                <w:tcPr>
                  <w:tcW w:w="496" w:type="pct"/>
                  <w:tcBorders>
                    <w:tl2br w:val="nil"/>
                    <w:tr2bl w:val="nil"/>
                  </w:tcBorders>
                  <w:noWrap w:val="0"/>
                  <w:vAlign w:val="center"/>
                </w:tcPr>
                <w:p w14:paraId="243AFF46">
                  <w:pPr>
                    <w:adjustRightInd w:val="0"/>
                    <w:snapToGrid w:val="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675C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noWrap w:val="0"/>
                  <w:vAlign w:val="center"/>
                </w:tcPr>
                <w:p w14:paraId="62C7B185">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3.加强生产环节管控。</w:t>
                  </w:r>
                </w:p>
              </w:tc>
              <w:tc>
                <w:tcPr>
                  <w:tcW w:w="2561" w:type="pct"/>
                  <w:tcBorders>
                    <w:tl2br w:val="nil"/>
                    <w:tr2bl w:val="nil"/>
                  </w:tcBorders>
                  <w:noWrap w:val="0"/>
                  <w:vAlign w:val="center"/>
                </w:tcPr>
                <w:p w14:paraId="089E7AB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通过提高工艺自动化和设备密闭化水平，减少生产过程中的无组织排放。生产过程中的产尘点和VOCs产生点密闭、封闭或采取有效收集处理措施。生产设备和废气收集处理设施同步运行，废气收集处理设施发生故障或检修时，停止运行对应的生产设备，待检修完毕后投入使用。生产设备不能停止或不能及时停止运行的，设置废气应急处理设施或采取其他替代措施。</w:t>
                  </w:r>
                </w:p>
              </w:tc>
              <w:tc>
                <w:tcPr>
                  <w:tcW w:w="1444" w:type="pct"/>
                  <w:tcBorders>
                    <w:tl2br w:val="nil"/>
                    <w:tr2bl w:val="nil"/>
                  </w:tcBorders>
                  <w:noWrap w:val="0"/>
                  <w:vAlign w:val="center"/>
                </w:tcPr>
                <w:p w14:paraId="7E7C3F7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本项目购置自动化生产设备，生产过程中的产尘点封闭并配备除尘设施。生产设备和废气收集处理设施同步运行，废气收集处理设施发生故障或检修时，停止运行对应的生产设备，待检修完毕后投入使用。</w:t>
                  </w:r>
                </w:p>
              </w:tc>
              <w:tc>
                <w:tcPr>
                  <w:tcW w:w="496" w:type="pct"/>
                  <w:tcBorders>
                    <w:tl2br w:val="nil"/>
                    <w:tr2bl w:val="nil"/>
                  </w:tcBorders>
                  <w:noWrap w:val="0"/>
                  <w:vAlign w:val="center"/>
                </w:tcPr>
                <w:p w14:paraId="565F05D4">
                  <w:pPr>
                    <w:adjustRightInd w:val="0"/>
                    <w:snapToGrid w:val="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2CA0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noWrap w:val="0"/>
                  <w:vAlign w:val="center"/>
                </w:tcPr>
                <w:p w14:paraId="2D79C4A9">
                  <w:pPr>
                    <w:adjustRightInd w:val="0"/>
                    <w:snapToGrid w:val="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4.加强精细化管控</w:t>
                  </w:r>
                </w:p>
              </w:tc>
              <w:tc>
                <w:tcPr>
                  <w:tcW w:w="2561" w:type="pct"/>
                  <w:tcBorders>
                    <w:tl2br w:val="nil"/>
                    <w:tr2bl w:val="nil"/>
                  </w:tcBorders>
                  <w:noWrap w:val="0"/>
                  <w:vAlign w:val="center"/>
                </w:tcPr>
                <w:p w14:paraId="1F4F3E2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针对各无组织排放环节，制定“一厂一策”深度治理方案。制定无组织排放治理设施操作规程，并建立管理台账，记录操作人员操作内容、运行、维护、检修和含VOCs物料使用回收等情况，记录保存期限不得少于三年。鼓励安装视频、空气微站等监控设施和综合监控信息平台，用于企业日常自我监督，逐步实现无组织排放向精细化和可量化管理方式转变。</w:t>
                  </w:r>
                </w:p>
              </w:tc>
              <w:tc>
                <w:tcPr>
                  <w:tcW w:w="1444" w:type="pct"/>
                  <w:tcBorders>
                    <w:tl2br w:val="nil"/>
                    <w:tr2bl w:val="nil"/>
                  </w:tcBorders>
                  <w:noWrap w:val="0"/>
                  <w:vAlign w:val="center"/>
                </w:tcPr>
                <w:p w14:paraId="2140372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rPr>
                    <w:t>制定无组织排放治理设施操作规程，并建立管理台账，记录操作人员操作内容、运行、维护、检修等情况，记录保存期限不少于三年。</w:t>
                  </w:r>
                  <w:r>
                    <w:rPr>
                      <w:rFonts w:hint="eastAsia" w:cs="Times New Roman"/>
                      <w:color w:val="auto"/>
                      <w:spacing w:val="0"/>
                      <w:kern w:val="0"/>
                      <w:position w:val="0"/>
                      <w:sz w:val="21"/>
                      <w:szCs w:val="21"/>
                      <w:lang w:val="en-US" w:eastAsia="zh-CN"/>
                    </w:rPr>
                    <w:t>已</w:t>
                  </w:r>
                  <w:r>
                    <w:rPr>
                      <w:rFonts w:hint="default" w:ascii="Times New Roman" w:hAnsi="Times New Roman" w:eastAsia="宋体" w:cs="Times New Roman"/>
                      <w:color w:val="auto"/>
                      <w:spacing w:val="0"/>
                      <w:kern w:val="0"/>
                      <w:position w:val="0"/>
                      <w:sz w:val="21"/>
                      <w:szCs w:val="21"/>
                      <w:lang w:val="en-US" w:eastAsia="zh-CN"/>
                    </w:rPr>
                    <w:t>安装PM</w:t>
                  </w:r>
                  <w:r>
                    <w:rPr>
                      <w:rFonts w:hint="default" w:ascii="Times New Roman" w:hAnsi="Times New Roman" w:eastAsia="宋体" w:cs="Times New Roman"/>
                      <w:color w:val="auto"/>
                      <w:spacing w:val="0"/>
                      <w:kern w:val="0"/>
                      <w:position w:val="0"/>
                      <w:sz w:val="21"/>
                      <w:szCs w:val="21"/>
                      <w:vertAlign w:val="subscript"/>
                      <w:lang w:val="en-US" w:eastAsia="zh-CN"/>
                    </w:rPr>
                    <w:t>10</w:t>
                  </w:r>
                  <w:r>
                    <w:rPr>
                      <w:rFonts w:hint="default" w:ascii="Times New Roman" w:hAnsi="Times New Roman" w:eastAsia="宋体" w:cs="Times New Roman"/>
                      <w:color w:val="auto"/>
                      <w:spacing w:val="0"/>
                      <w:kern w:val="0"/>
                      <w:position w:val="0"/>
                      <w:sz w:val="21"/>
                      <w:szCs w:val="21"/>
                      <w:lang w:val="en-US" w:eastAsia="zh-CN"/>
                    </w:rPr>
                    <w:t>在线监测</w:t>
                  </w:r>
                  <w:r>
                    <w:rPr>
                      <w:rFonts w:hint="default" w:ascii="Times New Roman" w:hAnsi="Times New Roman" w:eastAsia="宋体" w:cs="Times New Roman"/>
                      <w:color w:val="auto"/>
                      <w:spacing w:val="0"/>
                      <w:kern w:val="0"/>
                      <w:position w:val="0"/>
                      <w:sz w:val="21"/>
                      <w:szCs w:val="21"/>
                    </w:rPr>
                    <w:t>，逐步实现无组织排放向精细化和可量化管理方式转变。</w:t>
                  </w:r>
                </w:p>
              </w:tc>
              <w:tc>
                <w:tcPr>
                  <w:tcW w:w="496" w:type="pct"/>
                  <w:tcBorders>
                    <w:tl2br w:val="nil"/>
                    <w:tr2bl w:val="nil"/>
                  </w:tcBorders>
                  <w:noWrap w:val="0"/>
                  <w:vAlign w:val="center"/>
                </w:tcPr>
                <w:p w14:paraId="3E283461">
                  <w:pPr>
                    <w:adjustRightInd w:val="0"/>
                    <w:snapToGrid w:val="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符合</w:t>
                  </w:r>
                </w:p>
              </w:tc>
            </w:tr>
          </w:tbl>
          <w:p w14:paraId="566C8EFB">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5</w:t>
            </w:r>
            <w:r>
              <w:rPr>
                <w:rFonts w:hint="eastAsia" w:ascii="Times New Roman" w:hAnsi="Times New Roman" w:eastAsia="宋体" w:cs="Times New Roman"/>
                <w:b/>
                <w:bCs/>
                <w:color w:val="auto"/>
                <w:spacing w:val="0"/>
                <w:kern w:val="0"/>
                <w:position w:val="0"/>
                <w:sz w:val="24"/>
                <w:szCs w:val="24"/>
                <w:lang w:val="en-US" w:eastAsia="zh-CN" w:bidi="ar"/>
              </w:rPr>
              <w:t>、</w:t>
            </w:r>
            <w:r>
              <w:rPr>
                <w:rFonts w:hint="default" w:ascii="Times New Roman" w:hAnsi="Times New Roman" w:eastAsia="宋体" w:cs="Times New Roman"/>
                <w:b/>
                <w:bCs/>
                <w:color w:val="auto"/>
                <w:spacing w:val="0"/>
                <w:kern w:val="0"/>
                <w:position w:val="0"/>
                <w:sz w:val="24"/>
                <w:szCs w:val="24"/>
                <w:lang w:val="en-US" w:eastAsia="zh-CN" w:bidi="ar"/>
              </w:rPr>
              <w:t>《关于印发市直部门大气污染治理技术导则(第五版)的通知》（济气综治办发</w:t>
            </w:r>
            <w:r>
              <w:rPr>
                <w:rFonts w:hint="eastAsia" w:cs="Times New Roman"/>
                <w:b/>
                <w:bCs/>
                <w:color w:val="auto"/>
                <w:spacing w:val="0"/>
                <w:kern w:val="0"/>
                <w:position w:val="0"/>
                <w:sz w:val="24"/>
                <w:szCs w:val="24"/>
                <w:lang w:val="en-US" w:eastAsia="zh-CN" w:bidi="ar"/>
              </w:rPr>
              <w:t>〔</w:t>
            </w:r>
            <w:r>
              <w:rPr>
                <w:rFonts w:hint="default" w:ascii="Times New Roman" w:hAnsi="Times New Roman" w:eastAsia="宋体" w:cs="Times New Roman"/>
                <w:b/>
                <w:bCs/>
                <w:color w:val="auto"/>
                <w:spacing w:val="0"/>
                <w:kern w:val="0"/>
                <w:position w:val="0"/>
                <w:sz w:val="24"/>
                <w:szCs w:val="24"/>
                <w:lang w:val="en-US" w:eastAsia="zh-CN" w:bidi="ar"/>
              </w:rPr>
              <w:t>2019</w:t>
            </w:r>
            <w:r>
              <w:rPr>
                <w:rFonts w:hint="eastAsia" w:cs="Times New Roman"/>
                <w:b/>
                <w:bCs/>
                <w:color w:val="auto"/>
                <w:spacing w:val="0"/>
                <w:kern w:val="0"/>
                <w:position w:val="0"/>
                <w:sz w:val="24"/>
                <w:szCs w:val="24"/>
                <w:lang w:val="en-US" w:eastAsia="zh-CN" w:bidi="ar"/>
              </w:rPr>
              <w:t>〕</w:t>
            </w:r>
            <w:r>
              <w:rPr>
                <w:rFonts w:hint="default" w:ascii="Times New Roman" w:hAnsi="Times New Roman" w:eastAsia="宋体" w:cs="Times New Roman"/>
                <w:b/>
                <w:bCs/>
                <w:color w:val="auto"/>
                <w:spacing w:val="0"/>
                <w:kern w:val="0"/>
                <w:position w:val="0"/>
                <w:sz w:val="24"/>
                <w:szCs w:val="24"/>
                <w:lang w:val="en-US" w:eastAsia="zh-CN" w:bidi="ar"/>
              </w:rPr>
              <w:t>44号）符合性</w:t>
            </w:r>
          </w:p>
          <w:p w14:paraId="137D42D3">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color w:val="auto"/>
                <w:spacing w:val="0"/>
                <w:kern w:val="0"/>
                <w:position w:val="0"/>
                <w:sz w:val="24"/>
                <w:szCs w:val="24"/>
                <w:lang w:val="en-US" w:eastAsia="zh-CN"/>
              </w:rPr>
            </w:pPr>
            <w:r>
              <w:rPr>
                <w:rFonts w:hint="default" w:ascii="Times New Roman" w:hAnsi="Times New Roman" w:eastAsia="宋体" w:cs="Times New Roman"/>
                <w:b/>
                <w:bCs/>
                <w:caps w:val="0"/>
                <w:color w:val="auto"/>
                <w:spacing w:val="0"/>
                <w:kern w:val="0"/>
                <w:position w:val="0"/>
                <w:sz w:val="24"/>
                <w:szCs w:val="24"/>
                <w:lang w:val="en-US" w:eastAsia="zh-CN"/>
              </w:rPr>
              <w:t>济气综治办发</w:t>
            </w:r>
            <w:r>
              <w:rPr>
                <w:rFonts w:hint="eastAsia" w:cs="Times New Roman"/>
                <w:b/>
                <w:bCs/>
                <w:caps w:val="0"/>
                <w:color w:val="auto"/>
                <w:spacing w:val="0"/>
                <w:kern w:val="0"/>
                <w:position w:val="0"/>
                <w:sz w:val="24"/>
                <w:szCs w:val="24"/>
                <w:lang w:val="en-US" w:eastAsia="zh-CN"/>
              </w:rPr>
              <w:t>〔</w:t>
            </w:r>
            <w:r>
              <w:rPr>
                <w:rFonts w:hint="default" w:ascii="Times New Roman" w:hAnsi="Times New Roman" w:eastAsia="宋体" w:cs="Times New Roman"/>
                <w:b/>
                <w:bCs/>
                <w:caps w:val="0"/>
                <w:color w:val="auto"/>
                <w:spacing w:val="0"/>
                <w:kern w:val="0"/>
                <w:position w:val="0"/>
                <w:sz w:val="24"/>
                <w:szCs w:val="24"/>
                <w:lang w:val="en-US" w:eastAsia="zh-CN"/>
              </w:rPr>
              <w:t>2019</w:t>
            </w:r>
            <w:r>
              <w:rPr>
                <w:rFonts w:hint="eastAsia" w:cs="Times New Roman"/>
                <w:b/>
                <w:bCs/>
                <w:caps w:val="0"/>
                <w:color w:val="auto"/>
                <w:spacing w:val="0"/>
                <w:kern w:val="0"/>
                <w:position w:val="0"/>
                <w:sz w:val="24"/>
                <w:szCs w:val="24"/>
                <w:lang w:val="en-US" w:eastAsia="zh-CN"/>
              </w:rPr>
              <w:t>〕</w:t>
            </w:r>
            <w:r>
              <w:rPr>
                <w:rFonts w:hint="default" w:ascii="Times New Roman" w:hAnsi="Times New Roman" w:eastAsia="宋体" w:cs="Times New Roman"/>
                <w:b/>
                <w:bCs/>
                <w:caps w:val="0"/>
                <w:color w:val="auto"/>
                <w:spacing w:val="0"/>
                <w:kern w:val="0"/>
                <w:position w:val="0"/>
                <w:sz w:val="24"/>
                <w:szCs w:val="24"/>
                <w:lang w:val="en-US" w:eastAsia="zh-CN"/>
              </w:rPr>
              <w:t>44号的符合性分析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523"/>
              <w:gridCol w:w="2693"/>
              <w:gridCol w:w="787"/>
            </w:tblGrid>
            <w:tr w14:paraId="768E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noWrap w:val="0"/>
                  <w:vAlign w:val="center"/>
                </w:tcPr>
                <w:p w14:paraId="5DBE189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项目</w:t>
                  </w:r>
                </w:p>
              </w:tc>
              <w:tc>
                <w:tcPr>
                  <w:tcW w:w="2284" w:type="pct"/>
                  <w:noWrap w:val="0"/>
                  <w:vAlign w:val="center"/>
                </w:tcPr>
                <w:p w14:paraId="4C75F3C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具体要求</w:t>
                  </w:r>
                </w:p>
              </w:tc>
              <w:tc>
                <w:tcPr>
                  <w:tcW w:w="1745" w:type="pct"/>
                  <w:noWrap w:val="0"/>
                  <w:vAlign w:val="center"/>
                </w:tcPr>
                <w:p w14:paraId="41EC02E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本项目情况</w:t>
                  </w:r>
                </w:p>
              </w:tc>
              <w:tc>
                <w:tcPr>
                  <w:tcW w:w="510" w:type="pct"/>
                  <w:noWrap w:val="0"/>
                  <w:vAlign w:val="center"/>
                </w:tcPr>
                <w:p w14:paraId="1F2BF1D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符合性</w:t>
                  </w:r>
                </w:p>
              </w:tc>
            </w:tr>
            <w:tr w14:paraId="17B3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3AC66B9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济宁市工业企业内部堆场扬尘治理技术导则</w:t>
                  </w:r>
                </w:p>
              </w:tc>
            </w:tr>
            <w:tr w14:paraId="6A42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restart"/>
                  <w:noWrap w:val="0"/>
                  <w:vAlign w:val="center"/>
                </w:tcPr>
                <w:p w14:paraId="5B5E6F5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堆场防尘技术标准</w:t>
                  </w:r>
                </w:p>
              </w:tc>
              <w:tc>
                <w:tcPr>
                  <w:tcW w:w="2284" w:type="pct"/>
                  <w:noWrap w:val="0"/>
                  <w:vAlign w:val="center"/>
                </w:tcPr>
                <w:p w14:paraId="68B9AC45">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贮存易产生扬尘的各类粉状、粒状、块状物料及燃烧堆场要进行密闭式改造，全部密封储存。</w:t>
                  </w:r>
                </w:p>
              </w:tc>
              <w:tc>
                <w:tcPr>
                  <w:tcW w:w="1745" w:type="pct"/>
                  <w:noWrap w:val="0"/>
                  <w:vAlign w:val="center"/>
                </w:tcPr>
                <w:p w14:paraId="7E4FA658">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rPr>
                    <w:t>本项目</w:t>
                  </w:r>
                  <w:r>
                    <w:rPr>
                      <w:rFonts w:hint="eastAsia" w:cs="Times New Roman"/>
                      <w:color w:val="auto"/>
                      <w:spacing w:val="0"/>
                      <w:kern w:val="0"/>
                      <w:position w:val="0"/>
                      <w:sz w:val="21"/>
                      <w:szCs w:val="21"/>
                      <w:lang w:val="en-US" w:eastAsia="zh-CN"/>
                    </w:rPr>
                    <w:t>产生粉尘的原料为石子、机制砂、石硝，</w:t>
                  </w:r>
                  <w:r>
                    <w:rPr>
                      <w:rFonts w:hint="default" w:ascii="Times New Roman" w:hAnsi="Times New Roman" w:eastAsia="宋体" w:cs="Times New Roman"/>
                      <w:color w:val="auto"/>
                      <w:spacing w:val="0"/>
                      <w:kern w:val="0"/>
                      <w:position w:val="0"/>
                      <w:sz w:val="21"/>
                      <w:szCs w:val="21"/>
                      <w:lang w:val="en-US" w:eastAsia="zh-CN"/>
                    </w:rPr>
                    <w:t>在封闭厂房内密闭储存</w:t>
                  </w:r>
                  <w:r>
                    <w:rPr>
                      <w:rFonts w:hint="default" w:ascii="Times New Roman" w:hAnsi="Times New Roman" w:eastAsia="宋体" w:cs="Times New Roman"/>
                      <w:color w:val="auto"/>
                      <w:spacing w:val="0"/>
                      <w:kern w:val="0"/>
                      <w:position w:val="0"/>
                      <w:sz w:val="21"/>
                      <w:szCs w:val="21"/>
                    </w:rPr>
                    <w:t>。</w:t>
                  </w:r>
                </w:p>
              </w:tc>
              <w:tc>
                <w:tcPr>
                  <w:tcW w:w="510" w:type="pct"/>
                  <w:noWrap w:val="0"/>
                  <w:vAlign w:val="center"/>
                </w:tcPr>
                <w:p w14:paraId="774838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61E0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continue"/>
                  <w:noWrap w:val="0"/>
                  <w:vAlign w:val="center"/>
                </w:tcPr>
                <w:p w14:paraId="79ED54EA">
                  <w:pPr>
                    <w:keepNext w:val="0"/>
                    <w:keepLines w:val="0"/>
                    <w:pageBreakBefore w:val="0"/>
                    <w:widowControl/>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position w:val="0"/>
                      <w:sz w:val="21"/>
                      <w:szCs w:val="21"/>
                    </w:rPr>
                  </w:pPr>
                </w:p>
              </w:tc>
              <w:tc>
                <w:tcPr>
                  <w:tcW w:w="2284" w:type="pct"/>
                  <w:noWrap w:val="0"/>
                  <w:vAlign w:val="center"/>
                </w:tcPr>
                <w:p w14:paraId="1432CC15">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堆场地面必须全部硬化。</w:t>
                  </w:r>
                </w:p>
              </w:tc>
              <w:tc>
                <w:tcPr>
                  <w:tcW w:w="1745" w:type="pct"/>
                  <w:noWrap w:val="0"/>
                  <w:vAlign w:val="center"/>
                </w:tcPr>
                <w:p w14:paraId="76F2AA8B">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堆场地面全部硬化。</w:t>
                  </w:r>
                </w:p>
              </w:tc>
              <w:tc>
                <w:tcPr>
                  <w:tcW w:w="510" w:type="pct"/>
                  <w:noWrap w:val="0"/>
                  <w:vAlign w:val="center"/>
                </w:tcPr>
                <w:p w14:paraId="1A76C37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1A11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restart"/>
                  <w:noWrap w:val="0"/>
                  <w:vAlign w:val="center"/>
                </w:tcPr>
                <w:p w14:paraId="794C166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物料输送防尘技术标准</w:t>
                  </w:r>
                </w:p>
              </w:tc>
              <w:tc>
                <w:tcPr>
                  <w:tcW w:w="2284" w:type="pct"/>
                  <w:noWrap w:val="0"/>
                  <w:vAlign w:val="center"/>
                </w:tcPr>
                <w:p w14:paraId="3A9B1565">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物料输送要采用密闭皮带、封闭通廊、管状带式输送机，易起尘物料传输过程要进行喷淋作业，最大限度抑制扬尘污染。物料输送落料点等配备集气罩和除尘设施，或采取喷雾等抑尘措施。</w:t>
                  </w:r>
                </w:p>
              </w:tc>
              <w:tc>
                <w:tcPr>
                  <w:tcW w:w="1745" w:type="pct"/>
                  <w:noWrap w:val="0"/>
                  <w:vAlign w:val="center"/>
                </w:tcPr>
                <w:p w14:paraId="01C45262">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eastAsia" w:cs="Times New Roman"/>
                      <w:color w:val="auto"/>
                      <w:spacing w:val="0"/>
                      <w:kern w:val="0"/>
                      <w:position w:val="0"/>
                      <w:sz w:val="21"/>
                      <w:szCs w:val="21"/>
                      <w:lang w:val="en-US" w:eastAsia="zh-CN"/>
                    </w:rPr>
                    <w:t>车间设置喷淋设施，传输带密闭</w:t>
                  </w:r>
                  <w:r>
                    <w:rPr>
                      <w:rFonts w:hint="default" w:ascii="Times New Roman" w:hAnsi="Times New Roman" w:eastAsia="宋体" w:cs="Times New Roman"/>
                      <w:color w:val="auto"/>
                      <w:spacing w:val="0"/>
                      <w:kern w:val="0"/>
                      <w:position w:val="0"/>
                      <w:sz w:val="21"/>
                      <w:szCs w:val="21"/>
                    </w:rPr>
                    <w:t>。</w:t>
                  </w:r>
                </w:p>
              </w:tc>
              <w:tc>
                <w:tcPr>
                  <w:tcW w:w="510" w:type="pct"/>
                  <w:noWrap w:val="0"/>
                  <w:vAlign w:val="center"/>
                </w:tcPr>
                <w:p w14:paraId="3878849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3024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continue"/>
                  <w:noWrap w:val="0"/>
                  <w:vAlign w:val="center"/>
                </w:tcPr>
                <w:p w14:paraId="2C60AAAB">
                  <w:pPr>
                    <w:keepNext w:val="0"/>
                    <w:keepLines w:val="0"/>
                    <w:pageBreakBefore w:val="0"/>
                    <w:widowControl/>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position w:val="0"/>
                      <w:sz w:val="21"/>
                      <w:szCs w:val="21"/>
                    </w:rPr>
                  </w:pPr>
                </w:p>
              </w:tc>
              <w:tc>
                <w:tcPr>
                  <w:tcW w:w="2284" w:type="pct"/>
                  <w:noWrap w:val="0"/>
                  <w:vAlign w:val="center"/>
                </w:tcPr>
                <w:p w14:paraId="2C5816E7">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进出厂的运输车辆必须采取密闭或全覆盖措施，不得抛洒和泄漏。</w:t>
                  </w:r>
                </w:p>
              </w:tc>
              <w:tc>
                <w:tcPr>
                  <w:tcW w:w="1745" w:type="pct"/>
                  <w:noWrap w:val="0"/>
                  <w:vAlign w:val="center"/>
                </w:tcPr>
                <w:p w14:paraId="7F35C060">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运输车辆采取全覆盖</w:t>
                  </w:r>
                  <w:r>
                    <w:rPr>
                      <w:rFonts w:hint="default" w:ascii="Times New Roman" w:hAnsi="Times New Roman" w:eastAsia="宋体" w:cs="Times New Roman"/>
                      <w:color w:val="auto"/>
                      <w:spacing w:val="0"/>
                      <w:kern w:val="0"/>
                      <w:position w:val="0"/>
                      <w:sz w:val="21"/>
                      <w:szCs w:val="21"/>
                      <w:lang w:val="en-US" w:eastAsia="zh-CN"/>
                    </w:rPr>
                    <w:t>措施，无</w:t>
                  </w:r>
                  <w:r>
                    <w:rPr>
                      <w:rFonts w:hint="default" w:ascii="Times New Roman" w:hAnsi="Times New Roman" w:eastAsia="宋体" w:cs="Times New Roman"/>
                      <w:bCs/>
                      <w:color w:val="auto"/>
                      <w:spacing w:val="0"/>
                      <w:kern w:val="0"/>
                      <w:position w:val="0"/>
                      <w:sz w:val="21"/>
                      <w:szCs w:val="21"/>
                      <w:lang w:val="en-US" w:eastAsia="zh-CN"/>
                    </w:rPr>
                    <w:t>沿途抛洒和</w:t>
                  </w:r>
                  <w:r>
                    <w:rPr>
                      <w:rFonts w:hint="eastAsia" w:cs="Times New Roman"/>
                      <w:bCs/>
                      <w:color w:val="auto"/>
                      <w:spacing w:val="0"/>
                      <w:kern w:val="0"/>
                      <w:position w:val="0"/>
                      <w:sz w:val="21"/>
                      <w:szCs w:val="21"/>
                      <w:lang w:val="en-US" w:eastAsia="zh-CN"/>
                    </w:rPr>
                    <w:t>泄漏</w:t>
                  </w:r>
                  <w:r>
                    <w:rPr>
                      <w:rFonts w:hint="default" w:ascii="Times New Roman" w:hAnsi="Times New Roman" w:eastAsia="宋体" w:cs="Times New Roman"/>
                      <w:color w:val="auto"/>
                      <w:spacing w:val="0"/>
                      <w:kern w:val="0"/>
                      <w:position w:val="0"/>
                      <w:sz w:val="21"/>
                      <w:szCs w:val="21"/>
                    </w:rPr>
                    <w:t>。</w:t>
                  </w:r>
                </w:p>
              </w:tc>
              <w:tc>
                <w:tcPr>
                  <w:tcW w:w="510" w:type="pct"/>
                  <w:noWrap w:val="0"/>
                  <w:vAlign w:val="center"/>
                </w:tcPr>
                <w:p w14:paraId="50FF306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3F32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continue"/>
                  <w:noWrap w:val="0"/>
                  <w:vAlign w:val="center"/>
                </w:tcPr>
                <w:p w14:paraId="7A5C0405">
                  <w:pPr>
                    <w:keepNext w:val="0"/>
                    <w:keepLines w:val="0"/>
                    <w:pageBreakBefore w:val="0"/>
                    <w:widowControl/>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position w:val="0"/>
                      <w:sz w:val="21"/>
                      <w:szCs w:val="21"/>
                    </w:rPr>
                  </w:pPr>
                </w:p>
              </w:tc>
              <w:tc>
                <w:tcPr>
                  <w:tcW w:w="2284" w:type="pct"/>
                  <w:noWrap w:val="0"/>
                  <w:vAlign w:val="center"/>
                </w:tcPr>
                <w:p w14:paraId="5FBDEC79">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自动感应式洗车台规格应满足运输车辆全面清洗要求，原则上洗车台长度不低于6米，宽度不低于4米，喷水高度不低于1.2米，喷水压力不低于0.4MPa，两侧要有挡板。车辆行驶冲洗过程中时速不高于2公里/小时，以静止洗车为宜。</w:t>
                  </w:r>
                </w:p>
              </w:tc>
              <w:tc>
                <w:tcPr>
                  <w:tcW w:w="1745" w:type="pct"/>
                  <w:noWrap w:val="0"/>
                  <w:vAlign w:val="center"/>
                </w:tcPr>
                <w:p w14:paraId="2CF165B9">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设置自动感应洗车台</w:t>
                  </w:r>
                  <w:r>
                    <w:rPr>
                      <w:rFonts w:hint="eastAsia"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总长度不低于</w:t>
                  </w:r>
                  <w:r>
                    <w:rPr>
                      <w:rFonts w:hint="eastAsia" w:cs="Times New Roman"/>
                      <w:color w:val="auto"/>
                      <w:spacing w:val="0"/>
                      <w:kern w:val="0"/>
                      <w:position w:val="0"/>
                      <w:sz w:val="21"/>
                      <w:szCs w:val="21"/>
                      <w:lang w:val="en-US" w:eastAsia="zh-CN"/>
                    </w:rPr>
                    <w:t>6</w:t>
                  </w:r>
                  <w:r>
                    <w:rPr>
                      <w:rFonts w:hint="default" w:ascii="Times New Roman" w:hAnsi="Times New Roman" w:eastAsia="宋体" w:cs="Times New Roman"/>
                      <w:color w:val="auto"/>
                      <w:spacing w:val="0"/>
                      <w:kern w:val="0"/>
                      <w:position w:val="0"/>
                      <w:sz w:val="21"/>
                      <w:szCs w:val="21"/>
                    </w:rPr>
                    <w:t>米，宽度不低于</w:t>
                  </w:r>
                  <w:r>
                    <w:rPr>
                      <w:rFonts w:hint="eastAsia" w:cs="Times New Roman"/>
                      <w:color w:val="auto"/>
                      <w:spacing w:val="0"/>
                      <w:kern w:val="0"/>
                      <w:position w:val="0"/>
                      <w:sz w:val="21"/>
                      <w:szCs w:val="21"/>
                      <w:lang w:val="en-US" w:eastAsia="zh-CN"/>
                    </w:rPr>
                    <w:t>4</w:t>
                  </w:r>
                  <w:r>
                    <w:rPr>
                      <w:rFonts w:hint="default" w:ascii="Times New Roman" w:hAnsi="Times New Roman" w:eastAsia="宋体" w:cs="Times New Roman"/>
                      <w:color w:val="auto"/>
                      <w:spacing w:val="0"/>
                      <w:kern w:val="0"/>
                      <w:position w:val="0"/>
                      <w:sz w:val="21"/>
                      <w:szCs w:val="21"/>
                    </w:rPr>
                    <w:t>米，喷水高度不低于1.2m</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两侧设挡板。喷水压力0.</w:t>
                  </w:r>
                  <w:r>
                    <w:rPr>
                      <w:rFonts w:hint="default" w:ascii="Times New Roman" w:hAnsi="Times New Roman" w:eastAsia="宋体" w:cs="Times New Roman"/>
                      <w:color w:val="auto"/>
                      <w:spacing w:val="0"/>
                      <w:kern w:val="0"/>
                      <w:position w:val="0"/>
                      <w:sz w:val="21"/>
                      <w:szCs w:val="21"/>
                      <w:lang w:val="en-US" w:eastAsia="zh-CN"/>
                    </w:rPr>
                    <w:t>6</w:t>
                  </w:r>
                  <w:r>
                    <w:rPr>
                      <w:rFonts w:hint="default" w:ascii="Times New Roman" w:hAnsi="Times New Roman" w:eastAsia="宋体" w:cs="Times New Roman"/>
                      <w:color w:val="auto"/>
                      <w:spacing w:val="0"/>
                      <w:kern w:val="0"/>
                      <w:position w:val="0"/>
                      <w:sz w:val="21"/>
                      <w:szCs w:val="21"/>
                    </w:rPr>
                    <w:t>MPa，以静止洗车为宜</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lang w:val="en-US" w:eastAsia="zh-CN"/>
                    </w:rPr>
                    <w:t>配套建设二级沉淀池用于收集和回用洗车废水</w:t>
                  </w:r>
                  <w:r>
                    <w:rPr>
                      <w:rFonts w:hint="default" w:ascii="Times New Roman" w:hAnsi="Times New Roman" w:eastAsia="宋体" w:cs="Times New Roman"/>
                      <w:color w:val="auto"/>
                      <w:spacing w:val="0"/>
                      <w:kern w:val="0"/>
                      <w:position w:val="0"/>
                      <w:sz w:val="21"/>
                      <w:szCs w:val="21"/>
                    </w:rPr>
                    <w:t>。</w:t>
                  </w:r>
                </w:p>
              </w:tc>
              <w:tc>
                <w:tcPr>
                  <w:tcW w:w="510" w:type="pct"/>
                  <w:noWrap w:val="0"/>
                  <w:vAlign w:val="center"/>
                </w:tcPr>
                <w:p w14:paraId="7AE3B93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700F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noWrap w:val="0"/>
                  <w:vAlign w:val="center"/>
                </w:tcPr>
                <w:p w14:paraId="6C0AF93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道路防尘技术标准</w:t>
                  </w:r>
                </w:p>
              </w:tc>
              <w:tc>
                <w:tcPr>
                  <w:tcW w:w="2284" w:type="pct"/>
                  <w:noWrap w:val="0"/>
                  <w:vAlign w:val="center"/>
                </w:tcPr>
                <w:p w14:paraId="44FA6738">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进出堆场的道路必须全部硬化，进出堆场的道路必须配备清扫设施、洒水车</w:t>
                  </w:r>
                  <w:r>
                    <w:rPr>
                      <w:rFonts w:hint="eastAsia" w:cs="Times New Roman"/>
                      <w:color w:val="auto"/>
                      <w:spacing w:val="0"/>
                      <w:kern w:val="0"/>
                      <w:position w:val="0"/>
                      <w:sz w:val="21"/>
                      <w:szCs w:val="21"/>
                      <w:lang w:eastAsia="zh-CN"/>
                    </w:rPr>
                    <w:t>或其他</w:t>
                  </w:r>
                  <w:r>
                    <w:rPr>
                      <w:rFonts w:hint="default" w:ascii="Times New Roman" w:hAnsi="Times New Roman" w:eastAsia="宋体" w:cs="Times New Roman"/>
                      <w:color w:val="auto"/>
                      <w:spacing w:val="0"/>
                      <w:kern w:val="0"/>
                      <w:position w:val="0"/>
                      <w:sz w:val="21"/>
                      <w:szCs w:val="21"/>
                    </w:rPr>
                    <w:t>喷洒设施。清扫及洒水频率根据具体情况确定，原则上每天湿式清扫不得少于2次，洒水不得少于4次。干燥、大风天气时要加大清扫、洒水频率，以保持路面清洁，不产生扬尘为目标。</w:t>
                  </w:r>
                </w:p>
              </w:tc>
              <w:tc>
                <w:tcPr>
                  <w:tcW w:w="1745" w:type="pct"/>
                  <w:noWrap w:val="0"/>
                  <w:vAlign w:val="center"/>
                </w:tcPr>
                <w:p w14:paraId="05A2FC94">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本项目进出厂道路全部硬化，并定期洒水抑尘和清扫。每天湿式清扫不得少于2次，洒水不得少于4次。干燥、大风天气时要加大清扫、洒水频率，以保持路面清洁，不产生扬尘为目标。</w:t>
                  </w:r>
                </w:p>
              </w:tc>
              <w:tc>
                <w:tcPr>
                  <w:tcW w:w="510" w:type="pct"/>
                  <w:noWrap w:val="0"/>
                  <w:vAlign w:val="center"/>
                </w:tcPr>
                <w:p w14:paraId="4883F67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25A6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restart"/>
                  <w:noWrap w:val="0"/>
                  <w:vAlign w:val="center"/>
                </w:tcPr>
                <w:p w14:paraId="6D98142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在线监测</w:t>
                  </w:r>
                </w:p>
              </w:tc>
              <w:tc>
                <w:tcPr>
                  <w:tcW w:w="2284" w:type="pct"/>
                  <w:noWrap w:val="0"/>
                  <w:vAlign w:val="center"/>
                </w:tcPr>
                <w:p w14:paraId="2A733B43">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堆场必须安装视频监控系统，监控范围包括堆场喷淋、洗车台、堆场道路等地方。确保全覆盖、无盲区，全时段监控。</w:t>
                  </w:r>
                </w:p>
              </w:tc>
              <w:tc>
                <w:tcPr>
                  <w:tcW w:w="1745" w:type="pct"/>
                  <w:noWrap w:val="0"/>
                  <w:vAlign w:val="center"/>
                </w:tcPr>
                <w:p w14:paraId="7A96AA1D">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本项目设置视频监控，监控范围包括堆场喷淋、洗车台、堆场道路等地方</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确保全覆盖、无盲区，全时段监控</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snapToGrid w:val="0"/>
                      <w:color w:val="auto"/>
                      <w:spacing w:val="0"/>
                      <w:kern w:val="0"/>
                      <w:position w:val="0"/>
                      <w:sz w:val="21"/>
                      <w:szCs w:val="21"/>
                      <w:lang w:val="en-US" w:eastAsia="zh-CN"/>
                    </w:rPr>
                    <w:t>安装硬盘</w:t>
                  </w:r>
                  <w:r>
                    <w:rPr>
                      <w:rFonts w:hint="eastAsia" w:cs="Times New Roman"/>
                      <w:snapToGrid w:val="0"/>
                      <w:color w:val="auto"/>
                      <w:spacing w:val="0"/>
                      <w:kern w:val="0"/>
                      <w:position w:val="0"/>
                      <w:sz w:val="21"/>
                      <w:szCs w:val="21"/>
                      <w:lang w:val="en-US" w:eastAsia="zh-CN"/>
                    </w:rPr>
                    <w:t>录像机</w:t>
                  </w:r>
                  <w:r>
                    <w:rPr>
                      <w:rFonts w:hint="default" w:ascii="Times New Roman" w:hAnsi="Times New Roman" w:eastAsia="宋体" w:cs="Times New Roman"/>
                      <w:snapToGrid w:val="0"/>
                      <w:color w:val="auto"/>
                      <w:spacing w:val="0"/>
                      <w:kern w:val="0"/>
                      <w:position w:val="0"/>
                      <w:sz w:val="21"/>
                      <w:szCs w:val="21"/>
                      <w:lang w:val="en-US" w:eastAsia="zh-CN"/>
                    </w:rPr>
                    <w:t>用于存储图像，保证存储时间至少3个月</w:t>
                  </w:r>
                  <w:r>
                    <w:rPr>
                      <w:rFonts w:hint="default" w:ascii="Times New Roman" w:hAnsi="Times New Roman" w:eastAsia="宋体" w:cs="Times New Roman"/>
                      <w:color w:val="auto"/>
                      <w:spacing w:val="0"/>
                      <w:kern w:val="0"/>
                      <w:position w:val="0"/>
                      <w:sz w:val="21"/>
                      <w:szCs w:val="21"/>
                    </w:rPr>
                    <w:t>。</w:t>
                  </w:r>
                </w:p>
              </w:tc>
              <w:tc>
                <w:tcPr>
                  <w:tcW w:w="510" w:type="pct"/>
                  <w:noWrap w:val="0"/>
                  <w:vAlign w:val="center"/>
                </w:tcPr>
                <w:p w14:paraId="79081DF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0187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continue"/>
                  <w:noWrap w:val="0"/>
                  <w:vAlign w:val="center"/>
                </w:tcPr>
                <w:p w14:paraId="661C1C44">
                  <w:pPr>
                    <w:keepNext w:val="0"/>
                    <w:keepLines w:val="0"/>
                    <w:pageBreakBefore w:val="0"/>
                    <w:widowControl/>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position w:val="0"/>
                      <w:sz w:val="21"/>
                      <w:szCs w:val="21"/>
                    </w:rPr>
                  </w:pPr>
                </w:p>
              </w:tc>
              <w:tc>
                <w:tcPr>
                  <w:tcW w:w="2284" w:type="pct"/>
                  <w:noWrap w:val="0"/>
                  <w:vAlign w:val="center"/>
                </w:tcPr>
                <w:p w14:paraId="293682BB">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重点企业内部堆场应安装PM</w:t>
                  </w:r>
                  <w:r>
                    <w:rPr>
                      <w:rFonts w:hint="default" w:ascii="Times New Roman" w:hAnsi="Times New Roman" w:eastAsia="宋体" w:cs="Times New Roman"/>
                      <w:color w:val="auto"/>
                      <w:spacing w:val="0"/>
                      <w:kern w:val="0"/>
                      <w:position w:val="0"/>
                      <w:sz w:val="21"/>
                      <w:szCs w:val="21"/>
                      <w:vertAlign w:val="subscript"/>
                    </w:rPr>
                    <w:t>10</w:t>
                  </w:r>
                  <w:r>
                    <w:rPr>
                      <w:rFonts w:hint="default" w:ascii="Times New Roman" w:hAnsi="Times New Roman" w:eastAsia="宋体" w:cs="Times New Roman"/>
                      <w:color w:val="auto"/>
                      <w:spacing w:val="0"/>
                      <w:kern w:val="0"/>
                      <w:position w:val="0"/>
                      <w:sz w:val="21"/>
                      <w:szCs w:val="21"/>
                    </w:rPr>
                    <w:t>在线监测设备，并入环保监管平台。实现扬尘在线监测的数据审核、故障报备、超标处罚等的全过程管控。</w:t>
                  </w:r>
                </w:p>
              </w:tc>
              <w:tc>
                <w:tcPr>
                  <w:tcW w:w="1745" w:type="pct"/>
                  <w:noWrap w:val="0"/>
                  <w:vAlign w:val="center"/>
                </w:tcPr>
                <w:p w14:paraId="2119F49B">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本项目设置PM</w:t>
                  </w:r>
                  <w:r>
                    <w:rPr>
                      <w:rFonts w:hint="default" w:ascii="Times New Roman" w:hAnsi="Times New Roman" w:eastAsia="宋体" w:cs="Times New Roman"/>
                      <w:color w:val="auto"/>
                      <w:spacing w:val="0"/>
                      <w:kern w:val="0"/>
                      <w:position w:val="0"/>
                      <w:sz w:val="21"/>
                      <w:szCs w:val="21"/>
                      <w:vertAlign w:val="subscript"/>
                    </w:rPr>
                    <w:t>10</w:t>
                  </w:r>
                  <w:r>
                    <w:rPr>
                      <w:rFonts w:hint="default" w:ascii="Times New Roman" w:hAnsi="Times New Roman" w:eastAsia="宋体" w:cs="Times New Roman"/>
                      <w:color w:val="auto"/>
                      <w:spacing w:val="0"/>
                      <w:kern w:val="0"/>
                      <w:position w:val="0"/>
                      <w:sz w:val="21"/>
                      <w:szCs w:val="21"/>
                    </w:rPr>
                    <w:t>在线监测，并与济宁市生态环境局</w:t>
                  </w:r>
                  <w:r>
                    <w:rPr>
                      <w:rFonts w:hint="eastAsia" w:cs="Times New Roman"/>
                      <w:color w:val="auto"/>
                      <w:spacing w:val="0"/>
                      <w:kern w:val="0"/>
                      <w:position w:val="0"/>
                      <w:sz w:val="21"/>
                      <w:szCs w:val="21"/>
                      <w:lang w:eastAsia="zh-CN"/>
                    </w:rPr>
                    <w:t>嘉祥县</w:t>
                  </w:r>
                  <w:r>
                    <w:rPr>
                      <w:rFonts w:hint="default" w:ascii="Times New Roman" w:hAnsi="Times New Roman" w:eastAsia="宋体" w:cs="Times New Roman"/>
                      <w:color w:val="auto"/>
                      <w:spacing w:val="0"/>
                      <w:kern w:val="0"/>
                      <w:position w:val="0"/>
                      <w:sz w:val="21"/>
                      <w:szCs w:val="21"/>
                    </w:rPr>
                    <w:t>分局监管平台联网。</w:t>
                  </w:r>
                </w:p>
              </w:tc>
              <w:tc>
                <w:tcPr>
                  <w:tcW w:w="510" w:type="pct"/>
                  <w:noWrap w:val="0"/>
                  <w:vAlign w:val="center"/>
                </w:tcPr>
                <w:p w14:paraId="56F4F41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bl>
          <w:p w14:paraId="5063BF83">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6</w:t>
            </w:r>
            <w:r>
              <w:rPr>
                <w:rFonts w:hint="default" w:ascii="Times New Roman" w:hAnsi="Times New Roman" w:eastAsia="宋体" w:cs="Times New Roman"/>
                <w:b/>
                <w:bCs/>
                <w:color w:val="auto"/>
                <w:spacing w:val="0"/>
                <w:kern w:val="0"/>
                <w:position w:val="0"/>
                <w:sz w:val="24"/>
                <w:szCs w:val="24"/>
                <w:lang w:val="en-US" w:eastAsia="zh-CN" w:bidi="ar"/>
              </w:rPr>
              <w:t>、《关于“两高”项目管理有关事项的补充通知》（鲁发改工业〔2023〕34号）符合性</w:t>
            </w:r>
          </w:p>
          <w:p w14:paraId="27174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val="0"/>
                <w:bCs w:val="0"/>
                <w:color w:val="auto"/>
                <w:spacing w:val="0"/>
                <w:kern w:val="0"/>
                <w:position w:val="0"/>
                <w:sz w:val="24"/>
                <w:szCs w:val="24"/>
                <w:highlight w:val="none"/>
                <w:lang w:val="en-US" w:eastAsia="zh-CN"/>
              </w:rPr>
              <w:t>本项目属于“</w:t>
            </w:r>
            <w:r>
              <w:rPr>
                <w:rFonts w:hint="default" w:ascii="Times New Roman" w:hAnsi="Times New Roman" w:eastAsia="宋体" w:cs="Times New Roman"/>
                <w:b/>
                <w:bCs/>
                <w:color w:val="auto"/>
                <w:spacing w:val="0"/>
                <w:kern w:val="0"/>
                <w:position w:val="0"/>
                <w:sz w:val="24"/>
                <w:szCs w:val="24"/>
                <w:highlight w:val="none"/>
                <w:lang w:val="en-US" w:eastAsia="zh-CN"/>
              </w:rPr>
              <w:t>C3099其他非金属矿物制品制造</w:t>
            </w:r>
            <w:r>
              <w:rPr>
                <w:rFonts w:hint="default" w:ascii="Times New Roman" w:hAnsi="Times New Roman" w:eastAsia="宋体" w:cs="Times New Roman"/>
                <w:b w:val="0"/>
                <w:bCs w:val="0"/>
                <w:color w:val="auto"/>
                <w:spacing w:val="0"/>
                <w:kern w:val="0"/>
                <w:position w:val="0"/>
                <w:sz w:val="24"/>
                <w:szCs w:val="24"/>
                <w:highlight w:val="none"/>
                <w:lang w:val="en-US" w:eastAsia="zh-CN"/>
              </w:rPr>
              <w:t>”，根据《关于“两高”项目管理有关事项的通知》（鲁发改工业[2022]255号），项目不属于《山东省“两高”项目管理目录（2023年版）》范围内的项目，不属于“两高”行业。</w:t>
            </w:r>
          </w:p>
          <w:p w14:paraId="379277B1">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color w:val="auto"/>
                <w:spacing w:val="0"/>
                <w:kern w:val="0"/>
                <w:position w:val="0"/>
                <w:sz w:val="24"/>
                <w:szCs w:val="24"/>
                <w:lang w:val="en-US" w:eastAsia="zh-CN"/>
              </w:rPr>
            </w:pPr>
            <w:r>
              <w:rPr>
                <w:rFonts w:hint="default" w:ascii="Times New Roman" w:hAnsi="Times New Roman" w:eastAsia="宋体" w:cs="Times New Roman"/>
                <w:b/>
                <w:bCs/>
                <w:caps w:val="0"/>
                <w:color w:val="auto"/>
                <w:spacing w:val="0"/>
                <w:kern w:val="0"/>
                <w:position w:val="0"/>
                <w:sz w:val="24"/>
                <w:szCs w:val="24"/>
                <w:lang w:val="en-US" w:eastAsia="zh-CN"/>
              </w:rPr>
              <w:t>山东省“两高”项目管理目录（2023年版）</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51"/>
              <w:gridCol w:w="2788"/>
              <w:gridCol w:w="2215"/>
              <w:gridCol w:w="1561"/>
            </w:tblGrid>
            <w:tr w14:paraId="6960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4D6BCD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lang w:val="en-US" w:eastAsia="zh-CN"/>
                    </w:rPr>
                    <w:t>序号</w:t>
                  </w:r>
                </w:p>
              </w:tc>
              <w:tc>
                <w:tcPr>
                  <w:tcW w:w="422" w:type="pct"/>
                  <w:vMerge w:val="restart"/>
                  <w:tcBorders>
                    <w:tl2br w:val="nil"/>
                    <w:tr2bl w:val="nil"/>
                  </w:tcBorders>
                  <w:noWrap w:val="0"/>
                  <w:vAlign w:val="center"/>
                </w:tcPr>
                <w:p w14:paraId="2A2A8B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lang w:val="en-US" w:eastAsia="zh-CN"/>
                    </w:rPr>
                    <w:t>产业分类</w:t>
                  </w:r>
                </w:p>
              </w:tc>
              <w:tc>
                <w:tcPr>
                  <w:tcW w:w="1806" w:type="pct"/>
                  <w:tcBorders>
                    <w:tl2br w:val="nil"/>
                    <w:tr2bl w:val="nil"/>
                  </w:tcBorders>
                  <w:noWrap w:val="0"/>
                  <w:vAlign w:val="center"/>
                </w:tcPr>
                <w:p w14:paraId="7C42B6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lang w:val="en-US" w:eastAsia="zh-CN"/>
                    </w:rPr>
                    <w:t>产品</w:t>
                  </w:r>
                </w:p>
              </w:tc>
              <w:tc>
                <w:tcPr>
                  <w:tcW w:w="1434" w:type="pct"/>
                  <w:vMerge w:val="restart"/>
                  <w:tcBorders>
                    <w:tl2br w:val="nil"/>
                    <w:tr2bl w:val="nil"/>
                  </w:tcBorders>
                  <w:noWrap w:val="0"/>
                  <w:vAlign w:val="center"/>
                </w:tcPr>
                <w:p w14:paraId="333433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highlight w:val="none"/>
                      <w:lang w:val="en-US" w:eastAsia="zh-CN"/>
                    </w:rPr>
                  </w:pPr>
                  <w:r>
                    <w:rPr>
                      <w:rFonts w:hint="default" w:ascii="Times New Roman" w:hAnsi="Times New Roman" w:eastAsia="宋体" w:cs="Times New Roman"/>
                      <w:b/>
                      <w:bCs/>
                      <w:color w:val="auto"/>
                      <w:spacing w:val="0"/>
                      <w:kern w:val="0"/>
                      <w:position w:val="0"/>
                      <w:sz w:val="21"/>
                      <w:szCs w:val="21"/>
                      <w:highlight w:val="none"/>
                      <w:lang w:val="en-US" w:eastAsia="zh-CN"/>
                    </w:rPr>
                    <w:t>核心设备</w:t>
                  </w:r>
                </w:p>
              </w:tc>
              <w:tc>
                <w:tcPr>
                  <w:tcW w:w="1011" w:type="pct"/>
                  <w:tcBorders>
                    <w:tl2br w:val="nil"/>
                    <w:tr2bl w:val="nil"/>
                  </w:tcBorders>
                  <w:noWrap w:val="0"/>
                  <w:vAlign w:val="center"/>
                </w:tcPr>
                <w:p w14:paraId="10F669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highlight w:val="none"/>
                      <w:lang w:val="en-US" w:eastAsia="zh-CN"/>
                    </w:rPr>
                  </w:pPr>
                  <w:r>
                    <w:rPr>
                      <w:rFonts w:hint="default" w:ascii="Times New Roman" w:hAnsi="Times New Roman" w:eastAsia="宋体" w:cs="Times New Roman"/>
                      <w:b/>
                      <w:bCs/>
                      <w:color w:val="auto"/>
                      <w:spacing w:val="0"/>
                      <w:kern w:val="0"/>
                      <w:position w:val="0"/>
                      <w:sz w:val="21"/>
                      <w:szCs w:val="21"/>
                      <w:highlight w:val="none"/>
                      <w:lang w:val="en-US" w:eastAsia="zh-CN"/>
                    </w:rPr>
                    <w:t>对应国民经济行业小类</w:t>
                  </w:r>
                </w:p>
              </w:tc>
            </w:tr>
            <w:tr w14:paraId="7109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1034FB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w:t>
                  </w:r>
                </w:p>
              </w:tc>
              <w:tc>
                <w:tcPr>
                  <w:tcW w:w="422" w:type="pct"/>
                  <w:vMerge w:val="restart"/>
                  <w:tcBorders>
                    <w:tl2br w:val="nil"/>
                    <w:tr2bl w:val="nil"/>
                  </w:tcBorders>
                  <w:noWrap w:val="0"/>
                  <w:vAlign w:val="center"/>
                </w:tcPr>
                <w:p w14:paraId="719FD2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炼化</w:t>
                  </w:r>
                </w:p>
              </w:tc>
              <w:tc>
                <w:tcPr>
                  <w:tcW w:w="1806" w:type="pct"/>
                  <w:tcBorders>
                    <w:tl2br w:val="nil"/>
                    <w:tr2bl w:val="nil"/>
                  </w:tcBorders>
                  <w:noWrap w:val="0"/>
                  <w:vAlign w:val="center"/>
                </w:tcPr>
                <w:p w14:paraId="3B5297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汽油、煤油、柴油、燃料油、石脑油、溶剂油、石油气、沥青及其他相关产品，不含一二次炼油之外的质量升级油品</w:t>
                  </w:r>
                </w:p>
              </w:tc>
              <w:tc>
                <w:tcPr>
                  <w:tcW w:w="1434" w:type="pct"/>
                  <w:tcBorders>
                    <w:tl2br w:val="nil"/>
                    <w:tr2bl w:val="nil"/>
                  </w:tcBorders>
                  <w:noWrap w:val="0"/>
                  <w:vAlign w:val="center"/>
                </w:tcPr>
                <w:p w14:paraId="0971B1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一次炼油（常减压）、二次炼油（催化裂化、加氢裂化、催化重整、延迟焦化）</w:t>
                  </w:r>
                </w:p>
              </w:tc>
              <w:tc>
                <w:tcPr>
                  <w:tcW w:w="1011" w:type="pct"/>
                  <w:tcBorders>
                    <w:tl2br w:val="nil"/>
                    <w:tr2bl w:val="nil"/>
                  </w:tcBorders>
                  <w:noWrap w:val="0"/>
                  <w:vAlign w:val="center"/>
                </w:tcPr>
                <w:p w14:paraId="327EBA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原油加工及石油制品制造（2511）</w:t>
                  </w:r>
                </w:p>
              </w:tc>
            </w:tr>
            <w:tr w14:paraId="747F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5C77A8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056C5D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04C246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乙烯、对二甲苯（PX）</w:t>
                  </w:r>
                </w:p>
              </w:tc>
              <w:tc>
                <w:tcPr>
                  <w:tcW w:w="1434" w:type="pct"/>
                  <w:tcBorders>
                    <w:tl2br w:val="nil"/>
                    <w:tr2bl w:val="nil"/>
                  </w:tcBorders>
                  <w:noWrap w:val="0"/>
                  <w:vAlign w:val="center"/>
                </w:tcPr>
                <w:p w14:paraId="5DF0A2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乙烯装置、PX装置</w:t>
                  </w:r>
                </w:p>
              </w:tc>
              <w:tc>
                <w:tcPr>
                  <w:tcW w:w="1011" w:type="pct"/>
                  <w:tcBorders>
                    <w:tl2br w:val="nil"/>
                    <w:tr2bl w:val="nil"/>
                  </w:tcBorders>
                  <w:noWrap w:val="0"/>
                  <w:vAlign w:val="center"/>
                </w:tcPr>
                <w:p w14:paraId="1491BD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有机化学原料制造（2614）</w:t>
                  </w:r>
                </w:p>
              </w:tc>
            </w:tr>
            <w:tr w14:paraId="5B7E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7DD36E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2</w:t>
                  </w:r>
                </w:p>
              </w:tc>
              <w:tc>
                <w:tcPr>
                  <w:tcW w:w="422" w:type="pct"/>
                  <w:tcBorders>
                    <w:tl2br w:val="nil"/>
                    <w:tr2bl w:val="nil"/>
                  </w:tcBorders>
                  <w:noWrap w:val="0"/>
                  <w:vAlign w:val="center"/>
                </w:tcPr>
                <w:p w14:paraId="5112F1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焦化</w:t>
                  </w:r>
                </w:p>
              </w:tc>
              <w:tc>
                <w:tcPr>
                  <w:tcW w:w="1806" w:type="pct"/>
                  <w:tcBorders>
                    <w:tl2br w:val="nil"/>
                    <w:tr2bl w:val="nil"/>
                  </w:tcBorders>
                  <w:noWrap w:val="0"/>
                  <w:vAlign w:val="center"/>
                </w:tcPr>
                <w:p w14:paraId="49F09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焦炭</w:t>
                  </w:r>
                </w:p>
              </w:tc>
              <w:tc>
                <w:tcPr>
                  <w:tcW w:w="1434" w:type="pct"/>
                  <w:tcBorders>
                    <w:tl2br w:val="nil"/>
                    <w:tr2bl w:val="nil"/>
                  </w:tcBorders>
                  <w:noWrap w:val="0"/>
                  <w:vAlign w:val="center"/>
                </w:tcPr>
                <w:p w14:paraId="59C82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焦炉</w:t>
                  </w:r>
                </w:p>
              </w:tc>
              <w:tc>
                <w:tcPr>
                  <w:tcW w:w="1011" w:type="pct"/>
                  <w:tcBorders>
                    <w:tl2br w:val="nil"/>
                    <w:tr2bl w:val="nil"/>
                  </w:tcBorders>
                  <w:noWrap w:val="0"/>
                  <w:vAlign w:val="center"/>
                </w:tcPr>
                <w:p w14:paraId="4CCE14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炼焦（2521）</w:t>
                  </w:r>
                </w:p>
              </w:tc>
            </w:tr>
            <w:tr w14:paraId="00B4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195530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3</w:t>
                  </w:r>
                </w:p>
              </w:tc>
              <w:tc>
                <w:tcPr>
                  <w:tcW w:w="422" w:type="pct"/>
                  <w:vMerge w:val="restart"/>
                  <w:tcBorders>
                    <w:tl2br w:val="nil"/>
                    <w:tr2bl w:val="nil"/>
                  </w:tcBorders>
                  <w:noWrap w:val="0"/>
                  <w:vAlign w:val="center"/>
                </w:tcPr>
                <w:p w14:paraId="39BE71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煤制液体燃料</w:t>
                  </w:r>
                </w:p>
              </w:tc>
              <w:tc>
                <w:tcPr>
                  <w:tcW w:w="1806" w:type="pct"/>
                  <w:tcBorders>
                    <w:tl2br w:val="nil"/>
                    <w:tr2bl w:val="nil"/>
                  </w:tcBorders>
                  <w:noWrap w:val="0"/>
                  <w:vAlign w:val="center"/>
                </w:tcPr>
                <w:p w14:paraId="0748FE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煤制甲醇</w:t>
                  </w:r>
                </w:p>
              </w:tc>
              <w:tc>
                <w:tcPr>
                  <w:tcW w:w="1434" w:type="pct"/>
                  <w:vMerge w:val="restart"/>
                  <w:tcBorders>
                    <w:tl2br w:val="nil"/>
                    <w:tr2bl w:val="nil"/>
                  </w:tcBorders>
                  <w:noWrap w:val="0"/>
                  <w:vAlign w:val="center"/>
                </w:tcPr>
                <w:p w14:paraId="0AEFDE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煤气化炉、合成塔</w:t>
                  </w:r>
                </w:p>
              </w:tc>
              <w:tc>
                <w:tcPr>
                  <w:tcW w:w="1011" w:type="pct"/>
                  <w:vMerge w:val="restart"/>
                  <w:tcBorders>
                    <w:tl2br w:val="nil"/>
                    <w:tr2bl w:val="nil"/>
                  </w:tcBorders>
                  <w:noWrap w:val="0"/>
                  <w:vAlign w:val="center"/>
                </w:tcPr>
                <w:p w14:paraId="3E77A2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煤制液体燃料生产（2523）</w:t>
                  </w:r>
                </w:p>
              </w:tc>
            </w:tr>
            <w:tr w14:paraId="7058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2F718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0F7DF7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048703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煤制烯烃（乙烯、丙烯）</w:t>
                  </w:r>
                </w:p>
              </w:tc>
              <w:tc>
                <w:tcPr>
                  <w:tcW w:w="1434" w:type="pct"/>
                  <w:vMerge w:val="continue"/>
                  <w:tcBorders>
                    <w:tl2br w:val="nil"/>
                    <w:tr2bl w:val="nil"/>
                  </w:tcBorders>
                  <w:noWrap w:val="0"/>
                  <w:vAlign w:val="center"/>
                </w:tcPr>
                <w:p w14:paraId="51095F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011" w:type="pct"/>
                  <w:vMerge w:val="continue"/>
                  <w:tcBorders>
                    <w:tl2br w:val="nil"/>
                    <w:tr2bl w:val="nil"/>
                  </w:tcBorders>
                  <w:noWrap w:val="0"/>
                  <w:vAlign w:val="center"/>
                </w:tcPr>
                <w:p w14:paraId="71579D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635D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7D0FD9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36C287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38F1CA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煤制乙二醇</w:t>
                  </w:r>
                </w:p>
              </w:tc>
              <w:tc>
                <w:tcPr>
                  <w:tcW w:w="1434" w:type="pct"/>
                  <w:vMerge w:val="continue"/>
                  <w:tcBorders>
                    <w:tl2br w:val="nil"/>
                    <w:tr2bl w:val="nil"/>
                  </w:tcBorders>
                  <w:noWrap w:val="0"/>
                  <w:vAlign w:val="center"/>
                </w:tcPr>
                <w:p w14:paraId="2B4F7C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011" w:type="pct"/>
                  <w:vMerge w:val="continue"/>
                  <w:tcBorders>
                    <w:tl2br w:val="nil"/>
                    <w:tr2bl w:val="nil"/>
                  </w:tcBorders>
                  <w:noWrap w:val="0"/>
                  <w:vAlign w:val="center"/>
                </w:tcPr>
                <w:p w14:paraId="18BF7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3581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731A90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4</w:t>
                  </w:r>
                </w:p>
              </w:tc>
              <w:tc>
                <w:tcPr>
                  <w:tcW w:w="422" w:type="pct"/>
                  <w:vMerge w:val="restart"/>
                  <w:tcBorders>
                    <w:tl2br w:val="nil"/>
                    <w:tr2bl w:val="nil"/>
                  </w:tcBorders>
                  <w:noWrap w:val="0"/>
                  <w:vAlign w:val="center"/>
                </w:tcPr>
                <w:p w14:paraId="657C89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基础化学原料</w:t>
                  </w:r>
                </w:p>
              </w:tc>
              <w:tc>
                <w:tcPr>
                  <w:tcW w:w="1806" w:type="pct"/>
                  <w:tcBorders>
                    <w:tl2br w:val="nil"/>
                    <w:tr2bl w:val="nil"/>
                  </w:tcBorders>
                  <w:noWrap w:val="0"/>
                  <w:vAlign w:val="center"/>
                </w:tcPr>
                <w:p w14:paraId="67DD59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氯碱（烧碱）</w:t>
                  </w:r>
                </w:p>
              </w:tc>
              <w:tc>
                <w:tcPr>
                  <w:tcW w:w="1434" w:type="pct"/>
                  <w:tcBorders>
                    <w:tl2br w:val="nil"/>
                    <w:tr2bl w:val="nil"/>
                  </w:tcBorders>
                  <w:noWrap w:val="0"/>
                  <w:vAlign w:val="center"/>
                </w:tcPr>
                <w:p w14:paraId="1AD3F9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电解槽</w:t>
                  </w:r>
                </w:p>
              </w:tc>
              <w:tc>
                <w:tcPr>
                  <w:tcW w:w="1011" w:type="pct"/>
                  <w:tcBorders>
                    <w:tl2br w:val="nil"/>
                    <w:tr2bl w:val="nil"/>
                  </w:tcBorders>
                  <w:noWrap w:val="0"/>
                  <w:vAlign w:val="center"/>
                </w:tcPr>
                <w:p w14:paraId="7FAAE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无机碱制造（2612）</w:t>
                  </w:r>
                </w:p>
              </w:tc>
            </w:tr>
            <w:tr w14:paraId="4824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681333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5280B8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132421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纯碱</w:t>
                  </w:r>
                </w:p>
              </w:tc>
              <w:tc>
                <w:tcPr>
                  <w:tcW w:w="1434" w:type="pct"/>
                  <w:tcBorders>
                    <w:tl2br w:val="nil"/>
                    <w:tr2bl w:val="nil"/>
                  </w:tcBorders>
                  <w:noWrap w:val="0"/>
                  <w:vAlign w:val="center"/>
                </w:tcPr>
                <w:p w14:paraId="1A048A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碳化塔</w:t>
                  </w:r>
                </w:p>
              </w:tc>
              <w:tc>
                <w:tcPr>
                  <w:tcW w:w="1011" w:type="pct"/>
                  <w:tcBorders>
                    <w:tl2br w:val="nil"/>
                    <w:tr2bl w:val="nil"/>
                  </w:tcBorders>
                  <w:noWrap w:val="0"/>
                  <w:vAlign w:val="center"/>
                </w:tcPr>
                <w:p w14:paraId="0A7FC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无机碱制造（2612）</w:t>
                  </w:r>
                </w:p>
              </w:tc>
            </w:tr>
            <w:tr w14:paraId="03C0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44AA9C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7944DA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18269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电石（碳化钙）</w:t>
                  </w:r>
                </w:p>
              </w:tc>
              <w:tc>
                <w:tcPr>
                  <w:tcW w:w="1434" w:type="pct"/>
                  <w:tcBorders>
                    <w:tl2br w:val="nil"/>
                    <w:tr2bl w:val="nil"/>
                  </w:tcBorders>
                  <w:noWrap w:val="0"/>
                  <w:vAlign w:val="center"/>
                </w:tcPr>
                <w:p w14:paraId="0A101F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电石炉</w:t>
                  </w:r>
                </w:p>
              </w:tc>
              <w:tc>
                <w:tcPr>
                  <w:tcW w:w="1011" w:type="pct"/>
                  <w:tcBorders>
                    <w:tl2br w:val="nil"/>
                    <w:tr2bl w:val="nil"/>
                  </w:tcBorders>
                  <w:noWrap w:val="0"/>
                  <w:vAlign w:val="center"/>
                </w:tcPr>
                <w:p w14:paraId="47ACF7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无机盐制造（2613）</w:t>
                  </w:r>
                </w:p>
              </w:tc>
            </w:tr>
            <w:tr w14:paraId="4DC6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0972A9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3A3312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2E55A2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黄磷</w:t>
                  </w:r>
                </w:p>
              </w:tc>
              <w:tc>
                <w:tcPr>
                  <w:tcW w:w="1434" w:type="pct"/>
                  <w:tcBorders>
                    <w:tl2br w:val="nil"/>
                    <w:tr2bl w:val="nil"/>
                  </w:tcBorders>
                  <w:noWrap w:val="0"/>
                  <w:vAlign w:val="center"/>
                </w:tcPr>
                <w:p w14:paraId="3914E7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黄磷制取设备</w:t>
                  </w:r>
                </w:p>
              </w:tc>
              <w:tc>
                <w:tcPr>
                  <w:tcW w:w="1011" w:type="pct"/>
                  <w:tcBorders>
                    <w:tl2br w:val="nil"/>
                    <w:tr2bl w:val="nil"/>
                  </w:tcBorders>
                  <w:noWrap w:val="0"/>
                  <w:vAlign w:val="center"/>
                </w:tcPr>
                <w:p w14:paraId="6E130C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其他基础化学原料制造（2619）</w:t>
                  </w:r>
                </w:p>
              </w:tc>
            </w:tr>
            <w:tr w14:paraId="009A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5B3CB4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5</w:t>
                  </w:r>
                </w:p>
              </w:tc>
              <w:tc>
                <w:tcPr>
                  <w:tcW w:w="422" w:type="pct"/>
                  <w:vMerge w:val="restart"/>
                  <w:tcBorders>
                    <w:tl2br w:val="nil"/>
                    <w:tr2bl w:val="nil"/>
                  </w:tcBorders>
                  <w:noWrap w:val="0"/>
                  <w:vAlign w:val="center"/>
                </w:tcPr>
                <w:p w14:paraId="46E876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化肥</w:t>
                  </w:r>
                </w:p>
              </w:tc>
              <w:tc>
                <w:tcPr>
                  <w:tcW w:w="1806" w:type="pct"/>
                  <w:tcBorders>
                    <w:tl2br w:val="nil"/>
                    <w:tr2bl w:val="nil"/>
                  </w:tcBorders>
                  <w:noWrap w:val="0"/>
                  <w:vAlign w:val="center"/>
                </w:tcPr>
                <w:p w14:paraId="3A2621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合成氨、尿素</w:t>
                  </w:r>
                </w:p>
              </w:tc>
              <w:tc>
                <w:tcPr>
                  <w:tcW w:w="1434" w:type="pct"/>
                  <w:tcBorders>
                    <w:tl2br w:val="nil"/>
                    <w:tr2bl w:val="nil"/>
                  </w:tcBorders>
                  <w:noWrap w:val="0"/>
                  <w:vAlign w:val="center"/>
                </w:tcPr>
                <w:p w14:paraId="0D7FCE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合成氨装置</w:t>
                  </w:r>
                </w:p>
              </w:tc>
              <w:tc>
                <w:tcPr>
                  <w:tcW w:w="1011" w:type="pct"/>
                  <w:tcBorders>
                    <w:tl2br w:val="nil"/>
                    <w:tr2bl w:val="nil"/>
                  </w:tcBorders>
                  <w:noWrap w:val="0"/>
                  <w:vAlign w:val="center"/>
                </w:tcPr>
                <w:p w14:paraId="38540D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氮肥制造（2621）</w:t>
                  </w:r>
                </w:p>
              </w:tc>
            </w:tr>
            <w:tr w14:paraId="11FB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24DEE3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528B9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4E2FF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磷酸一铵、磷酸二铵</w:t>
                  </w:r>
                </w:p>
              </w:tc>
              <w:tc>
                <w:tcPr>
                  <w:tcW w:w="1434" w:type="pct"/>
                  <w:tcBorders>
                    <w:tl2br w:val="nil"/>
                    <w:tr2bl w:val="nil"/>
                  </w:tcBorders>
                  <w:noWrap w:val="0"/>
                  <w:vAlign w:val="center"/>
                </w:tcPr>
                <w:p w14:paraId="1500EA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氨化装置</w:t>
                  </w:r>
                </w:p>
              </w:tc>
              <w:tc>
                <w:tcPr>
                  <w:tcW w:w="1011" w:type="pct"/>
                  <w:tcBorders>
                    <w:tl2br w:val="nil"/>
                    <w:tr2bl w:val="nil"/>
                  </w:tcBorders>
                  <w:noWrap w:val="0"/>
                  <w:vAlign w:val="center"/>
                </w:tcPr>
                <w:p w14:paraId="6A5734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磷肥制造（2622）</w:t>
                  </w:r>
                </w:p>
              </w:tc>
            </w:tr>
            <w:tr w14:paraId="5C07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67B9E0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6</w:t>
                  </w:r>
                </w:p>
              </w:tc>
              <w:tc>
                <w:tcPr>
                  <w:tcW w:w="422" w:type="pct"/>
                  <w:tcBorders>
                    <w:tl2br w:val="nil"/>
                    <w:tr2bl w:val="nil"/>
                  </w:tcBorders>
                  <w:noWrap w:val="0"/>
                  <w:vAlign w:val="center"/>
                </w:tcPr>
                <w:p w14:paraId="25B2D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轮胎</w:t>
                  </w:r>
                </w:p>
              </w:tc>
              <w:tc>
                <w:tcPr>
                  <w:tcW w:w="1806" w:type="pct"/>
                  <w:tcBorders>
                    <w:tl2br w:val="nil"/>
                    <w:tr2bl w:val="nil"/>
                  </w:tcBorders>
                  <w:noWrap w:val="0"/>
                  <w:vAlign w:val="center"/>
                </w:tcPr>
                <w:p w14:paraId="59D3BE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子午胎、斜交胎、摩托车胎等轮胎外胎，不包括内胎和轮胎翻新</w:t>
                  </w:r>
                </w:p>
              </w:tc>
              <w:tc>
                <w:tcPr>
                  <w:tcW w:w="1434" w:type="pct"/>
                  <w:tcBorders>
                    <w:tl2br w:val="nil"/>
                    <w:tr2bl w:val="nil"/>
                  </w:tcBorders>
                  <w:noWrap w:val="0"/>
                  <w:vAlign w:val="center"/>
                </w:tcPr>
                <w:p w14:paraId="64B749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密炼机、硫化机</w:t>
                  </w:r>
                </w:p>
              </w:tc>
              <w:tc>
                <w:tcPr>
                  <w:tcW w:w="1011" w:type="pct"/>
                  <w:tcBorders>
                    <w:tl2br w:val="nil"/>
                    <w:tr2bl w:val="nil"/>
                  </w:tcBorders>
                  <w:noWrap w:val="0"/>
                  <w:vAlign w:val="center"/>
                </w:tcPr>
                <w:p w14:paraId="54E4B0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轮胎制造（2911）</w:t>
                  </w:r>
                </w:p>
              </w:tc>
            </w:tr>
            <w:tr w14:paraId="0812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39AAF9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7</w:t>
                  </w:r>
                </w:p>
              </w:tc>
              <w:tc>
                <w:tcPr>
                  <w:tcW w:w="422" w:type="pct"/>
                  <w:vMerge w:val="restart"/>
                  <w:tcBorders>
                    <w:tl2br w:val="nil"/>
                    <w:tr2bl w:val="nil"/>
                  </w:tcBorders>
                  <w:noWrap w:val="0"/>
                  <w:vAlign w:val="center"/>
                </w:tcPr>
                <w:p w14:paraId="56235B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w:t>
                  </w:r>
                </w:p>
              </w:tc>
              <w:tc>
                <w:tcPr>
                  <w:tcW w:w="1806" w:type="pct"/>
                  <w:tcBorders>
                    <w:tl2br w:val="nil"/>
                    <w:tr2bl w:val="nil"/>
                  </w:tcBorders>
                  <w:noWrap w:val="0"/>
                  <w:vAlign w:val="center"/>
                </w:tcPr>
                <w:p w14:paraId="42929A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水泥熟料</w:t>
                  </w:r>
                </w:p>
              </w:tc>
              <w:tc>
                <w:tcPr>
                  <w:tcW w:w="1434" w:type="pct"/>
                  <w:tcBorders>
                    <w:tl2br w:val="nil"/>
                    <w:tr2bl w:val="nil"/>
                  </w:tcBorders>
                  <w:noWrap w:val="0"/>
                  <w:vAlign w:val="center"/>
                </w:tcPr>
                <w:p w14:paraId="66A7EE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水泥窑</w:t>
                  </w:r>
                </w:p>
              </w:tc>
              <w:tc>
                <w:tcPr>
                  <w:tcW w:w="1011" w:type="pct"/>
                  <w:tcBorders>
                    <w:tl2br w:val="nil"/>
                    <w:tr2bl w:val="nil"/>
                  </w:tcBorders>
                  <w:noWrap w:val="0"/>
                  <w:vAlign w:val="center"/>
                </w:tcPr>
                <w:p w14:paraId="02A83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水泥制造（3011）</w:t>
                  </w:r>
                </w:p>
              </w:tc>
            </w:tr>
            <w:tr w14:paraId="55F7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7163B5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7A0815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3A5054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水泥粉磨</w:t>
                  </w:r>
                </w:p>
              </w:tc>
              <w:tc>
                <w:tcPr>
                  <w:tcW w:w="1434" w:type="pct"/>
                  <w:tcBorders>
                    <w:tl2br w:val="nil"/>
                    <w:tr2bl w:val="nil"/>
                  </w:tcBorders>
                  <w:noWrap w:val="0"/>
                  <w:vAlign w:val="center"/>
                </w:tcPr>
                <w:p w14:paraId="21AE4C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水泥磨机、预粉磨主电动机</w:t>
                  </w:r>
                </w:p>
              </w:tc>
              <w:tc>
                <w:tcPr>
                  <w:tcW w:w="1011" w:type="pct"/>
                  <w:tcBorders>
                    <w:tl2br w:val="nil"/>
                    <w:tr2bl w:val="nil"/>
                  </w:tcBorders>
                  <w:noWrap w:val="0"/>
                  <w:vAlign w:val="center"/>
                </w:tcPr>
                <w:p w14:paraId="7D671D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水泥制造（3011）</w:t>
                  </w:r>
                </w:p>
              </w:tc>
            </w:tr>
            <w:tr w14:paraId="24C1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61F98D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8</w:t>
                  </w:r>
                </w:p>
              </w:tc>
              <w:tc>
                <w:tcPr>
                  <w:tcW w:w="422" w:type="pct"/>
                  <w:tcBorders>
                    <w:tl2br w:val="nil"/>
                    <w:tr2bl w:val="nil"/>
                  </w:tcBorders>
                  <w:noWrap w:val="0"/>
                  <w:vAlign w:val="center"/>
                </w:tcPr>
                <w:p w14:paraId="32D3F6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石灰</w:t>
                  </w:r>
                </w:p>
              </w:tc>
              <w:tc>
                <w:tcPr>
                  <w:tcW w:w="1806" w:type="pct"/>
                  <w:tcBorders>
                    <w:tl2br w:val="nil"/>
                    <w:tr2bl w:val="nil"/>
                  </w:tcBorders>
                  <w:noWrap w:val="0"/>
                  <w:vAlign w:val="center"/>
                </w:tcPr>
                <w:p w14:paraId="4C1939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生石灰、消石灰、水硬石灰</w:t>
                  </w:r>
                </w:p>
              </w:tc>
              <w:tc>
                <w:tcPr>
                  <w:tcW w:w="1434" w:type="pct"/>
                  <w:tcBorders>
                    <w:tl2br w:val="nil"/>
                    <w:tr2bl w:val="nil"/>
                  </w:tcBorders>
                  <w:noWrap w:val="0"/>
                  <w:vAlign w:val="center"/>
                </w:tcPr>
                <w:p w14:paraId="216904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玻璃熔炉</w:t>
                  </w:r>
                </w:p>
              </w:tc>
              <w:tc>
                <w:tcPr>
                  <w:tcW w:w="1011" w:type="pct"/>
                  <w:tcBorders>
                    <w:tl2br w:val="nil"/>
                    <w:tr2bl w:val="nil"/>
                  </w:tcBorders>
                  <w:noWrap w:val="0"/>
                  <w:vAlign w:val="center"/>
                </w:tcPr>
                <w:p w14:paraId="34FF79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平板玻璃制造（3041）</w:t>
                  </w:r>
                </w:p>
              </w:tc>
            </w:tr>
            <w:tr w14:paraId="4369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339E9E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9</w:t>
                  </w:r>
                </w:p>
              </w:tc>
              <w:tc>
                <w:tcPr>
                  <w:tcW w:w="422" w:type="pct"/>
                  <w:tcBorders>
                    <w:tl2br w:val="nil"/>
                    <w:tr2bl w:val="nil"/>
                  </w:tcBorders>
                  <w:noWrap w:val="0"/>
                  <w:vAlign w:val="center"/>
                </w:tcPr>
                <w:p w14:paraId="163A4F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平板玻璃</w:t>
                  </w:r>
                </w:p>
              </w:tc>
              <w:tc>
                <w:tcPr>
                  <w:tcW w:w="1806" w:type="pct"/>
                  <w:tcBorders>
                    <w:tl2br w:val="nil"/>
                    <w:tr2bl w:val="nil"/>
                  </w:tcBorders>
                  <w:noWrap w:val="0"/>
                  <w:vAlign w:val="center"/>
                </w:tcPr>
                <w:p w14:paraId="04F3EC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普通平板玻璃，浮法平板玻璃，压延玻璃，不包括光伏压延玻璃、基板玻璃</w:t>
                  </w:r>
                </w:p>
              </w:tc>
              <w:tc>
                <w:tcPr>
                  <w:tcW w:w="1434" w:type="pct"/>
                  <w:tcBorders>
                    <w:tl2br w:val="nil"/>
                    <w:tr2bl w:val="nil"/>
                  </w:tcBorders>
                  <w:noWrap w:val="0"/>
                  <w:vAlign w:val="center"/>
                </w:tcPr>
                <w:p w14:paraId="45522A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玻璃熔炉</w:t>
                  </w:r>
                </w:p>
              </w:tc>
              <w:tc>
                <w:tcPr>
                  <w:tcW w:w="1011" w:type="pct"/>
                  <w:tcBorders>
                    <w:tl2br w:val="nil"/>
                    <w:tr2bl w:val="nil"/>
                  </w:tcBorders>
                  <w:noWrap w:val="0"/>
                  <w:vAlign w:val="center"/>
                </w:tcPr>
                <w:p w14:paraId="3FD2AA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平板玻璃制造（3041）</w:t>
                  </w:r>
                </w:p>
              </w:tc>
            </w:tr>
            <w:tr w14:paraId="77D4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4BF154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10</w:t>
                  </w:r>
                </w:p>
              </w:tc>
              <w:tc>
                <w:tcPr>
                  <w:tcW w:w="422" w:type="pct"/>
                  <w:vMerge w:val="restart"/>
                  <w:tcBorders>
                    <w:tl2br w:val="nil"/>
                    <w:tr2bl w:val="nil"/>
                  </w:tcBorders>
                  <w:noWrap w:val="0"/>
                  <w:vAlign w:val="center"/>
                </w:tcPr>
                <w:p w14:paraId="7956AF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陶瓷</w:t>
                  </w:r>
                </w:p>
              </w:tc>
              <w:tc>
                <w:tcPr>
                  <w:tcW w:w="1806" w:type="pct"/>
                  <w:tcBorders>
                    <w:tl2br w:val="nil"/>
                    <w:tr2bl w:val="nil"/>
                  </w:tcBorders>
                  <w:noWrap w:val="0"/>
                  <w:vAlign w:val="center"/>
                </w:tcPr>
                <w:p w14:paraId="725C8E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建筑陶瓷，不包括非经高温烧结的发泡陶瓷板等</w:t>
                  </w:r>
                </w:p>
              </w:tc>
              <w:tc>
                <w:tcPr>
                  <w:tcW w:w="1434" w:type="pct"/>
                  <w:tcBorders>
                    <w:tl2br w:val="nil"/>
                    <w:tr2bl w:val="nil"/>
                  </w:tcBorders>
                  <w:noWrap w:val="0"/>
                  <w:vAlign w:val="center"/>
                </w:tcPr>
                <w:p w14:paraId="12DF50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辊道和隧道窑</w:t>
                  </w:r>
                </w:p>
              </w:tc>
              <w:tc>
                <w:tcPr>
                  <w:tcW w:w="1011" w:type="pct"/>
                  <w:tcBorders>
                    <w:tl2br w:val="nil"/>
                    <w:tr2bl w:val="nil"/>
                  </w:tcBorders>
                  <w:noWrap w:val="0"/>
                  <w:vAlign w:val="center"/>
                </w:tcPr>
                <w:p w14:paraId="1F489D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建筑陶瓷制品制造（3071）</w:t>
                  </w:r>
                </w:p>
              </w:tc>
            </w:tr>
            <w:tr w14:paraId="2D94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58E5E1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3E2D4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7FE70A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卫生陶瓷</w:t>
                  </w:r>
                </w:p>
              </w:tc>
              <w:tc>
                <w:tcPr>
                  <w:tcW w:w="1434" w:type="pct"/>
                  <w:tcBorders>
                    <w:tl2br w:val="nil"/>
                    <w:tr2bl w:val="nil"/>
                  </w:tcBorders>
                  <w:noWrap w:val="0"/>
                  <w:vAlign w:val="center"/>
                </w:tcPr>
                <w:p w14:paraId="02A1BB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隧道窑</w:t>
                  </w:r>
                </w:p>
              </w:tc>
              <w:tc>
                <w:tcPr>
                  <w:tcW w:w="1011" w:type="pct"/>
                  <w:tcBorders>
                    <w:tl2br w:val="nil"/>
                    <w:tr2bl w:val="nil"/>
                  </w:tcBorders>
                  <w:noWrap w:val="0"/>
                  <w:vAlign w:val="center"/>
                </w:tcPr>
                <w:p w14:paraId="5F647F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卫生陶瓷制品制造（3072）</w:t>
                  </w:r>
                </w:p>
              </w:tc>
            </w:tr>
            <w:tr w14:paraId="2828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533A71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11</w:t>
                  </w:r>
                </w:p>
              </w:tc>
              <w:tc>
                <w:tcPr>
                  <w:tcW w:w="422" w:type="pct"/>
                  <w:vMerge w:val="restart"/>
                  <w:tcBorders>
                    <w:tl2br w:val="nil"/>
                    <w:tr2bl w:val="nil"/>
                  </w:tcBorders>
                  <w:noWrap w:val="0"/>
                  <w:vAlign w:val="center"/>
                </w:tcPr>
                <w:p w14:paraId="6C55D7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钢铁</w:t>
                  </w:r>
                </w:p>
              </w:tc>
              <w:tc>
                <w:tcPr>
                  <w:tcW w:w="1806" w:type="pct"/>
                  <w:tcBorders>
                    <w:tl2br w:val="nil"/>
                    <w:tr2bl w:val="nil"/>
                  </w:tcBorders>
                  <w:noWrap w:val="0"/>
                  <w:vAlign w:val="center"/>
                </w:tcPr>
                <w:p w14:paraId="3ABFCE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炼钢用生铁、熔融还原铁</w:t>
                  </w:r>
                </w:p>
              </w:tc>
              <w:tc>
                <w:tcPr>
                  <w:tcW w:w="1434" w:type="pct"/>
                  <w:tcBorders>
                    <w:tl2br w:val="nil"/>
                    <w:tr2bl w:val="nil"/>
                  </w:tcBorders>
                  <w:noWrap w:val="0"/>
                  <w:vAlign w:val="center"/>
                </w:tcPr>
                <w:p w14:paraId="300CAE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高炉，氢冶金、Corex、Finex、HIsmelt还原装置</w:t>
                  </w:r>
                </w:p>
              </w:tc>
              <w:tc>
                <w:tcPr>
                  <w:tcW w:w="1011" w:type="pct"/>
                  <w:tcBorders>
                    <w:tl2br w:val="nil"/>
                    <w:tr2bl w:val="nil"/>
                  </w:tcBorders>
                  <w:noWrap w:val="0"/>
                  <w:vAlign w:val="center"/>
                </w:tcPr>
                <w:p w14:paraId="59A15F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炼铁（3110）</w:t>
                  </w:r>
                </w:p>
              </w:tc>
            </w:tr>
            <w:tr w14:paraId="17E5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788833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742369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vMerge w:val="restart"/>
                  <w:tcBorders>
                    <w:tl2br w:val="nil"/>
                    <w:tr2bl w:val="nil"/>
                  </w:tcBorders>
                  <w:noWrap w:val="0"/>
                  <w:vAlign w:val="center"/>
                </w:tcPr>
                <w:p w14:paraId="515F11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非合金钢粗钢、低合金钢粗钢、合金钢粗钢</w:t>
                  </w:r>
                </w:p>
              </w:tc>
              <w:tc>
                <w:tcPr>
                  <w:tcW w:w="1434" w:type="pct"/>
                  <w:tcBorders>
                    <w:tl2br w:val="nil"/>
                    <w:tr2bl w:val="nil"/>
                  </w:tcBorders>
                  <w:noWrap w:val="0"/>
                  <w:vAlign w:val="center"/>
                </w:tcPr>
                <w:p w14:paraId="45166D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转炉</w:t>
                  </w:r>
                </w:p>
              </w:tc>
              <w:tc>
                <w:tcPr>
                  <w:tcW w:w="1011" w:type="pct"/>
                  <w:tcBorders>
                    <w:tl2br w:val="nil"/>
                    <w:tr2bl w:val="nil"/>
                  </w:tcBorders>
                  <w:noWrap w:val="0"/>
                  <w:vAlign w:val="center"/>
                </w:tcPr>
                <w:p w14:paraId="3CC790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炼钢（3120）</w:t>
                  </w:r>
                </w:p>
              </w:tc>
            </w:tr>
            <w:tr w14:paraId="5011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3254F5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41D590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vMerge w:val="continue"/>
                  <w:tcBorders>
                    <w:tl2br w:val="nil"/>
                    <w:tr2bl w:val="nil"/>
                  </w:tcBorders>
                  <w:noWrap w:val="0"/>
                  <w:vAlign w:val="center"/>
                </w:tcPr>
                <w:p w14:paraId="50E655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434" w:type="pct"/>
                  <w:tcBorders>
                    <w:tl2br w:val="nil"/>
                    <w:tr2bl w:val="nil"/>
                  </w:tcBorders>
                  <w:noWrap w:val="0"/>
                  <w:vAlign w:val="center"/>
                </w:tcPr>
                <w:p w14:paraId="41357F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电弧炉、AOD炉</w:t>
                  </w:r>
                </w:p>
              </w:tc>
              <w:tc>
                <w:tcPr>
                  <w:tcW w:w="1011" w:type="pct"/>
                  <w:tcBorders>
                    <w:tl2br w:val="nil"/>
                    <w:tr2bl w:val="nil"/>
                  </w:tcBorders>
                  <w:noWrap w:val="0"/>
                  <w:vAlign w:val="center"/>
                </w:tcPr>
                <w:p w14:paraId="4D5C78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37BF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29A91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12</w:t>
                  </w:r>
                </w:p>
              </w:tc>
              <w:tc>
                <w:tcPr>
                  <w:tcW w:w="422" w:type="pct"/>
                  <w:tcBorders>
                    <w:tl2br w:val="nil"/>
                    <w:tr2bl w:val="nil"/>
                  </w:tcBorders>
                  <w:noWrap w:val="0"/>
                  <w:vAlign w:val="center"/>
                </w:tcPr>
                <w:p w14:paraId="236B7A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铸造用生铁</w:t>
                  </w:r>
                </w:p>
              </w:tc>
              <w:tc>
                <w:tcPr>
                  <w:tcW w:w="1806" w:type="pct"/>
                  <w:tcBorders>
                    <w:tl2br w:val="nil"/>
                    <w:tr2bl w:val="nil"/>
                  </w:tcBorders>
                  <w:noWrap w:val="0"/>
                  <w:vAlign w:val="center"/>
                </w:tcPr>
                <w:p w14:paraId="1F43F9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铸造用生铁</w:t>
                  </w:r>
                </w:p>
              </w:tc>
              <w:tc>
                <w:tcPr>
                  <w:tcW w:w="1434" w:type="pct"/>
                  <w:tcBorders>
                    <w:tl2br w:val="nil"/>
                    <w:tr2bl w:val="nil"/>
                  </w:tcBorders>
                  <w:noWrap w:val="0"/>
                  <w:vAlign w:val="center"/>
                </w:tcPr>
                <w:p w14:paraId="11823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高炉</w:t>
                  </w:r>
                </w:p>
              </w:tc>
              <w:tc>
                <w:tcPr>
                  <w:tcW w:w="1011" w:type="pct"/>
                  <w:tcBorders>
                    <w:tl2br w:val="nil"/>
                    <w:tr2bl w:val="nil"/>
                  </w:tcBorders>
                  <w:noWrap w:val="0"/>
                  <w:vAlign w:val="center"/>
                </w:tcPr>
                <w:p w14:paraId="658950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炼铁（3110）</w:t>
                  </w:r>
                </w:p>
              </w:tc>
            </w:tr>
            <w:tr w14:paraId="48EE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tcBorders>
                    <w:tl2br w:val="nil"/>
                    <w:tr2bl w:val="nil"/>
                  </w:tcBorders>
                  <w:noWrap w:val="0"/>
                  <w:vAlign w:val="center"/>
                </w:tcPr>
                <w:p w14:paraId="0F4D7E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13</w:t>
                  </w:r>
                </w:p>
              </w:tc>
              <w:tc>
                <w:tcPr>
                  <w:tcW w:w="422" w:type="pct"/>
                  <w:tcBorders>
                    <w:tl2br w:val="nil"/>
                    <w:tr2bl w:val="nil"/>
                  </w:tcBorders>
                  <w:noWrap w:val="0"/>
                  <w:vAlign w:val="center"/>
                </w:tcPr>
                <w:p w14:paraId="2C0763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铁合金</w:t>
                  </w:r>
                </w:p>
              </w:tc>
              <w:tc>
                <w:tcPr>
                  <w:tcW w:w="1806" w:type="pct"/>
                  <w:tcBorders>
                    <w:tl2br w:val="nil"/>
                    <w:tr2bl w:val="nil"/>
                  </w:tcBorders>
                  <w:noWrap w:val="0"/>
                  <w:vAlign w:val="center"/>
                </w:tcPr>
                <w:p w14:paraId="083E2B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硅铁、锰硅合金、高碳铬铁、镍铁及其他铁合金产品</w:t>
                  </w:r>
                </w:p>
              </w:tc>
              <w:tc>
                <w:tcPr>
                  <w:tcW w:w="1434" w:type="pct"/>
                  <w:tcBorders>
                    <w:tl2br w:val="nil"/>
                    <w:tr2bl w:val="nil"/>
                  </w:tcBorders>
                  <w:noWrap w:val="0"/>
                  <w:vAlign w:val="center"/>
                </w:tcPr>
                <w:p w14:paraId="042944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矿热炉、电弧炉、高炉</w:t>
                  </w:r>
                </w:p>
              </w:tc>
              <w:tc>
                <w:tcPr>
                  <w:tcW w:w="1011" w:type="pct"/>
                  <w:tcBorders>
                    <w:tl2br w:val="nil"/>
                    <w:tr2bl w:val="nil"/>
                  </w:tcBorders>
                  <w:noWrap w:val="0"/>
                  <w:vAlign w:val="center"/>
                </w:tcPr>
                <w:p w14:paraId="2F1673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铁合金冶炼（3140）</w:t>
                  </w:r>
                </w:p>
              </w:tc>
            </w:tr>
            <w:tr w14:paraId="02FC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0A6214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14</w:t>
                  </w:r>
                </w:p>
              </w:tc>
              <w:tc>
                <w:tcPr>
                  <w:tcW w:w="422" w:type="pct"/>
                  <w:vMerge w:val="restart"/>
                  <w:tcBorders>
                    <w:tl2br w:val="nil"/>
                    <w:tr2bl w:val="nil"/>
                  </w:tcBorders>
                  <w:noWrap w:val="0"/>
                  <w:vAlign w:val="center"/>
                </w:tcPr>
                <w:p w14:paraId="0334BA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有色</w:t>
                  </w:r>
                </w:p>
              </w:tc>
              <w:tc>
                <w:tcPr>
                  <w:tcW w:w="1806" w:type="pct"/>
                  <w:tcBorders>
                    <w:tl2br w:val="nil"/>
                    <w:tr2bl w:val="nil"/>
                  </w:tcBorders>
                  <w:noWrap w:val="0"/>
                  <w:vAlign w:val="center"/>
                </w:tcPr>
                <w:p w14:paraId="53C006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氧化铝</w:t>
                  </w:r>
                </w:p>
              </w:tc>
              <w:tc>
                <w:tcPr>
                  <w:tcW w:w="1434" w:type="pct"/>
                  <w:tcBorders>
                    <w:tl2br w:val="nil"/>
                    <w:tr2bl w:val="nil"/>
                  </w:tcBorders>
                  <w:noWrap w:val="0"/>
                  <w:vAlign w:val="center"/>
                </w:tcPr>
                <w:p w14:paraId="1CACE3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煅烧或焙烧炉</w:t>
                  </w:r>
                </w:p>
              </w:tc>
              <w:tc>
                <w:tcPr>
                  <w:tcW w:w="1011" w:type="pct"/>
                  <w:tcBorders>
                    <w:tl2br w:val="nil"/>
                    <w:tr2bl w:val="nil"/>
                  </w:tcBorders>
                  <w:noWrap w:val="0"/>
                  <w:vAlign w:val="center"/>
                </w:tcPr>
                <w:p w14:paraId="76A00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6C71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3" w:type="pct"/>
                  <w:vMerge w:val="continue"/>
                  <w:tcBorders>
                    <w:tl2br w:val="nil"/>
                    <w:tr2bl w:val="nil"/>
                  </w:tcBorders>
                  <w:noWrap w:val="0"/>
                  <w:vAlign w:val="center"/>
                </w:tcPr>
                <w:p w14:paraId="2018E7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551552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3CB105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电解铝，不包括再生铝</w:t>
                  </w:r>
                </w:p>
              </w:tc>
              <w:tc>
                <w:tcPr>
                  <w:tcW w:w="1434" w:type="pct"/>
                  <w:tcBorders>
                    <w:tl2br w:val="nil"/>
                    <w:tr2bl w:val="nil"/>
                  </w:tcBorders>
                  <w:noWrap w:val="0"/>
                  <w:vAlign w:val="center"/>
                </w:tcPr>
                <w:p w14:paraId="31E56F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电解槽</w:t>
                  </w:r>
                </w:p>
              </w:tc>
              <w:tc>
                <w:tcPr>
                  <w:tcW w:w="1011" w:type="pct"/>
                  <w:tcBorders>
                    <w:tl2br w:val="nil"/>
                    <w:tr2bl w:val="nil"/>
                  </w:tcBorders>
                  <w:noWrap w:val="0"/>
                  <w:vAlign w:val="center"/>
                </w:tcPr>
                <w:p w14:paraId="5949DA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23B8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0287AE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2ED22F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241949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阴极铜、阳极铜、粗铜、电解铜</w:t>
                  </w:r>
                </w:p>
              </w:tc>
              <w:tc>
                <w:tcPr>
                  <w:tcW w:w="1434" w:type="pct"/>
                  <w:tcBorders>
                    <w:tl2br w:val="nil"/>
                    <w:tr2bl w:val="nil"/>
                  </w:tcBorders>
                  <w:noWrap w:val="0"/>
                  <w:vAlign w:val="center"/>
                </w:tcPr>
                <w:p w14:paraId="196B2C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电解槽</w:t>
                  </w:r>
                </w:p>
              </w:tc>
              <w:tc>
                <w:tcPr>
                  <w:tcW w:w="1011" w:type="pct"/>
                  <w:tcBorders>
                    <w:tl2br w:val="nil"/>
                    <w:tr2bl w:val="nil"/>
                  </w:tcBorders>
                  <w:noWrap w:val="0"/>
                  <w:vAlign w:val="center"/>
                </w:tcPr>
                <w:p w14:paraId="72C686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铜冶炼（3211）</w:t>
                  </w:r>
                </w:p>
              </w:tc>
            </w:tr>
            <w:tr w14:paraId="51BB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3377F6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7861C5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tcBorders>
                    <w:tl2br w:val="nil"/>
                    <w:tr2bl w:val="nil"/>
                  </w:tcBorders>
                  <w:noWrap w:val="0"/>
                  <w:vAlign w:val="center"/>
                </w:tcPr>
                <w:p w14:paraId="660FCE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粗铅、电解铅、粗锌、电解锌</w:t>
                  </w:r>
                </w:p>
              </w:tc>
              <w:tc>
                <w:tcPr>
                  <w:tcW w:w="1434" w:type="pct"/>
                  <w:tcBorders>
                    <w:tl2br w:val="nil"/>
                    <w:tr2bl w:val="nil"/>
                  </w:tcBorders>
                  <w:noWrap w:val="0"/>
                  <w:vAlign w:val="center"/>
                </w:tcPr>
                <w:p w14:paraId="1C6863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电解槽</w:t>
                  </w:r>
                </w:p>
              </w:tc>
              <w:tc>
                <w:tcPr>
                  <w:tcW w:w="1011" w:type="pct"/>
                  <w:tcBorders>
                    <w:tl2br w:val="nil"/>
                    <w:tr2bl w:val="nil"/>
                  </w:tcBorders>
                  <w:noWrap w:val="0"/>
                  <w:vAlign w:val="center"/>
                </w:tcPr>
                <w:p w14:paraId="42CE5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铅锌冶炼（3212）</w:t>
                  </w:r>
                </w:p>
              </w:tc>
            </w:tr>
            <w:tr w14:paraId="580C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74E19D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15</w:t>
                  </w:r>
                </w:p>
              </w:tc>
              <w:tc>
                <w:tcPr>
                  <w:tcW w:w="422" w:type="pct"/>
                  <w:vMerge w:val="restart"/>
                  <w:tcBorders>
                    <w:tl2br w:val="nil"/>
                    <w:tr2bl w:val="nil"/>
                  </w:tcBorders>
                  <w:noWrap w:val="0"/>
                  <w:vAlign w:val="center"/>
                </w:tcPr>
                <w:p w14:paraId="58825B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铸造</w:t>
                  </w:r>
                </w:p>
              </w:tc>
              <w:tc>
                <w:tcPr>
                  <w:tcW w:w="1806" w:type="pct"/>
                  <w:vMerge w:val="restart"/>
                  <w:tcBorders>
                    <w:tl2br w:val="nil"/>
                    <w:tr2bl w:val="nil"/>
                  </w:tcBorders>
                  <w:noWrap w:val="0"/>
                  <w:vAlign w:val="center"/>
                </w:tcPr>
                <w:p w14:paraId="288766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铸造</w:t>
                  </w:r>
                </w:p>
              </w:tc>
              <w:tc>
                <w:tcPr>
                  <w:tcW w:w="1434" w:type="pct"/>
                  <w:tcBorders>
                    <w:tl2br w:val="nil"/>
                    <w:tr2bl w:val="nil"/>
                  </w:tcBorders>
                  <w:noWrap w:val="0"/>
                  <w:vAlign w:val="center"/>
                </w:tcPr>
                <w:p w14:paraId="1DE535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黑色金属铸件</w:t>
                  </w:r>
                </w:p>
              </w:tc>
              <w:tc>
                <w:tcPr>
                  <w:tcW w:w="1011" w:type="pct"/>
                  <w:vMerge w:val="restart"/>
                  <w:tcBorders>
                    <w:tl2br w:val="nil"/>
                    <w:tr2bl w:val="nil"/>
                  </w:tcBorders>
                  <w:noWrap w:val="0"/>
                  <w:vAlign w:val="center"/>
                </w:tcPr>
                <w:p w14:paraId="15CF47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电炉等熔炼设备、造型设备</w:t>
                  </w:r>
                </w:p>
              </w:tc>
            </w:tr>
            <w:tr w14:paraId="13B7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3A1107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2DBCA8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vMerge w:val="continue"/>
                  <w:tcBorders>
                    <w:tl2br w:val="nil"/>
                    <w:tr2bl w:val="nil"/>
                  </w:tcBorders>
                  <w:noWrap w:val="0"/>
                  <w:vAlign w:val="center"/>
                </w:tcPr>
                <w:p w14:paraId="06DDD1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434" w:type="pct"/>
                  <w:tcBorders>
                    <w:tl2br w:val="nil"/>
                    <w:tr2bl w:val="nil"/>
                  </w:tcBorders>
                  <w:noWrap w:val="0"/>
                  <w:vAlign w:val="center"/>
                </w:tcPr>
                <w:p w14:paraId="647324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有色金属铸件</w:t>
                  </w:r>
                </w:p>
              </w:tc>
              <w:tc>
                <w:tcPr>
                  <w:tcW w:w="1011" w:type="pct"/>
                  <w:vMerge w:val="continue"/>
                  <w:tcBorders>
                    <w:tl2br w:val="nil"/>
                    <w:tr2bl w:val="nil"/>
                  </w:tcBorders>
                  <w:noWrap w:val="0"/>
                  <w:vAlign w:val="center"/>
                </w:tcPr>
                <w:p w14:paraId="51FE64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r w14:paraId="5F1F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634417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16</w:t>
                  </w:r>
                </w:p>
              </w:tc>
              <w:tc>
                <w:tcPr>
                  <w:tcW w:w="422" w:type="pct"/>
                  <w:vMerge w:val="restart"/>
                  <w:tcBorders>
                    <w:tl2br w:val="nil"/>
                    <w:tr2bl w:val="nil"/>
                  </w:tcBorders>
                  <w:noWrap w:val="0"/>
                  <w:vAlign w:val="center"/>
                </w:tcPr>
                <w:p w14:paraId="767D03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煤电</w:t>
                  </w:r>
                </w:p>
              </w:tc>
              <w:tc>
                <w:tcPr>
                  <w:tcW w:w="1806" w:type="pct"/>
                  <w:tcBorders>
                    <w:tl2br w:val="nil"/>
                    <w:tr2bl w:val="nil"/>
                  </w:tcBorders>
                  <w:noWrap w:val="0"/>
                  <w:vAlign w:val="center"/>
                </w:tcPr>
                <w:p w14:paraId="46C116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电力（燃煤发电，包含煤矸石发电）</w:t>
                  </w:r>
                </w:p>
              </w:tc>
              <w:tc>
                <w:tcPr>
                  <w:tcW w:w="1434" w:type="pct"/>
                  <w:tcBorders>
                    <w:tl2br w:val="nil"/>
                    <w:tr2bl w:val="nil"/>
                  </w:tcBorders>
                  <w:noWrap w:val="0"/>
                  <w:vAlign w:val="center"/>
                </w:tcPr>
                <w:p w14:paraId="4E840D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抽凝、纯凝机组</w:t>
                  </w:r>
                </w:p>
              </w:tc>
              <w:tc>
                <w:tcPr>
                  <w:tcW w:w="1011" w:type="pct"/>
                  <w:tcBorders>
                    <w:tl2br w:val="nil"/>
                    <w:tr2bl w:val="nil"/>
                  </w:tcBorders>
                  <w:noWrap w:val="0"/>
                  <w:vAlign w:val="center"/>
                </w:tcPr>
                <w:p w14:paraId="3B8B72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火力发电（4411）</w:t>
                  </w:r>
                </w:p>
              </w:tc>
            </w:tr>
            <w:tr w14:paraId="0FD9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63E30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422" w:type="pct"/>
                  <w:vMerge w:val="continue"/>
                  <w:tcBorders>
                    <w:tl2br w:val="nil"/>
                    <w:tr2bl w:val="nil"/>
                  </w:tcBorders>
                  <w:noWrap w:val="0"/>
                  <w:vAlign w:val="center"/>
                </w:tcPr>
                <w:p w14:paraId="2C1E66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806" w:type="pct"/>
                  <w:vMerge w:val="restart"/>
                  <w:tcBorders>
                    <w:tl2br w:val="nil"/>
                    <w:tr2bl w:val="nil"/>
                  </w:tcBorders>
                  <w:noWrap w:val="0"/>
                  <w:vAlign w:val="center"/>
                </w:tcPr>
                <w:p w14:paraId="5CA76E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电力和热力（热电联产）</w:t>
                  </w:r>
                </w:p>
              </w:tc>
              <w:tc>
                <w:tcPr>
                  <w:tcW w:w="1434" w:type="pct"/>
                  <w:tcBorders>
                    <w:tl2br w:val="nil"/>
                    <w:tr2bl w:val="nil"/>
                  </w:tcBorders>
                  <w:noWrap w:val="0"/>
                  <w:vAlign w:val="center"/>
                </w:tcPr>
                <w:p w14:paraId="3679D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抽凝机组</w:t>
                  </w:r>
                </w:p>
              </w:tc>
              <w:tc>
                <w:tcPr>
                  <w:tcW w:w="1011" w:type="pct"/>
                  <w:vMerge w:val="restart"/>
                  <w:tcBorders>
                    <w:tl2br w:val="nil"/>
                    <w:tr2bl w:val="nil"/>
                  </w:tcBorders>
                  <w:noWrap w:val="0"/>
                  <w:vAlign w:val="center"/>
                </w:tcPr>
                <w:p w14:paraId="21E90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热电联产（4412）</w:t>
                  </w:r>
                </w:p>
              </w:tc>
            </w:tr>
            <w:tr w14:paraId="1435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3E84E3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rPr>
                  </w:pPr>
                </w:p>
              </w:tc>
              <w:tc>
                <w:tcPr>
                  <w:tcW w:w="422" w:type="pct"/>
                  <w:vMerge w:val="continue"/>
                  <w:tcBorders>
                    <w:tl2br w:val="nil"/>
                    <w:tr2bl w:val="nil"/>
                  </w:tcBorders>
                  <w:noWrap w:val="0"/>
                  <w:vAlign w:val="center"/>
                </w:tcPr>
                <w:p w14:paraId="49AE62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rPr>
                  </w:pPr>
                </w:p>
              </w:tc>
              <w:tc>
                <w:tcPr>
                  <w:tcW w:w="1806" w:type="pct"/>
                  <w:vMerge w:val="continue"/>
                  <w:tcBorders>
                    <w:tl2br w:val="nil"/>
                    <w:tr2bl w:val="nil"/>
                  </w:tcBorders>
                  <w:noWrap w:val="0"/>
                  <w:vAlign w:val="center"/>
                </w:tcPr>
                <w:p w14:paraId="1CCDE0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c>
                <w:tcPr>
                  <w:tcW w:w="1434" w:type="pct"/>
                  <w:tcBorders>
                    <w:tl2br w:val="nil"/>
                    <w:tr2bl w:val="nil"/>
                  </w:tcBorders>
                  <w:noWrap w:val="0"/>
                  <w:vAlign w:val="center"/>
                </w:tcPr>
                <w:p w14:paraId="4282A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背压机组</w:t>
                  </w:r>
                </w:p>
              </w:tc>
              <w:tc>
                <w:tcPr>
                  <w:tcW w:w="1011" w:type="pct"/>
                  <w:vMerge w:val="continue"/>
                  <w:tcBorders>
                    <w:tl2br w:val="nil"/>
                    <w:tr2bl w:val="nil"/>
                  </w:tcBorders>
                  <w:noWrap w:val="0"/>
                  <w:vAlign w:val="center"/>
                </w:tcPr>
                <w:p w14:paraId="4E8F8F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pacing w:val="0"/>
                      <w:kern w:val="0"/>
                      <w:position w:val="0"/>
                      <w:sz w:val="21"/>
                      <w:szCs w:val="21"/>
                      <w:highlight w:val="none"/>
                      <w:lang w:val="en-US" w:eastAsia="zh-CN"/>
                    </w:rPr>
                  </w:pPr>
                </w:p>
              </w:tc>
            </w:tr>
          </w:tbl>
          <w:p w14:paraId="43D8E3F2">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7</w:t>
            </w:r>
            <w:r>
              <w:rPr>
                <w:rFonts w:hint="default" w:ascii="Times New Roman" w:hAnsi="Times New Roman" w:eastAsia="宋体" w:cs="Times New Roman"/>
                <w:b/>
                <w:bCs/>
                <w:color w:val="auto"/>
                <w:spacing w:val="0"/>
                <w:kern w:val="0"/>
                <w:position w:val="0"/>
                <w:sz w:val="24"/>
                <w:szCs w:val="24"/>
                <w:lang w:val="en-US" w:eastAsia="zh-CN" w:bidi="ar"/>
              </w:rPr>
              <w:t>、《山东省环境保护条例》（2018年修订版）符合性</w:t>
            </w:r>
          </w:p>
          <w:p w14:paraId="403C30AF">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color w:val="auto"/>
                <w:spacing w:val="0"/>
                <w:kern w:val="0"/>
                <w:position w:val="0"/>
                <w:sz w:val="24"/>
                <w:szCs w:val="24"/>
                <w:lang w:val="en-US" w:eastAsia="zh-CN"/>
              </w:rPr>
            </w:pPr>
            <w:r>
              <w:rPr>
                <w:rFonts w:hint="eastAsia" w:ascii="Times New Roman" w:hAnsi="Times New Roman" w:eastAsia="宋体" w:cs="Times New Roman"/>
                <w:b/>
                <w:bCs/>
                <w:caps w:val="0"/>
                <w:color w:val="auto"/>
                <w:spacing w:val="0"/>
                <w:kern w:val="0"/>
                <w:position w:val="0"/>
                <w:sz w:val="24"/>
                <w:szCs w:val="24"/>
                <w:lang w:val="en-US" w:eastAsia="zh-CN"/>
              </w:rPr>
              <w:t>与《山东省环境保护条例》（</w:t>
            </w:r>
            <w:r>
              <w:rPr>
                <w:rFonts w:hint="default" w:ascii="Times New Roman" w:hAnsi="Times New Roman" w:eastAsia="宋体" w:cs="Times New Roman"/>
                <w:b/>
                <w:bCs/>
                <w:caps w:val="0"/>
                <w:color w:val="auto"/>
                <w:spacing w:val="0"/>
                <w:kern w:val="0"/>
                <w:position w:val="0"/>
                <w:sz w:val="24"/>
                <w:szCs w:val="24"/>
                <w:lang w:val="en-US" w:eastAsia="zh-CN"/>
              </w:rPr>
              <w:t>2018</w:t>
            </w:r>
            <w:r>
              <w:rPr>
                <w:rFonts w:hint="eastAsia" w:ascii="Times New Roman" w:hAnsi="Times New Roman" w:eastAsia="宋体" w:cs="Times New Roman"/>
                <w:b/>
                <w:bCs/>
                <w:caps w:val="0"/>
                <w:color w:val="auto"/>
                <w:spacing w:val="0"/>
                <w:kern w:val="0"/>
                <w:position w:val="0"/>
                <w:sz w:val="24"/>
                <w:szCs w:val="24"/>
                <w:lang w:val="en-US" w:eastAsia="zh-CN"/>
              </w:rPr>
              <w:t>年修订版）符合性分析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
              <w:gridCol w:w="4579"/>
              <w:gridCol w:w="2085"/>
              <w:gridCol w:w="590"/>
            </w:tblGrid>
            <w:tr w14:paraId="6812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3D7F8C79">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序号</w:t>
                  </w:r>
                </w:p>
              </w:tc>
              <w:tc>
                <w:tcPr>
                  <w:tcW w:w="2966" w:type="pct"/>
                  <w:tcMar>
                    <w:top w:w="0" w:type="dxa"/>
                    <w:left w:w="57" w:type="dxa"/>
                    <w:bottom w:w="0" w:type="dxa"/>
                    <w:right w:w="57" w:type="dxa"/>
                  </w:tcMar>
                  <w:vAlign w:val="center"/>
                </w:tcPr>
                <w:p w14:paraId="00068BC0">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《山东省环境保护条例》（2018年修订版）具体要求</w:t>
                  </w:r>
                </w:p>
              </w:tc>
              <w:tc>
                <w:tcPr>
                  <w:tcW w:w="1350" w:type="pct"/>
                  <w:tcMar>
                    <w:top w:w="0" w:type="dxa"/>
                    <w:left w:w="57" w:type="dxa"/>
                    <w:bottom w:w="0" w:type="dxa"/>
                    <w:right w:w="57" w:type="dxa"/>
                  </w:tcMar>
                  <w:vAlign w:val="center"/>
                </w:tcPr>
                <w:p w14:paraId="6051E5CD">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本项目情况</w:t>
                  </w:r>
                </w:p>
              </w:tc>
              <w:tc>
                <w:tcPr>
                  <w:tcW w:w="382" w:type="pct"/>
                  <w:tcMar>
                    <w:top w:w="0" w:type="dxa"/>
                    <w:left w:w="57" w:type="dxa"/>
                    <w:bottom w:w="0" w:type="dxa"/>
                    <w:right w:w="57" w:type="dxa"/>
                  </w:tcMar>
                  <w:vAlign w:val="center"/>
                </w:tcPr>
                <w:p w14:paraId="363EA1A9">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符合性</w:t>
                  </w:r>
                </w:p>
              </w:tc>
            </w:tr>
            <w:tr w14:paraId="29E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01A7BBA9">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w:t>
                  </w:r>
                </w:p>
              </w:tc>
              <w:tc>
                <w:tcPr>
                  <w:tcW w:w="2966" w:type="pct"/>
                  <w:tcMar>
                    <w:top w:w="0" w:type="dxa"/>
                    <w:left w:w="57" w:type="dxa"/>
                    <w:bottom w:w="0" w:type="dxa"/>
                    <w:right w:w="57" w:type="dxa"/>
                  </w:tcMar>
                  <w:vAlign w:val="center"/>
                </w:tcPr>
                <w:p w14:paraId="5F7A89BC">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第十四条省人民政府发展改革部门应当根据经济技术发展水平和本省环境质量状况、重点污染物排放控制要求等因素，会同有关</w:t>
                  </w:r>
                  <w:r>
                    <w:rPr>
                      <w:rFonts w:hint="eastAsia" w:ascii="Times New Roman" w:hAnsi="Times New Roman" w:cs="Times New Roman" w:eastAsiaTheme="minorEastAsia"/>
                      <w:color w:val="auto"/>
                      <w:sz w:val="21"/>
                      <w:szCs w:val="21"/>
                    </w:rPr>
                    <w:t>部门</w:t>
                  </w:r>
                  <w:r>
                    <w:rPr>
                      <w:rFonts w:ascii="Times New Roman" w:hAnsi="Times New Roman" w:cs="Times New Roman" w:eastAsiaTheme="minorEastAsia"/>
                      <w:color w:val="auto"/>
                      <w:sz w:val="21"/>
                      <w:szCs w:val="21"/>
                    </w:rPr>
                    <w:t>制定产业结构调整指导目录，报省人民政府批准后</w:t>
                  </w:r>
                  <w:r>
                    <w:rPr>
                      <w:rFonts w:hint="eastAsia" w:ascii="Times New Roman" w:hAnsi="Times New Roman" w:cs="Times New Roman" w:eastAsiaTheme="minorEastAsia"/>
                      <w:color w:val="auto"/>
                      <w:sz w:val="21"/>
                      <w:szCs w:val="21"/>
                    </w:rPr>
                    <w:t>发布</w:t>
                  </w:r>
                  <w:r>
                    <w:rPr>
                      <w:rFonts w:ascii="Times New Roman" w:hAnsi="Times New Roman" w:cs="Times New Roman" w:eastAsiaTheme="minorEastAsia"/>
                      <w:color w:val="auto"/>
                      <w:sz w:val="21"/>
                      <w:szCs w:val="21"/>
                    </w:rPr>
                    <w:t>实施。产业结构调整指导目录应当列明鼓励、限制和禁止的产业项目。</w:t>
                  </w:r>
                </w:p>
              </w:tc>
              <w:tc>
                <w:tcPr>
                  <w:tcW w:w="1350" w:type="pct"/>
                  <w:tcMar>
                    <w:top w:w="0" w:type="dxa"/>
                    <w:left w:w="57" w:type="dxa"/>
                    <w:bottom w:w="0" w:type="dxa"/>
                    <w:right w:w="57" w:type="dxa"/>
                  </w:tcMar>
                  <w:vAlign w:val="center"/>
                </w:tcPr>
                <w:p w14:paraId="43881FD8">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本项目已经取得山东省建设项目备案证明，代码2406-370829-04-01-173611，符合国家产业政策的要求</w:t>
                  </w:r>
                </w:p>
              </w:tc>
              <w:tc>
                <w:tcPr>
                  <w:tcW w:w="382" w:type="pct"/>
                  <w:tcMar>
                    <w:top w:w="0" w:type="dxa"/>
                    <w:left w:w="57" w:type="dxa"/>
                    <w:bottom w:w="0" w:type="dxa"/>
                    <w:right w:w="57" w:type="dxa"/>
                  </w:tcMar>
                  <w:vAlign w:val="center"/>
                </w:tcPr>
                <w:p w14:paraId="4C89B4B3">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符合</w:t>
                  </w:r>
                </w:p>
              </w:tc>
            </w:tr>
            <w:tr w14:paraId="298E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1ECEF782">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p>
              </w:tc>
              <w:tc>
                <w:tcPr>
                  <w:tcW w:w="2966" w:type="pct"/>
                  <w:tcMar>
                    <w:top w:w="0" w:type="dxa"/>
                    <w:left w:w="57" w:type="dxa"/>
                    <w:bottom w:w="0" w:type="dxa"/>
                    <w:right w:w="57" w:type="dxa"/>
                  </w:tcMar>
                  <w:vAlign w:val="center"/>
                </w:tcPr>
                <w:p w14:paraId="04F6C6C8">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第十五条禁止建设不符合国家和省产业政策的小型造纸、制革、印染、染料、炼焦、炼硫、炼砷、炼汞、炼油、电镀、农药、</w:t>
                  </w:r>
                  <w:r>
                    <w:rPr>
                      <w:rFonts w:hint="eastAsia" w:ascii="Times New Roman" w:hAnsi="Times New Roman" w:cs="Times New Roman" w:eastAsiaTheme="minorEastAsia"/>
                      <w:color w:val="auto"/>
                      <w:sz w:val="21"/>
                      <w:szCs w:val="21"/>
                    </w:rPr>
                    <w:t>石棉</w:t>
                  </w:r>
                  <w:r>
                    <w:rPr>
                      <w:rFonts w:ascii="Times New Roman" w:hAnsi="Times New Roman" w:cs="Times New Roman" w:eastAsiaTheme="minorEastAsia"/>
                      <w:color w:val="auto"/>
                      <w:sz w:val="21"/>
                      <w:szCs w:val="21"/>
                    </w:rPr>
                    <w:t>、水泥、玻璃、钢铁、火电以及其他严重污染环境的生产项目。</w:t>
                  </w:r>
                </w:p>
              </w:tc>
              <w:tc>
                <w:tcPr>
                  <w:tcW w:w="1350" w:type="pct"/>
                  <w:tcMar>
                    <w:top w:w="0" w:type="dxa"/>
                    <w:left w:w="57" w:type="dxa"/>
                    <w:bottom w:w="0" w:type="dxa"/>
                    <w:right w:w="57" w:type="dxa"/>
                  </w:tcMar>
                  <w:vAlign w:val="center"/>
                </w:tcPr>
                <w:p w14:paraId="03BB41DA">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color w:val="auto"/>
                      <w:sz w:val="21"/>
                      <w:szCs w:val="21"/>
                    </w:rPr>
                    <w:t>符合产业政策，不属于左栏所述重污染项目</w:t>
                  </w:r>
                </w:p>
              </w:tc>
              <w:tc>
                <w:tcPr>
                  <w:tcW w:w="382" w:type="pct"/>
                  <w:tcMar>
                    <w:top w:w="0" w:type="dxa"/>
                    <w:left w:w="57" w:type="dxa"/>
                    <w:bottom w:w="0" w:type="dxa"/>
                    <w:right w:w="57" w:type="dxa"/>
                  </w:tcMar>
                  <w:vAlign w:val="center"/>
                </w:tcPr>
                <w:p w14:paraId="0E3A1D58">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符合</w:t>
                  </w:r>
                </w:p>
              </w:tc>
            </w:tr>
            <w:tr w14:paraId="653E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20D1D303">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3</w:t>
                  </w:r>
                </w:p>
              </w:tc>
              <w:tc>
                <w:tcPr>
                  <w:tcW w:w="2966" w:type="pct"/>
                  <w:tcMar>
                    <w:top w:w="0" w:type="dxa"/>
                    <w:left w:w="57" w:type="dxa"/>
                    <w:bottom w:w="0" w:type="dxa"/>
                    <w:right w:w="57" w:type="dxa"/>
                  </w:tcMar>
                  <w:vAlign w:val="center"/>
                </w:tcPr>
                <w:p w14:paraId="6A558013">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第四十四条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350" w:type="pct"/>
                  <w:tcMar>
                    <w:top w:w="0" w:type="dxa"/>
                    <w:left w:w="57" w:type="dxa"/>
                    <w:bottom w:w="0" w:type="dxa"/>
                    <w:right w:w="57" w:type="dxa"/>
                  </w:tcMar>
                  <w:vAlign w:val="center"/>
                </w:tcPr>
                <w:p w14:paraId="7887C11B">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eastAsiaTheme="minorEastAsia"/>
                      <w:color w:val="auto"/>
                      <w:sz w:val="21"/>
                      <w:szCs w:val="21"/>
                      <w:lang w:eastAsia="zh-CN"/>
                    </w:rPr>
                  </w:pPr>
                  <w:r>
                    <w:rPr>
                      <w:rFonts w:hint="eastAsia" w:ascii="Times New Roman" w:hAnsi="Times New Roman" w:cs="Times New Roman" w:eastAsiaTheme="minorEastAsia"/>
                      <w:color w:val="auto"/>
                      <w:sz w:val="21"/>
                      <w:szCs w:val="21"/>
                    </w:rPr>
                    <w:t>位于工业集聚区内</w:t>
                  </w:r>
                  <w:r>
                    <w:rPr>
                      <w:rFonts w:hint="eastAsia" w:ascii="Times New Roman" w:hAnsi="Times New Roman" w:cs="Times New Roman" w:eastAsiaTheme="minorEastAsia"/>
                      <w:color w:val="auto"/>
                      <w:sz w:val="21"/>
                      <w:szCs w:val="21"/>
                      <w:lang w:eastAsia="zh-CN"/>
                    </w:rPr>
                    <w:t>，不属于新建项目</w:t>
                  </w:r>
                </w:p>
              </w:tc>
              <w:tc>
                <w:tcPr>
                  <w:tcW w:w="382" w:type="pct"/>
                  <w:tcMar>
                    <w:top w:w="0" w:type="dxa"/>
                    <w:left w:w="57" w:type="dxa"/>
                    <w:bottom w:w="0" w:type="dxa"/>
                    <w:right w:w="57" w:type="dxa"/>
                  </w:tcMar>
                  <w:vAlign w:val="center"/>
                </w:tcPr>
                <w:p w14:paraId="000C5212">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符合</w:t>
                  </w:r>
                </w:p>
              </w:tc>
            </w:tr>
            <w:tr w14:paraId="4725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276E998B">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4</w:t>
                  </w:r>
                </w:p>
              </w:tc>
              <w:tc>
                <w:tcPr>
                  <w:tcW w:w="2966" w:type="pct"/>
                  <w:tcMar>
                    <w:top w:w="0" w:type="dxa"/>
                    <w:left w:w="57" w:type="dxa"/>
                    <w:bottom w:w="0" w:type="dxa"/>
                    <w:right w:w="57" w:type="dxa"/>
                  </w:tcMar>
                  <w:vAlign w:val="center"/>
                </w:tcPr>
                <w:p w14:paraId="50795B04">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第四十五条排污单位应当采取措施，防治在生产建设或者其他活动中</w:t>
                  </w:r>
                  <w:r>
                    <w:rPr>
                      <w:rFonts w:hint="eastAsia" w:ascii="Times New Roman" w:hAnsi="Times New Roman" w:cs="Times New Roman" w:eastAsiaTheme="minorEastAsia"/>
                      <w:color w:val="auto"/>
                      <w:sz w:val="21"/>
                      <w:szCs w:val="21"/>
                    </w:rPr>
                    <w:t>产生</w:t>
                  </w:r>
                  <w:r>
                    <w:rPr>
                      <w:rFonts w:ascii="Times New Roman" w:hAnsi="Times New Roman" w:cs="Times New Roman" w:eastAsiaTheme="minorEastAsia"/>
                      <w:color w:val="auto"/>
                      <w:sz w:val="21"/>
                      <w:szCs w:val="21"/>
                    </w:rPr>
                    <w:t>的废气、废水、废渣</w:t>
                  </w:r>
                  <w:r>
                    <w:rPr>
                      <w:rFonts w:hint="eastAsia" w:ascii="Times New Roman" w:hAnsi="Times New Roman" w:cs="Times New Roman" w:eastAsiaTheme="minorEastAsia"/>
                      <w:color w:val="auto"/>
                      <w:sz w:val="21"/>
                      <w:szCs w:val="21"/>
                    </w:rPr>
                    <w:t>、</w:t>
                  </w:r>
                  <w:r>
                    <w:rPr>
                      <w:rFonts w:ascii="Times New Roman" w:hAnsi="Times New Roman" w:cs="Times New Roman" w:eastAsiaTheme="minorEastAsia"/>
                      <w:color w:val="auto"/>
                      <w:sz w:val="21"/>
                      <w:szCs w:val="21"/>
                    </w:rPr>
                    <w:t>医疗废物、粉尘、恶臭气体、放射性物质以及噪声、振动、光辐射、电磁辐射等对环境的污染和危害，其污染排放不得超过排放标准和重点污染物排放总量控制指标。</w:t>
                  </w:r>
                </w:p>
              </w:tc>
              <w:tc>
                <w:tcPr>
                  <w:tcW w:w="1350" w:type="pct"/>
                  <w:tcMar>
                    <w:top w:w="0" w:type="dxa"/>
                    <w:left w:w="57" w:type="dxa"/>
                    <w:bottom w:w="0" w:type="dxa"/>
                    <w:right w:w="57" w:type="dxa"/>
                  </w:tcMar>
                  <w:vAlign w:val="center"/>
                </w:tcPr>
                <w:p w14:paraId="7DCF7702">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采</w:t>
                  </w:r>
                  <w:r>
                    <w:rPr>
                      <w:rFonts w:ascii="Times New Roman" w:hAnsi="Times New Roman" w:cs="Times New Roman"/>
                      <w:color w:val="auto"/>
                      <w:sz w:val="21"/>
                      <w:szCs w:val="21"/>
                    </w:rPr>
                    <w:t>取环保治理措施，污染物能达标排放，主要污染物实施倍量替代</w:t>
                  </w:r>
                </w:p>
              </w:tc>
              <w:tc>
                <w:tcPr>
                  <w:tcW w:w="382" w:type="pct"/>
                  <w:tcMar>
                    <w:top w:w="0" w:type="dxa"/>
                    <w:left w:w="57" w:type="dxa"/>
                    <w:bottom w:w="0" w:type="dxa"/>
                    <w:right w:w="57" w:type="dxa"/>
                  </w:tcMar>
                  <w:vAlign w:val="center"/>
                </w:tcPr>
                <w:p w14:paraId="74C4CF4F">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符合</w:t>
                  </w:r>
                </w:p>
              </w:tc>
            </w:tr>
            <w:tr w14:paraId="2F25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tcMar>
                    <w:top w:w="0" w:type="dxa"/>
                    <w:left w:w="57" w:type="dxa"/>
                    <w:bottom w:w="0" w:type="dxa"/>
                    <w:right w:w="57" w:type="dxa"/>
                  </w:tcMar>
                  <w:vAlign w:val="center"/>
                </w:tcPr>
                <w:p w14:paraId="74E31180">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5</w:t>
                  </w:r>
                </w:p>
              </w:tc>
              <w:tc>
                <w:tcPr>
                  <w:tcW w:w="2966" w:type="pct"/>
                  <w:tcMar>
                    <w:top w:w="0" w:type="dxa"/>
                    <w:left w:w="57" w:type="dxa"/>
                    <w:bottom w:w="0" w:type="dxa"/>
                    <w:right w:w="57" w:type="dxa"/>
                  </w:tcMar>
                  <w:vAlign w:val="center"/>
                </w:tcPr>
                <w:p w14:paraId="0EE11A29">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第四十六条新建、改建、扩建建设项目，应当根据环境影响评价文件以及生态环境主管部门审批决定的要求建设环境保护设施、落实环境保护措施。环境保护设施应当与</w:t>
                  </w:r>
                  <w:r>
                    <w:rPr>
                      <w:rFonts w:hint="eastAsia" w:ascii="Times New Roman" w:hAnsi="Times New Roman" w:cs="Times New Roman" w:eastAsiaTheme="minorEastAsia"/>
                      <w:color w:val="auto"/>
                      <w:sz w:val="21"/>
                      <w:szCs w:val="21"/>
                    </w:rPr>
                    <w:t>主体</w:t>
                  </w:r>
                  <w:r>
                    <w:rPr>
                      <w:rFonts w:ascii="Times New Roman" w:hAnsi="Times New Roman" w:cs="Times New Roman" w:eastAsiaTheme="minorEastAsia"/>
                      <w:color w:val="auto"/>
                      <w:sz w:val="21"/>
                      <w:szCs w:val="21"/>
                    </w:rPr>
                    <w:t>工程同时设计、同时施工、同时投产使用。</w:t>
                  </w:r>
                </w:p>
              </w:tc>
              <w:tc>
                <w:tcPr>
                  <w:tcW w:w="1350" w:type="pct"/>
                  <w:tcMar>
                    <w:top w:w="0" w:type="dxa"/>
                    <w:left w:w="57" w:type="dxa"/>
                    <w:bottom w:w="0" w:type="dxa"/>
                    <w:right w:w="57" w:type="dxa"/>
                  </w:tcMar>
                  <w:vAlign w:val="center"/>
                </w:tcPr>
                <w:p w14:paraId="1C5EA96E">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建设单位根据批复要求建设环境保护设施，严格执行“三同时”制度</w:t>
                  </w:r>
                </w:p>
              </w:tc>
              <w:tc>
                <w:tcPr>
                  <w:tcW w:w="382" w:type="pct"/>
                  <w:tcMar>
                    <w:top w:w="0" w:type="dxa"/>
                    <w:left w:w="57" w:type="dxa"/>
                    <w:bottom w:w="0" w:type="dxa"/>
                    <w:right w:w="57" w:type="dxa"/>
                  </w:tcMar>
                  <w:vAlign w:val="center"/>
                </w:tcPr>
                <w:p w14:paraId="5190BF1F">
                  <w:pPr>
                    <w:pStyle w:val="36"/>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符合</w:t>
                  </w:r>
                </w:p>
              </w:tc>
            </w:tr>
          </w:tbl>
          <w:p w14:paraId="48065217">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8</w:t>
            </w:r>
            <w:r>
              <w:rPr>
                <w:rFonts w:hint="default" w:ascii="Times New Roman" w:hAnsi="Times New Roman" w:eastAsia="宋体" w:cs="Times New Roman"/>
                <w:b/>
                <w:bCs/>
                <w:color w:val="auto"/>
                <w:spacing w:val="0"/>
                <w:kern w:val="0"/>
                <w:position w:val="0"/>
                <w:sz w:val="24"/>
                <w:szCs w:val="24"/>
                <w:lang w:val="en-US" w:eastAsia="zh-CN" w:bidi="ar"/>
              </w:rPr>
              <w:t>、</w:t>
            </w:r>
            <w:r>
              <w:rPr>
                <w:rFonts w:hint="eastAsia" w:ascii="Times New Roman" w:hAnsi="Times New Roman" w:eastAsia="宋体" w:cs="Times New Roman"/>
                <w:b/>
                <w:bCs/>
                <w:color w:val="auto"/>
                <w:spacing w:val="0"/>
                <w:kern w:val="0"/>
                <w:position w:val="0"/>
                <w:sz w:val="24"/>
                <w:szCs w:val="24"/>
                <w:lang w:val="en-US" w:eastAsia="zh-CN" w:bidi="ar"/>
              </w:rPr>
              <w:t>《关于进一步加强环保设备设施安全生产工作的通知》（安委办明电[2022]17号）符合性</w:t>
            </w:r>
          </w:p>
          <w:p w14:paraId="30D10D73">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aps w:val="0"/>
                <w:color w:val="auto"/>
                <w:spacing w:val="0"/>
                <w:kern w:val="0"/>
                <w:position w:val="0"/>
                <w:sz w:val="24"/>
                <w:szCs w:val="24"/>
                <w:lang w:val="en-US" w:eastAsia="zh-CN"/>
              </w:rPr>
            </w:pPr>
            <w:r>
              <w:rPr>
                <w:rFonts w:hint="eastAsia" w:ascii="Times New Roman" w:hAnsi="Times New Roman" w:eastAsia="宋体" w:cs="Times New Roman"/>
                <w:b/>
                <w:bCs/>
                <w:caps w:val="0"/>
                <w:color w:val="auto"/>
                <w:spacing w:val="0"/>
                <w:kern w:val="0"/>
                <w:position w:val="0"/>
                <w:sz w:val="24"/>
                <w:szCs w:val="24"/>
                <w:lang w:val="en-US" w:eastAsia="zh-CN"/>
              </w:rPr>
              <w:t>与安委办明电[2022]17号符合性分析一览表</w:t>
            </w:r>
          </w:p>
          <w:tbl>
            <w:tblPr>
              <w:tblStyle w:val="2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0"/>
              <w:gridCol w:w="1824"/>
              <w:gridCol w:w="577"/>
            </w:tblGrid>
            <w:tr w14:paraId="39CF9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43" w:type="pct"/>
                  <w:tcBorders>
                    <w:tl2br w:val="nil"/>
                    <w:tr2bl w:val="nil"/>
                  </w:tcBorders>
                  <w:vAlign w:val="center"/>
                </w:tcPr>
                <w:p w14:paraId="27FA6B81">
                  <w:pPr>
                    <w:pStyle w:val="12"/>
                    <w:spacing w:before="31" w:after="31"/>
                    <w:ind w:firstLine="0" w:firstLineChars="0"/>
                    <w:jc w:val="center"/>
                    <w:rPr>
                      <w:color w:val="auto"/>
                      <w:kern w:val="0"/>
                      <w:sz w:val="21"/>
                      <w:szCs w:val="21"/>
                    </w:rPr>
                  </w:pPr>
                  <w:r>
                    <w:rPr>
                      <w:color w:val="auto"/>
                      <w:kern w:val="0"/>
                      <w:sz w:val="21"/>
                      <w:szCs w:val="21"/>
                    </w:rPr>
                    <w:t>文件要求</w:t>
                  </w:r>
                </w:p>
              </w:tc>
              <w:tc>
                <w:tcPr>
                  <w:tcW w:w="1182" w:type="pct"/>
                  <w:tcBorders>
                    <w:tl2br w:val="nil"/>
                    <w:tr2bl w:val="nil"/>
                  </w:tcBorders>
                  <w:vAlign w:val="center"/>
                </w:tcPr>
                <w:p w14:paraId="72A55106">
                  <w:pPr>
                    <w:pStyle w:val="12"/>
                    <w:spacing w:before="31" w:after="31"/>
                    <w:ind w:firstLine="0" w:firstLineChars="0"/>
                    <w:jc w:val="center"/>
                    <w:rPr>
                      <w:color w:val="auto"/>
                      <w:kern w:val="0"/>
                      <w:sz w:val="21"/>
                      <w:szCs w:val="21"/>
                    </w:rPr>
                  </w:pPr>
                  <w:r>
                    <w:rPr>
                      <w:color w:val="auto"/>
                      <w:kern w:val="0"/>
                      <w:sz w:val="21"/>
                      <w:szCs w:val="21"/>
                    </w:rPr>
                    <w:t>项目情况</w:t>
                  </w:r>
                </w:p>
              </w:tc>
              <w:tc>
                <w:tcPr>
                  <w:tcW w:w="374" w:type="pct"/>
                  <w:tcBorders>
                    <w:tl2br w:val="nil"/>
                    <w:tr2bl w:val="nil"/>
                  </w:tcBorders>
                  <w:vAlign w:val="center"/>
                </w:tcPr>
                <w:p w14:paraId="48AD3BFF">
                  <w:pPr>
                    <w:pStyle w:val="12"/>
                    <w:spacing w:before="31" w:after="31"/>
                    <w:ind w:firstLine="0" w:firstLineChars="0"/>
                    <w:jc w:val="center"/>
                    <w:rPr>
                      <w:color w:val="auto"/>
                      <w:kern w:val="0"/>
                      <w:sz w:val="21"/>
                      <w:szCs w:val="21"/>
                    </w:rPr>
                  </w:pPr>
                  <w:r>
                    <w:rPr>
                      <w:color w:val="auto"/>
                      <w:kern w:val="0"/>
                      <w:sz w:val="21"/>
                      <w:szCs w:val="21"/>
                    </w:rPr>
                    <w:t>符合性</w:t>
                  </w:r>
                </w:p>
              </w:tc>
            </w:tr>
            <w:tr w14:paraId="7D24D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43" w:type="pct"/>
                  <w:tcBorders>
                    <w:tl2br w:val="nil"/>
                    <w:tr2bl w:val="nil"/>
                  </w:tcBorders>
                  <w:vAlign w:val="center"/>
                </w:tcPr>
                <w:p w14:paraId="69800A87">
                  <w:pPr>
                    <w:autoSpaceDE w:val="0"/>
                    <w:autoSpaceDN w:val="0"/>
                    <w:adjustRightInd w:val="0"/>
                    <w:jc w:val="left"/>
                    <w:rPr>
                      <w:rFonts w:ascii="宋体" w:cs="宋体"/>
                      <w:color w:val="auto"/>
                      <w:kern w:val="0"/>
                      <w:sz w:val="21"/>
                      <w:szCs w:val="21"/>
                    </w:rPr>
                  </w:pPr>
                  <w:r>
                    <w:rPr>
                      <w:rFonts w:hint="eastAsia" w:ascii="宋体" w:cs="宋体"/>
                      <w:color w:val="auto"/>
                      <w:kern w:val="0"/>
                      <w:sz w:val="21"/>
                      <w:szCs w:val="21"/>
                    </w:rPr>
                    <w:t>进一步落实企业主体责任。推动企业主要负责人严格履行第一责任人责任，将环保设备设施安全作为企业安全管理的重要组成部分，全面负责落实本单位的环保设备设施安全生产工作。严格落实涉环保设备设施新、改、扩建项目环保和安全“三同时有关要求，委托有资质的设计单位进行正规设计，在选用污染防治技术时要充分考虑安全因素；在环保设备设施改造中必须依法开展安全风险评估，按要求设置安全监测监控系统和联锁保护装置，做好安全防范。对涉环保设备设施相关岗位人员进行操作规程、风险管控、应急处置、典型事故警示等专项安全培训教育。开展环保设备设施安全风险辨识评估，系统排查隐患，依法建立隐患整改台账，明确整改责任人、措施、资金、时限和应急救援预案，及时消除隐患。认真落实相关技术标准规范，严格执行吊装、动火、高处等危险作业审批制度，加强有限空间、检维修作业安全管理，采取有效隔离措施，实施现场安全监护和科学施救。对受委托开展环保设备设施建设、运营和检维修第三方的安全生产工作进行统一协调、管理，定期进行安全检查，发现安全问题的，及时督促整改，不得一包了之，不管不问。</w:t>
                  </w:r>
                </w:p>
              </w:tc>
              <w:tc>
                <w:tcPr>
                  <w:tcW w:w="1182" w:type="pct"/>
                  <w:tcBorders>
                    <w:tl2br w:val="nil"/>
                    <w:tr2bl w:val="nil"/>
                  </w:tcBorders>
                  <w:vAlign w:val="center"/>
                </w:tcPr>
                <w:p w14:paraId="7779BBF0">
                  <w:pPr>
                    <w:widowControl/>
                    <w:jc w:val="both"/>
                    <w:rPr>
                      <w:color w:val="auto"/>
                      <w:sz w:val="21"/>
                      <w:szCs w:val="21"/>
                    </w:rPr>
                  </w:pPr>
                  <w:r>
                    <w:rPr>
                      <w:rFonts w:hint="eastAsia"/>
                      <w:color w:val="auto"/>
                      <w:sz w:val="21"/>
                      <w:szCs w:val="21"/>
                    </w:rPr>
                    <w:t>企业建设环保设备设施时需</w:t>
                  </w:r>
                  <w:r>
                    <w:rPr>
                      <w:rFonts w:hint="eastAsia" w:ascii="宋体" w:cs="宋体"/>
                      <w:color w:val="auto"/>
                      <w:kern w:val="0"/>
                      <w:sz w:val="21"/>
                      <w:szCs w:val="21"/>
                    </w:rPr>
                    <w:t>委托有资质的设计单位进行正规设计，需对环保设备设施相关岗位人员进行操作规程、风险管控、应急处置、典型事故警示等专项安全培训教育，建设单位需定期开展环保设备设施安全风险辨识评估，系统排查隐患，需依法建立隐患整改台账。</w:t>
                  </w:r>
                </w:p>
              </w:tc>
              <w:tc>
                <w:tcPr>
                  <w:tcW w:w="374" w:type="pct"/>
                  <w:tcBorders>
                    <w:tl2br w:val="nil"/>
                    <w:tr2bl w:val="nil"/>
                  </w:tcBorders>
                  <w:vAlign w:val="center"/>
                </w:tcPr>
                <w:p w14:paraId="5995CEDF">
                  <w:pPr>
                    <w:pStyle w:val="12"/>
                    <w:spacing w:before="31" w:after="31"/>
                    <w:ind w:firstLine="0" w:firstLineChars="0"/>
                    <w:jc w:val="center"/>
                    <w:rPr>
                      <w:color w:val="auto"/>
                      <w:kern w:val="0"/>
                      <w:sz w:val="21"/>
                      <w:szCs w:val="21"/>
                    </w:rPr>
                  </w:pPr>
                  <w:r>
                    <w:rPr>
                      <w:rFonts w:hint="eastAsia"/>
                      <w:color w:val="auto"/>
                      <w:kern w:val="0"/>
                      <w:sz w:val="21"/>
                      <w:szCs w:val="21"/>
                    </w:rPr>
                    <w:t>符合</w:t>
                  </w:r>
                </w:p>
              </w:tc>
            </w:tr>
          </w:tbl>
          <w:p w14:paraId="00C8E0CA">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9</w:t>
            </w:r>
            <w:r>
              <w:rPr>
                <w:rFonts w:hint="eastAsia" w:ascii="Times New Roman" w:hAnsi="Times New Roman" w:eastAsia="宋体" w:cs="Times New Roman"/>
                <w:b/>
                <w:bCs/>
                <w:color w:val="auto"/>
                <w:spacing w:val="0"/>
                <w:kern w:val="0"/>
                <w:position w:val="0"/>
                <w:sz w:val="24"/>
                <w:szCs w:val="24"/>
                <w:lang w:val="en-US" w:eastAsia="zh-CN" w:bidi="ar"/>
              </w:rPr>
              <w:t>、《山东省涉挥发性有机物企业分行业治理指导意见》鲁环发[2019]146号符合性</w:t>
            </w:r>
          </w:p>
          <w:p w14:paraId="04C41BF8">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aps w:val="0"/>
                <w:color w:val="auto"/>
                <w:spacing w:val="0"/>
                <w:kern w:val="0"/>
                <w:position w:val="0"/>
                <w:sz w:val="24"/>
                <w:szCs w:val="24"/>
                <w:lang w:val="en-US" w:eastAsia="zh-CN"/>
              </w:rPr>
            </w:pPr>
            <w:r>
              <w:rPr>
                <w:rFonts w:hint="eastAsia" w:ascii="Times New Roman" w:hAnsi="Times New Roman" w:eastAsia="宋体" w:cs="Times New Roman"/>
                <w:b/>
                <w:bCs/>
                <w:caps w:val="0"/>
                <w:color w:val="auto"/>
                <w:spacing w:val="0"/>
                <w:kern w:val="0"/>
                <w:position w:val="0"/>
                <w:sz w:val="24"/>
                <w:szCs w:val="24"/>
                <w:lang w:val="en-US" w:eastAsia="zh-CN"/>
              </w:rPr>
              <w:t>与鲁环发[2019]146号符合性分析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7"/>
              <w:gridCol w:w="1870"/>
              <w:gridCol w:w="687"/>
            </w:tblGrid>
            <w:tr w14:paraId="6123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42" w:type="pct"/>
                  <w:tcBorders>
                    <w:tl2br w:val="nil"/>
                    <w:tr2bl w:val="nil"/>
                  </w:tcBorders>
                  <w:noWrap w:val="0"/>
                  <w:vAlign w:val="center"/>
                </w:tcPr>
                <w:p w14:paraId="02953C20">
                  <w:pPr>
                    <w:jc w:val="center"/>
                    <w:rPr>
                      <w:rFonts w:hint="eastAsia" w:eastAsia="宋体" w:cs="Calibri"/>
                      <w:b/>
                      <w:color w:val="auto"/>
                      <w:sz w:val="21"/>
                      <w:szCs w:val="21"/>
                      <w:highlight w:val="none"/>
                      <w:lang w:eastAsia="zh-CN"/>
                    </w:rPr>
                  </w:pPr>
                  <w:r>
                    <w:rPr>
                      <w:rFonts w:hint="eastAsia" w:cs="Calibri"/>
                      <w:b/>
                      <w:color w:val="auto"/>
                      <w:sz w:val="21"/>
                      <w:szCs w:val="21"/>
                      <w:highlight w:val="none"/>
                      <w:lang w:eastAsia="zh-CN"/>
                    </w:rPr>
                    <w:t>文件要求</w:t>
                  </w:r>
                </w:p>
              </w:tc>
              <w:tc>
                <w:tcPr>
                  <w:tcW w:w="1211" w:type="pct"/>
                  <w:tcBorders>
                    <w:tl2br w:val="nil"/>
                    <w:tr2bl w:val="nil"/>
                  </w:tcBorders>
                  <w:noWrap w:val="0"/>
                  <w:vAlign w:val="center"/>
                </w:tcPr>
                <w:p w14:paraId="31F0BB5A">
                  <w:pPr>
                    <w:jc w:val="center"/>
                    <w:rPr>
                      <w:rFonts w:cs="Calibri"/>
                      <w:b/>
                      <w:color w:val="auto"/>
                      <w:sz w:val="21"/>
                      <w:szCs w:val="21"/>
                      <w:highlight w:val="none"/>
                    </w:rPr>
                  </w:pPr>
                  <w:r>
                    <w:rPr>
                      <w:rFonts w:cs="Calibri"/>
                      <w:b/>
                      <w:color w:val="auto"/>
                      <w:sz w:val="21"/>
                      <w:szCs w:val="21"/>
                      <w:highlight w:val="none"/>
                    </w:rPr>
                    <w:t>本项目情况</w:t>
                  </w:r>
                </w:p>
              </w:tc>
              <w:tc>
                <w:tcPr>
                  <w:tcW w:w="446" w:type="pct"/>
                  <w:tcBorders>
                    <w:tl2br w:val="nil"/>
                    <w:tr2bl w:val="nil"/>
                  </w:tcBorders>
                  <w:noWrap w:val="0"/>
                  <w:vAlign w:val="center"/>
                </w:tcPr>
                <w:p w14:paraId="675BC514">
                  <w:pPr>
                    <w:jc w:val="center"/>
                    <w:rPr>
                      <w:rFonts w:cs="Calibri"/>
                      <w:b/>
                      <w:color w:val="auto"/>
                      <w:sz w:val="21"/>
                      <w:szCs w:val="21"/>
                      <w:highlight w:val="none"/>
                    </w:rPr>
                  </w:pPr>
                  <w:r>
                    <w:rPr>
                      <w:rFonts w:ascii="Times New Roman" w:hAnsi="Times New Roman"/>
                      <w:b/>
                      <w:color w:val="auto"/>
                      <w:kern w:val="0"/>
                      <w:sz w:val="21"/>
                      <w:szCs w:val="21"/>
                      <w:highlight w:val="none"/>
                    </w:rPr>
                    <w:t>符合性</w:t>
                  </w:r>
                </w:p>
              </w:tc>
            </w:tr>
            <w:tr w14:paraId="1B14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342" w:type="pct"/>
                  <w:tcBorders>
                    <w:tl2br w:val="nil"/>
                    <w:tr2bl w:val="nil"/>
                  </w:tcBorders>
                  <w:noWrap w:val="0"/>
                  <w:vAlign w:val="center"/>
                </w:tcPr>
                <w:p w14:paraId="729138FE">
                  <w:pPr>
                    <w:widowControl/>
                    <w:jc w:val="left"/>
                    <w:rPr>
                      <w:rFonts w:cs="Calibri"/>
                      <w:color w:val="auto"/>
                      <w:sz w:val="21"/>
                      <w:szCs w:val="21"/>
                      <w:highlight w:val="none"/>
                    </w:rPr>
                  </w:pPr>
                  <w:r>
                    <w:rPr>
                      <w:rFonts w:cs="Calibri"/>
                      <w:color w:val="auto"/>
                      <w:sz w:val="21"/>
                      <w:szCs w:val="21"/>
                      <w:highlight w:val="none"/>
                    </w:rPr>
                    <w:t>加强无组织排放控制。重点对含VOCs物料（包括含VOCs原辅材料、含VOCs产品、含VOCs废料以及有机聚合物材料等）储存、转移和输送、设备与管线组件泄漏、敞开液面逸散、工艺过程等五类排放源实施管控，通过采取设备与场所密闭、工艺改进、废气有效收集等措施，削减VOCs无组织排放。遵循“应收尽收、分质收集”的原则，科学设计废气收集系统，将无组织排放转变为有组织排放进行控制。采用局部集气罩的，距集气罩开口面最远处的VOCs无组织排放位置，控制风速应不低于0.3米/秒，有行业要求的按照相关规定执行；集气罩的设计、安装应符合《机械安全 局部排气通风系统安全要求》（GB/T 35077），通风管路设计应符合《通风管道技术规程》（JGJ/T141）等相关规范要求，VOCs废气管路不得与其他废气管路合并。</w:t>
                  </w:r>
                </w:p>
                <w:p w14:paraId="442F2519">
                  <w:pPr>
                    <w:widowControl/>
                    <w:jc w:val="left"/>
                    <w:rPr>
                      <w:rFonts w:hint="eastAsia" w:cs="Calibri"/>
                      <w:color w:val="auto"/>
                      <w:sz w:val="21"/>
                      <w:szCs w:val="21"/>
                      <w:highlight w:val="none"/>
                    </w:rPr>
                  </w:pPr>
                  <w:r>
                    <w:rPr>
                      <w:rFonts w:cs="Calibri"/>
                      <w:color w:val="auto"/>
                      <w:sz w:val="21"/>
                      <w:szCs w:val="21"/>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r>
                    <w:rPr>
                      <w:rFonts w:hint="eastAsia" w:cs="Calibri"/>
                      <w:color w:val="auto"/>
                      <w:sz w:val="21"/>
                      <w:szCs w:val="21"/>
                      <w:highlight w:val="none"/>
                    </w:rPr>
                    <w:t>。</w:t>
                  </w:r>
                </w:p>
              </w:tc>
              <w:tc>
                <w:tcPr>
                  <w:tcW w:w="1211" w:type="pct"/>
                  <w:tcBorders>
                    <w:tl2br w:val="nil"/>
                    <w:tr2bl w:val="nil"/>
                  </w:tcBorders>
                  <w:noWrap w:val="0"/>
                  <w:vAlign w:val="center"/>
                </w:tcPr>
                <w:p w14:paraId="0AAFBB19">
                  <w:pPr>
                    <w:jc w:val="both"/>
                    <w:rPr>
                      <w:rFonts w:cs="Calibri"/>
                      <w:color w:val="auto"/>
                      <w:sz w:val="21"/>
                      <w:szCs w:val="21"/>
                      <w:highlight w:val="none"/>
                    </w:rPr>
                  </w:pPr>
                  <w:r>
                    <w:rPr>
                      <w:rFonts w:cs="Calibri"/>
                      <w:color w:val="auto"/>
                      <w:sz w:val="21"/>
                      <w:szCs w:val="21"/>
                      <w:highlight w:val="none"/>
                    </w:rPr>
                    <w:t>本项目</w:t>
                  </w:r>
                  <w:r>
                    <w:rPr>
                      <w:rFonts w:hint="eastAsia" w:cs="Calibri"/>
                      <w:color w:val="auto"/>
                      <w:sz w:val="21"/>
                      <w:szCs w:val="21"/>
                      <w:highlight w:val="none"/>
                      <w:lang w:eastAsia="zh-CN"/>
                    </w:rPr>
                    <w:t>沥青产生</w:t>
                  </w:r>
                  <w:r>
                    <w:rPr>
                      <w:rFonts w:hint="eastAsia" w:cs="Calibri"/>
                      <w:color w:val="auto"/>
                      <w:sz w:val="21"/>
                      <w:szCs w:val="21"/>
                      <w:highlight w:val="none"/>
                      <w:lang w:val="en-US" w:eastAsia="zh-CN"/>
                    </w:rPr>
                    <w:t>VOCs</w:t>
                  </w:r>
                  <w:r>
                    <w:rPr>
                      <w:rFonts w:hint="eastAsia" w:cs="Calibri"/>
                      <w:color w:val="auto"/>
                      <w:sz w:val="21"/>
                      <w:szCs w:val="21"/>
                      <w:highlight w:val="none"/>
                      <w:lang w:eastAsia="zh-CN"/>
                    </w:rPr>
                    <w:t>，</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沥青储罐呼吸口设密封式集气装置，</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料口设集气装置，将沥青加热过程产生的沥青烟气收集后引入总集气管道，沥青储罐加热、搅拌过程密闭。废气采用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r>
                    <w:rPr>
                      <w:rFonts w:hint="eastAsia" w:ascii="Times New Roman" w:hAnsi="Times New Roman" w:eastAsia="宋体"/>
                      <w:color w:val="auto"/>
                      <w:kern w:val="2"/>
                      <w:sz w:val="21"/>
                      <w:szCs w:val="21"/>
                      <w:highlight w:val="none"/>
                      <w:lang w:val="en-US" w:eastAsia="zh-CN"/>
                    </w:rPr>
                    <w:t>。</w:t>
                  </w:r>
                  <w:r>
                    <w:rPr>
                      <w:rFonts w:cs="Calibri"/>
                      <w:color w:val="auto"/>
                      <w:sz w:val="21"/>
                      <w:szCs w:val="21"/>
                      <w:highlight w:val="none"/>
                    </w:rPr>
                    <w:t>废气收集效率较高，实现达标排放</w:t>
                  </w:r>
                </w:p>
              </w:tc>
              <w:tc>
                <w:tcPr>
                  <w:tcW w:w="446" w:type="pct"/>
                  <w:tcBorders>
                    <w:tl2br w:val="nil"/>
                    <w:tr2bl w:val="nil"/>
                  </w:tcBorders>
                  <w:noWrap w:val="0"/>
                  <w:vAlign w:val="center"/>
                </w:tcPr>
                <w:p w14:paraId="700A5E1A">
                  <w:pPr>
                    <w:jc w:val="center"/>
                    <w:rPr>
                      <w:rFonts w:cs="Calibri"/>
                      <w:color w:val="auto"/>
                      <w:sz w:val="21"/>
                      <w:szCs w:val="21"/>
                      <w:highlight w:val="none"/>
                    </w:rPr>
                  </w:pPr>
                  <w:r>
                    <w:rPr>
                      <w:rFonts w:cs="Calibri"/>
                      <w:color w:val="auto"/>
                      <w:sz w:val="21"/>
                      <w:szCs w:val="21"/>
                      <w:highlight w:val="none"/>
                    </w:rPr>
                    <w:t>符合</w:t>
                  </w:r>
                </w:p>
              </w:tc>
            </w:tr>
            <w:tr w14:paraId="5482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342" w:type="pct"/>
                  <w:tcBorders>
                    <w:tl2br w:val="nil"/>
                    <w:tr2bl w:val="nil"/>
                  </w:tcBorders>
                  <w:noWrap w:val="0"/>
                  <w:vAlign w:val="center"/>
                </w:tcPr>
                <w:p w14:paraId="4E43C720">
                  <w:pPr>
                    <w:rPr>
                      <w:rFonts w:hint="eastAsia" w:cs="Calibri"/>
                      <w:color w:val="auto"/>
                      <w:sz w:val="21"/>
                      <w:szCs w:val="21"/>
                      <w:highlight w:val="none"/>
                      <w:shd w:val="clear" w:color="auto" w:fill="FFFFFF"/>
                    </w:rPr>
                  </w:pPr>
                  <w:r>
                    <w:rPr>
                      <w:rFonts w:cs="Calibri"/>
                      <w:color w:val="auto"/>
                      <w:sz w:val="21"/>
                      <w:szCs w:val="21"/>
                      <w:highlight w:val="none"/>
                      <w:shd w:val="clear" w:color="auto" w:fill="FFFFFF"/>
                    </w:rPr>
                    <w:t>加强末端管控。实行重点排放源排放浓度与去除效率双重控制。车间或生产设施收集排放的废气，VOCs初始排放速率大于等于3千克/小时、重点区域大于等于2千克/小时的，应加大控制力度，除确保排放浓度稳定达标外，还应实行去除效率控制，VOCs去除率应不低于80%。有行业排放标准的按其相关规定执行</w:t>
                  </w:r>
                </w:p>
              </w:tc>
              <w:tc>
                <w:tcPr>
                  <w:tcW w:w="1211" w:type="pct"/>
                  <w:tcBorders>
                    <w:tl2br w:val="nil"/>
                    <w:tr2bl w:val="nil"/>
                  </w:tcBorders>
                  <w:noWrap w:val="0"/>
                  <w:vAlign w:val="center"/>
                </w:tcPr>
                <w:p w14:paraId="2424377A">
                  <w:pPr>
                    <w:jc w:val="both"/>
                    <w:rPr>
                      <w:rFonts w:hint="eastAsia" w:cs="Calibri"/>
                      <w:color w:val="auto"/>
                      <w:sz w:val="21"/>
                      <w:szCs w:val="21"/>
                      <w:highlight w:val="none"/>
                    </w:rPr>
                  </w:pPr>
                  <w:r>
                    <w:rPr>
                      <w:rFonts w:hint="eastAsia" w:cs="Calibri"/>
                      <w:color w:val="auto"/>
                      <w:sz w:val="21"/>
                      <w:szCs w:val="21"/>
                      <w:highlight w:val="none"/>
                    </w:rPr>
                    <w:t>本项目V</w:t>
                  </w:r>
                  <w:r>
                    <w:rPr>
                      <w:rFonts w:cs="Calibri"/>
                      <w:color w:val="auto"/>
                      <w:sz w:val="21"/>
                      <w:szCs w:val="21"/>
                      <w:highlight w:val="none"/>
                    </w:rPr>
                    <w:t>OCs</w:t>
                  </w:r>
                  <w:r>
                    <w:rPr>
                      <w:rFonts w:hint="eastAsia" w:cs="Calibri"/>
                      <w:color w:val="auto"/>
                      <w:sz w:val="21"/>
                      <w:szCs w:val="21"/>
                      <w:highlight w:val="none"/>
                    </w:rPr>
                    <w:t>产生量少，且废气达标排放</w:t>
                  </w:r>
                </w:p>
              </w:tc>
              <w:tc>
                <w:tcPr>
                  <w:tcW w:w="446" w:type="pct"/>
                  <w:tcBorders>
                    <w:tl2br w:val="nil"/>
                    <w:tr2bl w:val="nil"/>
                  </w:tcBorders>
                  <w:noWrap w:val="0"/>
                  <w:vAlign w:val="center"/>
                </w:tcPr>
                <w:p w14:paraId="002FDB91">
                  <w:pPr>
                    <w:jc w:val="center"/>
                    <w:rPr>
                      <w:rFonts w:cs="Calibri"/>
                      <w:color w:val="auto"/>
                      <w:sz w:val="21"/>
                      <w:szCs w:val="21"/>
                      <w:highlight w:val="none"/>
                    </w:rPr>
                  </w:pPr>
                  <w:r>
                    <w:rPr>
                      <w:rFonts w:hint="eastAsia" w:cs="Calibri"/>
                      <w:color w:val="auto"/>
                      <w:sz w:val="21"/>
                      <w:szCs w:val="21"/>
                      <w:highlight w:val="none"/>
                    </w:rPr>
                    <w:t>符合</w:t>
                  </w:r>
                </w:p>
              </w:tc>
            </w:tr>
          </w:tbl>
          <w:p w14:paraId="5AB6783A">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r>
              <w:rPr>
                <w:rFonts w:hint="eastAsia" w:ascii="Times New Roman" w:hAnsi="Times New Roman" w:eastAsia="宋体" w:cs="Times New Roman"/>
                <w:b/>
                <w:bCs/>
                <w:color w:val="auto"/>
                <w:spacing w:val="0"/>
                <w:kern w:val="0"/>
                <w:position w:val="0"/>
                <w:sz w:val="24"/>
                <w:szCs w:val="24"/>
                <w:lang w:val="en-US" w:eastAsia="zh-CN" w:bidi="ar"/>
              </w:rPr>
              <w:t>1</w:t>
            </w:r>
            <w:r>
              <w:rPr>
                <w:rFonts w:hint="eastAsia" w:cs="Times New Roman"/>
                <w:b/>
                <w:bCs/>
                <w:color w:val="auto"/>
                <w:spacing w:val="0"/>
                <w:kern w:val="0"/>
                <w:position w:val="0"/>
                <w:sz w:val="24"/>
                <w:szCs w:val="24"/>
                <w:lang w:val="en-US" w:eastAsia="zh-CN" w:bidi="ar"/>
              </w:rPr>
              <w:t>0</w:t>
            </w:r>
            <w:r>
              <w:rPr>
                <w:rFonts w:hint="eastAsia" w:ascii="Times New Roman" w:hAnsi="Times New Roman" w:eastAsia="宋体" w:cs="Times New Roman"/>
                <w:b/>
                <w:bCs/>
                <w:color w:val="auto"/>
                <w:spacing w:val="0"/>
                <w:kern w:val="0"/>
                <w:position w:val="0"/>
                <w:sz w:val="24"/>
                <w:szCs w:val="24"/>
                <w:lang w:val="en-US" w:eastAsia="zh-CN" w:bidi="ar"/>
              </w:rPr>
              <w:t>、《济宁市挥发性有机物治理专项行动方案》（济政府通知[2019]4号）符合性</w:t>
            </w:r>
          </w:p>
          <w:p w14:paraId="04BD59FE">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aps w:val="0"/>
                <w:color w:val="auto"/>
                <w:spacing w:val="0"/>
                <w:kern w:val="0"/>
                <w:position w:val="0"/>
                <w:sz w:val="24"/>
                <w:szCs w:val="24"/>
                <w:lang w:val="en-US" w:eastAsia="zh-CN"/>
              </w:rPr>
            </w:pPr>
            <w:r>
              <w:rPr>
                <w:rFonts w:hint="eastAsia" w:ascii="Times New Roman" w:hAnsi="Times New Roman" w:eastAsia="宋体" w:cs="Times New Roman"/>
                <w:b/>
                <w:bCs/>
                <w:caps w:val="0"/>
                <w:color w:val="auto"/>
                <w:spacing w:val="0"/>
                <w:kern w:val="0"/>
                <w:position w:val="0"/>
                <w:sz w:val="24"/>
                <w:szCs w:val="24"/>
                <w:lang w:val="en-US" w:eastAsia="zh-CN"/>
              </w:rPr>
              <w:t>与济政府通知[2019]4号文的符合情况</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5"/>
              <w:gridCol w:w="3136"/>
              <w:gridCol w:w="436"/>
            </w:tblGrid>
            <w:tr w14:paraId="15AA1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85" w:type="pct"/>
                  <w:tcBorders>
                    <w:tl2br w:val="nil"/>
                    <w:tr2bl w:val="nil"/>
                  </w:tcBorders>
                  <w:noWrap/>
                  <w:vAlign w:val="center"/>
                </w:tcPr>
                <w:p w14:paraId="2D13F4C9">
                  <w:pPr>
                    <w:keepNext w:val="0"/>
                    <w:keepLines w:val="0"/>
                    <w:pageBreakBefore w:val="0"/>
                    <w:widowControl w:val="0"/>
                    <w:kinsoku/>
                    <w:wordWrap/>
                    <w:overflowPunct/>
                    <w:topLinePunct w:val="0"/>
                    <w:autoSpaceDE/>
                    <w:autoSpaceDN/>
                    <w:bidi w:val="0"/>
                    <w:adjustRightInd w:val="0"/>
                    <w:snapToGrid w:val="0"/>
                    <w:ind w:right="0"/>
                    <w:jc w:val="center"/>
                    <w:textAlignment w:val="auto"/>
                    <w:rPr>
                      <w:b/>
                      <w:bCs/>
                      <w:color w:val="auto"/>
                      <w:sz w:val="21"/>
                      <w:szCs w:val="21"/>
                      <w:highlight w:val="none"/>
                      <w:lang w:eastAsia="en-US"/>
                    </w:rPr>
                  </w:pPr>
                  <w:r>
                    <w:rPr>
                      <w:b/>
                      <w:bCs/>
                      <w:color w:val="auto"/>
                      <w:kern w:val="0"/>
                      <w:sz w:val="21"/>
                      <w:szCs w:val="21"/>
                      <w:highlight w:val="none"/>
                      <w:lang w:eastAsia="en-US"/>
                    </w:rPr>
                    <w:t>文件要求</w:t>
                  </w:r>
                </w:p>
              </w:tc>
              <w:tc>
                <w:tcPr>
                  <w:tcW w:w="2032" w:type="pct"/>
                  <w:tcBorders>
                    <w:tl2br w:val="nil"/>
                    <w:tr2bl w:val="nil"/>
                  </w:tcBorders>
                  <w:noWrap/>
                  <w:vAlign w:val="center"/>
                </w:tcPr>
                <w:p w14:paraId="5A93FFF1">
                  <w:pPr>
                    <w:keepNext w:val="0"/>
                    <w:keepLines w:val="0"/>
                    <w:pageBreakBefore w:val="0"/>
                    <w:widowControl w:val="0"/>
                    <w:kinsoku/>
                    <w:wordWrap/>
                    <w:overflowPunct/>
                    <w:topLinePunct w:val="0"/>
                    <w:autoSpaceDE/>
                    <w:autoSpaceDN/>
                    <w:bidi w:val="0"/>
                    <w:adjustRightInd w:val="0"/>
                    <w:snapToGrid w:val="0"/>
                    <w:ind w:right="0"/>
                    <w:jc w:val="center"/>
                    <w:textAlignment w:val="auto"/>
                    <w:rPr>
                      <w:b/>
                      <w:bCs/>
                      <w:color w:val="auto"/>
                      <w:sz w:val="21"/>
                      <w:szCs w:val="21"/>
                      <w:highlight w:val="none"/>
                      <w:lang w:eastAsia="en-US"/>
                    </w:rPr>
                  </w:pPr>
                  <w:r>
                    <w:rPr>
                      <w:b/>
                      <w:bCs/>
                      <w:color w:val="auto"/>
                      <w:kern w:val="0"/>
                      <w:sz w:val="21"/>
                      <w:szCs w:val="21"/>
                      <w:highlight w:val="none"/>
                      <w:lang w:eastAsia="en-US"/>
                    </w:rPr>
                    <w:t>本项目情况</w:t>
                  </w:r>
                </w:p>
              </w:tc>
              <w:tc>
                <w:tcPr>
                  <w:tcW w:w="281" w:type="pct"/>
                  <w:tcBorders>
                    <w:tl2br w:val="nil"/>
                    <w:tr2bl w:val="nil"/>
                  </w:tcBorders>
                  <w:noWrap/>
                  <w:vAlign w:val="center"/>
                </w:tcPr>
                <w:p w14:paraId="3611BF8C">
                  <w:pPr>
                    <w:keepNext w:val="0"/>
                    <w:keepLines w:val="0"/>
                    <w:pageBreakBefore w:val="0"/>
                    <w:widowControl w:val="0"/>
                    <w:kinsoku/>
                    <w:wordWrap/>
                    <w:overflowPunct/>
                    <w:topLinePunct w:val="0"/>
                    <w:autoSpaceDE/>
                    <w:autoSpaceDN/>
                    <w:bidi w:val="0"/>
                    <w:adjustRightInd w:val="0"/>
                    <w:snapToGrid w:val="0"/>
                    <w:ind w:right="0"/>
                    <w:jc w:val="center"/>
                    <w:textAlignment w:val="auto"/>
                    <w:rPr>
                      <w:b/>
                      <w:bCs/>
                      <w:color w:val="auto"/>
                      <w:sz w:val="21"/>
                      <w:szCs w:val="21"/>
                      <w:highlight w:val="none"/>
                      <w:lang w:eastAsia="en-US"/>
                    </w:rPr>
                  </w:pPr>
                  <w:r>
                    <w:rPr>
                      <w:b/>
                      <w:bCs/>
                      <w:color w:val="auto"/>
                      <w:kern w:val="0"/>
                      <w:sz w:val="21"/>
                      <w:szCs w:val="21"/>
                      <w:highlight w:val="none"/>
                      <w:lang w:eastAsia="en-US"/>
                    </w:rPr>
                    <w:t>符合性</w:t>
                  </w:r>
                </w:p>
              </w:tc>
            </w:tr>
            <w:tr w14:paraId="68062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2685" w:type="pct"/>
                  <w:tcBorders>
                    <w:tl2br w:val="nil"/>
                    <w:tr2bl w:val="nil"/>
                  </w:tcBorders>
                  <w:noWrap/>
                  <w:vAlign w:val="center"/>
                </w:tcPr>
                <w:p w14:paraId="337801B0">
                  <w:pPr>
                    <w:keepNext w:val="0"/>
                    <w:keepLines w:val="0"/>
                    <w:pageBreakBefore w:val="0"/>
                    <w:widowControl w:val="0"/>
                    <w:kinsoku/>
                    <w:wordWrap/>
                    <w:overflowPunct/>
                    <w:topLinePunct w:val="0"/>
                    <w:autoSpaceDE/>
                    <w:autoSpaceDN/>
                    <w:bidi w:val="0"/>
                    <w:adjustRightInd w:val="0"/>
                    <w:snapToGrid w:val="0"/>
                    <w:ind w:right="0"/>
                    <w:jc w:val="both"/>
                    <w:textAlignment w:val="auto"/>
                    <w:rPr>
                      <w:color w:val="auto"/>
                      <w:sz w:val="21"/>
                      <w:szCs w:val="21"/>
                      <w:highlight w:val="none"/>
                    </w:rPr>
                  </w:pPr>
                  <w:r>
                    <w:rPr>
                      <w:rFonts w:hint="eastAsia"/>
                      <w:color w:val="auto"/>
                      <w:sz w:val="21"/>
                      <w:szCs w:val="21"/>
                      <w:highlight w:val="none"/>
                    </w:rPr>
                    <w:t>1．实施化工、焦化、制药、橡胶等行业VOCs治理提升工程。采取密闭生产工艺，使用无泄漏、低泄漏设备。严格控制储罐、装卸环节的呼吸损耗。有机废水收集系统应加盖密闭，并安装废气收集净化系统。对工艺单元排放的尾气进行回收利用，不能回收利用的应采用焚烧或其他有效方式处理。开展全市化工、焦化、制药行业设备和管阀件泄漏检测与修复（LDAR），建立企业LDAR信息综合管理平台。加强非正常工况污染控制、规范化工装置开停工及维检修流程。</w:t>
                  </w:r>
                </w:p>
              </w:tc>
              <w:tc>
                <w:tcPr>
                  <w:tcW w:w="2032" w:type="pct"/>
                  <w:tcBorders>
                    <w:tl2br w:val="nil"/>
                    <w:tr2bl w:val="nil"/>
                  </w:tcBorders>
                  <w:noWrap/>
                  <w:vAlign w:val="center"/>
                </w:tcPr>
                <w:p w14:paraId="29F1EDF7">
                  <w:pPr>
                    <w:keepNext w:val="0"/>
                    <w:keepLines w:val="0"/>
                    <w:pageBreakBefore w:val="0"/>
                    <w:widowControl w:val="0"/>
                    <w:kinsoku/>
                    <w:wordWrap/>
                    <w:overflowPunct/>
                    <w:topLinePunct w:val="0"/>
                    <w:autoSpaceDE/>
                    <w:autoSpaceDN/>
                    <w:bidi w:val="0"/>
                    <w:adjustRightInd w:val="0"/>
                    <w:snapToGrid w:val="0"/>
                    <w:ind w:right="0"/>
                    <w:jc w:val="both"/>
                    <w:textAlignment w:val="auto"/>
                    <w:rPr>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bidi="ar"/>
                    </w:rPr>
                    <w:t>不属于</w:t>
                  </w:r>
                  <w:r>
                    <w:rPr>
                      <w:rFonts w:hint="eastAsia"/>
                      <w:color w:val="auto"/>
                      <w:sz w:val="21"/>
                      <w:szCs w:val="21"/>
                      <w:highlight w:val="none"/>
                    </w:rPr>
                    <w:t>化工、焦化、制药、橡胶等行业</w:t>
                  </w:r>
                </w:p>
              </w:tc>
              <w:tc>
                <w:tcPr>
                  <w:tcW w:w="281" w:type="pct"/>
                  <w:tcBorders>
                    <w:tl2br w:val="nil"/>
                    <w:tr2bl w:val="nil"/>
                  </w:tcBorders>
                  <w:noWrap/>
                  <w:vAlign w:val="center"/>
                </w:tcPr>
                <w:p w14:paraId="5AE6CD03">
                  <w:pPr>
                    <w:keepNext w:val="0"/>
                    <w:keepLines w:val="0"/>
                    <w:pageBreakBefore w:val="0"/>
                    <w:widowControl w:val="0"/>
                    <w:kinsoku/>
                    <w:wordWrap/>
                    <w:overflowPunct/>
                    <w:topLinePunct w:val="0"/>
                    <w:autoSpaceDE/>
                    <w:autoSpaceDN/>
                    <w:bidi w:val="0"/>
                    <w:adjustRightInd w:val="0"/>
                    <w:snapToGrid w:val="0"/>
                    <w:ind w:right="0"/>
                    <w:jc w:val="center"/>
                    <w:textAlignment w:val="auto"/>
                    <w:rPr>
                      <w:color w:val="auto"/>
                      <w:sz w:val="21"/>
                      <w:szCs w:val="21"/>
                      <w:highlight w:val="none"/>
                      <w:lang w:eastAsia="en-US"/>
                    </w:rPr>
                  </w:pPr>
                  <w:r>
                    <w:rPr>
                      <w:color w:val="auto"/>
                      <w:kern w:val="0"/>
                      <w:sz w:val="21"/>
                      <w:szCs w:val="21"/>
                      <w:highlight w:val="none"/>
                      <w:lang w:eastAsia="en-US"/>
                    </w:rPr>
                    <w:t>符合</w:t>
                  </w:r>
                </w:p>
              </w:tc>
            </w:tr>
            <w:tr w14:paraId="0C73D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85" w:type="pct"/>
                  <w:tcBorders>
                    <w:tl2br w:val="nil"/>
                    <w:tr2bl w:val="nil"/>
                  </w:tcBorders>
                  <w:noWrap/>
                  <w:vAlign w:val="center"/>
                </w:tcPr>
                <w:p w14:paraId="299FBE9E">
                  <w:pPr>
                    <w:keepNext w:val="0"/>
                    <w:keepLines w:val="0"/>
                    <w:pageBreakBefore w:val="0"/>
                    <w:widowControl w:val="0"/>
                    <w:kinsoku/>
                    <w:wordWrap/>
                    <w:overflowPunct/>
                    <w:topLinePunct w:val="0"/>
                    <w:autoSpaceDE/>
                    <w:autoSpaceDN/>
                    <w:bidi w:val="0"/>
                    <w:adjustRightInd w:val="0"/>
                    <w:snapToGrid w:val="0"/>
                    <w:ind w:right="0"/>
                    <w:jc w:val="both"/>
                    <w:textAlignment w:val="auto"/>
                    <w:rPr>
                      <w:color w:val="auto"/>
                      <w:sz w:val="21"/>
                      <w:szCs w:val="21"/>
                      <w:highlight w:val="none"/>
                    </w:rPr>
                  </w:pPr>
                  <w:r>
                    <w:rPr>
                      <w:rFonts w:hint="eastAsia"/>
                      <w:color w:val="auto"/>
                      <w:sz w:val="21"/>
                      <w:szCs w:val="21"/>
                      <w:highlight w:val="none"/>
                    </w:rPr>
                    <w:t>2．实施工业涂装VOCs治理提升工程。加强有机废气分类收集与处理，产生含挥发性有机物废气的工艺应当在密闭空间或者设备中进行，并按照规定安装、使用污染防治设施；无法密闭的，应当采取措施减少废气排放，禁止露天和敞开式喷涂作业。对喷漆、流平、烘干等环节产生的废气，采取焚烧等高效末端治理技术。</w:t>
                  </w:r>
                </w:p>
              </w:tc>
              <w:tc>
                <w:tcPr>
                  <w:tcW w:w="2032" w:type="pct"/>
                  <w:tcBorders>
                    <w:tl2br w:val="nil"/>
                    <w:tr2bl w:val="nil"/>
                  </w:tcBorders>
                  <w:noWrap/>
                  <w:vAlign w:val="center"/>
                </w:tcPr>
                <w:p w14:paraId="45ABCCA9">
                  <w:pPr>
                    <w:keepNext w:val="0"/>
                    <w:keepLines w:val="0"/>
                    <w:pageBreakBefore w:val="0"/>
                    <w:widowControl w:val="0"/>
                    <w:kinsoku/>
                    <w:wordWrap/>
                    <w:overflowPunct/>
                    <w:topLinePunct w:val="0"/>
                    <w:autoSpaceDE/>
                    <w:autoSpaceDN/>
                    <w:bidi w:val="0"/>
                    <w:adjustRightInd w:val="0"/>
                    <w:snapToGrid w:val="0"/>
                    <w:ind w:right="0"/>
                    <w:jc w:val="both"/>
                    <w:textAlignment w:val="auto"/>
                    <w:rPr>
                      <w:rFonts w:hint="eastAsia" w:eastAsia="宋体"/>
                      <w:color w:val="auto"/>
                      <w:sz w:val="21"/>
                      <w:szCs w:val="21"/>
                      <w:highlight w:val="none"/>
                      <w:lang w:eastAsia="zh-CN"/>
                    </w:rPr>
                  </w:pPr>
                  <w:r>
                    <w:rPr>
                      <w:rFonts w:hint="eastAsia" w:cs="Calibri"/>
                      <w:color w:val="auto"/>
                      <w:sz w:val="21"/>
                      <w:szCs w:val="21"/>
                      <w:highlight w:val="none"/>
                      <w:lang w:eastAsia="zh-CN"/>
                    </w:rPr>
                    <w:t>不属于</w:t>
                  </w:r>
                  <w:r>
                    <w:rPr>
                      <w:rFonts w:hint="eastAsia"/>
                      <w:color w:val="auto"/>
                      <w:sz w:val="21"/>
                      <w:szCs w:val="21"/>
                      <w:highlight w:val="none"/>
                    </w:rPr>
                    <w:t>工业涂装</w:t>
                  </w:r>
                  <w:r>
                    <w:rPr>
                      <w:rFonts w:hint="eastAsia"/>
                      <w:color w:val="auto"/>
                      <w:sz w:val="21"/>
                      <w:szCs w:val="21"/>
                      <w:highlight w:val="none"/>
                      <w:lang w:eastAsia="zh-CN"/>
                    </w:rPr>
                    <w:t>项目</w:t>
                  </w:r>
                </w:p>
              </w:tc>
              <w:tc>
                <w:tcPr>
                  <w:tcW w:w="281" w:type="pct"/>
                  <w:tcBorders>
                    <w:tl2br w:val="nil"/>
                    <w:tr2bl w:val="nil"/>
                  </w:tcBorders>
                  <w:noWrap/>
                  <w:vAlign w:val="center"/>
                </w:tcPr>
                <w:p w14:paraId="1C742FBB">
                  <w:pPr>
                    <w:keepNext w:val="0"/>
                    <w:keepLines w:val="0"/>
                    <w:pageBreakBefore w:val="0"/>
                    <w:widowControl w:val="0"/>
                    <w:kinsoku/>
                    <w:wordWrap/>
                    <w:overflowPunct/>
                    <w:topLinePunct w:val="0"/>
                    <w:autoSpaceDE/>
                    <w:autoSpaceDN/>
                    <w:bidi w:val="0"/>
                    <w:adjustRightInd w:val="0"/>
                    <w:snapToGrid w:val="0"/>
                    <w:ind w:right="0"/>
                    <w:jc w:val="center"/>
                    <w:textAlignment w:val="auto"/>
                    <w:rPr>
                      <w:color w:val="auto"/>
                      <w:sz w:val="21"/>
                      <w:szCs w:val="21"/>
                      <w:highlight w:val="none"/>
                    </w:rPr>
                  </w:pPr>
                  <w:r>
                    <w:rPr>
                      <w:color w:val="auto"/>
                      <w:kern w:val="0"/>
                      <w:sz w:val="21"/>
                      <w:szCs w:val="21"/>
                      <w:highlight w:val="none"/>
                    </w:rPr>
                    <w:t>符合</w:t>
                  </w:r>
                </w:p>
              </w:tc>
            </w:tr>
            <w:tr w14:paraId="23CFA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85" w:type="pct"/>
                  <w:tcBorders>
                    <w:tl2br w:val="nil"/>
                    <w:tr2bl w:val="nil"/>
                  </w:tcBorders>
                  <w:noWrap/>
                  <w:vAlign w:val="center"/>
                </w:tcPr>
                <w:p w14:paraId="4E4ACBBC">
                  <w:pPr>
                    <w:keepNext w:val="0"/>
                    <w:keepLines w:val="0"/>
                    <w:pageBreakBefore w:val="0"/>
                    <w:widowControl w:val="0"/>
                    <w:kinsoku/>
                    <w:wordWrap/>
                    <w:overflowPunct/>
                    <w:topLinePunct w:val="0"/>
                    <w:autoSpaceDE/>
                    <w:autoSpaceDN/>
                    <w:bidi w:val="0"/>
                    <w:adjustRightInd w:val="0"/>
                    <w:snapToGrid w:val="0"/>
                    <w:ind w:right="0"/>
                    <w:jc w:val="both"/>
                    <w:textAlignment w:val="auto"/>
                    <w:rPr>
                      <w:rFonts w:hint="eastAsia"/>
                      <w:color w:val="auto"/>
                      <w:sz w:val="21"/>
                      <w:szCs w:val="21"/>
                      <w:highlight w:val="none"/>
                    </w:rPr>
                  </w:pPr>
                  <w:r>
                    <w:rPr>
                      <w:rFonts w:hint="eastAsia"/>
                      <w:color w:val="auto"/>
                      <w:sz w:val="21"/>
                      <w:szCs w:val="21"/>
                      <w:highlight w:val="none"/>
                    </w:rPr>
                    <w:t>3．实施包装印刷行业VOCs治理提升工程。加强印刷、烘干、复合、清洗等工艺有机废气分类收集与处理，收集的废气采取回收、焚烧等高效末端治理措施。对转运、储存等环节，采取密闭措施。</w:t>
                  </w:r>
                </w:p>
              </w:tc>
              <w:tc>
                <w:tcPr>
                  <w:tcW w:w="2032" w:type="pct"/>
                  <w:tcBorders>
                    <w:tl2br w:val="nil"/>
                    <w:tr2bl w:val="nil"/>
                  </w:tcBorders>
                  <w:noWrap/>
                  <w:vAlign w:val="center"/>
                </w:tcPr>
                <w:p w14:paraId="07457BB9">
                  <w:pPr>
                    <w:keepNext w:val="0"/>
                    <w:keepLines w:val="0"/>
                    <w:pageBreakBefore w:val="0"/>
                    <w:widowControl w:val="0"/>
                    <w:kinsoku/>
                    <w:wordWrap/>
                    <w:overflowPunct/>
                    <w:topLinePunct w:val="0"/>
                    <w:autoSpaceDE/>
                    <w:autoSpaceDN/>
                    <w:bidi w:val="0"/>
                    <w:adjustRightInd w:val="0"/>
                    <w:snapToGrid w:val="0"/>
                    <w:ind w:right="0"/>
                    <w:jc w:val="both"/>
                    <w:textAlignment w:val="auto"/>
                    <w:rPr>
                      <w:rFonts w:hint="eastAsia" w:cs="Calibri"/>
                      <w:color w:val="auto"/>
                      <w:sz w:val="21"/>
                      <w:szCs w:val="21"/>
                      <w:highlight w:val="none"/>
                      <w:lang w:eastAsia="zh-CN"/>
                    </w:rPr>
                  </w:pPr>
                  <w:r>
                    <w:rPr>
                      <w:rFonts w:hint="eastAsia" w:cs="Calibri"/>
                      <w:color w:val="auto"/>
                      <w:sz w:val="21"/>
                      <w:szCs w:val="21"/>
                      <w:highlight w:val="none"/>
                      <w:lang w:eastAsia="zh-CN"/>
                    </w:rPr>
                    <w:t>不属于</w:t>
                  </w:r>
                  <w:r>
                    <w:rPr>
                      <w:rFonts w:hint="eastAsia"/>
                      <w:color w:val="auto"/>
                      <w:sz w:val="21"/>
                      <w:szCs w:val="21"/>
                      <w:highlight w:val="none"/>
                    </w:rPr>
                    <w:t>包装印刷行业</w:t>
                  </w:r>
                </w:p>
              </w:tc>
              <w:tc>
                <w:tcPr>
                  <w:tcW w:w="281" w:type="pct"/>
                  <w:tcBorders>
                    <w:tl2br w:val="nil"/>
                    <w:tr2bl w:val="nil"/>
                  </w:tcBorders>
                  <w:noWrap/>
                  <w:vAlign w:val="center"/>
                </w:tcPr>
                <w:p w14:paraId="47BA34D7">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eastAsia="zh-CN"/>
                    </w:rPr>
                    <w:t>符合</w:t>
                  </w:r>
                </w:p>
              </w:tc>
            </w:tr>
            <w:tr w14:paraId="2E6F7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85" w:type="pct"/>
                  <w:tcBorders>
                    <w:tl2br w:val="nil"/>
                    <w:tr2bl w:val="nil"/>
                  </w:tcBorders>
                  <w:noWrap/>
                  <w:vAlign w:val="center"/>
                </w:tcPr>
                <w:p w14:paraId="69250941">
                  <w:pPr>
                    <w:keepNext w:val="0"/>
                    <w:keepLines w:val="0"/>
                    <w:pageBreakBefore w:val="0"/>
                    <w:widowControl w:val="0"/>
                    <w:kinsoku/>
                    <w:wordWrap/>
                    <w:overflowPunct/>
                    <w:topLinePunct w:val="0"/>
                    <w:autoSpaceDE/>
                    <w:autoSpaceDN/>
                    <w:bidi w:val="0"/>
                    <w:adjustRightInd w:val="0"/>
                    <w:snapToGrid w:val="0"/>
                    <w:ind w:right="0"/>
                    <w:jc w:val="both"/>
                    <w:textAlignment w:val="auto"/>
                    <w:rPr>
                      <w:rFonts w:hint="eastAsia"/>
                      <w:color w:val="auto"/>
                      <w:sz w:val="21"/>
                      <w:szCs w:val="21"/>
                      <w:highlight w:val="none"/>
                    </w:rPr>
                  </w:pPr>
                  <w:r>
                    <w:rPr>
                      <w:rFonts w:hint="eastAsia"/>
                      <w:color w:val="auto"/>
                      <w:sz w:val="21"/>
                      <w:szCs w:val="21"/>
                      <w:highlight w:val="none"/>
                    </w:rPr>
                    <w:t>4．实施其他工业VOCs治理提升工程。电子信息行业完成溶剂清洗、光刻、涂胶、涂装等工序挥发性有机物治理，纺织印染行业完成定型机、印花废气治理，木材加工行业完成干燥、涂胶、热压过程挥发性有机物治理。</w:t>
                  </w:r>
                </w:p>
              </w:tc>
              <w:tc>
                <w:tcPr>
                  <w:tcW w:w="2032" w:type="pct"/>
                  <w:tcBorders>
                    <w:tl2br w:val="nil"/>
                    <w:tr2bl w:val="nil"/>
                  </w:tcBorders>
                  <w:noWrap/>
                  <w:vAlign w:val="center"/>
                </w:tcPr>
                <w:p w14:paraId="2497861C">
                  <w:pPr>
                    <w:keepNext w:val="0"/>
                    <w:keepLines w:val="0"/>
                    <w:pageBreakBefore w:val="0"/>
                    <w:widowControl w:val="0"/>
                    <w:kinsoku/>
                    <w:wordWrap/>
                    <w:overflowPunct/>
                    <w:topLinePunct w:val="0"/>
                    <w:autoSpaceDE/>
                    <w:autoSpaceDN/>
                    <w:bidi w:val="0"/>
                    <w:adjustRightInd w:val="0"/>
                    <w:snapToGrid w:val="0"/>
                    <w:ind w:right="0"/>
                    <w:jc w:val="both"/>
                    <w:textAlignment w:val="auto"/>
                    <w:rPr>
                      <w:rFonts w:hint="eastAsia" w:cs="Calibri"/>
                      <w:color w:val="auto"/>
                      <w:sz w:val="21"/>
                      <w:szCs w:val="21"/>
                      <w:highlight w:val="none"/>
                      <w:lang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沥青储罐呼吸口设密封式集气装置，</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料口设集气装置，将沥青加热过程产生的沥青烟气收集后引入总集气管道，沥青储罐加热、搅拌过程密闭。废气采用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r>
                    <w:rPr>
                      <w:rFonts w:hint="eastAsia" w:ascii="Times New Roman" w:hAnsi="Times New Roman" w:eastAsia="宋体"/>
                      <w:color w:val="auto"/>
                      <w:kern w:val="2"/>
                      <w:sz w:val="21"/>
                      <w:szCs w:val="21"/>
                      <w:highlight w:val="none"/>
                      <w:lang w:val="en-US" w:eastAsia="zh-CN"/>
                    </w:rPr>
                    <w:t>。</w:t>
                  </w:r>
                  <w:r>
                    <w:rPr>
                      <w:rFonts w:cs="Calibri"/>
                      <w:color w:val="auto"/>
                      <w:sz w:val="21"/>
                      <w:szCs w:val="21"/>
                      <w:highlight w:val="none"/>
                    </w:rPr>
                    <w:t>废气达标排放</w:t>
                  </w:r>
                </w:p>
              </w:tc>
              <w:tc>
                <w:tcPr>
                  <w:tcW w:w="281" w:type="pct"/>
                  <w:tcBorders>
                    <w:tl2br w:val="nil"/>
                    <w:tr2bl w:val="nil"/>
                  </w:tcBorders>
                  <w:noWrap/>
                  <w:vAlign w:val="center"/>
                </w:tcPr>
                <w:p w14:paraId="55875E3C">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eastAsia"/>
                      <w:color w:val="auto"/>
                      <w:kern w:val="0"/>
                      <w:sz w:val="21"/>
                      <w:szCs w:val="21"/>
                      <w:highlight w:val="none"/>
                      <w:lang w:eastAsia="zh-CN"/>
                    </w:rPr>
                  </w:pPr>
                  <w:r>
                    <w:rPr>
                      <w:rFonts w:hint="eastAsia"/>
                      <w:color w:val="auto"/>
                      <w:kern w:val="0"/>
                      <w:sz w:val="21"/>
                      <w:szCs w:val="21"/>
                      <w:highlight w:val="none"/>
                      <w:lang w:eastAsia="zh-CN"/>
                    </w:rPr>
                    <w:t>符合</w:t>
                  </w:r>
                </w:p>
              </w:tc>
            </w:tr>
          </w:tbl>
          <w:p w14:paraId="2DEC4B15">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lang w:val="en-US" w:eastAsia="zh-CN" w:bidi="ar"/>
              </w:rPr>
            </w:pPr>
            <w:r>
              <w:rPr>
                <w:rFonts w:hint="eastAsia" w:cs="Times New Roman"/>
                <w:b/>
                <w:bCs/>
                <w:color w:val="auto"/>
                <w:spacing w:val="0"/>
                <w:kern w:val="0"/>
                <w:position w:val="0"/>
                <w:sz w:val="24"/>
                <w:szCs w:val="24"/>
                <w:lang w:val="en-US" w:eastAsia="zh-CN" w:bidi="ar"/>
              </w:rPr>
              <w:t>11</w:t>
            </w:r>
            <w:r>
              <w:rPr>
                <w:rFonts w:hint="default" w:ascii="Times New Roman" w:hAnsi="Times New Roman" w:eastAsia="宋体" w:cs="Times New Roman"/>
                <w:b/>
                <w:bCs/>
                <w:color w:val="auto"/>
                <w:spacing w:val="0"/>
                <w:kern w:val="0"/>
                <w:position w:val="0"/>
                <w:sz w:val="24"/>
                <w:szCs w:val="24"/>
                <w:lang w:val="en-US" w:eastAsia="zh-CN" w:bidi="ar"/>
              </w:rPr>
              <w:t>、与南水北调</w:t>
            </w:r>
            <w:r>
              <w:rPr>
                <w:rFonts w:hint="eastAsia" w:cs="Times New Roman"/>
                <w:b/>
                <w:bCs/>
                <w:color w:val="auto"/>
                <w:spacing w:val="0"/>
                <w:kern w:val="0"/>
                <w:position w:val="0"/>
                <w:sz w:val="24"/>
                <w:szCs w:val="24"/>
                <w:lang w:val="en-US" w:eastAsia="zh-CN" w:bidi="ar"/>
              </w:rPr>
              <w:t>东线工程</w:t>
            </w:r>
            <w:r>
              <w:rPr>
                <w:rFonts w:hint="default" w:ascii="Times New Roman" w:hAnsi="Times New Roman" w:eastAsia="宋体" w:cs="Times New Roman"/>
                <w:b/>
                <w:bCs/>
                <w:color w:val="auto"/>
                <w:spacing w:val="0"/>
                <w:kern w:val="0"/>
                <w:position w:val="0"/>
                <w:sz w:val="24"/>
                <w:szCs w:val="24"/>
                <w:lang w:val="en-US" w:eastAsia="zh-CN" w:bidi="ar"/>
              </w:rPr>
              <w:t>的</w:t>
            </w:r>
            <w:r>
              <w:rPr>
                <w:rFonts w:hint="eastAsia" w:cs="Times New Roman"/>
                <w:b/>
                <w:bCs/>
                <w:color w:val="auto"/>
                <w:spacing w:val="0"/>
                <w:kern w:val="0"/>
                <w:position w:val="0"/>
                <w:sz w:val="24"/>
                <w:szCs w:val="24"/>
                <w:lang w:val="en-US" w:eastAsia="zh-CN" w:bidi="ar"/>
              </w:rPr>
              <w:t>位置</w:t>
            </w:r>
            <w:r>
              <w:rPr>
                <w:rFonts w:hint="default" w:ascii="Times New Roman" w:hAnsi="Times New Roman" w:eastAsia="宋体" w:cs="Times New Roman"/>
                <w:b/>
                <w:bCs/>
                <w:color w:val="auto"/>
                <w:spacing w:val="0"/>
                <w:kern w:val="0"/>
                <w:position w:val="0"/>
                <w:sz w:val="24"/>
                <w:szCs w:val="24"/>
                <w:lang w:val="en-US" w:eastAsia="zh-CN" w:bidi="ar"/>
              </w:rPr>
              <w:t>关系</w:t>
            </w:r>
          </w:p>
          <w:p w14:paraId="116B98FB">
            <w:pPr>
              <w:keepNext w:val="0"/>
              <w:keepLines w:val="0"/>
              <w:pageBreakBefore w:val="0"/>
              <w:widowControl w:val="0"/>
              <w:tabs>
                <w:tab w:val="left" w:pos="4648"/>
              </w:tabs>
              <w:kinsoku/>
              <w:wordWrap/>
              <w:overflowPunct/>
              <w:topLinePunct w:val="0"/>
              <w:bidi w:val="0"/>
              <w:adjustRightInd/>
              <w:snapToGrid/>
              <w:spacing w:line="360" w:lineRule="auto"/>
              <w:ind w:firstLine="480" w:firstLineChars="200"/>
              <w:jc w:val="both"/>
              <w:textAlignment w:val="auto"/>
              <w:rPr>
                <w:rFonts w:hint="eastAsia"/>
                <w:color w:val="auto"/>
                <w:sz w:val="24"/>
                <w:szCs w:val="24"/>
                <w:highlight w:val="none"/>
                <w:lang w:eastAsia="zh-CN"/>
              </w:rPr>
            </w:pPr>
            <w:r>
              <w:rPr>
                <w:rFonts w:hint="eastAsia" w:ascii="Times New Roman" w:hAnsi="Times New Roman" w:eastAsia="宋体" w:cs="Times New Roman"/>
                <w:color w:val="FF0000"/>
                <w:sz w:val="24"/>
                <w:szCs w:val="44"/>
                <w:highlight w:val="none"/>
                <w:lang w:val="en-US" w:eastAsia="zh-CN"/>
              </w:rPr>
              <w:t>根据山东省生态环境厅2024年5月30日</w:t>
            </w:r>
            <w:r>
              <w:rPr>
                <w:rFonts w:hint="eastAsia" w:cs="Times New Roman"/>
                <w:color w:val="FF0000"/>
                <w:sz w:val="24"/>
                <w:szCs w:val="44"/>
                <w:highlight w:val="none"/>
                <w:lang w:val="en-US" w:eastAsia="zh-CN"/>
              </w:rPr>
              <w:t>公发布的</w:t>
            </w:r>
            <w:r>
              <w:rPr>
                <w:rFonts w:hint="eastAsia" w:ascii="Times New Roman" w:hAnsi="Times New Roman" w:eastAsia="宋体" w:cs="Times New Roman"/>
                <w:color w:val="FF0000"/>
                <w:sz w:val="24"/>
                <w:szCs w:val="44"/>
                <w:highlight w:val="none"/>
                <w:lang w:val="en-US" w:eastAsia="zh-CN"/>
              </w:rPr>
              <w:t>《关于山东省南四湖流域核心、重点和一般保护区域涉及具体范围的公示》（http://www.sdein.gov.cn/zwgk/gsgg/202405/t20240530_4733078.html）</w:t>
            </w:r>
            <w:r>
              <w:rPr>
                <w:rFonts w:hint="eastAsia" w:ascii="Times New Roman" w:hAnsi="Times New Roman" w:eastAsia="宋体" w:cs="Times New Roman"/>
                <w:color w:val="FF0000"/>
                <w:kern w:val="2"/>
                <w:sz w:val="24"/>
                <w:szCs w:val="24"/>
                <w:lang w:val="en-US" w:eastAsia="zh-CN" w:bidi="ar-SA"/>
              </w:rPr>
              <w:t>，</w:t>
            </w:r>
            <w:r>
              <w:rPr>
                <w:color w:val="0000FF"/>
                <w:sz w:val="24"/>
                <w:szCs w:val="24"/>
                <w:highlight w:val="none"/>
              </w:rPr>
              <w:t>本项目</w:t>
            </w:r>
            <w:r>
              <w:rPr>
                <w:rFonts w:hint="eastAsia"/>
                <w:color w:val="0000FF"/>
                <w:sz w:val="24"/>
                <w:szCs w:val="24"/>
                <w:highlight w:val="none"/>
                <w:lang w:val="en-US" w:eastAsia="zh-CN"/>
              </w:rPr>
              <w:t>位于山东省济宁市嘉祥县卧龙山街道嘉金线西（嘉冠公司对过），位于卧龙山街道东郭庄村南，</w:t>
            </w:r>
            <w:r>
              <w:rPr>
                <w:color w:val="auto"/>
                <w:sz w:val="24"/>
                <w:szCs w:val="24"/>
                <w:highlight w:val="none"/>
              </w:rPr>
              <w:t>属于南四湖东平湖流</w:t>
            </w:r>
            <w:r>
              <w:rPr>
                <w:color w:val="0000FF"/>
                <w:sz w:val="24"/>
                <w:szCs w:val="24"/>
                <w:highlight w:val="yellow"/>
              </w:rPr>
              <w:t>域</w:t>
            </w:r>
            <w:r>
              <w:rPr>
                <w:rFonts w:hint="eastAsia"/>
                <w:color w:val="0000FF"/>
                <w:sz w:val="24"/>
                <w:szCs w:val="24"/>
                <w:highlight w:val="yellow"/>
                <w:lang w:val="en-US" w:eastAsia="zh-CN"/>
              </w:rPr>
              <w:t>重点</w:t>
            </w:r>
            <w:r>
              <w:rPr>
                <w:color w:val="auto"/>
                <w:sz w:val="24"/>
                <w:szCs w:val="24"/>
                <w:highlight w:val="none"/>
              </w:rPr>
              <w:t>保护区，排水需满足山东省地方标准《流域水污染物综合排放标准第1部分：南四湖东平湖流域》（DB37/3416.1-20</w:t>
            </w:r>
            <w:r>
              <w:rPr>
                <w:rFonts w:hint="eastAsia"/>
                <w:color w:val="auto"/>
                <w:sz w:val="24"/>
                <w:szCs w:val="24"/>
                <w:highlight w:val="none"/>
                <w:lang w:val="en-US" w:eastAsia="zh-CN"/>
              </w:rPr>
              <w:t>23</w:t>
            </w:r>
            <w:r>
              <w:rPr>
                <w:color w:val="auto"/>
                <w:sz w:val="24"/>
                <w:szCs w:val="24"/>
                <w:highlight w:val="none"/>
              </w:rPr>
              <w:t>）</w:t>
            </w:r>
            <w:r>
              <w:rPr>
                <w:rFonts w:hint="eastAsia"/>
                <w:color w:val="auto"/>
                <w:sz w:val="24"/>
                <w:szCs w:val="24"/>
                <w:highlight w:val="yellow"/>
                <w:lang w:val="en-US" w:eastAsia="zh-CN"/>
              </w:rPr>
              <w:t>重点</w:t>
            </w:r>
            <w:r>
              <w:rPr>
                <w:color w:val="auto"/>
                <w:sz w:val="24"/>
                <w:szCs w:val="24"/>
                <w:highlight w:val="yellow"/>
              </w:rPr>
              <w:t>保护区</w:t>
            </w:r>
            <w:r>
              <w:rPr>
                <w:color w:val="auto"/>
                <w:sz w:val="24"/>
                <w:szCs w:val="24"/>
                <w:highlight w:val="none"/>
              </w:rPr>
              <w:t>域标准要求。本项目</w:t>
            </w:r>
            <w:r>
              <w:rPr>
                <w:rFonts w:hint="eastAsia"/>
                <w:color w:val="auto"/>
                <w:sz w:val="24"/>
                <w:szCs w:val="24"/>
                <w:highlight w:val="none"/>
                <w:lang w:val="en-US" w:eastAsia="zh-CN"/>
              </w:rPr>
              <w:t>无生产废水</w:t>
            </w:r>
            <w:r>
              <w:rPr>
                <w:color w:val="auto"/>
                <w:sz w:val="24"/>
                <w:szCs w:val="24"/>
                <w:highlight w:val="none"/>
              </w:rPr>
              <w:t>外排，</w:t>
            </w:r>
            <w:r>
              <w:rPr>
                <w:rFonts w:hint="eastAsia" w:cs="Times New Roman"/>
                <w:bCs/>
                <w:color w:val="auto"/>
                <w:sz w:val="24"/>
                <w:szCs w:val="24"/>
                <w:vertAlign w:val="baseline"/>
                <w:lang w:val="en-US" w:eastAsia="zh-CN"/>
              </w:rPr>
              <w:t>职工生活污水经化粪池处理后排入嘉祥公用水务有限公司处理，</w:t>
            </w:r>
            <w:r>
              <w:rPr>
                <w:color w:val="auto"/>
                <w:sz w:val="24"/>
                <w:szCs w:val="24"/>
                <w:highlight w:val="none"/>
              </w:rPr>
              <w:t>符合南四湖东平湖流域相关要求</w:t>
            </w:r>
            <w:r>
              <w:rPr>
                <w:rFonts w:hint="eastAsia"/>
                <w:color w:val="auto"/>
                <w:sz w:val="24"/>
                <w:szCs w:val="24"/>
                <w:highlight w:val="none"/>
                <w:lang w:eastAsia="zh-CN"/>
              </w:rPr>
              <w:t>。</w:t>
            </w:r>
          </w:p>
          <w:p w14:paraId="07ADA0D9">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5EEC4F79">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16EEE2C2">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66F65584">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20736E84">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2A27BECA">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297BCBD7">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40EB8423">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26208C99">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2CA1B265">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1BFF3F58">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195E8EBC">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18C4C2CA">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5D2A56A7">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480AD19A">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6805BCB2">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1C9E73A7">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63714AFE">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03F487B0">
            <w:pPr>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0"/>
                <w:position w:val="0"/>
                <w:sz w:val="24"/>
                <w:szCs w:val="24"/>
                <w:lang w:val="en-US" w:eastAsia="zh-CN" w:bidi="ar"/>
              </w:rPr>
            </w:pPr>
          </w:p>
          <w:p w14:paraId="0776F341">
            <w:pPr>
              <w:keepNext w:val="0"/>
              <w:keepLines w:val="0"/>
              <w:pageBreakBefore w:val="0"/>
              <w:widowControl w:val="0"/>
              <w:tabs>
                <w:tab w:val="left" w:pos="4648"/>
              </w:tabs>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lang w:val="en-US" w:eastAsia="zh-CN"/>
              </w:rPr>
            </w:pPr>
          </w:p>
        </w:tc>
      </w:tr>
    </w:tbl>
    <w:p w14:paraId="164C167B">
      <w:pPr>
        <w:spacing w:line="360" w:lineRule="auto"/>
        <w:outlineLvl w:val="0"/>
        <w:rPr>
          <w:rFonts w:hint="default" w:ascii="Times New Roman" w:hAnsi="Times New Roman" w:eastAsia="宋体" w:cs="Times New Roman"/>
          <w:color w:val="auto"/>
          <w:sz w:val="30"/>
        </w:rPr>
        <w:sectPr>
          <w:footerReference r:id="rId5" w:type="default"/>
          <w:pgSz w:w="11906" w:h="16838"/>
          <w:pgMar w:top="1440" w:right="1800" w:bottom="1440" w:left="1800" w:header="907" w:footer="907" w:gutter="0"/>
          <w:pgBorders>
            <w:top w:val="none" w:sz="0" w:space="0"/>
            <w:left w:val="none" w:sz="0" w:space="0"/>
            <w:bottom w:val="none" w:sz="0" w:space="0"/>
            <w:right w:val="none" w:sz="0" w:space="0"/>
          </w:pgBorders>
          <w:pgNumType w:fmt="decimal" w:start="1"/>
          <w:cols w:space="720" w:num="1"/>
          <w:docGrid w:linePitch="312" w:charSpace="0"/>
        </w:sectPr>
      </w:pPr>
    </w:p>
    <w:p w14:paraId="70DB5A19">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二、建设项目工程分析</w:t>
      </w:r>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072"/>
      </w:tblGrid>
      <w:tr w14:paraId="2CDAB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14:paraId="72CA8B97">
            <w:pPr>
              <w:pStyle w:val="21"/>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4740" w:type="pct"/>
            <w:noWrap w:val="0"/>
            <w:vAlign w:val="top"/>
          </w:tcPr>
          <w:p w14:paraId="6566B6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嘉祥兴亮公路工程设备有限公司</w:t>
            </w:r>
            <w:r>
              <w:rPr>
                <w:rFonts w:hint="eastAsia" w:cs="Times New Roman"/>
                <w:bCs/>
                <w:color w:val="auto"/>
                <w:sz w:val="24"/>
                <w:szCs w:val="24"/>
                <w:lang w:val="en-US" w:eastAsia="zh-CN"/>
              </w:rPr>
              <w:t>位于</w:t>
            </w:r>
            <w:r>
              <w:rPr>
                <w:rFonts w:hint="eastAsia" w:cs="Times New Roman"/>
                <w:color w:val="auto"/>
                <w:spacing w:val="0"/>
                <w:kern w:val="0"/>
                <w:position w:val="0"/>
                <w:sz w:val="24"/>
                <w:szCs w:val="24"/>
                <w:lang w:val="en-US" w:eastAsia="zh-CN"/>
              </w:rPr>
              <w:t>山东省济宁市嘉祥县卧龙山街道嘉金线西（嘉冠公司对过），现有</w:t>
            </w:r>
            <w:r>
              <w:rPr>
                <w:rFonts w:hint="default" w:ascii="Times New Roman" w:hAnsi="Times New Roman" w:eastAsia="宋体" w:cs="Times New Roman"/>
                <w:bCs/>
                <w:color w:val="auto"/>
                <w:sz w:val="24"/>
                <w:szCs w:val="24"/>
                <w:lang w:val="en-US" w:eastAsia="zh-CN"/>
              </w:rPr>
              <w:t>项目为</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水稳、水泥混凝土、沥青混凝土</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拌和站建设项目</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其现状环境影响评估报告于2017年5月</w:t>
            </w:r>
            <w:r>
              <w:rPr>
                <w:rFonts w:hint="eastAsia" w:cs="Times New Roman"/>
                <w:bCs/>
                <w:color w:val="auto"/>
                <w:sz w:val="24"/>
                <w:szCs w:val="24"/>
                <w:lang w:val="en-US" w:eastAsia="zh-CN"/>
              </w:rPr>
              <w:t>31</w:t>
            </w:r>
            <w:r>
              <w:rPr>
                <w:rFonts w:hint="default" w:ascii="Times New Roman" w:hAnsi="Times New Roman" w:eastAsia="宋体" w:cs="Times New Roman"/>
                <w:bCs/>
                <w:color w:val="auto"/>
                <w:sz w:val="24"/>
                <w:szCs w:val="24"/>
                <w:lang w:val="en-US" w:eastAsia="zh-CN"/>
              </w:rPr>
              <w:t>日取得</w:t>
            </w:r>
            <w:r>
              <w:rPr>
                <w:rFonts w:hint="eastAsia" w:cs="Times New Roman"/>
                <w:bCs/>
                <w:color w:val="auto"/>
                <w:sz w:val="24"/>
                <w:szCs w:val="24"/>
                <w:lang w:val="en-US" w:eastAsia="zh-CN"/>
              </w:rPr>
              <w:t>原</w:t>
            </w:r>
            <w:r>
              <w:rPr>
                <w:rFonts w:hint="default" w:ascii="Times New Roman" w:hAnsi="Times New Roman" w:eastAsia="宋体" w:cs="Times New Roman"/>
                <w:bCs/>
                <w:color w:val="auto"/>
                <w:sz w:val="24"/>
                <w:szCs w:val="24"/>
                <w:lang w:val="en-US" w:eastAsia="zh-CN"/>
              </w:rPr>
              <w:t>嘉祥县环境保护局</w:t>
            </w:r>
            <w:r>
              <w:rPr>
                <w:rFonts w:hint="eastAsia" w:cs="Times New Roman"/>
                <w:bCs/>
                <w:color w:val="auto"/>
                <w:sz w:val="24"/>
                <w:szCs w:val="24"/>
                <w:lang w:val="en-US" w:eastAsia="zh-CN"/>
              </w:rPr>
              <w:t>的备案意见</w:t>
            </w:r>
            <w:r>
              <w:rPr>
                <w:rFonts w:hint="default" w:ascii="Times New Roman" w:hAnsi="Times New Roman" w:eastAsia="宋体" w:cs="Times New Roman"/>
                <w:bCs/>
                <w:color w:val="auto"/>
                <w:sz w:val="24"/>
                <w:szCs w:val="24"/>
                <w:lang w:val="en-US" w:eastAsia="zh-CN"/>
              </w:rPr>
              <w:t>（嘉环备[2017]119号）</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为满足市场需求和企业发展需要，嘉祥兴亮公路工程设备有限公司拟</w:t>
            </w:r>
            <w:r>
              <w:rPr>
                <w:rFonts w:hint="eastAsia" w:cs="Times New Roman"/>
                <w:bCs/>
                <w:color w:val="auto"/>
                <w:sz w:val="24"/>
                <w:szCs w:val="24"/>
                <w:lang w:val="en-US" w:eastAsia="zh-CN"/>
              </w:rPr>
              <w:t>对现有项目的</w:t>
            </w:r>
            <w:r>
              <w:rPr>
                <w:rFonts w:hint="default" w:ascii="Times New Roman" w:hAnsi="Times New Roman" w:eastAsia="宋体" w:cs="Times New Roman"/>
                <w:bCs/>
                <w:color w:val="auto"/>
                <w:sz w:val="24"/>
                <w:szCs w:val="24"/>
                <w:lang w:val="en-US" w:eastAsia="zh-CN"/>
              </w:rPr>
              <w:t>沥青混凝土</w:t>
            </w:r>
            <w:r>
              <w:rPr>
                <w:rFonts w:hint="eastAsia" w:ascii="Times New Roman" w:hAnsi="Times New Roman" w:eastAsia="宋体" w:cs="Times New Roman"/>
                <w:bCs/>
                <w:color w:val="auto"/>
                <w:sz w:val="24"/>
                <w:szCs w:val="24"/>
                <w:lang w:val="en-US" w:eastAsia="zh-CN"/>
              </w:rPr>
              <w:t>生产线进行改扩建（</w:t>
            </w:r>
            <w:r>
              <w:rPr>
                <w:rFonts w:hint="default" w:ascii="Times New Roman" w:hAnsi="Times New Roman" w:eastAsia="宋体" w:cs="Times New Roman"/>
                <w:bCs/>
                <w:color w:val="auto"/>
                <w:sz w:val="24"/>
                <w:szCs w:val="24"/>
                <w:lang w:val="en-US" w:eastAsia="zh-CN"/>
              </w:rPr>
              <w:t>水稳、水泥混凝土</w:t>
            </w:r>
            <w:r>
              <w:rPr>
                <w:rFonts w:hint="eastAsia" w:ascii="Times New Roman" w:hAnsi="Times New Roman" w:eastAsia="宋体" w:cs="Times New Roman"/>
                <w:bCs/>
                <w:color w:val="auto"/>
                <w:sz w:val="24"/>
                <w:szCs w:val="24"/>
                <w:lang w:val="en-US" w:eastAsia="zh-CN"/>
              </w:rPr>
              <w:t>生产线不变），将旧设备升级为效率更高的生产设备，沥青混凝土产能由3000t/a增加至50000t/a。新建一条乳化沥青生产线，产能为200t/a</w:t>
            </w:r>
            <w:r>
              <w:rPr>
                <w:rFonts w:hint="eastAsia" w:cs="Times New Roman"/>
                <w:bCs/>
                <w:color w:val="auto"/>
                <w:sz w:val="24"/>
                <w:szCs w:val="24"/>
                <w:lang w:val="en-US" w:eastAsia="zh-CN"/>
              </w:rPr>
              <w:t>。</w:t>
            </w:r>
          </w:p>
          <w:p w14:paraId="0443AFD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一</w:t>
            </w:r>
            <w:r>
              <w:rPr>
                <w:rFonts w:hint="default" w:ascii="Times New Roman" w:hAnsi="Times New Roman" w:eastAsia="宋体" w:cs="Times New Roman"/>
                <w:b/>
                <w:bCs w:val="0"/>
                <w:color w:val="auto"/>
                <w:sz w:val="24"/>
                <w:szCs w:val="24"/>
                <w:lang w:val="en-US" w:eastAsia="zh-CN"/>
              </w:rPr>
              <w:t>、项目组成</w:t>
            </w:r>
          </w:p>
          <w:p w14:paraId="52BE33B4">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项目组成一览表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933"/>
              <w:gridCol w:w="652"/>
              <w:gridCol w:w="4510"/>
              <w:gridCol w:w="1153"/>
            </w:tblGrid>
            <w:tr w14:paraId="25A7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noWrap w:val="0"/>
                  <w:vAlign w:val="center"/>
                </w:tcPr>
                <w:p w14:paraId="796785ED">
                  <w:pPr>
                    <w:adjustRightInd w:val="0"/>
                    <w:snapToGrid w:val="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类别</w:t>
                  </w:r>
                </w:p>
              </w:tc>
              <w:tc>
                <w:tcPr>
                  <w:tcW w:w="595" w:type="pct"/>
                  <w:noWrap w:val="0"/>
                  <w:vAlign w:val="center"/>
                </w:tcPr>
                <w:p w14:paraId="1CD209E5">
                  <w:pPr>
                    <w:adjustRightInd w:val="0"/>
                    <w:snapToGrid w:val="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名称</w:t>
                  </w:r>
                </w:p>
              </w:tc>
              <w:tc>
                <w:tcPr>
                  <w:tcW w:w="3292" w:type="pct"/>
                  <w:gridSpan w:val="2"/>
                  <w:noWrap w:val="0"/>
                  <w:vAlign w:val="center"/>
                </w:tcPr>
                <w:p w14:paraId="225FE407">
                  <w:pPr>
                    <w:adjustRightInd w:val="0"/>
                    <w:snapToGrid w:val="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内容</w:t>
                  </w:r>
                </w:p>
              </w:tc>
              <w:tc>
                <w:tcPr>
                  <w:tcW w:w="735" w:type="pct"/>
                  <w:noWrap w:val="0"/>
                  <w:vAlign w:val="center"/>
                </w:tcPr>
                <w:p w14:paraId="51333D08">
                  <w:pPr>
                    <w:adjustRightInd w:val="0"/>
                    <w:snapToGrid w:val="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备注</w:t>
                  </w:r>
                </w:p>
              </w:tc>
            </w:tr>
            <w:tr w14:paraId="63D2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noWrap w:val="0"/>
                  <w:vAlign w:val="center"/>
                </w:tcPr>
                <w:p w14:paraId="1E817C54">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主体工程</w:t>
                  </w:r>
                </w:p>
              </w:tc>
              <w:tc>
                <w:tcPr>
                  <w:tcW w:w="595" w:type="pct"/>
                  <w:noWrap w:val="0"/>
                  <w:vAlign w:val="center"/>
                </w:tcPr>
                <w:p w14:paraId="01E05685">
                  <w:pPr>
                    <w:adjustRightInd w:val="0"/>
                    <w:snapToGrid w:val="0"/>
                    <w:jc w:val="center"/>
                    <w:rPr>
                      <w:rFonts w:hint="eastAsia" w:ascii="Times New Roman" w:hAnsi="Times New Roman" w:eastAsia="宋体" w:cs="Times New Roman"/>
                      <w:bCs/>
                      <w:color w:val="auto"/>
                      <w:sz w:val="21"/>
                      <w:szCs w:val="21"/>
                      <w:vertAlign w:val="baseline"/>
                      <w:lang w:eastAsia="zh-CN"/>
                    </w:rPr>
                  </w:pPr>
                  <w:r>
                    <w:rPr>
                      <w:rFonts w:hint="default" w:ascii="Times New Roman" w:hAnsi="Times New Roman" w:eastAsia="宋体" w:cs="Times New Roman"/>
                      <w:bCs/>
                      <w:color w:val="auto"/>
                      <w:sz w:val="21"/>
                      <w:szCs w:val="21"/>
                      <w:vertAlign w:val="baseline"/>
                    </w:rPr>
                    <w:t>沥青混凝土</w:t>
                  </w:r>
                  <w:r>
                    <w:rPr>
                      <w:rFonts w:hint="eastAsia" w:cs="Times New Roman"/>
                      <w:bCs/>
                      <w:color w:val="auto"/>
                      <w:sz w:val="21"/>
                      <w:szCs w:val="21"/>
                      <w:vertAlign w:val="baseline"/>
                      <w:lang w:val="en-US" w:eastAsia="zh-CN"/>
                    </w:rPr>
                    <w:t>拌和站</w:t>
                  </w:r>
                </w:p>
              </w:tc>
              <w:tc>
                <w:tcPr>
                  <w:tcW w:w="3292" w:type="pct"/>
                  <w:gridSpan w:val="2"/>
                  <w:noWrap w:val="0"/>
                  <w:vAlign w:val="center"/>
                </w:tcPr>
                <w:p w14:paraId="731D0199">
                  <w:pPr>
                    <w:adjustRightInd w:val="0"/>
                    <w:snapToGrid w:val="0"/>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1座，面积1</w:t>
                  </w:r>
                  <w:r>
                    <w:rPr>
                      <w:rFonts w:hint="eastAsia" w:cs="Times New Roman"/>
                      <w:bCs/>
                      <w:color w:val="auto"/>
                      <w:sz w:val="21"/>
                      <w:szCs w:val="21"/>
                      <w:vertAlign w:val="baseline"/>
                      <w:lang w:val="en-US" w:eastAsia="zh-CN"/>
                    </w:rPr>
                    <w:t>00</w:t>
                  </w:r>
                  <w:r>
                    <w:rPr>
                      <w:rFonts w:hint="default" w:ascii="Times New Roman" w:hAnsi="Times New Roman" w:eastAsia="宋体" w:cs="Times New Roman"/>
                      <w:bCs/>
                      <w:color w:val="auto"/>
                      <w:sz w:val="21"/>
                      <w:szCs w:val="21"/>
                      <w:vertAlign w:val="baseline"/>
                      <w:lang w:val="en-US" w:eastAsia="zh-CN"/>
                    </w:rPr>
                    <w:t>0m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对现有的</w:t>
                  </w:r>
                  <w:r>
                    <w:rPr>
                      <w:rFonts w:hint="default" w:ascii="Times New Roman" w:hAnsi="Times New Roman" w:eastAsia="宋体" w:cs="Times New Roman"/>
                      <w:bCs/>
                      <w:color w:val="auto"/>
                      <w:sz w:val="21"/>
                      <w:szCs w:val="21"/>
                      <w:vertAlign w:val="baseline"/>
                      <w:lang w:val="en-US" w:eastAsia="zh-CN"/>
                    </w:rPr>
                    <w:t>一套沥青</w:t>
                  </w:r>
                  <w:r>
                    <w:rPr>
                      <w:rFonts w:hint="eastAsia" w:cs="Times New Roman"/>
                      <w:bCs/>
                      <w:color w:val="auto"/>
                      <w:sz w:val="21"/>
                      <w:szCs w:val="21"/>
                      <w:vertAlign w:val="baseline"/>
                      <w:lang w:val="en-US" w:eastAsia="zh-CN"/>
                    </w:rPr>
                    <w:t>混凝土</w:t>
                  </w:r>
                  <w:r>
                    <w:rPr>
                      <w:rFonts w:hint="default" w:ascii="Times New Roman" w:hAnsi="Times New Roman" w:eastAsia="宋体" w:cs="Times New Roman"/>
                      <w:bCs/>
                      <w:color w:val="auto"/>
                      <w:sz w:val="21"/>
                      <w:szCs w:val="21"/>
                      <w:vertAlign w:val="baseline"/>
                      <w:lang w:val="en-US" w:eastAsia="zh-CN"/>
                    </w:rPr>
                    <w:t>设备</w:t>
                  </w:r>
                  <w:r>
                    <w:rPr>
                      <w:rFonts w:hint="eastAsia" w:cs="Times New Roman"/>
                      <w:bCs/>
                      <w:color w:val="auto"/>
                      <w:sz w:val="21"/>
                      <w:szCs w:val="21"/>
                      <w:vertAlign w:val="baseline"/>
                      <w:lang w:val="en-US" w:eastAsia="zh-CN"/>
                    </w:rPr>
                    <w:t>改扩建，产能为50000t/a</w:t>
                  </w:r>
                </w:p>
              </w:tc>
              <w:tc>
                <w:tcPr>
                  <w:tcW w:w="735" w:type="pct"/>
                  <w:noWrap w:val="0"/>
                  <w:vAlign w:val="center"/>
                </w:tcPr>
                <w:p w14:paraId="709597DC">
                  <w:pPr>
                    <w:adjustRightInd w:val="0"/>
                    <w:snapToGrid w:val="0"/>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依托现有车间</w:t>
                  </w:r>
                </w:p>
              </w:tc>
            </w:tr>
            <w:tr w14:paraId="5D01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02477473">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6A9B8A7F">
                  <w:pPr>
                    <w:adjustRightInd w:val="0"/>
                    <w:snapToGrid w:val="0"/>
                    <w:jc w:val="center"/>
                    <w:rPr>
                      <w:rFonts w:hint="default" w:ascii="Times New Roman" w:hAnsi="Times New Roman" w:eastAsia="宋体" w:cs="Times New Roman"/>
                      <w:bCs/>
                      <w:color w:val="auto"/>
                      <w:sz w:val="21"/>
                      <w:szCs w:val="21"/>
                      <w:vertAlign w:val="baseline"/>
                      <w:lang w:val="en-US"/>
                    </w:rPr>
                  </w:pPr>
                  <w:r>
                    <w:rPr>
                      <w:rFonts w:hint="eastAsia" w:ascii="Times New Roman" w:hAnsi="Times New Roman" w:eastAsia="宋体" w:cs="Times New Roman"/>
                      <w:bCs/>
                      <w:color w:val="auto"/>
                      <w:sz w:val="21"/>
                      <w:szCs w:val="21"/>
                      <w:lang w:val="en-US" w:eastAsia="zh-CN"/>
                    </w:rPr>
                    <w:t>乳化沥青车间</w:t>
                  </w:r>
                </w:p>
              </w:tc>
              <w:tc>
                <w:tcPr>
                  <w:tcW w:w="3292" w:type="pct"/>
                  <w:gridSpan w:val="2"/>
                  <w:noWrap w:val="0"/>
                  <w:vAlign w:val="center"/>
                </w:tcPr>
                <w:p w14:paraId="1681C6E2">
                  <w:pPr>
                    <w:adjustRightInd w:val="0"/>
                    <w:snapToGrid w:val="0"/>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位于现有车间内</w:t>
                  </w:r>
                  <w:r>
                    <w:rPr>
                      <w:rFonts w:hint="default" w:ascii="Times New Roman" w:hAnsi="Times New Roman" w:eastAsia="宋体" w:cs="Times New Roman"/>
                      <w:bCs/>
                      <w:color w:val="auto"/>
                      <w:sz w:val="21"/>
                      <w:szCs w:val="21"/>
                      <w:vertAlign w:val="baseline"/>
                      <w:lang w:val="en-US" w:eastAsia="zh-CN"/>
                    </w:rPr>
                    <w:t>，面积1</w:t>
                  </w:r>
                  <w:r>
                    <w:rPr>
                      <w:rFonts w:hint="eastAsia" w:cs="Times New Roman"/>
                      <w:bCs/>
                      <w:color w:val="auto"/>
                      <w:sz w:val="21"/>
                      <w:szCs w:val="21"/>
                      <w:vertAlign w:val="baseline"/>
                      <w:lang w:val="en-US" w:eastAsia="zh-CN"/>
                    </w:rPr>
                    <w:t>0</w:t>
                  </w:r>
                  <w:r>
                    <w:rPr>
                      <w:rFonts w:hint="default" w:ascii="Times New Roman" w:hAnsi="Times New Roman" w:eastAsia="宋体" w:cs="Times New Roman"/>
                      <w:bCs/>
                      <w:color w:val="auto"/>
                      <w:sz w:val="21"/>
                      <w:szCs w:val="21"/>
                      <w:vertAlign w:val="baseline"/>
                      <w:lang w:val="en-US" w:eastAsia="zh-CN"/>
                    </w:rPr>
                    <w:t>0m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vertAlign w:val="baseline"/>
                      <w:lang w:val="en-US" w:eastAsia="zh-CN"/>
                    </w:rPr>
                    <w:t>，</w:t>
                  </w:r>
                  <w:r>
                    <w:rPr>
                      <w:rFonts w:hint="eastAsia" w:ascii="Times New Roman" w:hAnsi="Times New Roman" w:eastAsia="宋体" w:cs="Times New Roman"/>
                      <w:bCs/>
                      <w:color w:val="auto"/>
                      <w:sz w:val="21"/>
                      <w:szCs w:val="21"/>
                      <w:vertAlign w:val="baseline"/>
                      <w:lang w:val="en-US" w:eastAsia="zh-CN"/>
                    </w:rPr>
                    <w:t>新建</w:t>
                  </w:r>
                  <w:r>
                    <w:rPr>
                      <w:rFonts w:hint="eastAsia" w:cs="Times New Roman"/>
                      <w:bCs/>
                      <w:color w:val="auto"/>
                      <w:sz w:val="21"/>
                      <w:szCs w:val="21"/>
                      <w:vertAlign w:val="baseline"/>
                      <w:lang w:val="en-US" w:eastAsia="zh-CN"/>
                    </w:rPr>
                    <w:t>一条</w:t>
                  </w:r>
                  <w:r>
                    <w:rPr>
                      <w:rFonts w:hint="eastAsia" w:ascii="Times New Roman" w:hAnsi="Times New Roman" w:eastAsia="宋体" w:cs="Times New Roman"/>
                      <w:bCs/>
                      <w:color w:val="auto"/>
                      <w:sz w:val="21"/>
                      <w:szCs w:val="21"/>
                      <w:vertAlign w:val="baseline"/>
                      <w:lang w:val="en-US" w:eastAsia="zh-CN"/>
                    </w:rPr>
                    <w:t>乳化沥青生产线，产能为200t/a</w:t>
                  </w:r>
                </w:p>
              </w:tc>
              <w:tc>
                <w:tcPr>
                  <w:tcW w:w="735" w:type="pct"/>
                  <w:noWrap w:val="0"/>
                  <w:vAlign w:val="center"/>
                </w:tcPr>
                <w:p w14:paraId="2F59C4FF">
                  <w:pPr>
                    <w:adjustRightInd w:val="0"/>
                    <w:snapToGrid w:val="0"/>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依托现有车间</w:t>
                  </w:r>
                </w:p>
              </w:tc>
            </w:tr>
            <w:tr w14:paraId="1098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noWrap w:val="0"/>
                  <w:vAlign w:val="center"/>
                </w:tcPr>
                <w:p w14:paraId="32FC28BC">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辅助工程</w:t>
                  </w:r>
                </w:p>
              </w:tc>
              <w:tc>
                <w:tcPr>
                  <w:tcW w:w="595" w:type="pct"/>
                  <w:noWrap w:val="0"/>
                  <w:vAlign w:val="center"/>
                </w:tcPr>
                <w:p w14:paraId="27904D0B">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办公楼</w:t>
                  </w:r>
                </w:p>
              </w:tc>
              <w:tc>
                <w:tcPr>
                  <w:tcW w:w="3292" w:type="pct"/>
                  <w:gridSpan w:val="2"/>
                  <w:noWrap w:val="0"/>
                  <w:vAlign w:val="center"/>
                </w:tcPr>
                <w:p w14:paraId="605E0FB1">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位于厂区东部和南部，用于职工办公</w:t>
                  </w:r>
                </w:p>
              </w:tc>
              <w:tc>
                <w:tcPr>
                  <w:tcW w:w="735" w:type="pct"/>
                  <w:noWrap w:val="0"/>
                  <w:vAlign w:val="center"/>
                </w:tcPr>
                <w:p w14:paraId="6CB3F5BA">
                  <w:pPr>
                    <w:adjustRightInd w:val="0"/>
                    <w:snapToGrid w:val="0"/>
                    <w:jc w:val="center"/>
                    <w:rPr>
                      <w:rFonts w:hint="default" w:ascii="Times New Roman" w:hAnsi="Times New Roman" w:eastAsia="宋体" w:cs="Times New Roman"/>
                      <w:bCs/>
                      <w:color w:val="auto"/>
                      <w:sz w:val="21"/>
                      <w:szCs w:val="21"/>
                      <w:vertAlign w:val="baseline"/>
                    </w:rPr>
                  </w:pPr>
                  <w:r>
                    <w:rPr>
                      <w:rFonts w:hint="eastAsia" w:cs="Times New Roman"/>
                      <w:bCs/>
                      <w:color w:val="auto"/>
                      <w:sz w:val="21"/>
                      <w:szCs w:val="21"/>
                      <w:vertAlign w:val="baseline"/>
                      <w:lang w:val="en-US" w:eastAsia="zh-CN"/>
                    </w:rPr>
                    <w:t>依托现有</w:t>
                  </w:r>
                </w:p>
              </w:tc>
            </w:tr>
            <w:tr w14:paraId="278C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noWrap w:val="0"/>
                  <w:vAlign w:val="center"/>
                </w:tcPr>
                <w:p w14:paraId="61C53E68">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储运工程</w:t>
                  </w:r>
                </w:p>
              </w:tc>
              <w:tc>
                <w:tcPr>
                  <w:tcW w:w="595" w:type="pct"/>
                  <w:noWrap w:val="0"/>
                  <w:vAlign w:val="center"/>
                </w:tcPr>
                <w:p w14:paraId="7A1973C6">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原料</w:t>
                  </w:r>
                  <w:r>
                    <w:rPr>
                      <w:rFonts w:hint="default" w:ascii="Times New Roman" w:hAnsi="Times New Roman" w:eastAsia="宋体" w:cs="Times New Roman"/>
                      <w:bCs/>
                      <w:color w:val="auto"/>
                      <w:sz w:val="21"/>
                      <w:szCs w:val="21"/>
                      <w:vertAlign w:val="baseline"/>
                      <w:lang w:val="en-US" w:eastAsia="zh-CN"/>
                    </w:rPr>
                    <w:t>仓库</w:t>
                  </w:r>
                </w:p>
              </w:tc>
              <w:tc>
                <w:tcPr>
                  <w:tcW w:w="3292" w:type="pct"/>
                  <w:gridSpan w:val="2"/>
                  <w:noWrap w:val="0"/>
                  <w:vAlign w:val="center"/>
                </w:tcPr>
                <w:p w14:paraId="54D9998B">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座，1F，建筑面积</w:t>
                  </w:r>
                  <w:r>
                    <w:rPr>
                      <w:rFonts w:hint="eastAsia" w:cs="Times New Roman"/>
                      <w:bCs/>
                      <w:color w:val="auto"/>
                      <w:sz w:val="21"/>
                      <w:szCs w:val="21"/>
                      <w:vertAlign w:val="baseline"/>
                      <w:lang w:val="en-US" w:eastAsia="zh-CN"/>
                    </w:rPr>
                    <w:t>35000</w:t>
                  </w:r>
                  <w:r>
                    <w:rPr>
                      <w:rFonts w:hint="default" w:ascii="Times New Roman" w:hAnsi="Times New Roman" w:eastAsia="宋体" w:cs="Times New Roman"/>
                      <w:bCs/>
                      <w:color w:val="auto"/>
                      <w:sz w:val="21"/>
                      <w:szCs w:val="21"/>
                      <w:vertAlign w:val="baseline"/>
                      <w:lang w:val="en-US" w:eastAsia="zh-CN"/>
                    </w:rPr>
                    <w:t>m</w:t>
                  </w:r>
                  <w:r>
                    <w:rPr>
                      <w:rFonts w:hint="default" w:ascii="Times New Roman" w:hAnsi="Times New Roman" w:eastAsia="宋体" w:cs="Times New Roman"/>
                      <w:bCs/>
                      <w:color w:val="auto"/>
                      <w:sz w:val="21"/>
                      <w:szCs w:val="21"/>
                      <w:vertAlign w:val="superscript"/>
                      <w:lang w:val="en-US" w:eastAsia="zh-CN"/>
                    </w:rPr>
                    <w:t>2</w:t>
                  </w:r>
                  <w:r>
                    <w:rPr>
                      <w:rFonts w:hint="eastAsia" w:cs="Times New Roman"/>
                      <w:bCs/>
                      <w:color w:val="auto"/>
                      <w:sz w:val="21"/>
                      <w:szCs w:val="21"/>
                      <w:vertAlign w:val="baseline"/>
                      <w:lang w:val="en-US" w:eastAsia="zh-CN"/>
                    </w:rPr>
                    <w:t>，分区存放石子、石硝、机制砂</w:t>
                  </w:r>
                </w:p>
              </w:tc>
              <w:tc>
                <w:tcPr>
                  <w:tcW w:w="735" w:type="pct"/>
                  <w:noWrap w:val="0"/>
                  <w:vAlign w:val="center"/>
                </w:tcPr>
                <w:p w14:paraId="480345F5">
                  <w:pPr>
                    <w:adjustRightInd w:val="0"/>
                    <w:snapToGrid w:val="0"/>
                    <w:jc w:val="center"/>
                    <w:rPr>
                      <w:rFonts w:hint="default" w:ascii="Times New Roman" w:hAnsi="Times New Roman" w:eastAsia="宋体" w:cs="Times New Roman"/>
                      <w:bCs/>
                      <w:color w:val="auto"/>
                      <w:sz w:val="21"/>
                      <w:szCs w:val="21"/>
                      <w:vertAlign w:val="baseline"/>
                    </w:rPr>
                  </w:pPr>
                  <w:r>
                    <w:rPr>
                      <w:rFonts w:hint="eastAsia" w:cs="Times New Roman"/>
                      <w:bCs/>
                      <w:color w:val="auto"/>
                      <w:sz w:val="21"/>
                      <w:szCs w:val="21"/>
                      <w:vertAlign w:val="baseline"/>
                      <w:lang w:val="en-US" w:eastAsia="zh-CN"/>
                    </w:rPr>
                    <w:t>依托现有</w:t>
                  </w:r>
                </w:p>
              </w:tc>
            </w:tr>
            <w:tr w14:paraId="4949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noWrap w:val="0"/>
                  <w:vAlign w:val="center"/>
                </w:tcPr>
                <w:p w14:paraId="52EB2C62">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公用工程</w:t>
                  </w:r>
                </w:p>
              </w:tc>
              <w:tc>
                <w:tcPr>
                  <w:tcW w:w="595" w:type="pct"/>
                  <w:noWrap w:val="0"/>
                  <w:vAlign w:val="center"/>
                </w:tcPr>
                <w:p w14:paraId="160FA2B2">
                  <w:pPr>
                    <w:tabs>
                      <w:tab w:val="left" w:pos="900"/>
                    </w:tabs>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供水</w:t>
                  </w:r>
                </w:p>
              </w:tc>
              <w:tc>
                <w:tcPr>
                  <w:tcW w:w="3292" w:type="pct"/>
                  <w:gridSpan w:val="2"/>
                  <w:noWrap w:val="0"/>
                  <w:vAlign w:val="center"/>
                </w:tcPr>
                <w:p w14:paraId="175E4DF3">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当地供水管网</w:t>
                  </w:r>
                </w:p>
              </w:tc>
              <w:tc>
                <w:tcPr>
                  <w:tcW w:w="735" w:type="pct"/>
                  <w:noWrap w:val="0"/>
                  <w:vAlign w:val="center"/>
                </w:tcPr>
                <w:p w14:paraId="1D869941">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依托现有</w:t>
                  </w:r>
                </w:p>
              </w:tc>
            </w:tr>
            <w:tr w14:paraId="58FE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74D488BC">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4A4DE4F3">
                  <w:pPr>
                    <w:tabs>
                      <w:tab w:val="left" w:pos="900"/>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排水</w:t>
                  </w:r>
                </w:p>
              </w:tc>
              <w:tc>
                <w:tcPr>
                  <w:tcW w:w="3292" w:type="pct"/>
                  <w:gridSpan w:val="2"/>
                  <w:noWrap w:val="0"/>
                  <w:vAlign w:val="center"/>
                </w:tcPr>
                <w:p w14:paraId="1A72391F">
                  <w:pPr>
                    <w:adjustRightInd w:val="0"/>
                    <w:snapToGrid w:val="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雨污分流</w:t>
                  </w:r>
                </w:p>
              </w:tc>
              <w:tc>
                <w:tcPr>
                  <w:tcW w:w="735" w:type="pct"/>
                  <w:noWrap w:val="0"/>
                  <w:vAlign w:val="center"/>
                </w:tcPr>
                <w:p w14:paraId="284C1BEA">
                  <w:pPr>
                    <w:adjustRightInd w:val="0"/>
                    <w:snapToGrid w:val="0"/>
                    <w:jc w:val="center"/>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依托现有</w:t>
                  </w:r>
                </w:p>
              </w:tc>
            </w:tr>
            <w:tr w14:paraId="28DF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0708E5F4">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5E7B1890">
                  <w:pPr>
                    <w:tabs>
                      <w:tab w:val="left" w:pos="900"/>
                    </w:tabs>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供</w:t>
                  </w:r>
                  <w:r>
                    <w:rPr>
                      <w:rFonts w:hint="default" w:ascii="Times New Roman" w:hAnsi="Times New Roman" w:eastAsia="宋体" w:cs="Times New Roman"/>
                      <w:color w:val="auto"/>
                      <w:sz w:val="21"/>
                      <w:szCs w:val="21"/>
                      <w:lang w:val="en-US" w:eastAsia="zh-CN"/>
                    </w:rPr>
                    <w:t>气</w:t>
                  </w:r>
                </w:p>
              </w:tc>
              <w:tc>
                <w:tcPr>
                  <w:tcW w:w="3292" w:type="pct"/>
                  <w:gridSpan w:val="2"/>
                  <w:noWrap w:val="0"/>
                  <w:vAlign w:val="center"/>
                </w:tcPr>
                <w:p w14:paraId="681DCD71">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厂区设置一座</w:t>
                  </w:r>
                  <w:r>
                    <w:rPr>
                      <w:rFonts w:hint="default" w:ascii="Times New Roman" w:hAnsi="Times New Roman" w:eastAsia="宋体" w:cs="Times New Roman"/>
                      <w:bCs/>
                      <w:color w:val="auto"/>
                      <w:sz w:val="21"/>
                      <w:szCs w:val="21"/>
                      <w:vertAlign w:val="baseline"/>
                      <w:lang w:val="en-US" w:eastAsia="zh-CN"/>
                    </w:rPr>
                    <w:t>天然气储罐</w:t>
                  </w:r>
                  <w:r>
                    <w:rPr>
                      <w:rFonts w:hint="eastAsia"/>
                      <w:color w:val="auto"/>
                      <w:sz w:val="21"/>
                      <w:szCs w:val="21"/>
                      <w:lang w:eastAsia="zh-CN"/>
                    </w:rPr>
                    <w:t>，容积60m</w:t>
                  </w:r>
                  <w:r>
                    <w:rPr>
                      <w:rFonts w:hint="eastAsia"/>
                      <w:color w:val="auto"/>
                      <w:sz w:val="21"/>
                      <w:szCs w:val="21"/>
                      <w:vertAlign w:val="superscript"/>
                      <w:lang w:val="en-US" w:eastAsia="zh-CN"/>
                    </w:rPr>
                    <w:t>3</w:t>
                  </w:r>
                </w:p>
              </w:tc>
              <w:tc>
                <w:tcPr>
                  <w:tcW w:w="735" w:type="pct"/>
                  <w:noWrap w:val="0"/>
                  <w:vAlign w:val="center"/>
                </w:tcPr>
                <w:p w14:paraId="395CE3A1">
                  <w:pPr>
                    <w:adjustRightInd w:val="0"/>
                    <w:snapToGrid w:val="0"/>
                    <w:jc w:val="center"/>
                    <w:rPr>
                      <w:rFonts w:hint="default" w:ascii="Times New Roman" w:hAnsi="Times New Roman" w:eastAsia="宋体" w:cs="Times New Roman"/>
                      <w:bCs/>
                      <w:color w:val="auto"/>
                      <w:sz w:val="21"/>
                      <w:szCs w:val="21"/>
                      <w:vertAlign w:val="baseline"/>
                    </w:rPr>
                  </w:pPr>
                  <w:r>
                    <w:rPr>
                      <w:rFonts w:hint="eastAsia" w:cs="Times New Roman"/>
                      <w:bCs/>
                      <w:color w:val="auto"/>
                      <w:sz w:val="21"/>
                      <w:szCs w:val="21"/>
                      <w:vertAlign w:val="baseline"/>
                      <w:lang w:val="en-US" w:eastAsia="zh-CN"/>
                    </w:rPr>
                    <w:t>依托现有</w:t>
                  </w:r>
                </w:p>
              </w:tc>
            </w:tr>
            <w:tr w14:paraId="3EA8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54FDFA2E">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73E13253">
                  <w:pPr>
                    <w:tabs>
                      <w:tab w:val="left" w:pos="900"/>
                    </w:tabs>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供电</w:t>
                  </w:r>
                </w:p>
              </w:tc>
              <w:tc>
                <w:tcPr>
                  <w:tcW w:w="3292" w:type="pct"/>
                  <w:gridSpan w:val="2"/>
                  <w:noWrap w:val="0"/>
                  <w:vAlign w:val="center"/>
                </w:tcPr>
                <w:p w14:paraId="17376449">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当地</w:t>
                  </w:r>
                  <w:r>
                    <w:rPr>
                      <w:rFonts w:hint="default" w:ascii="Times New Roman" w:hAnsi="Times New Roman" w:eastAsia="宋体" w:cs="Times New Roman"/>
                      <w:bCs/>
                      <w:color w:val="auto"/>
                      <w:sz w:val="21"/>
                      <w:szCs w:val="21"/>
                      <w:vertAlign w:val="baseline"/>
                      <w:lang w:val="en-US" w:eastAsia="zh-CN"/>
                    </w:rPr>
                    <w:t>市政供电系统供给</w:t>
                  </w:r>
                </w:p>
              </w:tc>
              <w:tc>
                <w:tcPr>
                  <w:tcW w:w="735" w:type="pct"/>
                  <w:noWrap w:val="0"/>
                  <w:vAlign w:val="center"/>
                </w:tcPr>
                <w:p w14:paraId="743CD270">
                  <w:pPr>
                    <w:adjustRightInd w:val="0"/>
                    <w:snapToGrid w:val="0"/>
                    <w:jc w:val="center"/>
                    <w:rPr>
                      <w:rFonts w:hint="default" w:ascii="Times New Roman" w:hAnsi="Times New Roman" w:eastAsia="宋体" w:cs="Times New Roman"/>
                      <w:bCs/>
                      <w:color w:val="auto"/>
                      <w:sz w:val="21"/>
                      <w:szCs w:val="21"/>
                      <w:vertAlign w:val="baseline"/>
                    </w:rPr>
                  </w:pPr>
                  <w:r>
                    <w:rPr>
                      <w:rFonts w:hint="eastAsia" w:cs="Times New Roman"/>
                      <w:bCs/>
                      <w:color w:val="auto"/>
                      <w:sz w:val="21"/>
                      <w:szCs w:val="21"/>
                      <w:vertAlign w:val="baseline"/>
                      <w:lang w:val="en-US" w:eastAsia="zh-CN"/>
                    </w:rPr>
                    <w:t>依托现有</w:t>
                  </w:r>
                </w:p>
              </w:tc>
            </w:tr>
            <w:tr w14:paraId="1BDB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44B2C1C9">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04B311AC">
                  <w:pPr>
                    <w:tabs>
                      <w:tab w:val="left" w:pos="900"/>
                    </w:tabs>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供热</w:t>
                  </w:r>
                </w:p>
              </w:tc>
              <w:tc>
                <w:tcPr>
                  <w:tcW w:w="3292" w:type="pct"/>
                  <w:gridSpan w:val="2"/>
                  <w:tcBorders>
                    <w:right w:val="single" w:color="000000" w:sz="4" w:space="0"/>
                  </w:tcBorders>
                  <w:noWrap w:val="0"/>
                  <w:vAlign w:val="center"/>
                </w:tcPr>
                <w:p w14:paraId="3F9D39AE">
                  <w:pPr>
                    <w:adjustRightInd w:val="0"/>
                    <w:snapToGrid w:val="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生产用热为天然气加热，办公室采用空调</w:t>
                  </w:r>
                </w:p>
              </w:tc>
              <w:tc>
                <w:tcPr>
                  <w:tcW w:w="735" w:type="pct"/>
                  <w:tcBorders>
                    <w:left w:val="single" w:color="000000" w:sz="4" w:space="0"/>
                  </w:tcBorders>
                  <w:noWrap w:val="0"/>
                  <w:vAlign w:val="center"/>
                </w:tcPr>
                <w:p w14:paraId="32E9E526">
                  <w:pPr>
                    <w:adjustRightInd w:val="0"/>
                    <w:snapToGrid w:val="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依托现有</w:t>
                  </w:r>
                </w:p>
              </w:tc>
            </w:tr>
            <w:tr w14:paraId="4150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noWrap w:val="0"/>
                  <w:vAlign w:val="center"/>
                </w:tcPr>
                <w:p w14:paraId="689220FB">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环保工程</w:t>
                  </w:r>
                </w:p>
              </w:tc>
              <w:tc>
                <w:tcPr>
                  <w:tcW w:w="595" w:type="pct"/>
                  <w:vMerge w:val="restart"/>
                  <w:noWrap w:val="0"/>
                  <w:vAlign w:val="center"/>
                </w:tcPr>
                <w:p w14:paraId="1D9F2AFB">
                  <w:pPr>
                    <w:tabs>
                      <w:tab w:val="left" w:pos="900"/>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3292" w:type="pct"/>
                  <w:gridSpan w:val="2"/>
                  <w:tcBorders>
                    <w:right w:val="single" w:color="000000" w:sz="4" w:space="0"/>
                  </w:tcBorders>
                  <w:noWrap w:val="0"/>
                  <w:vAlign w:val="center"/>
                </w:tcPr>
                <w:p w14:paraId="05658E5D">
                  <w:pPr>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color w:val="auto"/>
                      <w:sz w:val="21"/>
                      <w:szCs w:val="21"/>
                      <w:highlight w:val="none"/>
                      <w:lang w:eastAsia="zh-CN"/>
                    </w:rPr>
                    <w:t>汽运粉尘：厂区进出口建设自动感应洗车台；进出厂的运输车辆采取密闭或全覆盖措施；厂区路面硬化；及时清扫，定时洒水</w:t>
                  </w:r>
                  <w:r>
                    <w:rPr>
                      <w:rFonts w:hint="eastAsia" w:cs="Times New Roman"/>
                      <w:color w:val="auto"/>
                      <w:sz w:val="21"/>
                      <w:szCs w:val="21"/>
                      <w:highlight w:val="none"/>
                      <w:lang w:eastAsia="zh-CN"/>
                    </w:rPr>
                    <w:t>。厂区安装视频监控系统，和PM</w:t>
                  </w:r>
                  <w:r>
                    <w:rPr>
                      <w:rFonts w:hint="eastAsia" w:cs="Times New Roman"/>
                      <w:color w:val="auto"/>
                      <w:sz w:val="21"/>
                      <w:szCs w:val="21"/>
                      <w:highlight w:val="none"/>
                      <w:vertAlign w:val="subscript"/>
                      <w:lang w:eastAsia="zh-CN"/>
                    </w:rPr>
                    <w:t>10</w:t>
                  </w:r>
                  <w:r>
                    <w:rPr>
                      <w:rFonts w:hint="eastAsia" w:cs="Times New Roman"/>
                      <w:color w:val="auto"/>
                      <w:sz w:val="21"/>
                      <w:szCs w:val="21"/>
                      <w:highlight w:val="none"/>
                      <w:lang w:eastAsia="zh-CN"/>
                    </w:rPr>
                    <w:t>在线监测设备，并入生态环境主管部门监管平台</w:t>
                  </w:r>
                </w:p>
              </w:tc>
              <w:tc>
                <w:tcPr>
                  <w:tcW w:w="735" w:type="pct"/>
                  <w:tcBorders>
                    <w:left w:val="single" w:color="000000" w:sz="4" w:space="0"/>
                  </w:tcBorders>
                  <w:noWrap w:val="0"/>
                  <w:vAlign w:val="center"/>
                </w:tcPr>
                <w:p w14:paraId="0CF16E8A">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bCs/>
                      <w:color w:val="auto"/>
                      <w:sz w:val="21"/>
                      <w:szCs w:val="21"/>
                      <w:vertAlign w:val="baseline"/>
                      <w:lang w:val="en-US" w:eastAsia="zh-CN"/>
                    </w:rPr>
                    <w:t>依托现有</w:t>
                  </w:r>
                </w:p>
              </w:tc>
            </w:tr>
            <w:tr w14:paraId="7991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161A19D1">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719C9EE6">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3292" w:type="pct"/>
                  <w:gridSpan w:val="2"/>
                  <w:tcBorders>
                    <w:right w:val="single" w:color="000000" w:sz="4" w:space="0"/>
                  </w:tcBorders>
                  <w:noWrap w:val="0"/>
                  <w:vAlign w:val="center"/>
                </w:tcPr>
                <w:p w14:paraId="4F280F9E">
                  <w:pPr>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color w:val="auto"/>
                      <w:sz w:val="21"/>
                      <w:szCs w:val="21"/>
                      <w:highlight w:val="none"/>
                      <w:lang w:val="en-US" w:eastAsia="zh-CN"/>
                    </w:rPr>
                    <w:t>装卸</w:t>
                  </w:r>
                  <w:r>
                    <w:rPr>
                      <w:rFonts w:hint="eastAsia" w:ascii="Times New Roman" w:hAnsi="Times New Roman" w:eastAsia="宋体" w:cs="Times New Roman"/>
                      <w:color w:val="auto"/>
                      <w:sz w:val="21"/>
                      <w:szCs w:val="21"/>
                      <w:highlight w:val="none"/>
                      <w:lang w:eastAsia="zh-CN"/>
                    </w:rPr>
                    <w:t>粉尘：</w:t>
                  </w:r>
                  <w:r>
                    <w:rPr>
                      <w:rFonts w:hint="eastAsia" w:cs="Times New Roman"/>
                      <w:color w:val="auto"/>
                      <w:sz w:val="21"/>
                      <w:szCs w:val="21"/>
                      <w:highlight w:val="none"/>
                      <w:lang w:val="en-US" w:eastAsia="zh-CN"/>
                    </w:rPr>
                    <w:t>装卸</w:t>
                  </w:r>
                  <w:r>
                    <w:rPr>
                      <w:rFonts w:hint="eastAsia" w:cs="Times New Roman"/>
                      <w:color w:val="auto"/>
                      <w:sz w:val="21"/>
                      <w:szCs w:val="21"/>
                      <w:highlight w:val="none"/>
                      <w:lang w:eastAsia="zh-CN"/>
                    </w:rPr>
                    <w:t>过程在密闭车间内</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雾炮</w:t>
                  </w:r>
                  <w:r>
                    <w:rPr>
                      <w:rFonts w:hint="eastAsia" w:ascii="Times New Roman" w:hAnsi="Times New Roman" w:eastAsia="宋体" w:cs="Times New Roman"/>
                      <w:color w:val="auto"/>
                      <w:sz w:val="21"/>
                      <w:szCs w:val="21"/>
                      <w:highlight w:val="none"/>
                      <w:lang w:eastAsia="zh-CN"/>
                    </w:rPr>
                    <w:t>喷淋</w:t>
                  </w:r>
                  <w:r>
                    <w:rPr>
                      <w:rFonts w:hint="eastAsia" w:cs="Times New Roman"/>
                      <w:color w:val="auto"/>
                      <w:sz w:val="21"/>
                      <w:szCs w:val="21"/>
                      <w:highlight w:val="none"/>
                      <w:lang w:eastAsia="zh-CN"/>
                    </w:rPr>
                    <w:t>降尘，</w:t>
                  </w:r>
                  <w:r>
                    <w:rPr>
                      <w:rFonts w:hint="eastAsia" w:ascii="宋体" w:hAnsi="宋体" w:eastAsia="宋体" w:cs="宋体"/>
                      <w:i w:val="0"/>
                      <w:iCs w:val="0"/>
                      <w:color w:val="auto"/>
                      <w:kern w:val="0"/>
                      <w:sz w:val="21"/>
                      <w:szCs w:val="21"/>
                      <w:u w:val="none"/>
                      <w:lang w:val="en-US" w:eastAsia="zh-CN" w:bidi="ar"/>
                    </w:rPr>
                    <w:t>降低装卸高度</w:t>
                  </w:r>
                </w:p>
              </w:tc>
              <w:tc>
                <w:tcPr>
                  <w:tcW w:w="735" w:type="pct"/>
                  <w:tcBorders>
                    <w:left w:val="single" w:color="000000" w:sz="4" w:space="0"/>
                  </w:tcBorders>
                  <w:noWrap w:val="0"/>
                  <w:vAlign w:val="center"/>
                </w:tcPr>
                <w:p w14:paraId="4B05485E">
                  <w:pPr>
                    <w:adjustRightInd w:val="0"/>
                    <w:snapToGrid w:val="0"/>
                    <w:jc w:val="center"/>
                    <w:rPr>
                      <w:rFonts w:hint="eastAsia" w:cs="Times New Roman"/>
                      <w:color w:val="auto"/>
                      <w:sz w:val="21"/>
                      <w:szCs w:val="21"/>
                      <w:highlight w:val="none"/>
                      <w:lang w:val="en-US" w:eastAsia="zh-CN"/>
                    </w:rPr>
                  </w:pPr>
                  <w:r>
                    <w:rPr>
                      <w:rFonts w:hint="eastAsia" w:cs="Times New Roman"/>
                      <w:bCs/>
                      <w:color w:val="auto"/>
                      <w:sz w:val="21"/>
                      <w:szCs w:val="21"/>
                      <w:vertAlign w:val="baseline"/>
                      <w:lang w:val="en-US" w:eastAsia="zh-CN"/>
                    </w:rPr>
                    <w:t>依托现有</w:t>
                  </w:r>
                </w:p>
              </w:tc>
            </w:tr>
            <w:tr w14:paraId="72F2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5B03A3C0">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001AF110">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3292" w:type="pct"/>
                  <w:gridSpan w:val="2"/>
                  <w:tcBorders>
                    <w:right w:val="single" w:color="000000" w:sz="4" w:space="0"/>
                  </w:tcBorders>
                  <w:noWrap w:val="0"/>
                  <w:vAlign w:val="center"/>
                </w:tcPr>
                <w:p w14:paraId="1699605B">
                  <w:pPr>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color w:val="auto"/>
                      <w:sz w:val="21"/>
                      <w:szCs w:val="21"/>
                      <w:highlight w:val="none"/>
                      <w:lang w:eastAsia="zh-CN"/>
                    </w:rPr>
                    <w:t>堆场粉尘：</w:t>
                  </w:r>
                  <w:r>
                    <w:rPr>
                      <w:rFonts w:hint="eastAsia" w:cs="Times New Roman"/>
                      <w:color w:val="auto"/>
                      <w:sz w:val="21"/>
                      <w:szCs w:val="21"/>
                      <w:highlight w:val="none"/>
                      <w:lang w:eastAsia="zh-CN"/>
                    </w:rPr>
                    <w:t>堆场在密闭车间内</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车间顶部</w:t>
                  </w:r>
                  <w:r>
                    <w:rPr>
                      <w:rFonts w:hint="eastAsia" w:ascii="Times New Roman" w:hAnsi="Times New Roman" w:eastAsia="宋体" w:cs="Times New Roman"/>
                      <w:color w:val="auto"/>
                      <w:sz w:val="21"/>
                      <w:szCs w:val="21"/>
                      <w:highlight w:val="none"/>
                      <w:lang w:eastAsia="zh-CN"/>
                    </w:rPr>
                    <w:t>喷淋</w:t>
                  </w:r>
                  <w:r>
                    <w:rPr>
                      <w:rFonts w:hint="eastAsia" w:cs="Times New Roman"/>
                      <w:color w:val="auto"/>
                      <w:sz w:val="21"/>
                      <w:szCs w:val="21"/>
                      <w:highlight w:val="none"/>
                      <w:lang w:eastAsia="zh-CN"/>
                    </w:rPr>
                    <w:t>降尘</w:t>
                  </w:r>
                </w:p>
              </w:tc>
              <w:tc>
                <w:tcPr>
                  <w:tcW w:w="735" w:type="pct"/>
                  <w:tcBorders>
                    <w:left w:val="single" w:color="000000" w:sz="4" w:space="0"/>
                  </w:tcBorders>
                  <w:noWrap w:val="0"/>
                  <w:vAlign w:val="center"/>
                </w:tcPr>
                <w:p w14:paraId="02754F99">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bCs/>
                      <w:color w:val="auto"/>
                      <w:sz w:val="21"/>
                      <w:szCs w:val="21"/>
                      <w:vertAlign w:val="baseline"/>
                      <w:lang w:val="en-US" w:eastAsia="zh-CN"/>
                    </w:rPr>
                    <w:t>依托现有</w:t>
                  </w:r>
                </w:p>
              </w:tc>
            </w:tr>
            <w:tr w14:paraId="1E84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71800F2D">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37DE1C48">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3292" w:type="pct"/>
                  <w:gridSpan w:val="2"/>
                  <w:tcBorders>
                    <w:right w:val="single" w:color="000000" w:sz="4" w:space="0"/>
                  </w:tcBorders>
                  <w:noWrap w:val="0"/>
                  <w:vAlign w:val="center"/>
                </w:tcPr>
                <w:p w14:paraId="0530E7C7">
                  <w:pPr>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传输</w:t>
                  </w:r>
                  <w:r>
                    <w:rPr>
                      <w:rFonts w:hint="eastAsia" w:cs="Times New Roman"/>
                      <w:color w:val="auto"/>
                      <w:sz w:val="21"/>
                      <w:szCs w:val="21"/>
                      <w:highlight w:val="none"/>
                      <w:lang w:val="en-US" w:eastAsia="zh-CN"/>
                    </w:rPr>
                    <w:t>粉尘</w:t>
                  </w:r>
                  <w:r>
                    <w:rPr>
                      <w:rFonts w:hint="eastAsia" w:ascii="Times New Roman" w:hAnsi="Times New Roman" w:eastAsia="宋体" w:cs="Times New Roman"/>
                      <w:color w:val="auto"/>
                      <w:sz w:val="21"/>
                      <w:szCs w:val="21"/>
                      <w:highlight w:val="none"/>
                      <w:lang w:val="en-US" w:eastAsia="zh-CN"/>
                    </w:rPr>
                    <w:t>：传输带密闭</w:t>
                  </w:r>
                </w:p>
              </w:tc>
              <w:tc>
                <w:tcPr>
                  <w:tcW w:w="735" w:type="pct"/>
                  <w:tcBorders>
                    <w:left w:val="single" w:color="000000" w:sz="4" w:space="0"/>
                  </w:tcBorders>
                  <w:noWrap w:val="0"/>
                  <w:vAlign w:val="center"/>
                </w:tcPr>
                <w:p w14:paraId="0599CBA1">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bCs/>
                      <w:color w:val="auto"/>
                      <w:sz w:val="21"/>
                      <w:szCs w:val="21"/>
                      <w:vertAlign w:val="baseline"/>
                      <w:lang w:val="en-US" w:eastAsia="zh-CN"/>
                    </w:rPr>
                    <w:t>新建</w:t>
                  </w:r>
                </w:p>
              </w:tc>
            </w:tr>
            <w:tr w14:paraId="2C8C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78229FE2">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72E8379E">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415" w:type="pct"/>
                  <w:vMerge w:val="restart"/>
                  <w:noWrap w:val="0"/>
                  <w:vAlign w:val="center"/>
                </w:tcPr>
                <w:p w14:paraId="32E06477">
                  <w:pPr>
                    <w:adjustRightInd w:val="0"/>
                    <w:snapToGrid w:val="0"/>
                    <w:jc w:val="cente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拌和站废气</w:t>
                  </w:r>
                </w:p>
              </w:tc>
              <w:tc>
                <w:tcPr>
                  <w:tcW w:w="2876" w:type="pct"/>
                  <w:tcBorders>
                    <w:right w:val="single" w:color="000000" w:sz="4" w:space="0"/>
                  </w:tcBorders>
                  <w:noWrap w:val="0"/>
                  <w:vAlign w:val="center"/>
                </w:tcPr>
                <w:p w14:paraId="51976712">
                  <w:pPr>
                    <w:adjustRightInd w:val="0"/>
                    <w:snapToGrid w:val="0"/>
                    <w:jc w:val="both"/>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沥青烟气：沥青储罐呼吸口设密封式集气装置，</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料口设集气装置，将沥青加热过程产生的沥青烟气收集后引入总集气管道，沥青储罐加热、搅拌过程密闭。废气采用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c>
                <w:tcPr>
                  <w:tcW w:w="735" w:type="pct"/>
                  <w:tcBorders>
                    <w:left w:val="single" w:color="000000" w:sz="4" w:space="0"/>
                  </w:tcBorders>
                  <w:noWrap w:val="0"/>
                  <w:vAlign w:val="center"/>
                </w:tcPr>
                <w:p w14:paraId="6136199D">
                  <w:pPr>
                    <w:adjustRightInd w:val="0"/>
                    <w:snapToGrid w:val="0"/>
                    <w:jc w:val="cente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bCs/>
                      <w:color w:val="auto"/>
                      <w:sz w:val="21"/>
                      <w:szCs w:val="21"/>
                      <w:vertAlign w:val="baseline"/>
                      <w:lang w:val="en-US" w:eastAsia="zh-CN"/>
                    </w:rPr>
                    <w:t>改进处理设施，依托现有排气筒</w:t>
                  </w:r>
                </w:p>
              </w:tc>
            </w:tr>
            <w:tr w14:paraId="7D47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098221B5">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22ED0A75">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415" w:type="pct"/>
                  <w:vMerge w:val="continue"/>
                  <w:noWrap w:val="0"/>
                  <w:vAlign w:val="center"/>
                </w:tcPr>
                <w:p w14:paraId="55D10EF0">
                  <w:pPr>
                    <w:adjustRightInd w:val="0"/>
                    <w:snapToGrid w:val="0"/>
                    <w:jc w:val="cente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p>
              </w:tc>
              <w:tc>
                <w:tcPr>
                  <w:tcW w:w="2876" w:type="pct"/>
                  <w:tcBorders>
                    <w:right w:val="single" w:color="000000" w:sz="4" w:space="0"/>
                  </w:tcBorders>
                  <w:noWrap w:val="0"/>
                  <w:vAlign w:val="center"/>
                </w:tcPr>
                <w:p w14:paraId="0C4E17DB">
                  <w:pPr>
                    <w:adjustRightInd w:val="0"/>
                    <w:snapToGrid w:val="0"/>
                    <w:jc w:val="both"/>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上料、干燥粉尘：</w:t>
                  </w:r>
                  <w:r>
                    <w:rPr>
                      <w:rFonts w:hint="eastAsia" w:cs="Times New Roman"/>
                      <w:i w:val="0"/>
                      <w:iCs w:val="0"/>
                      <w:caps w:val="0"/>
                      <w:color w:val="auto"/>
                      <w:spacing w:val="0"/>
                      <w:kern w:val="0"/>
                      <w:sz w:val="21"/>
                      <w:szCs w:val="21"/>
                      <w:shd w:val="clear" w:color="auto" w:fill="FFFFFF"/>
                      <w:lang w:val="en-US" w:eastAsia="zh-CN" w:bidi="ar"/>
                    </w:rPr>
                    <w:t>骨料</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上料</w:t>
                  </w:r>
                  <w:r>
                    <w:rPr>
                      <w:rFonts w:hint="eastAsia" w:cs="Times New Roman"/>
                      <w:i w:val="0"/>
                      <w:iCs w:val="0"/>
                      <w:caps w:val="0"/>
                      <w:color w:val="auto"/>
                      <w:spacing w:val="0"/>
                      <w:kern w:val="0"/>
                      <w:sz w:val="21"/>
                      <w:szCs w:val="21"/>
                      <w:shd w:val="clear" w:color="auto" w:fill="FFFFFF"/>
                      <w:lang w:val="en-US" w:eastAsia="zh-CN" w:bidi="ar"/>
                    </w:rPr>
                    <w:t>工序</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设置喷淋降尘装置及半密闭式集气罩，干燥工序密闭，采用天然气燃烧尾气对物料直接加热。天然气采用低氮燃烧技术，废气一并经旋风除尘器+布袋除尘器处理后通过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c>
                <w:tcPr>
                  <w:tcW w:w="735" w:type="pct"/>
                  <w:tcBorders>
                    <w:left w:val="single" w:color="000000" w:sz="4" w:space="0"/>
                  </w:tcBorders>
                  <w:noWrap w:val="0"/>
                  <w:vAlign w:val="center"/>
                </w:tcPr>
                <w:p w14:paraId="76BBE84D">
                  <w:pPr>
                    <w:adjustRightInd w:val="0"/>
                    <w:snapToGrid w:val="0"/>
                    <w:jc w:val="cente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bCs/>
                      <w:color w:val="auto"/>
                      <w:sz w:val="21"/>
                      <w:szCs w:val="21"/>
                      <w:vertAlign w:val="baseline"/>
                      <w:lang w:val="en-US" w:eastAsia="zh-CN"/>
                    </w:rPr>
                    <w:t>依托现有</w:t>
                  </w:r>
                </w:p>
              </w:tc>
            </w:tr>
            <w:tr w14:paraId="7A3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07065A89">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5F23B40F">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3292" w:type="pct"/>
                  <w:gridSpan w:val="2"/>
                  <w:tcBorders>
                    <w:right w:val="single" w:color="000000" w:sz="4" w:space="0"/>
                  </w:tcBorders>
                  <w:noWrap w:val="0"/>
                  <w:vAlign w:val="center"/>
                </w:tcPr>
                <w:p w14:paraId="55C986E6">
                  <w:pPr>
                    <w:adjustRightInd w:val="0"/>
                    <w:snapToGrid w:val="0"/>
                    <w:jc w:val="both"/>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乳化沥青废气</w:t>
                  </w:r>
                  <w:r>
                    <w:rPr>
                      <w:rFonts w:hint="eastAsia" w:cs="Times New Roman"/>
                      <w:i w:val="0"/>
                      <w:iCs w:val="0"/>
                      <w:caps w:val="0"/>
                      <w:color w:val="auto"/>
                      <w:spacing w:val="0"/>
                      <w:kern w:val="0"/>
                      <w:sz w:val="21"/>
                      <w:szCs w:val="21"/>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沥青储罐呼吸口设密封式集气装置，</w:t>
                  </w:r>
                  <w:r>
                    <w:rPr>
                      <w:rFonts w:hint="eastAsia" w:eastAsia="宋体" w:cs="Times New Roman"/>
                      <w:i w:val="0"/>
                      <w:iCs w:val="0"/>
                      <w:caps w:val="0"/>
                      <w:color w:val="auto"/>
                      <w:spacing w:val="0"/>
                      <w:kern w:val="0"/>
                      <w:sz w:val="21"/>
                      <w:szCs w:val="21"/>
                      <w:shd w:val="clear" w:color="auto" w:fill="FFFFFF"/>
                      <w:lang w:val="en-US" w:eastAsia="zh-CN" w:bidi="ar"/>
                    </w:rPr>
                    <w:t>搅拌和</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w:t>
                  </w:r>
                  <w:r>
                    <w:rPr>
                      <w:rFonts w:hint="eastAsia" w:cs="Times New Roman"/>
                      <w:i w:val="0"/>
                      <w:iCs w:val="0"/>
                      <w:caps w:val="0"/>
                      <w:color w:val="auto"/>
                      <w:spacing w:val="0"/>
                      <w:kern w:val="0"/>
                      <w:sz w:val="21"/>
                      <w:szCs w:val="21"/>
                      <w:shd w:val="clear" w:color="auto" w:fill="FFFFFF"/>
                      <w:lang w:val="en-US" w:eastAsia="zh-CN" w:bidi="ar"/>
                    </w:rPr>
                    <w:t>废气</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c>
                <w:tcPr>
                  <w:tcW w:w="735" w:type="pct"/>
                  <w:tcBorders>
                    <w:left w:val="single" w:color="000000" w:sz="4" w:space="0"/>
                  </w:tcBorders>
                  <w:noWrap w:val="0"/>
                  <w:vAlign w:val="center"/>
                </w:tcPr>
                <w:p w14:paraId="7DF9A630">
                  <w:pPr>
                    <w:adjustRightInd w:val="0"/>
                    <w:snapToGrid w:val="0"/>
                    <w:jc w:val="cente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bCs/>
                      <w:color w:val="auto"/>
                      <w:sz w:val="21"/>
                      <w:szCs w:val="21"/>
                      <w:vertAlign w:val="baseline"/>
                      <w:lang w:val="en-US" w:eastAsia="zh-CN"/>
                    </w:rPr>
                    <w:t>共用</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拌和站的沥青烟气处理设施</w:t>
                  </w:r>
                </w:p>
              </w:tc>
            </w:tr>
            <w:tr w14:paraId="5EA4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2A620D6C">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vMerge w:val="continue"/>
                  <w:noWrap w:val="0"/>
                  <w:vAlign w:val="center"/>
                </w:tcPr>
                <w:p w14:paraId="6B67809E">
                  <w:pPr>
                    <w:tabs>
                      <w:tab w:val="left" w:pos="900"/>
                    </w:tabs>
                    <w:snapToGrid w:val="0"/>
                    <w:jc w:val="center"/>
                    <w:rPr>
                      <w:rFonts w:hint="default" w:ascii="Times New Roman" w:hAnsi="Times New Roman" w:eastAsia="宋体" w:cs="Times New Roman"/>
                      <w:color w:val="auto"/>
                      <w:sz w:val="21"/>
                      <w:szCs w:val="21"/>
                      <w:lang w:val="en-US" w:eastAsia="zh-CN"/>
                    </w:rPr>
                  </w:pPr>
                </w:p>
              </w:tc>
              <w:tc>
                <w:tcPr>
                  <w:tcW w:w="3292" w:type="pct"/>
                  <w:gridSpan w:val="2"/>
                  <w:tcBorders>
                    <w:right w:val="single" w:color="000000" w:sz="4" w:space="0"/>
                  </w:tcBorders>
                  <w:noWrap w:val="0"/>
                  <w:vAlign w:val="center"/>
                </w:tcPr>
                <w:p w14:paraId="0A9C87E9">
                  <w:pPr>
                    <w:adjustRightInd w:val="0"/>
                    <w:snapToGrid w:val="0"/>
                    <w:jc w:val="both"/>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天然气</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导热油炉废气：天然气</w:t>
                  </w:r>
                  <w:r>
                    <w:rPr>
                      <w:rFonts w:hint="eastAsia" w:cs="Times New Roman"/>
                      <w:i w:val="0"/>
                      <w:iCs w:val="0"/>
                      <w:caps w:val="0"/>
                      <w:color w:val="auto"/>
                      <w:spacing w:val="0"/>
                      <w:kern w:val="0"/>
                      <w:sz w:val="21"/>
                      <w:szCs w:val="21"/>
                      <w:shd w:val="clear" w:color="auto" w:fill="FFFFFF"/>
                      <w:lang w:val="en-US" w:eastAsia="zh-CN" w:bidi="ar"/>
                    </w:rPr>
                    <w:t>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低氮燃烧</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技术</w:t>
                  </w:r>
                  <w:r>
                    <w:rPr>
                      <w:rFonts w:hint="eastAsia" w:cs="Times New Roman"/>
                      <w:i w:val="0"/>
                      <w:iCs w:val="0"/>
                      <w:caps w:val="0"/>
                      <w:color w:val="auto"/>
                      <w:spacing w:val="0"/>
                      <w:kern w:val="0"/>
                      <w:sz w:val="21"/>
                      <w:szCs w:val="21"/>
                      <w:shd w:val="clear" w:color="auto" w:fill="FFFFFF"/>
                      <w:lang w:val="en-US" w:eastAsia="zh-CN" w:bidi="ar"/>
                    </w:rPr>
                    <w:t>，废气</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eastAsia" w:cs="Times New Roman"/>
                      <w:i w:val="0"/>
                      <w:iCs w:val="0"/>
                      <w:caps w:val="0"/>
                      <w:color w:val="auto"/>
                      <w:spacing w:val="0"/>
                      <w:kern w:val="0"/>
                      <w:sz w:val="21"/>
                      <w:szCs w:val="21"/>
                      <w:shd w:val="clear" w:color="auto" w:fill="FFFFFF"/>
                      <w:lang w:val="en-US" w:eastAsia="zh-CN" w:bidi="ar"/>
                    </w:rPr>
                    <w:t>15</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m排气筒</w:t>
                  </w:r>
                  <w:r>
                    <w:rPr>
                      <w:rFonts w:hint="eastAsia" w:cs="Times New Roman"/>
                      <w:i w:val="0"/>
                      <w:iCs w:val="0"/>
                      <w:caps w:val="0"/>
                      <w:color w:val="auto"/>
                      <w:spacing w:val="0"/>
                      <w:kern w:val="0"/>
                      <w:sz w:val="21"/>
                      <w:szCs w:val="21"/>
                      <w:shd w:val="clear" w:color="auto" w:fill="FFFFFF"/>
                      <w:lang w:val="en-US" w:eastAsia="zh-CN" w:bidi="ar"/>
                    </w:rPr>
                    <w:t>DA002</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c>
                <w:tcPr>
                  <w:tcW w:w="735" w:type="pct"/>
                  <w:tcBorders>
                    <w:left w:val="single" w:color="000000" w:sz="4" w:space="0"/>
                  </w:tcBorders>
                  <w:noWrap w:val="0"/>
                  <w:vAlign w:val="center"/>
                </w:tcPr>
                <w:p w14:paraId="3DCC8307">
                  <w:pPr>
                    <w:adjustRightInd w:val="0"/>
                    <w:snapToGrid w:val="0"/>
                    <w:jc w:val="center"/>
                    <w:rPr>
                      <w:rFonts w:hint="default" w:cs="Times New Roman"/>
                      <w:i w:val="0"/>
                      <w:iCs w:val="0"/>
                      <w:caps w:val="0"/>
                      <w:color w:val="auto"/>
                      <w:spacing w:val="0"/>
                      <w:kern w:val="0"/>
                      <w:sz w:val="21"/>
                      <w:szCs w:val="21"/>
                      <w:shd w:val="clear" w:color="auto" w:fill="FFFFFF"/>
                      <w:lang w:val="en-US" w:eastAsia="zh-CN" w:bidi="ar"/>
                    </w:rPr>
                  </w:pPr>
                  <w:r>
                    <w:rPr>
                      <w:rFonts w:hint="eastAsia" w:cs="Times New Roman"/>
                      <w:bCs/>
                      <w:color w:val="0000FF"/>
                      <w:sz w:val="21"/>
                      <w:szCs w:val="21"/>
                      <w:highlight w:val="none"/>
                      <w:vertAlign w:val="baseline"/>
                      <w:lang w:val="en-US" w:eastAsia="zh-CN"/>
                    </w:rPr>
                    <w:t>排气筒高度从</w:t>
                  </w:r>
                  <w:r>
                    <w:rPr>
                      <w:rFonts w:hint="eastAsia" w:cs="Times New Roman"/>
                      <w:bCs/>
                      <w:color w:val="FF0000"/>
                      <w:sz w:val="21"/>
                      <w:szCs w:val="21"/>
                      <w:highlight w:val="none"/>
                      <w:vertAlign w:val="baseline"/>
                      <w:lang w:val="en-US" w:eastAsia="zh-CN"/>
                    </w:rPr>
                    <w:t>8m</w:t>
                  </w:r>
                  <w:r>
                    <w:rPr>
                      <w:rFonts w:hint="eastAsia" w:cs="Times New Roman"/>
                      <w:bCs/>
                      <w:color w:val="0000FF"/>
                      <w:sz w:val="21"/>
                      <w:szCs w:val="21"/>
                      <w:highlight w:val="none"/>
                      <w:vertAlign w:val="baseline"/>
                      <w:lang w:val="en-US" w:eastAsia="zh-CN"/>
                    </w:rPr>
                    <w:t>提高至15m</w:t>
                  </w:r>
                </w:p>
              </w:tc>
            </w:tr>
            <w:tr w14:paraId="4A6A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62AB68DC">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01B6BD31">
                  <w:pPr>
                    <w:tabs>
                      <w:tab w:val="left" w:pos="900"/>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3292" w:type="pct"/>
                  <w:gridSpan w:val="2"/>
                  <w:tcBorders>
                    <w:right w:val="single" w:color="000000" w:sz="4" w:space="0"/>
                  </w:tcBorders>
                  <w:noWrap w:val="0"/>
                  <w:vAlign w:val="center"/>
                </w:tcPr>
                <w:p w14:paraId="61BE1133">
                  <w:pPr>
                    <w:adjustRightInd w:val="0"/>
                    <w:snapToGrid w:val="0"/>
                    <w:jc w:val="both"/>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职工生活污水经化粪池处理后排入嘉祥公用水务有限公司处理，喷淋塔废水经隔油沉淀后循环使用，洗车废水三级沉淀后循环使用，乳化沥青搅拌用水全部进入产品，无生产废水外排</w:t>
                  </w:r>
                </w:p>
              </w:tc>
              <w:tc>
                <w:tcPr>
                  <w:tcW w:w="735" w:type="pct"/>
                  <w:tcBorders>
                    <w:left w:val="single" w:color="000000" w:sz="4" w:space="0"/>
                  </w:tcBorders>
                  <w:noWrap w:val="0"/>
                  <w:vAlign w:val="center"/>
                </w:tcPr>
                <w:p w14:paraId="42A0E475">
                  <w:pPr>
                    <w:adjustRightInd w:val="0"/>
                    <w:snapToGrid w:val="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依托现有化粪池和沉淀池</w:t>
                  </w:r>
                </w:p>
              </w:tc>
            </w:tr>
            <w:tr w14:paraId="15A6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282DA2B6">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32628E89">
                  <w:pPr>
                    <w:tabs>
                      <w:tab w:val="left" w:pos="900"/>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噪声</w:t>
                  </w:r>
                </w:p>
              </w:tc>
              <w:tc>
                <w:tcPr>
                  <w:tcW w:w="3292" w:type="pct"/>
                  <w:gridSpan w:val="2"/>
                  <w:tcBorders>
                    <w:right w:val="single" w:color="000000" w:sz="4" w:space="0"/>
                  </w:tcBorders>
                  <w:noWrap w:val="0"/>
                  <w:vAlign w:val="center"/>
                </w:tcPr>
                <w:p w14:paraId="3BF8C922">
                  <w:pPr>
                    <w:adjustRightInd w:val="0"/>
                    <w:snapToGrid w:val="0"/>
                    <w:jc w:val="both"/>
                    <w:rPr>
                      <w:rFonts w:hint="eastAsia" w:cs="Times New Roman"/>
                      <w:bCs/>
                      <w:color w:val="auto"/>
                      <w:sz w:val="21"/>
                      <w:szCs w:val="21"/>
                      <w:vertAlign w:val="baseline"/>
                      <w:lang w:val="en-US" w:eastAsia="zh-CN"/>
                    </w:rPr>
                  </w:pPr>
                  <w:r>
                    <w:rPr>
                      <w:rFonts w:hint="default" w:ascii="Times New Roman" w:hAnsi="Times New Roman" w:eastAsia="宋体" w:cs="Times New Roman"/>
                      <w:caps w:val="0"/>
                      <w:color w:val="auto"/>
                      <w:spacing w:val="0"/>
                      <w:kern w:val="0"/>
                      <w:position w:val="0"/>
                      <w:sz w:val="21"/>
                      <w:szCs w:val="21"/>
                      <w:highlight w:val="none"/>
                      <w:lang w:eastAsia="zh-CN"/>
                    </w:rPr>
                    <w:t>车间隔声，设备减振</w:t>
                  </w:r>
                </w:p>
              </w:tc>
              <w:tc>
                <w:tcPr>
                  <w:tcW w:w="735" w:type="pct"/>
                  <w:tcBorders>
                    <w:left w:val="single" w:color="000000" w:sz="4" w:space="0"/>
                  </w:tcBorders>
                  <w:noWrap w:val="0"/>
                  <w:vAlign w:val="center"/>
                </w:tcPr>
                <w:p w14:paraId="2E2CA4B7">
                  <w:pPr>
                    <w:adjustRightInd w:val="0"/>
                    <w:snapToGrid w:val="0"/>
                    <w:jc w:val="center"/>
                    <w:rPr>
                      <w:rFonts w:hint="default" w:ascii="Times New Roman" w:hAnsi="Times New Roman" w:eastAsia="宋体" w:cs="Times New Roman"/>
                      <w:caps w:val="0"/>
                      <w:color w:val="auto"/>
                      <w:spacing w:val="0"/>
                      <w:kern w:val="0"/>
                      <w:position w:val="0"/>
                      <w:sz w:val="21"/>
                      <w:szCs w:val="21"/>
                      <w:highlight w:val="none"/>
                      <w:lang w:eastAsia="zh-CN"/>
                    </w:rPr>
                  </w:pPr>
                  <w:r>
                    <w:rPr>
                      <w:rFonts w:hint="eastAsia" w:cs="Times New Roman"/>
                      <w:bCs/>
                      <w:color w:val="auto"/>
                      <w:sz w:val="21"/>
                      <w:szCs w:val="21"/>
                      <w:vertAlign w:val="baseline"/>
                      <w:lang w:val="en-US" w:eastAsia="zh-CN"/>
                    </w:rPr>
                    <w:t>新建</w:t>
                  </w:r>
                </w:p>
              </w:tc>
            </w:tr>
            <w:tr w14:paraId="675C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noWrap w:val="0"/>
                  <w:vAlign w:val="center"/>
                </w:tcPr>
                <w:p w14:paraId="21B1BBAA">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595" w:type="pct"/>
                  <w:noWrap w:val="0"/>
                  <w:vAlign w:val="center"/>
                </w:tcPr>
                <w:p w14:paraId="037BD45C">
                  <w:pPr>
                    <w:tabs>
                      <w:tab w:val="left" w:pos="900"/>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3292" w:type="pct"/>
                  <w:gridSpan w:val="2"/>
                  <w:tcBorders>
                    <w:right w:val="single" w:color="000000" w:sz="4" w:space="0"/>
                  </w:tcBorders>
                  <w:noWrap w:val="0"/>
                  <w:vAlign w:val="center"/>
                </w:tcPr>
                <w:p w14:paraId="4F859116">
                  <w:pPr>
                    <w:adjustRightInd w:val="0"/>
                    <w:snapToGrid w:val="0"/>
                    <w:jc w:val="both"/>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职工</w:t>
                  </w:r>
                  <w:r>
                    <w:rPr>
                      <w:rFonts w:hint="default" w:ascii="Times New Roman" w:hAnsi="Times New Roman" w:eastAsia="宋体" w:cs="Times New Roman"/>
                      <w:bCs/>
                      <w:color w:val="auto"/>
                      <w:sz w:val="21"/>
                      <w:szCs w:val="21"/>
                      <w:vertAlign w:val="baseline"/>
                      <w:lang w:val="en-US" w:eastAsia="zh-CN"/>
                    </w:rPr>
                    <w:t>生活垃圾</w:t>
                  </w:r>
                  <w:r>
                    <w:rPr>
                      <w:rFonts w:hint="eastAsia" w:cs="Times New Roman"/>
                      <w:bCs/>
                      <w:color w:val="auto"/>
                      <w:sz w:val="21"/>
                      <w:szCs w:val="21"/>
                      <w:vertAlign w:val="baseline"/>
                      <w:lang w:val="en-US" w:eastAsia="zh-CN"/>
                    </w:rPr>
                    <w:t>委托环卫部门清运，废布袋委托厂家更换回收，洗车台</w:t>
                  </w:r>
                  <w:r>
                    <w:rPr>
                      <w:rFonts w:hint="default" w:ascii="Times New Roman" w:hAnsi="Times New Roman" w:eastAsia="宋体" w:cs="Times New Roman"/>
                      <w:bCs/>
                      <w:color w:val="auto"/>
                      <w:sz w:val="21"/>
                      <w:szCs w:val="21"/>
                      <w:vertAlign w:val="baseline"/>
                      <w:lang w:val="en-US" w:eastAsia="zh-CN"/>
                    </w:rPr>
                    <w:t>沉淀池沉渣</w:t>
                  </w:r>
                  <w:r>
                    <w:rPr>
                      <w:rFonts w:hint="eastAsia" w:ascii="Times New Roman" w:hAnsi="Times New Roman" w:eastAsia="宋体" w:cs="Times New Roman"/>
                      <w:bCs/>
                      <w:color w:val="auto"/>
                      <w:sz w:val="21"/>
                      <w:szCs w:val="21"/>
                      <w:vertAlign w:val="baseline"/>
                      <w:lang w:val="en-US" w:eastAsia="zh-CN"/>
                    </w:rPr>
                    <w:t>外售其他建材企业，</w:t>
                  </w:r>
                  <w:r>
                    <w:rPr>
                      <w:rFonts w:hint="default" w:ascii="Times New Roman" w:hAnsi="Times New Roman" w:eastAsia="宋体" w:cs="Times New Roman"/>
                      <w:bCs/>
                      <w:color w:val="auto"/>
                      <w:sz w:val="21"/>
                      <w:szCs w:val="21"/>
                      <w:vertAlign w:val="baseline"/>
                      <w:lang w:val="en-US" w:eastAsia="zh-CN"/>
                    </w:rPr>
                    <w:t>除尘器收尘、沥青残渣</w:t>
                  </w:r>
                  <w:r>
                    <w:rPr>
                      <w:rFonts w:hint="eastAsia" w:cs="Times New Roman"/>
                      <w:bCs/>
                      <w:color w:val="auto"/>
                      <w:sz w:val="21"/>
                      <w:szCs w:val="21"/>
                      <w:vertAlign w:val="baseline"/>
                      <w:lang w:val="en-US" w:eastAsia="zh-CN"/>
                    </w:rPr>
                    <w:t>回用于生产，废过滤棉、</w:t>
                  </w:r>
                  <w:r>
                    <w:rPr>
                      <w:rFonts w:hint="default" w:ascii="Times New Roman" w:hAnsi="Times New Roman" w:eastAsia="宋体" w:cs="Times New Roman"/>
                      <w:bCs/>
                      <w:color w:val="auto"/>
                      <w:sz w:val="21"/>
                      <w:szCs w:val="21"/>
                      <w:vertAlign w:val="baseline"/>
                      <w:lang w:val="en-US" w:eastAsia="zh-CN"/>
                    </w:rPr>
                    <w:t>废活性炭、废导热油、废润滑油、</w:t>
                  </w:r>
                  <w:r>
                    <w:rPr>
                      <w:rFonts w:hint="eastAsia" w:cs="Times New Roman"/>
                      <w:bCs/>
                      <w:color w:val="auto"/>
                      <w:sz w:val="21"/>
                      <w:szCs w:val="21"/>
                      <w:vertAlign w:val="baseline"/>
                      <w:lang w:val="en-US" w:eastAsia="zh-CN"/>
                    </w:rPr>
                    <w:t>废油桶</w:t>
                  </w:r>
                  <w:r>
                    <w:rPr>
                      <w:rFonts w:hint="default" w:ascii="Times New Roman" w:hAnsi="Times New Roman" w:eastAsia="宋体" w:cs="Times New Roman"/>
                      <w:bCs/>
                      <w:color w:val="auto"/>
                      <w:sz w:val="21"/>
                      <w:szCs w:val="21"/>
                      <w:vertAlign w:val="baseline"/>
                      <w:lang w:val="en-US" w:eastAsia="zh-CN"/>
                    </w:rPr>
                    <w:t>、焦油沉渣、</w:t>
                  </w:r>
                  <w:r>
                    <w:rPr>
                      <w:rFonts w:hint="eastAsia"/>
                      <w:color w:val="auto"/>
                      <w:sz w:val="21"/>
                      <w:szCs w:val="21"/>
                      <w:lang w:val="en-US" w:eastAsia="zh-CN"/>
                    </w:rPr>
                    <w:t>电捕焦油器废油</w:t>
                  </w: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c>
                <w:tcPr>
                  <w:tcW w:w="735" w:type="pct"/>
                  <w:tcBorders>
                    <w:left w:val="single" w:color="000000" w:sz="4" w:space="0"/>
                  </w:tcBorders>
                  <w:noWrap w:val="0"/>
                  <w:vAlign w:val="center"/>
                </w:tcPr>
                <w:p w14:paraId="766710E2">
                  <w:pPr>
                    <w:adjustRightInd w:val="0"/>
                    <w:snapToGrid w:val="0"/>
                    <w:jc w:val="center"/>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依托现有暂存设施</w:t>
                  </w:r>
                </w:p>
              </w:tc>
            </w:tr>
          </w:tbl>
          <w:p w14:paraId="1C04405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二</w:t>
            </w:r>
            <w:r>
              <w:rPr>
                <w:rFonts w:hint="default" w:ascii="Times New Roman" w:hAnsi="Times New Roman" w:eastAsia="宋体" w:cs="Times New Roman"/>
                <w:b/>
                <w:bCs w:val="0"/>
                <w:color w:val="auto"/>
                <w:sz w:val="24"/>
                <w:szCs w:val="24"/>
                <w:lang w:val="en-US" w:eastAsia="zh-CN"/>
              </w:rPr>
              <w:t>、产品方案</w:t>
            </w:r>
          </w:p>
          <w:p w14:paraId="038B393A">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产品方案一览表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40"/>
              <w:gridCol w:w="670"/>
              <w:gridCol w:w="1511"/>
              <w:gridCol w:w="2332"/>
              <w:gridCol w:w="1326"/>
            </w:tblGrid>
            <w:tr w14:paraId="1066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14:paraId="0D23EF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序号</w:t>
                  </w:r>
                </w:p>
              </w:tc>
              <w:tc>
                <w:tcPr>
                  <w:tcW w:w="854" w:type="pct"/>
                  <w:noWrap w:val="0"/>
                  <w:vAlign w:val="center"/>
                </w:tcPr>
                <w:p w14:paraId="5BD220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427" w:type="pct"/>
                  <w:noWrap w:val="0"/>
                  <w:vAlign w:val="center"/>
                </w:tcPr>
                <w:p w14:paraId="6CE1E7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963" w:type="pct"/>
                  <w:noWrap w:val="0"/>
                  <w:vAlign w:val="center"/>
                </w:tcPr>
                <w:p w14:paraId="572E09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rPr>
                  </w:pPr>
                  <w:r>
                    <w:rPr>
                      <w:rFonts w:hint="eastAsia" w:cs="Times New Roman"/>
                      <w:b/>
                      <w:bCs w:val="0"/>
                      <w:color w:val="auto"/>
                      <w:sz w:val="21"/>
                      <w:szCs w:val="21"/>
                      <w:lang w:val="en-US" w:eastAsia="zh-CN"/>
                    </w:rPr>
                    <w:t>现有项目</w:t>
                  </w:r>
                  <w:r>
                    <w:rPr>
                      <w:rFonts w:hint="default" w:ascii="Times New Roman" w:hAnsi="Times New Roman" w:eastAsia="宋体" w:cs="Times New Roman"/>
                      <w:b/>
                      <w:bCs w:val="0"/>
                      <w:color w:val="auto"/>
                      <w:sz w:val="21"/>
                      <w:szCs w:val="21"/>
                    </w:rPr>
                    <w:t>产能</w:t>
                  </w:r>
                </w:p>
              </w:tc>
              <w:tc>
                <w:tcPr>
                  <w:tcW w:w="1486" w:type="pct"/>
                  <w:noWrap w:val="0"/>
                  <w:vAlign w:val="center"/>
                </w:tcPr>
                <w:p w14:paraId="6A75B8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本项目建成后全厂产能</w:t>
                  </w:r>
                </w:p>
              </w:tc>
              <w:tc>
                <w:tcPr>
                  <w:tcW w:w="845" w:type="pct"/>
                  <w:noWrap w:val="0"/>
                  <w:vAlign w:val="center"/>
                </w:tcPr>
                <w:p w14:paraId="5FB49B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备注</w:t>
                  </w:r>
                </w:p>
              </w:tc>
            </w:tr>
            <w:tr w14:paraId="4CBA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14:paraId="6ACDE1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854" w:type="pct"/>
                  <w:noWrap w:val="0"/>
                  <w:vAlign w:val="center"/>
                </w:tcPr>
                <w:p w14:paraId="529AEA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沥青混凝土</w:t>
                  </w:r>
                </w:p>
              </w:tc>
              <w:tc>
                <w:tcPr>
                  <w:tcW w:w="427" w:type="pct"/>
                  <w:noWrap w:val="0"/>
                  <w:vAlign w:val="center"/>
                </w:tcPr>
                <w:p w14:paraId="6FFCEB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t/a</w:t>
                  </w:r>
                </w:p>
              </w:tc>
              <w:tc>
                <w:tcPr>
                  <w:tcW w:w="963" w:type="pct"/>
                  <w:noWrap w:val="0"/>
                  <w:vAlign w:val="center"/>
                </w:tcPr>
                <w:p w14:paraId="2411CB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3000</w:t>
                  </w:r>
                </w:p>
              </w:tc>
              <w:tc>
                <w:tcPr>
                  <w:tcW w:w="1486" w:type="pct"/>
                  <w:noWrap w:val="0"/>
                  <w:vAlign w:val="center"/>
                </w:tcPr>
                <w:p w14:paraId="644BAD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50000</w:t>
                  </w:r>
                </w:p>
              </w:tc>
              <w:tc>
                <w:tcPr>
                  <w:tcW w:w="845" w:type="pct"/>
                  <w:noWrap w:val="0"/>
                  <w:vAlign w:val="center"/>
                </w:tcPr>
                <w:p w14:paraId="0FF22D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新增47000</w:t>
                  </w:r>
                </w:p>
              </w:tc>
            </w:tr>
            <w:tr w14:paraId="55C5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14:paraId="0C4D68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854" w:type="pct"/>
                  <w:noWrap w:val="0"/>
                  <w:vAlign w:val="center"/>
                </w:tcPr>
                <w:p w14:paraId="393C61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水稳碎石</w:t>
                  </w:r>
                </w:p>
              </w:tc>
              <w:tc>
                <w:tcPr>
                  <w:tcW w:w="427" w:type="pct"/>
                  <w:noWrap w:val="0"/>
                  <w:vAlign w:val="center"/>
                </w:tcPr>
                <w:p w14:paraId="76618F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t/a</w:t>
                  </w:r>
                </w:p>
              </w:tc>
              <w:tc>
                <w:tcPr>
                  <w:tcW w:w="963" w:type="pct"/>
                  <w:noWrap w:val="0"/>
                  <w:vAlign w:val="center"/>
                </w:tcPr>
                <w:p w14:paraId="426BA8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10000</w:t>
                  </w:r>
                </w:p>
              </w:tc>
              <w:tc>
                <w:tcPr>
                  <w:tcW w:w="1486" w:type="pct"/>
                  <w:noWrap w:val="0"/>
                  <w:vAlign w:val="center"/>
                </w:tcPr>
                <w:p w14:paraId="5887D7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10000</w:t>
                  </w:r>
                </w:p>
              </w:tc>
              <w:tc>
                <w:tcPr>
                  <w:tcW w:w="845" w:type="pct"/>
                  <w:noWrap w:val="0"/>
                  <w:vAlign w:val="center"/>
                </w:tcPr>
                <w:p w14:paraId="347E36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不变</w:t>
                  </w:r>
                </w:p>
              </w:tc>
            </w:tr>
            <w:tr w14:paraId="198E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14:paraId="0668E0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854" w:type="pct"/>
                  <w:noWrap w:val="0"/>
                  <w:vAlign w:val="center"/>
                </w:tcPr>
                <w:p w14:paraId="2B4AD3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水泥混凝土</w:t>
                  </w:r>
                </w:p>
              </w:tc>
              <w:tc>
                <w:tcPr>
                  <w:tcW w:w="427" w:type="pct"/>
                  <w:noWrap w:val="0"/>
                  <w:vAlign w:val="center"/>
                </w:tcPr>
                <w:p w14:paraId="67B194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p>
              </w:tc>
              <w:tc>
                <w:tcPr>
                  <w:tcW w:w="963" w:type="pct"/>
                  <w:noWrap w:val="0"/>
                  <w:vAlign w:val="center"/>
                </w:tcPr>
                <w:p w14:paraId="2B8827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5000</w:t>
                  </w:r>
                </w:p>
              </w:tc>
              <w:tc>
                <w:tcPr>
                  <w:tcW w:w="1486" w:type="pct"/>
                  <w:noWrap w:val="0"/>
                  <w:vAlign w:val="center"/>
                </w:tcPr>
                <w:p w14:paraId="1AE4A9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5000</w:t>
                  </w:r>
                </w:p>
              </w:tc>
              <w:tc>
                <w:tcPr>
                  <w:tcW w:w="845" w:type="pct"/>
                  <w:noWrap w:val="0"/>
                  <w:vAlign w:val="center"/>
                </w:tcPr>
                <w:p w14:paraId="5312F1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不变</w:t>
                  </w:r>
                </w:p>
              </w:tc>
            </w:tr>
            <w:tr w14:paraId="77A3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14:paraId="704D98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854" w:type="pct"/>
                  <w:noWrap w:val="0"/>
                  <w:vAlign w:val="center"/>
                </w:tcPr>
                <w:p w14:paraId="6B2277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乳化沥青</w:t>
                  </w:r>
                </w:p>
              </w:tc>
              <w:tc>
                <w:tcPr>
                  <w:tcW w:w="427" w:type="pct"/>
                  <w:noWrap w:val="0"/>
                  <w:vAlign w:val="center"/>
                </w:tcPr>
                <w:p w14:paraId="05759C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t/a</w:t>
                  </w:r>
                </w:p>
              </w:tc>
              <w:tc>
                <w:tcPr>
                  <w:tcW w:w="963" w:type="pct"/>
                  <w:noWrap w:val="0"/>
                  <w:vAlign w:val="center"/>
                </w:tcPr>
                <w:p w14:paraId="65D2F9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486" w:type="pct"/>
                  <w:noWrap w:val="0"/>
                  <w:vAlign w:val="center"/>
                </w:tcPr>
                <w:p w14:paraId="6C8352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200</w:t>
                  </w:r>
                </w:p>
              </w:tc>
              <w:tc>
                <w:tcPr>
                  <w:tcW w:w="845" w:type="pct"/>
                  <w:noWrap w:val="0"/>
                  <w:vAlign w:val="center"/>
                </w:tcPr>
                <w:p w14:paraId="4C6F69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新增200</w:t>
                  </w:r>
                </w:p>
              </w:tc>
            </w:tr>
          </w:tbl>
          <w:p w14:paraId="543A9FE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三、主要原辅材料</w:t>
            </w:r>
          </w:p>
          <w:p w14:paraId="4D062FBC">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主要原辅材料</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103"/>
              <w:gridCol w:w="1306"/>
              <w:gridCol w:w="1408"/>
              <w:gridCol w:w="1960"/>
              <w:gridCol w:w="1390"/>
            </w:tblGrid>
            <w:tr w14:paraId="0C953C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noWrap w:val="0"/>
                  <w:vAlign w:val="center"/>
                </w:tcPr>
                <w:p w14:paraId="18A6677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类别</w:t>
                  </w:r>
                </w:p>
              </w:tc>
              <w:tc>
                <w:tcPr>
                  <w:tcW w:w="703" w:type="pct"/>
                  <w:noWrap w:val="0"/>
                  <w:vAlign w:val="center"/>
                </w:tcPr>
                <w:p w14:paraId="2434F8A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名称</w:t>
                  </w:r>
                </w:p>
              </w:tc>
              <w:tc>
                <w:tcPr>
                  <w:tcW w:w="832" w:type="pct"/>
                  <w:noWrap w:val="0"/>
                  <w:vAlign w:val="center"/>
                </w:tcPr>
                <w:p w14:paraId="3872A2B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规格</w:t>
                  </w:r>
                </w:p>
              </w:tc>
              <w:tc>
                <w:tcPr>
                  <w:tcW w:w="897" w:type="pct"/>
                  <w:noWrap w:val="0"/>
                  <w:vAlign w:val="center"/>
                </w:tcPr>
                <w:p w14:paraId="5A9B180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现有项目用量t/a</w:t>
                  </w:r>
                </w:p>
              </w:tc>
              <w:tc>
                <w:tcPr>
                  <w:tcW w:w="1249" w:type="pct"/>
                  <w:noWrap w:val="0"/>
                  <w:vAlign w:val="center"/>
                </w:tcPr>
                <w:p w14:paraId="35E8221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建成后全厂用量t/a</w:t>
                  </w:r>
                </w:p>
              </w:tc>
              <w:tc>
                <w:tcPr>
                  <w:tcW w:w="885" w:type="pct"/>
                  <w:noWrap w:val="0"/>
                  <w:vAlign w:val="center"/>
                </w:tcPr>
                <w:p w14:paraId="219ACCA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备注</w:t>
                  </w:r>
                </w:p>
              </w:tc>
            </w:tr>
            <w:tr w14:paraId="28E0BC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restart"/>
                  <w:noWrap w:val="0"/>
                  <w:vAlign w:val="center"/>
                </w:tcPr>
                <w:p w14:paraId="44E6CE9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沥青混凝土</w:t>
                  </w:r>
                </w:p>
              </w:tc>
              <w:tc>
                <w:tcPr>
                  <w:tcW w:w="703" w:type="pct"/>
                  <w:noWrap w:val="0"/>
                  <w:vAlign w:val="center"/>
                </w:tcPr>
                <w:p w14:paraId="1B83E17D">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沥青</w:t>
                  </w:r>
                </w:p>
              </w:tc>
              <w:tc>
                <w:tcPr>
                  <w:tcW w:w="832" w:type="pct"/>
                  <w:noWrap w:val="0"/>
                  <w:vAlign w:val="center"/>
                </w:tcPr>
                <w:p w14:paraId="080B88D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液态，罐装</w:t>
                  </w:r>
                </w:p>
              </w:tc>
              <w:tc>
                <w:tcPr>
                  <w:tcW w:w="897" w:type="pct"/>
                  <w:noWrap w:val="0"/>
                  <w:vAlign w:val="center"/>
                </w:tcPr>
                <w:p w14:paraId="5DC32D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1249" w:type="pct"/>
                  <w:noWrap w:val="0"/>
                  <w:vAlign w:val="center"/>
                </w:tcPr>
                <w:p w14:paraId="37215E3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885" w:type="pct"/>
                  <w:noWrap w:val="0"/>
                  <w:vAlign w:val="center"/>
                </w:tcPr>
                <w:p w14:paraId="37C13A8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增加2350t/a</w:t>
                  </w:r>
                </w:p>
              </w:tc>
            </w:tr>
            <w:tr w14:paraId="345AB2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02DF34B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081FBE4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机制砂</w:t>
                  </w:r>
                </w:p>
              </w:tc>
              <w:tc>
                <w:tcPr>
                  <w:tcW w:w="832" w:type="pct"/>
                  <w:noWrap w:val="0"/>
                  <w:vAlign w:val="center"/>
                </w:tcPr>
                <w:p w14:paraId="311578C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固态，散装</w:t>
                  </w:r>
                </w:p>
              </w:tc>
              <w:tc>
                <w:tcPr>
                  <w:tcW w:w="897" w:type="pct"/>
                  <w:noWrap w:val="0"/>
                  <w:vAlign w:val="center"/>
                </w:tcPr>
                <w:p w14:paraId="5EC4CFE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350</w:t>
                  </w:r>
                </w:p>
              </w:tc>
              <w:tc>
                <w:tcPr>
                  <w:tcW w:w="1249" w:type="pct"/>
                  <w:noWrap w:val="0"/>
                  <w:vAlign w:val="center"/>
                </w:tcPr>
                <w:p w14:paraId="3100E12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w:t>
                  </w:r>
                </w:p>
              </w:tc>
              <w:tc>
                <w:tcPr>
                  <w:tcW w:w="885" w:type="pct"/>
                  <w:noWrap w:val="0"/>
                  <w:vAlign w:val="center"/>
                </w:tcPr>
                <w:p w14:paraId="37228E9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增加4650t/a</w:t>
                  </w:r>
                </w:p>
              </w:tc>
            </w:tr>
            <w:tr w14:paraId="5D5A94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14A9044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1301FAA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石子</w:t>
                  </w:r>
                </w:p>
              </w:tc>
              <w:tc>
                <w:tcPr>
                  <w:tcW w:w="832" w:type="pct"/>
                  <w:noWrap w:val="0"/>
                  <w:vAlign w:val="center"/>
                </w:tcPr>
                <w:p w14:paraId="48D86AB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固态，散装</w:t>
                  </w:r>
                </w:p>
              </w:tc>
              <w:tc>
                <w:tcPr>
                  <w:tcW w:w="897" w:type="pct"/>
                  <w:noWrap w:val="0"/>
                  <w:vAlign w:val="center"/>
                </w:tcPr>
                <w:p w14:paraId="1785689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1249" w:type="pct"/>
                  <w:noWrap w:val="0"/>
                  <w:vAlign w:val="center"/>
                </w:tcPr>
                <w:p w14:paraId="10A72C0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28000</w:t>
                  </w:r>
                </w:p>
              </w:tc>
              <w:tc>
                <w:tcPr>
                  <w:tcW w:w="885" w:type="pct"/>
                  <w:noWrap w:val="0"/>
                  <w:vAlign w:val="center"/>
                </w:tcPr>
                <w:p w14:paraId="46F0B81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增加25500t/a</w:t>
                  </w:r>
                </w:p>
              </w:tc>
            </w:tr>
            <w:tr w14:paraId="44DA8C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545886A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5B79D7B5">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石硝</w:t>
                  </w:r>
                </w:p>
              </w:tc>
              <w:tc>
                <w:tcPr>
                  <w:tcW w:w="832" w:type="pct"/>
                  <w:noWrap w:val="0"/>
                  <w:vAlign w:val="center"/>
                </w:tcPr>
                <w:p w14:paraId="14E2947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固态，散装</w:t>
                  </w:r>
                </w:p>
              </w:tc>
              <w:tc>
                <w:tcPr>
                  <w:tcW w:w="897" w:type="pct"/>
                  <w:noWrap w:val="0"/>
                  <w:vAlign w:val="center"/>
                </w:tcPr>
                <w:p w14:paraId="10FAE5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49" w:type="pct"/>
                  <w:noWrap w:val="0"/>
                  <w:vAlign w:val="center"/>
                </w:tcPr>
                <w:p w14:paraId="03E490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14500</w:t>
                  </w:r>
                </w:p>
              </w:tc>
              <w:tc>
                <w:tcPr>
                  <w:tcW w:w="885" w:type="pct"/>
                  <w:noWrap w:val="0"/>
                  <w:vAlign w:val="center"/>
                </w:tcPr>
                <w:p w14:paraId="5957404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增加14500t/a</w:t>
                  </w:r>
                </w:p>
              </w:tc>
            </w:tr>
            <w:tr w14:paraId="0D6D5B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restart"/>
                  <w:noWrap w:val="0"/>
                  <w:vAlign w:val="center"/>
                </w:tcPr>
                <w:p w14:paraId="30D0C48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水稳碎石</w:t>
                  </w:r>
                </w:p>
              </w:tc>
              <w:tc>
                <w:tcPr>
                  <w:tcW w:w="703" w:type="pct"/>
                  <w:noWrap w:val="0"/>
                  <w:vAlign w:val="center"/>
                </w:tcPr>
                <w:p w14:paraId="20713FA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石子</w:t>
                  </w:r>
                </w:p>
              </w:tc>
              <w:tc>
                <w:tcPr>
                  <w:tcW w:w="832" w:type="pct"/>
                  <w:noWrap w:val="0"/>
                  <w:vAlign w:val="center"/>
                </w:tcPr>
                <w:p w14:paraId="65F10689">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固态，散装</w:t>
                  </w:r>
                </w:p>
              </w:tc>
              <w:tc>
                <w:tcPr>
                  <w:tcW w:w="897" w:type="pct"/>
                  <w:noWrap w:val="0"/>
                  <w:vAlign w:val="center"/>
                </w:tcPr>
                <w:p w14:paraId="3EB5C82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w:t>
                  </w:r>
                </w:p>
              </w:tc>
              <w:tc>
                <w:tcPr>
                  <w:tcW w:w="1249" w:type="pct"/>
                  <w:noWrap w:val="0"/>
                  <w:vAlign w:val="center"/>
                </w:tcPr>
                <w:p w14:paraId="2B7FB95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9000</w:t>
                  </w:r>
                </w:p>
              </w:tc>
              <w:tc>
                <w:tcPr>
                  <w:tcW w:w="885" w:type="pct"/>
                  <w:vMerge w:val="restart"/>
                  <w:noWrap w:val="0"/>
                  <w:vAlign w:val="center"/>
                </w:tcPr>
                <w:p w14:paraId="4035ECDA">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不变</w:t>
                  </w:r>
                </w:p>
              </w:tc>
            </w:tr>
            <w:tr w14:paraId="17EF28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1D98DC3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09860B9D">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Times New Roman"/>
                      <w:color w:val="auto"/>
                      <w:sz w:val="21"/>
                      <w:szCs w:val="21"/>
                      <w:lang w:val="en-US" w:eastAsia="zh-CN"/>
                    </w:rPr>
                    <w:t>水泥</w:t>
                  </w:r>
                </w:p>
              </w:tc>
              <w:tc>
                <w:tcPr>
                  <w:tcW w:w="832" w:type="pct"/>
                  <w:noWrap w:val="0"/>
                  <w:vAlign w:val="center"/>
                </w:tcPr>
                <w:p w14:paraId="65588D2B">
                  <w:pPr>
                    <w:keepNext w:val="0"/>
                    <w:keepLines w:val="0"/>
                    <w:pageBreakBefore w:val="0"/>
                    <w:kinsoku/>
                    <w:wordWrap/>
                    <w:overflowPunct/>
                    <w:topLinePunct w:val="0"/>
                    <w:autoSpaceDE/>
                    <w:autoSpaceDN/>
                    <w:bidi w:val="0"/>
                    <w:adjustRightInd w:val="0"/>
                    <w:snapToGrid w:val="0"/>
                    <w:jc w:val="center"/>
                    <w:rPr>
                      <w:rFonts w:hint="default" w:ascii="宋体" w:hAnsi="宋体" w:eastAsia="宋体" w:cs="Times New Roman"/>
                      <w:color w:val="auto"/>
                      <w:sz w:val="21"/>
                      <w:szCs w:val="21"/>
                      <w:lang w:val="en-US" w:eastAsia="zh-CN"/>
                    </w:rPr>
                  </w:pPr>
                  <w:r>
                    <w:rPr>
                      <w:rFonts w:hint="eastAsia" w:cs="Times New Roman"/>
                      <w:color w:val="auto"/>
                      <w:sz w:val="21"/>
                      <w:szCs w:val="21"/>
                      <w:highlight w:val="none"/>
                      <w:lang w:val="en-US" w:eastAsia="zh-CN"/>
                    </w:rPr>
                    <w:t>固态，罐装</w:t>
                  </w:r>
                </w:p>
              </w:tc>
              <w:tc>
                <w:tcPr>
                  <w:tcW w:w="897" w:type="pct"/>
                  <w:noWrap w:val="0"/>
                  <w:vAlign w:val="center"/>
                </w:tcPr>
                <w:p w14:paraId="138B41D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249" w:type="pct"/>
                  <w:noWrap w:val="0"/>
                  <w:vAlign w:val="center"/>
                </w:tcPr>
                <w:p w14:paraId="60FC3B9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885" w:type="pct"/>
                  <w:vMerge w:val="continue"/>
                  <w:noWrap w:val="0"/>
                  <w:vAlign w:val="center"/>
                </w:tcPr>
                <w:p w14:paraId="17B4821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0188D6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6990C5E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7CFB5FB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宋体" w:hAnsi="宋体" w:cs="Times New Roman"/>
                      <w:color w:val="auto"/>
                      <w:sz w:val="21"/>
                      <w:szCs w:val="21"/>
                      <w:lang w:val="en-US" w:eastAsia="zh-CN"/>
                    </w:rPr>
                    <w:t>生产用水</w:t>
                  </w:r>
                </w:p>
              </w:tc>
              <w:tc>
                <w:tcPr>
                  <w:tcW w:w="832" w:type="pct"/>
                  <w:noWrap w:val="0"/>
                  <w:vAlign w:val="center"/>
                </w:tcPr>
                <w:p w14:paraId="53484925">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sz w:val="21"/>
                      <w:szCs w:val="21"/>
                      <w:lang w:val="en-US" w:eastAsia="zh-CN"/>
                    </w:rPr>
                  </w:pPr>
                  <w:r>
                    <w:rPr>
                      <w:rFonts w:hint="eastAsia" w:cs="Times New Roman"/>
                      <w:color w:val="auto"/>
                      <w:sz w:val="21"/>
                      <w:szCs w:val="21"/>
                      <w:highlight w:val="none"/>
                      <w:lang w:val="en-US" w:eastAsia="zh-CN"/>
                    </w:rPr>
                    <w:t>/</w:t>
                  </w:r>
                </w:p>
              </w:tc>
              <w:tc>
                <w:tcPr>
                  <w:tcW w:w="897" w:type="pct"/>
                  <w:noWrap w:val="0"/>
                  <w:vAlign w:val="center"/>
                </w:tcPr>
                <w:p w14:paraId="3287617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1249" w:type="pct"/>
                  <w:noWrap w:val="0"/>
                  <w:vAlign w:val="center"/>
                </w:tcPr>
                <w:p w14:paraId="7AA9C10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885" w:type="pct"/>
                  <w:vMerge w:val="continue"/>
                  <w:noWrap w:val="0"/>
                  <w:vAlign w:val="center"/>
                </w:tcPr>
                <w:p w14:paraId="5CCEBD4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3AB023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restart"/>
                  <w:noWrap w:val="0"/>
                  <w:vAlign w:val="center"/>
                </w:tcPr>
                <w:p w14:paraId="1A36531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Times New Roman"/>
                      <w:color w:val="auto"/>
                      <w:sz w:val="21"/>
                      <w:szCs w:val="21"/>
                      <w:lang w:val="en-US" w:eastAsia="zh-CN"/>
                    </w:rPr>
                    <w:t>水泥混凝土</w:t>
                  </w:r>
                </w:p>
              </w:tc>
              <w:tc>
                <w:tcPr>
                  <w:tcW w:w="703" w:type="pct"/>
                  <w:noWrap w:val="0"/>
                  <w:vAlign w:val="center"/>
                </w:tcPr>
                <w:p w14:paraId="7E62D0C3">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石子</w:t>
                  </w:r>
                </w:p>
              </w:tc>
              <w:tc>
                <w:tcPr>
                  <w:tcW w:w="832" w:type="pct"/>
                  <w:noWrap w:val="0"/>
                  <w:vAlign w:val="center"/>
                </w:tcPr>
                <w:p w14:paraId="7C6596DA">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固态，散装</w:t>
                  </w:r>
                </w:p>
              </w:tc>
              <w:tc>
                <w:tcPr>
                  <w:tcW w:w="897" w:type="pct"/>
                  <w:noWrap w:val="0"/>
                  <w:vAlign w:val="center"/>
                </w:tcPr>
                <w:p w14:paraId="5241207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8200</w:t>
                  </w:r>
                </w:p>
              </w:tc>
              <w:tc>
                <w:tcPr>
                  <w:tcW w:w="1249" w:type="pct"/>
                  <w:noWrap w:val="0"/>
                  <w:vAlign w:val="center"/>
                </w:tcPr>
                <w:p w14:paraId="30B171A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8200</w:t>
                  </w:r>
                </w:p>
              </w:tc>
              <w:tc>
                <w:tcPr>
                  <w:tcW w:w="885" w:type="pct"/>
                  <w:vMerge w:val="restart"/>
                  <w:noWrap w:val="0"/>
                  <w:vAlign w:val="center"/>
                </w:tcPr>
                <w:p w14:paraId="44DCCB0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不变</w:t>
                  </w:r>
                </w:p>
              </w:tc>
            </w:tr>
            <w:tr w14:paraId="750952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0AC5C16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63DD764D">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沙子</w:t>
                  </w:r>
                </w:p>
              </w:tc>
              <w:tc>
                <w:tcPr>
                  <w:tcW w:w="832" w:type="pct"/>
                  <w:noWrap w:val="0"/>
                  <w:vAlign w:val="center"/>
                </w:tcPr>
                <w:p w14:paraId="1C8A81DE">
                  <w:pPr>
                    <w:keepNext w:val="0"/>
                    <w:keepLines w:val="0"/>
                    <w:pageBreakBefore w:val="0"/>
                    <w:kinsoku/>
                    <w:wordWrap/>
                    <w:overflowPunct/>
                    <w:topLinePunct w:val="0"/>
                    <w:autoSpaceDE/>
                    <w:autoSpaceDN/>
                    <w:bidi w:val="0"/>
                    <w:adjustRightInd w:val="0"/>
                    <w:snapToGrid w:val="0"/>
                    <w:jc w:val="center"/>
                    <w:rPr>
                      <w:rFonts w:hint="default" w:ascii="宋体" w:hAnsi="宋体" w:eastAsia="宋体" w:cs="Times New Roman"/>
                      <w:color w:val="auto"/>
                      <w:sz w:val="21"/>
                      <w:szCs w:val="21"/>
                      <w:lang w:val="en-US" w:eastAsia="zh-CN"/>
                    </w:rPr>
                  </w:pPr>
                  <w:r>
                    <w:rPr>
                      <w:rFonts w:hint="eastAsia" w:cs="Times New Roman"/>
                      <w:color w:val="auto"/>
                      <w:sz w:val="21"/>
                      <w:szCs w:val="21"/>
                      <w:highlight w:val="none"/>
                      <w:lang w:val="en-US" w:eastAsia="zh-CN"/>
                    </w:rPr>
                    <w:t>固态，散装</w:t>
                  </w:r>
                </w:p>
              </w:tc>
              <w:tc>
                <w:tcPr>
                  <w:tcW w:w="897" w:type="pct"/>
                  <w:noWrap w:val="0"/>
                  <w:vAlign w:val="center"/>
                </w:tcPr>
                <w:p w14:paraId="5EA7091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2150</w:t>
                  </w:r>
                </w:p>
              </w:tc>
              <w:tc>
                <w:tcPr>
                  <w:tcW w:w="1249" w:type="pct"/>
                  <w:noWrap w:val="0"/>
                  <w:vAlign w:val="center"/>
                </w:tcPr>
                <w:p w14:paraId="0C740C3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2150</w:t>
                  </w:r>
                </w:p>
              </w:tc>
              <w:tc>
                <w:tcPr>
                  <w:tcW w:w="885" w:type="pct"/>
                  <w:vMerge w:val="continue"/>
                  <w:noWrap w:val="0"/>
                  <w:vAlign w:val="center"/>
                </w:tcPr>
                <w:p w14:paraId="61E0463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6EC2DC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38AED80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6CB7329D">
                  <w:pPr>
                    <w:keepNext w:val="0"/>
                    <w:keepLines w:val="0"/>
                    <w:pageBreakBefore w:val="0"/>
                    <w:kinsoku/>
                    <w:wordWrap/>
                    <w:overflowPunct/>
                    <w:topLinePunct w:val="0"/>
                    <w:autoSpaceDE/>
                    <w:autoSpaceDN/>
                    <w:bidi w:val="0"/>
                    <w:adjustRightInd w:val="0"/>
                    <w:snapToGrid w:val="0"/>
                    <w:jc w:val="center"/>
                    <w:rPr>
                      <w:rFonts w:hint="eastAsia" w:ascii="宋体" w:hAnsi="宋体" w:cs="Times New Roman"/>
                      <w:color w:val="auto"/>
                      <w:sz w:val="21"/>
                      <w:szCs w:val="21"/>
                      <w:lang w:val="en-US" w:eastAsia="zh-CN"/>
                    </w:rPr>
                  </w:pPr>
                  <w:r>
                    <w:rPr>
                      <w:rFonts w:hint="eastAsia" w:ascii="宋体" w:hAnsi="宋体" w:eastAsia="宋体" w:cs="Times New Roman"/>
                      <w:color w:val="auto"/>
                      <w:sz w:val="21"/>
                      <w:szCs w:val="21"/>
                      <w:lang w:val="en-US" w:eastAsia="zh-CN"/>
                    </w:rPr>
                    <w:t>水泥</w:t>
                  </w:r>
                </w:p>
              </w:tc>
              <w:tc>
                <w:tcPr>
                  <w:tcW w:w="832" w:type="pct"/>
                  <w:noWrap w:val="0"/>
                  <w:vAlign w:val="center"/>
                </w:tcPr>
                <w:p w14:paraId="7FD58583">
                  <w:pPr>
                    <w:keepNext w:val="0"/>
                    <w:keepLines w:val="0"/>
                    <w:pageBreakBefore w:val="0"/>
                    <w:kinsoku/>
                    <w:wordWrap/>
                    <w:overflowPunct/>
                    <w:topLinePunct w:val="0"/>
                    <w:autoSpaceDE/>
                    <w:autoSpaceDN/>
                    <w:bidi w:val="0"/>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固态，罐装</w:t>
                  </w:r>
                </w:p>
              </w:tc>
              <w:tc>
                <w:tcPr>
                  <w:tcW w:w="897" w:type="pct"/>
                  <w:noWrap w:val="0"/>
                  <w:vAlign w:val="center"/>
                </w:tcPr>
                <w:p w14:paraId="3E214A9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1050</w:t>
                  </w:r>
                </w:p>
              </w:tc>
              <w:tc>
                <w:tcPr>
                  <w:tcW w:w="1249" w:type="pct"/>
                  <w:noWrap w:val="0"/>
                  <w:vAlign w:val="center"/>
                </w:tcPr>
                <w:p w14:paraId="77FEF7F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1050</w:t>
                  </w:r>
                </w:p>
              </w:tc>
              <w:tc>
                <w:tcPr>
                  <w:tcW w:w="885" w:type="pct"/>
                  <w:vMerge w:val="continue"/>
                  <w:noWrap w:val="0"/>
                  <w:vAlign w:val="center"/>
                </w:tcPr>
                <w:p w14:paraId="42C7E73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568699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76F1890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703" w:type="pct"/>
                  <w:noWrap w:val="0"/>
                  <w:vAlign w:val="center"/>
                </w:tcPr>
                <w:p w14:paraId="57885CF2">
                  <w:pPr>
                    <w:keepNext w:val="0"/>
                    <w:keepLines w:val="0"/>
                    <w:pageBreakBefore w:val="0"/>
                    <w:kinsoku/>
                    <w:wordWrap/>
                    <w:overflowPunct/>
                    <w:topLinePunct w:val="0"/>
                    <w:autoSpaceDE/>
                    <w:autoSpaceDN/>
                    <w:bidi w:val="0"/>
                    <w:adjustRightInd w:val="0"/>
                    <w:snapToGrid w:val="0"/>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生产用水</w:t>
                  </w:r>
                </w:p>
              </w:tc>
              <w:tc>
                <w:tcPr>
                  <w:tcW w:w="832" w:type="pct"/>
                  <w:noWrap w:val="0"/>
                  <w:vAlign w:val="center"/>
                </w:tcPr>
                <w:p w14:paraId="5FC8FF06">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w:t>
                  </w:r>
                </w:p>
              </w:tc>
              <w:tc>
                <w:tcPr>
                  <w:tcW w:w="897" w:type="pct"/>
                  <w:noWrap w:val="0"/>
                  <w:vAlign w:val="center"/>
                </w:tcPr>
                <w:p w14:paraId="5ECC523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350</w:t>
                  </w:r>
                </w:p>
              </w:tc>
              <w:tc>
                <w:tcPr>
                  <w:tcW w:w="1249" w:type="pct"/>
                  <w:noWrap w:val="0"/>
                  <w:vAlign w:val="center"/>
                </w:tcPr>
                <w:p w14:paraId="01B007F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885" w:type="pct"/>
                  <w:vMerge w:val="continue"/>
                  <w:noWrap w:val="0"/>
                  <w:vAlign w:val="center"/>
                </w:tcPr>
                <w:p w14:paraId="0D63AC0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r>
            <w:tr w14:paraId="589F20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restart"/>
                  <w:noWrap w:val="0"/>
                  <w:vAlign w:val="center"/>
                </w:tcPr>
                <w:p w14:paraId="2DC9891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乳化沥青</w:t>
                  </w:r>
                </w:p>
              </w:tc>
              <w:tc>
                <w:tcPr>
                  <w:tcW w:w="703" w:type="pct"/>
                  <w:noWrap w:val="0"/>
                  <w:vAlign w:val="center"/>
                </w:tcPr>
                <w:p w14:paraId="62CA79E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沥青</w:t>
                  </w:r>
                </w:p>
              </w:tc>
              <w:tc>
                <w:tcPr>
                  <w:tcW w:w="832" w:type="pct"/>
                  <w:noWrap w:val="0"/>
                  <w:vAlign w:val="center"/>
                </w:tcPr>
                <w:p w14:paraId="04B6885A">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液态，罐装</w:t>
                  </w:r>
                </w:p>
              </w:tc>
              <w:tc>
                <w:tcPr>
                  <w:tcW w:w="897" w:type="pct"/>
                  <w:noWrap w:val="0"/>
                  <w:vAlign w:val="center"/>
                </w:tcPr>
                <w:p w14:paraId="4319728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49" w:type="pct"/>
                  <w:noWrap w:val="0"/>
                  <w:vAlign w:val="center"/>
                </w:tcPr>
                <w:p w14:paraId="695D7C1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885" w:type="pct"/>
                  <w:vMerge w:val="restart"/>
                  <w:noWrap w:val="0"/>
                  <w:vAlign w:val="center"/>
                </w:tcPr>
                <w:p w14:paraId="190A6F6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14:paraId="25EDBA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7459A97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c>
                <w:tcPr>
                  <w:tcW w:w="703" w:type="pct"/>
                  <w:noWrap w:val="0"/>
                  <w:vAlign w:val="center"/>
                </w:tcPr>
                <w:p w14:paraId="2C4FE28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乳化剂</w:t>
                  </w:r>
                </w:p>
              </w:tc>
              <w:tc>
                <w:tcPr>
                  <w:tcW w:w="832" w:type="pct"/>
                  <w:noWrap w:val="0"/>
                  <w:vAlign w:val="center"/>
                </w:tcPr>
                <w:p w14:paraId="5B0819C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液态，罐装</w:t>
                  </w:r>
                </w:p>
              </w:tc>
              <w:tc>
                <w:tcPr>
                  <w:tcW w:w="897" w:type="pct"/>
                  <w:noWrap w:val="0"/>
                  <w:vAlign w:val="center"/>
                </w:tcPr>
                <w:p w14:paraId="6691FAA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49" w:type="pct"/>
                  <w:noWrap w:val="0"/>
                  <w:vAlign w:val="center"/>
                </w:tcPr>
                <w:p w14:paraId="557B924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885" w:type="pct"/>
                  <w:vMerge w:val="continue"/>
                  <w:noWrap w:val="0"/>
                  <w:vAlign w:val="center"/>
                </w:tcPr>
                <w:p w14:paraId="5FC8008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587337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vMerge w:val="continue"/>
                  <w:noWrap w:val="0"/>
                  <w:vAlign w:val="center"/>
                </w:tcPr>
                <w:p w14:paraId="6B9B2D6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c>
                <w:tcPr>
                  <w:tcW w:w="703" w:type="pct"/>
                  <w:noWrap w:val="0"/>
                  <w:vAlign w:val="center"/>
                </w:tcPr>
                <w:p w14:paraId="70096E5D">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生产用</w:t>
                  </w:r>
                  <w:r>
                    <w:rPr>
                      <w:rFonts w:hint="eastAsia" w:ascii="Times New Roman" w:hAnsi="Times New Roman" w:eastAsia="宋体" w:cs="Times New Roman"/>
                      <w:color w:val="auto"/>
                      <w:sz w:val="21"/>
                      <w:szCs w:val="21"/>
                      <w:highlight w:val="none"/>
                      <w:lang w:val="en-US" w:eastAsia="zh-CN"/>
                    </w:rPr>
                    <w:t>水</w:t>
                  </w:r>
                </w:p>
              </w:tc>
              <w:tc>
                <w:tcPr>
                  <w:tcW w:w="832" w:type="pct"/>
                  <w:noWrap w:val="0"/>
                  <w:vAlign w:val="center"/>
                </w:tcPr>
                <w:p w14:paraId="6D6A096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97" w:type="pct"/>
                  <w:noWrap w:val="0"/>
                  <w:vAlign w:val="center"/>
                </w:tcPr>
                <w:p w14:paraId="5E93726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49" w:type="pct"/>
                  <w:noWrap w:val="0"/>
                  <w:vAlign w:val="center"/>
                </w:tcPr>
                <w:p w14:paraId="0B2A9CD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117.6</w:t>
                  </w:r>
                </w:p>
              </w:tc>
              <w:tc>
                <w:tcPr>
                  <w:tcW w:w="885" w:type="pct"/>
                  <w:vMerge w:val="continue"/>
                  <w:noWrap w:val="0"/>
                  <w:vAlign w:val="center"/>
                </w:tcPr>
                <w:p w14:paraId="6041460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5CE81E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1" w:type="pct"/>
                  <w:noWrap w:val="0"/>
                  <w:vAlign w:val="center"/>
                </w:tcPr>
                <w:p w14:paraId="3E863A4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供热工程</w:t>
                  </w:r>
                </w:p>
              </w:tc>
              <w:tc>
                <w:tcPr>
                  <w:tcW w:w="703" w:type="pct"/>
                  <w:noWrap w:val="0"/>
                  <w:vAlign w:val="center"/>
                </w:tcPr>
                <w:p w14:paraId="6B9305E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天然气</w:t>
                  </w:r>
                </w:p>
              </w:tc>
              <w:tc>
                <w:tcPr>
                  <w:tcW w:w="832" w:type="pct"/>
                  <w:noWrap w:val="0"/>
                  <w:vAlign w:val="center"/>
                </w:tcPr>
                <w:p w14:paraId="763C7927">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液化气，罐装</w:t>
                  </w:r>
                </w:p>
              </w:tc>
              <w:tc>
                <w:tcPr>
                  <w:tcW w:w="897" w:type="pct"/>
                  <w:noWrap w:val="0"/>
                  <w:vAlign w:val="center"/>
                </w:tcPr>
                <w:p w14:paraId="1AF5E1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19200Nm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/a</w:t>
                  </w:r>
                </w:p>
              </w:tc>
              <w:tc>
                <w:tcPr>
                  <w:tcW w:w="1249" w:type="pct"/>
                  <w:noWrap w:val="0"/>
                  <w:vAlign w:val="center"/>
                </w:tcPr>
                <w:p w14:paraId="6B2D3E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310000Nm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/a（干燥工序用量为</w:t>
                  </w:r>
                  <w:r>
                    <w:rPr>
                      <w:rFonts w:hint="default" w:ascii="Times New Roman" w:hAnsi="Times New Roman" w:cs="Times New Roman"/>
                      <w:i w:val="0"/>
                      <w:iCs w:val="0"/>
                      <w:color w:val="auto"/>
                      <w:kern w:val="0"/>
                      <w:sz w:val="21"/>
                      <w:szCs w:val="21"/>
                      <w:u w:val="none"/>
                      <w:lang w:val="en-US" w:eastAsia="zh-CN" w:bidi="ar"/>
                    </w:rPr>
                    <w:t>217000Nm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default" w:ascii="Times New Roman" w:hAnsi="Times New Roman" w:cs="Times New Roman"/>
                      <w:i w:val="0"/>
                      <w:iCs w:val="0"/>
                      <w:color w:val="auto"/>
                      <w:kern w:val="0"/>
                      <w:sz w:val="21"/>
                      <w:szCs w:val="21"/>
                      <w:u w:val="none"/>
                      <w:lang w:val="en-US" w:eastAsia="zh-CN" w:bidi="ar"/>
                    </w:rPr>
                    <w:t>/a</w:t>
                  </w:r>
                  <w:r>
                    <w:rPr>
                      <w:rFonts w:hint="eastAsia" w:cs="Times New Roman"/>
                      <w:i w:val="0"/>
                      <w:iCs w:val="0"/>
                      <w:color w:val="auto"/>
                      <w:kern w:val="0"/>
                      <w:sz w:val="21"/>
                      <w:szCs w:val="21"/>
                      <w:u w:val="none"/>
                      <w:lang w:val="en-US" w:eastAsia="zh-CN" w:bidi="ar"/>
                    </w:rPr>
                    <w:t>，导热油炉用量</w:t>
                  </w:r>
                  <w:r>
                    <w:rPr>
                      <w:rFonts w:hint="default" w:ascii="Times New Roman" w:hAnsi="Times New Roman" w:eastAsia="宋体" w:cs="Times New Roman"/>
                      <w:b w:val="0"/>
                      <w:bCs w:val="0"/>
                      <w:color w:val="auto"/>
                      <w:sz w:val="21"/>
                      <w:szCs w:val="21"/>
                      <w:highlight w:val="none"/>
                      <w:lang w:val="en-US" w:eastAsia="zh-CN"/>
                    </w:rPr>
                    <w:t>为</w:t>
                  </w:r>
                  <w:r>
                    <w:rPr>
                      <w:rFonts w:hint="default" w:ascii="Times New Roman" w:hAnsi="Times New Roman" w:cs="Times New Roman"/>
                      <w:b w:val="0"/>
                      <w:bCs w:val="0"/>
                      <w:color w:val="auto"/>
                      <w:sz w:val="21"/>
                      <w:szCs w:val="21"/>
                      <w:highlight w:val="none"/>
                      <w:lang w:val="en-US" w:eastAsia="zh-CN"/>
                    </w:rPr>
                    <w:t>93</w:t>
                  </w:r>
                  <w:r>
                    <w:rPr>
                      <w:rFonts w:hint="default" w:ascii="Times New Roman" w:hAnsi="Times New Roman" w:cs="Times New Roman"/>
                      <w:i w:val="0"/>
                      <w:iCs w:val="0"/>
                      <w:color w:val="auto"/>
                      <w:kern w:val="0"/>
                      <w:sz w:val="21"/>
                      <w:szCs w:val="21"/>
                      <w:u w:val="none"/>
                      <w:lang w:val="en-US" w:eastAsia="zh-CN" w:bidi="ar"/>
                    </w:rPr>
                    <w:t>000Nm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default" w:ascii="Times New Roman" w:hAnsi="Times New Roman" w:cs="Times New Roman"/>
                      <w:i w:val="0"/>
                      <w:iCs w:val="0"/>
                      <w:color w:val="auto"/>
                      <w:kern w:val="0"/>
                      <w:sz w:val="21"/>
                      <w:szCs w:val="21"/>
                      <w:u w:val="none"/>
                      <w:lang w:val="en-US" w:eastAsia="zh-CN" w:bidi="ar"/>
                    </w:rPr>
                    <w:t>/a</w:t>
                  </w:r>
                  <w:r>
                    <w:rPr>
                      <w:rFonts w:hint="eastAsia" w:cs="Times New Roman"/>
                      <w:i w:val="0"/>
                      <w:iCs w:val="0"/>
                      <w:color w:val="auto"/>
                      <w:kern w:val="0"/>
                      <w:sz w:val="21"/>
                      <w:szCs w:val="21"/>
                      <w:u w:val="none"/>
                      <w:lang w:val="en-US" w:eastAsia="zh-CN" w:bidi="ar"/>
                    </w:rPr>
                    <w:t>）</w:t>
                  </w:r>
                </w:p>
              </w:tc>
              <w:tc>
                <w:tcPr>
                  <w:tcW w:w="885" w:type="pct"/>
                  <w:noWrap w:val="0"/>
                  <w:vAlign w:val="center"/>
                </w:tcPr>
                <w:p w14:paraId="7FF5EDC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增加2</w:t>
                  </w:r>
                  <w:r>
                    <w:rPr>
                      <w:rFonts w:hint="eastAsia" w:cs="Times New Roman"/>
                      <w:i w:val="0"/>
                      <w:iCs w:val="0"/>
                      <w:color w:val="auto"/>
                      <w:kern w:val="0"/>
                      <w:sz w:val="21"/>
                      <w:szCs w:val="21"/>
                      <w:u w:val="none"/>
                      <w:lang w:val="en-US" w:eastAsia="zh-CN" w:bidi="ar"/>
                    </w:rPr>
                    <w:t>90800Nm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/a</w:t>
                  </w:r>
                </w:p>
              </w:tc>
            </w:tr>
          </w:tbl>
          <w:p w14:paraId="1364C5B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四</w:t>
            </w:r>
            <w:r>
              <w:rPr>
                <w:rFonts w:hint="default" w:ascii="Times New Roman" w:hAnsi="Times New Roman" w:eastAsia="宋体" w:cs="Times New Roman"/>
                <w:b/>
                <w:bCs w:val="0"/>
                <w:color w:val="auto"/>
                <w:sz w:val="24"/>
                <w:szCs w:val="24"/>
                <w:lang w:val="en-US" w:eastAsia="zh-CN"/>
              </w:rPr>
              <w:t>、主要生产设施</w:t>
            </w:r>
          </w:p>
          <w:p w14:paraId="339D2BE7">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bookmarkStart w:id="2" w:name="_Hlk45791442"/>
            <w:r>
              <w:rPr>
                <w:rFonts w:hint="default" w:ascii="Times New Roman" w:hAnsi="Times New Roman" w:eastAsia="宋体" w:cs="Times New Roman"/>
                <w:b/>
                <w:caps w:val="0"/>
                <w:color w:val="auto"/>
                <w:spacing w:val="0"/>
                <w:kern w:val="0"/>
                <w:position w:val="0"/>
                <w:sz w:val="24"/>
                <w:szCs w:val="24"/>
                <w:highlight w:val="none"/>
                <w:lang w:val="en-US" w:eastAsia="zh-CN"/>
              </w:rPr>
              <w:t>生产设备一览表</w:t>
            </w:r>
          </w:p>
          <w:bookmarkEnd w:id="2"/>
          <w:tbl>
            <w:tblPr>
              <w:tblStyle w:val="24"/>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2"/>
              <w:gridCol w:w="1506"/>
              <w:gridCol w:w="1245"/>
              <w:gridCol w:w="1606"/>
              <w:gridCol w:w="1094"/>
              <w:gridCol w:w="1617"/>
              <w:gridCol w:w="415"/>
            </w:tblGrid>
            <w:tr w14:paraId="17C54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restart"/>
                  <w:noWrap w:val="0"/>
                  <w:vAlign w:val="center"/>
                </w:tcPr>
                <w:p w14:paraId="6770768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生产</w:t>
                  </w:r>
                  <w:r>
                    <w:rPr>
                      <w:rFonts w:hint="eastAsia" w:cs="Times New Roman"/>
                      <w:b/>
                      <w:bCs/>
                      <w:i w:val="0"/>
                      <w:iCs w:val="0"/>
                      <w:color w:val="auto"/>
                      <w:kern w:val="0"/>
                      <w:sz w:val="21"/>
                      <w:szCs w:val="21"/>
                      <w:u w:val="none"/>
                      <w:lang w:val="en-US" w:eastAsia="zh-CN" w:bidi="ar"/>
                    </w:rPr>
                    <w:t>线</w:t>
                  </w:r>
                </w:p>
              </w:tc>
              <w:tc>
                <w:tcPr>
                  <w:tcW w:w="959" w:type="pct"/>
                  <w:vMerge w:val="restart"/>
                  <w:noWrap w:val="0"/>
                  <w:vAlign w:val="center"/>
                </w:tcPr>
                <w:p w14:paraId="24606C7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817" w:type="pct"/>
                  <w:gridSpan w:val="2"/>
                  <w:tcBorders>
                    <w:bottom w:val="single" w:color="auto" w:sz="4" w:space="0"/>
                  </w:tcBorders>
                  <w:noWrap w:val="0"/>
                  <w:vAlign w:val="center"/>
                </w:tcPr>
                <w:p w14:paraId="2C9DFAE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现有项目</w:t>
                  </w:r>
                  <w:r>
                    <w:rPr>
                      <w:rFonts w:hint="eastAsia" w:cs="Times New Roman"/>
                      <w:b/>
                      <w:bCs/>
                      <w:i w:val="0"/>
                      <w:iCs w:val="0"/>
                      <w:color w:val="auto"/>
                      <w:kern w:val="0"/>
                      <w:sz w:val="21"/>
                      <w:szCs w:val="21"/>
                      <w:u w:val="none"/>
                      <w:lang w:val="en-US" w:eastAsia="zh-CN" w:bidi="ar"/>
                    </w:rPr>
                    <w:t>数量</w:t>
                  </w:r>
                  <w:r>
                    <w:rPr>
                      <w:rFonts w:hint="eastAsia" w:ascii="Times New Roman" w:hAnsi="Times New Roman" w:eastAsia="宋体" w:cs="Times New Roman"/>
                      <w:b/>
                      <w:bCs/>
                      <w:i w:val="0"/>
                      <w:iCs w:val="0"/>
                      <w:color w:val="auto"/>
                      <w:kern w:val="0"/>
                      <w:sz w:val="21"/>
                      <w:szCs w:val="21"/>
                      <w:u w:val="none"/>
                      <w:lang w:val="en-US" w:eastAsia="zh-CN" w:bidi="ar"/>
                    </w:rPr>
                    <w:t>（台/套）</w:t>
                  </w:r>
                </w:p>
              </w:tc>
              <w:tc>
                <w:tcPr>
                  <w:tcW w:w="1727" w:type="pct"/>
                  <w:gridSpan w:val="2"/>
                  <w:tcBorders>
                    <w:bottom w:val="single" w:color="auto" w:sz="4" w:space="0"/>
                  </w:tcBorders>
                  <w:noWrap w:val="0"/>
                  <w:vAlign w:val="center"/>
                </w:tcPr>
                <w:p w14:paraId="22854B5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建成后全厂</w:t>
                  </w:r>
                  <w:r>
                    <w:rPr>
                      <w:rFonts w:hint="eastAsia" w:cs="Times New Roman"/>
                      <w:b/>
                      <w:bCs/>
                      <w:i w:val="0"/>
                      <w:iCs w:val="0"/>
                      <w:color w:val="auto"/>
                      <w:kern w:val="0"/>
                      <w:sz w:val="21"/>
                      <w:szCs w:val="21"/>
                      <w:u w:val="none"/>
                      <w:lang w:val="en-US" w:eastAsia="zh-CN" w:bidi="ar"/>
                    </w:rPr>
                    <w:t>数量</w:t>
                  </w:r>
                  <w:r>
                    <w:rPr>
                      <w:rFonts w:hint="eastAsia" w:ascii="Times New Roman" w:hAnsi="Times New Roman" w:eastAsia="宋体" w:cs="Times New Roman"/>
                      <w:b/>
                      <w:bCs/>
                      <w:i w:val="0"/>
                      <w:iCs w:val="0"/>
                      <w:color w:val="auto"/>
                      <w:kern w:val="0"/>
                      <w:sz w:val="21"/>
                      <w:szCs w:val="21"/>
                      <w:u w:val="none"/>
                      <w:lang w:val="en-US" w:eastAsia="zh-CN" w:bidi="ar"/>
                    </w:rPr>
                    <w:t>（台/套）</w:t>
                  </w:r>
                </w:p>
              </w:tc>
              <w:tc>
                <w:tcPr>
                  <w:tcW w:w="264" w:type="pct"/>
                  <w:vMerge w:val="restart"/>
                  <w:noWrap w:val="0"/>
                  <w:vAlign w:val="center"/>
                </w:tcPr>
                <w:p w14:paraId="506B824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备注</w:t>
                  </w:r>
                </w:p>
              </w:tc>
            </w:tr>
            <w:tr w14:paraId="15D82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481E361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iCs w:val="0"/>
                      <w:color w:val="auto"/>
                      <w:kern w:val="0"/>
                      <w:sz w:val="21"/>
                      <w:szCs w:val="21"/>
                      <w:u w:val="none"/>
                      <w:lang w:val="en-US" w:eastAsia="zh-CN" w:bidi="ar"/>
                    </w:rPr>
                  </w:pPr>
                </w:p>
              </w:tc>
              <w:tc>
                <w:tcPr>
                  <w:tcW w:w="959" w:type="pct"/>
                  <w:vMerge w:val="continue"/>
                  <w:noWrap w:val="0"/>
                  <w:vAlign w:val="center"/>
                </w:tcPr>
                <w:p w14:paraId="56D03CC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793" w:type="pct"/>
                  <w:tcBorders>
                    <w:top w:val="single" w:color="auto" w:sz="4" w:space="0"/>
                  </w:tcBorders>
                  <w:noWrap w:val="0"/>
                  <w:vAlign w:val="center"/>
                </w:tcPr>
                <w:p w14:paraId="6E3BA50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数量</w:t>
                  </w:r>
                </w:p>
              </w:tc>
              <w:tc>
                <w:tcPr>
                  <w:tcW w:w="1023" w:type="pct"/>
                  <w:tcBorders>
                    <w:top w:val="single" w:color="auto" w:sz="4" w:space="0"/>
                  </w:tcBorders>
                  <w:noWrap w:val="0"/>
                  <w:vAlign w:val="center"/>
                </w:tcPr>
                <w:p w14:paraId="081F342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规格</w:t>
                  </w:r>
                </w:p>
              </w:tc>
              <w:tc>
                <w:tcPr>
                  <w:tcW w:w="697" w:type="pct"/>
                  <w:tcBorders>
                    <w:top w:val="single" w:color="auto" w:sz="4" w:space="0"/>
                  </w:tcBorders>
                  <w:noWrap w:val="0"/>
                  <w:vAlign w:val="center"/>
                </w:tcPr>
                <w:p w14:paraId="40A22C4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数量</w:t>
                  </w:r>
                </w:p>
              </w:tc>
              <w:tc>
                <w:tcPr>
                  <w:tcW w:w="1030" w:type="pct"/>
                  <w:tcBorders>
                    <w:top w:val="single" w:color="auto" w:sz="4" w:space="0"/>
                  </w:tcBorders>
                  <w:noWrap w:val="0"/>
                  <w:vAlign w:val="center"/>
                </w:tcPr>
                <w:p w14:paraId="5F5A5B9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规格</w:t>
                  </w:r>
                </w:p>
              </w:tc>
              <w:tc>
                <w:tcPr>
                  <w:tcW w:w="264" w:type="pct"/>
                  <w:vMerge w:val="continue"/>
                  <w:noWrap w:val="0"/>
                  <w:vAlign w:val="center"/>
                </w:tcPr>
                <w:p w14:paraId="6636A9C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b/>
                      <w:bCs/>
                      <w:i w:val="0"/>
                      <w:iCs w:val="0"/>
                      <w:color w:val="auto"/>
                      <w:kern w:val="0"/>
                      <w:sz w:val="21"/>
                      <w:szCs w:val="21"/>
                      <w:u w:val="none"/>
                      <w:lang w:val="en-US" w:eastAsia="zh-CN" w:bidi="ar"/>
                    </w:rPr>
                  </w:pPr>
                </w:p>
              </w:tc>
            </w:tr>
            <w:tr w14:paraId="12147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restart"/>
                  <w:noWrap w:val="0"/>
                  <w:vAlign w:val="center"/>
                </w:tcPr>
                <w:p w14:paraId="1DB476C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沥青混凝土</w:t>
                  </w:r>
                </w:p>
              </w:tc>
              <w:tc>
                <w:tcPr>
                  <w:tcW w:w="959" w:type="pct"/>
                  <w:noWrap w:val="0"/>
                  <w:vAlign w:val="center"/>
                </w:tcPr>
                <w:p w14:paraId="77B1887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料斗</w:t>
                  </w:r>
                </w:p>
              </w:tc>
              <w:tc>
                <w:tcPr>
                  <w:tcW w:w="793" w:type="pct"/>
                  <w:tcBorders>
                    <w:right w:val="single" w:color="auto" w:sz="4" w:space="0"/>
                  </w:tcBorders>
                  <w:noWrap w:val="0"/>
                  <w:vAlign w:val="center"/>
                </w:tcPr>
                <w:p w14:paraId="06208BC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5</w:t>
                  </w:r>
                </w:p>
              </w:tc>
              <w:tc>
                <w:tcPr>
                  <w:tcW w:w="1023" w:type="pct"/>
                  <w:tcBorders>
                    <w:left w:val="single" w:color="auto" w:sz="4" w:space="0"/>
                  </w:tcBorders>
                  <w:noWrap w:val="0"/>
                  <w:vAlign w:val="center"/>
                </w:tcPr>
                <w:p w14:paraId="2D62F03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8m³</w:t>
                  </w:r>
                </w:p>
              </w:tc>
              <w:tc>
                <w:tcPr>
                  <w:tcW w:w="697" w:type="pct"/>
                  <w:tcBorders>
                    <w:right w:val="single" w:color="auto" w:sz="4" w:space="0"/>
                  </w:tcBorders>
                  <w:noWrap w:val="0"/>
                  <w:vAlign w:val="center"/>
                </w:tcPr>
                <w:p w14:paraId="2FDEC8C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5</w:t>
                  </w:r>
                </w:p>
              </w:tc>
              <w:tc>
                <w:tcPr>
                  <w:tcW w:w="1030" w:type="pct"/>
                  <w:tcBorders>
                    <w:left w:val="single" w:color="auto" w:sz="4" w:space="0"/>
                  </w:tcBorders>
                  <w:noWrap w:val="0"/>
                  <w:vAlign w:val="center"/>
                </w:tcPr>
                <w:p w14:paraId="13F0176B">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8m³</w:t>
                  </w:r>
                </w:p>
              </w:tc>
              <w:tc>
                <w:tcPr>
                  <w:tcW w:w="264" w:type="pct"/>
                  <w:noWrap w:val="0"/>
                  <w:vAlign w:val="center"/>
                </w:tcPr>
                <w:p w14:paraId="6313CB6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AA5F5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4D32C0F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8D2087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传送带</w:t>
                  </w:r>
                </w:p>
              </w:tc>
              <w:tc>
                <w:tcPr>
                  <w:tcW w:w="793" w:type="pct"/>
                  <w:tcBorders>
                    <w:right w:val="single" w:color="auto" w:sz="4" w:space="0"/>
                  </w:tcBorders>
                  <w:noWrap w:val="0"/>
                  <w:vAlign w:val="center"/>
                </w:tcPr>
                <w:p w14:paraId="7EAF665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w:t>
                  </w:r>
                </w:p>
              </w:tc>
              <w:tc>
                <w:tcPr>
                  <w:tcW w:w="1023" w:type="pct"/>
                  <w:tcBorders>
                    <w:left w:val="single" w:color="auto" w:sz="4" w:space="0"/>
                  </w:tcBorders>
                  <w:noWrap w:val="0"/>
                  <w:vAlign w:val="center"/>
                </w:tcPr>
                <w:p w14:paraId="622836B1">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i w:val="0"/>
                      <w:iCs w:val="0"/>
                      <w:color w:val="auto"/>
                      <w:kern w:val="0"/>
                      <w:sz w:val="21"/>
                      <w:szCs w:val="21"/>
                      <w:u w:val="none"/>
                      <w:lang w:val="en-US" w:eastAsia="zh-CN" w:bidi="ar"/>
                    </w:rPr>
                    <w:t>800mm</w:t>
                  </w:r>
                </w:p>
              </w:tc>
              <w:tc>
                <w:tcPr>
                  <w:tcW w:w="697" w:type="pct"/>
                  <w:tcBorders>
                    <w:right w:val="single" w:color="auto" w:sz="4" w:space="0"/>
                  </w:tcBorders>
                  <w:noWrap w:val="0"/>
                  <w:vAlign w:val="center"/>
                </w:tcPr>
                <w:p w14:paraId="6D8525E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w:t>
                  </w:r>
                </w:p>
              </w:tc>
              <w:tc>
                <w:tcPr>
                  <w:tcW w:w="1030" w:type="pct"/>
                  <w:tcBorders>
                    <w:left w:val="single" w:color="auto" w:sz="4" w:space="0"/>
                  </w:tcBorders>
                  <w:noWrap w:val="0"/>
                  <w:vAlign w:val="center"/>
                </w:tcPr>
                <w:p w14:paraId="50B8DA5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i w:val="0"/>
                      <w:iCs w:val="0"/>
                      <w:color w:val="auto"/>
                      <w:kern w:val="0"/>
                      <w:sz w:val="21"/>
                      <w:szCs w:val="21"/>
                      <w:u w:val="none"/>
                      <w:lang w:val="en-US" w:eastAsia="zh-CN" w:bidi="ar"/>
                    </w:rPr>
                    <w:t>18m</w:t>
                  </w:r>
                </w:p>
              </w:tc>
              <w:tc>
                <w:tcPr>
                  <w:tcW w:w="264" w:type="pct"/>
                  <w:noWrap w:val="0"/>
                  <w:vAlign w:val="center"/>
                </w:tcPr>
                <w:p w14:paraId="1657363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更新</w:t>
                  </w:r>
                </w:p>
              </w:tc>
            </w:tr>
            <w:tr w14:paraId="0FF03E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46908BE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364F4E1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干燥滚筒</w:t>
                  </w:r>
                </w:p>
              </w:tc>
              <w:tc>
                <w:tcPr>
                  <w:tcW w:w="793" w:type="pct"/>
                  <w:tcBorders>
                    <w:right w:val="single" w:color="auto" w:sz="4" w:space="0"/>
                  </w:tcBorders>
                  <w:noWrap w:val="0"/>
                  <w:vAlign w:val="center"/>
                </w:tcPr>
                <w:p w14:paraId="45397A3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w:t>
                  </w:r>
                </w:p>
              </w:tc>
              <w:tc>
                <w:tcPr>
                  <w:tcW w:w="1023" w:type="pct"/>
                  <w:tcBorders>
                    <w:left w:val="single" w:color="auto" w:sz="4" w:space="0"/>
                  </w:tcBorders>
                  <w:noWrap w:val="0"/>
                  <w:vAlign w:val="center"/>
                </w:tcPr>
                <w:p w14:paraId="0644966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Φ2200mm×9500mm×δ16mm</w:t>
                  </w:r>
                </w:p>
              </w:tc>
              <w:tc>
                <w:tcPr>
                  <w:tcW w:w="697" w:type="pct"/>
                  <w:tcBorders>
                    <w:right w:val="single" w:color="auto" w:sz="4" w:space="0"/>
                  </w:tcBorders>
                  <w:noWrap w:val="0"/>
                  <w:vAlign w:val="center"/>
                </w:tcPr>
                <w:p w14:paraId="7370052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w:t>
                  </w:r>
                </w:p>
              </w:tc>
              <w:tc>
                <w:tcPr>
                  <w:tcW w:w="1030" w:type="pct"/>
                  <w:tcBorders>
                    <w:left w:val="single" w:color="auto" w:sz="4" w:space="0"/>
                  </w:tcBorders>
                  <w:noWrap w:val="0"/>
                  <w:vAlign w:val="center"/>
                </w:tcPr>
                <w:p w14:paraId="740DB33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Φ2200mm×9500mm×δ16mm</w:t>
                  </w:r>
                </w:p>
              </w:tc>
              <w:tc>
                <w:tcPr>
                  <w:tcW w:w="264" w:type="pct"/>
                  <w:noWrap w:val="0"/>
                  <w:vAlign w:val="center"/>
                </w:tcPr>
                <w:p w14:paraId="7F4A41A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77A763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6A98393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1DAE7AA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混凝土搅拌楼</w:t>
                  </w:r>
                </w:p>
              </w:tc>
              <w:tc>
                <w:tcPr>
                  <w:tcW w:w="793" w:type="pct"/>
                  <w:tcBorders>
                    <w:right w:val="single" w:color="auto" w:sz="4" w:space="0"/>
                  </w:tcBorders>
                  <w:noWrap w:val="0"/>
                  <w:vAlign w:val="center"/>
                </w:tcPr>
                <w:p w14:paraId="557F521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7BFDFAF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2000</w:t>
                  </w:r>
                </w:p>
              </w:tc>
              <w:tc>
                <w:tcPr>
                  <w:tcW w:w="697" w:type="pct"/>
                  <w:tcBorders>
                    <w:right w:val="single" w:color="auto" w:sz="4" w:space="0"/>
                  </w:tcBorders>
                  <w:noWrap w:val="0"/>
                  <w:vAlign w:val="center"/>
                </w:tcPr>
                <w:p w14:paraId="43D98D1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63A911C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LB-4000</w:t>
                  </w:r>
                </w:p>
              </w:tc>
              <w:tc>
                <w:tcPr>
                  <w:tcW w:w="264" w:type="pct"/>
                  <w:noWrap w:val="0"/>
                  <w:vAlign w:val="center"/>
                </w:tcPr>
                <w:p w14:paraId="04DF569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更新</w:t>
                  </w:r>
                </w:p>
              </w:tc>
            </w:tr>
            <w:tr w14:paraId="1EE159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7CC1D7E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DB6F7C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提升机</w:t>
                  </w:r>
                </w:p>
              </w:tc>
              <w:tc>
                <w:tcPr>
                  <w:tcW w:w="793" w:type="pct"/>
                  <w:tcBorders>
                    <w:right w:val="single" w:color="auto" w:sz="4" w:space="0"/>
                  </w:tcBorders>
                  <w:noWrap w:val="0"/>
                  <w:vAlign w:val="center"/>
                </w:tcPr>
                <w:p w14:paraId="33AA4BA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44BC8C5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220t/h</w:t>
                  </w:r>
                </w:p>
              </w:tc>
              <w:tc>
                <w:tcPr>
                  <w:tcW w:w="697" w:type="pct"/>
                  <w:tcBorders>
                    <w:right w:val="single" w:color="auto" w:sz="4" w:space="0"/>
                  </w:tcBorders>
                  <w:noWrap w:val="0"/>
                  <w:vAlign w:val="center"/>
                </w:tcPr>
                <w:p w14:paraId="0E12729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0C9FA2F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220t/h</w:t>
                  </w:r>
                </w:p>
              </w:tc>
              <w:tc>
                <w:tcPr>
                  <w:tcW w:w="264" w:type="pct"/>
                  <w:noWrap w:val="0"/>
                  <w:vAlign w:val="center"/>
                </w:tcPr>
                <w:p w14:paraId="2E303D1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776515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2F86899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5FEF6B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yellow"/>
                      <w:u w:val="none"/>
                      <w:lang w:val="en-US" w:eastAsia="zh-CN" w:bidi="ar"/>
                    </w:rPr>
                    <w:t>导热油炉</w:t>
                  </w:r>
                </w:p>
              </w:tc>
              <w:tc>
                <w:tcPr>
                  <w:tcW w:w="793" w:type="pct"/>
                  <w:tcBorders>
                    <w:right w:val="single" w:color="auto" w:sz="4" w:space="0"/>
                  </w:tcBorders>
                  <w:noWrap w:val="0"/>
                  <w:vAlign w:val="center"/>
                </w:tcPr>
                <w:p w14:paraId="08036A1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b w:val="0"/>
                      <w:bCs w:val="0"/>
                      <w:i w:val="0"/>
                      <w:iCs w:val="0"/>
                      <w:color w:val="auto"/>
                      <w:kern w:val="0"/>
                      <w:sz w:val="21"/>
                      <w:szCs w:val="21"/>
                      <w:highlight w:val="yellow"/>
                      <w:u w:val="none"/>
                      <w:lang w:val="en-US" w:eastAsia="zh-CN" w:bidi="ar"/>
                    </w:rPr>
                    <w:t>1</w:t>
                  </w:r>
                </w:p>
              </w:tc>
              <w:tc>
                <w:tcPr>
                  <w:tcW w:w="1023" w:type="pct"/>
                  <w:tcBorders>
                    <w:left w:val="single" w:color="auto" w:sz="4" w:space="0"/>
                  </w:tcBorders>
                  <w:noWrap w:val="0"/>
                  <w:vAlign w:val="center"/>
                </w:tcPr>
                <w:p w14:paraId="150AE1A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b w:val="0"/>
                      <w:bCs w:val="0"/>
                      <w:i w:val="0"/>
                      <w:iCs w:val="0"/>
                      <w:color w:val="auto"/>
                      <w:kern w:val="0"/>
                      <w:sz w:val="21"/>
                      <w:szCs w:val="21"/>
                      <w:highlight w:val="yellow"/>
                      <w:u w:val="none"/>
                      <w:lang w:val="en-US" w:eastAsia="zh-CN" w:bidi="ar"/>
                    </w:rPr>
                  </w:pPr>
                  <w:r>
                    <w:rPr>
                      <w:rFonts w:hint="eastAsia" w:cs="Times New Roman"/>
                      <w:b w:val="0"/>
                      <w:bCs w:val="0"/>
                      <w:i w:val="0"/>
                      <w:iCs w:val="0"/>
                      <w:color w:val="auto"/>
                      <w:kern w:val="0"/>
                      <w:sz w:val="21"/>
                      <w:szCs w:val="21"/>
                      <w:highlight w:val="yellow"/>
                      <w:u w:val="none"/>
                      <w:lang w:val="en-US" w:eastAsia="zh-CN" w:bidi="ar"/>
                    </w:rPr>
                    <w:t>60万大卡</w:t>
                  </w:r>
                </w:p>
              </w:tc>
              <w:tc>
                <w:tcPr>
                  <w:tcW w:w="697" w:type="pct"/>
                  <w:tcBorders>
                    <w:right w:val="single" w:color="auto" w:sz="4" w:space="0"/>
                  </w:tcBorders>
                  <w:noWrap w:val="0"/>
                  <w:vAlign w:val="center"/>
                </w:tcPr>
                <w:p w14:paraId="5A1B9CB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b w:val="0"/>
                      <w:bCs w:val="0"/>
                      <w:i w:val="0"/>
                      <w:iCs w:val="0"/>
                      <w:color w:val="auto"/>
                      <w:kern w:val="0"/>
                      <w:sz w:val="21"/>
                      <w:szCs w:val="21"/>
                      <w:highlight w:val="yellow"/>
                      <w:u w:val="none"/>
                      <w:lang w:val="en-US" w:eastAsia="zh-CN" w:bidi="ar"/>
                    </w:rPr>
                    <w:t>1</w:t>
                  </w:r>
                </w:p>
              </w:tc>
              <w:tc>
                <w:tcPr>
                  <w:tcW w:w="1030" w:type="pct"/>
                  <w:tcBorders>
                    <w:left w:val="single" w:color="auto" w:sz="4" w:space="0"/>
                  </w:tcBorders>
                  <w:noWrap w:val="0"/>
                  <w:vAlign w:val="center"/>
                </w:tcPr>
                <w:p w14:paraId="5EE8F540">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b w:val="0"/>
                      <w:bCs w:val="0"/>
                      <w:i w:val="0"/>
                      <w:iCs w:val="0"/>
                      <w:color w:val="auto"/>
                      <w:kern w:val="0"/>
                      <w:sz w:val="21"/>
                      <w:szCs w:val="21"/>
                      <w:highlight w:val="yellow"/>
                      <w:u w:val="none"/>
                      <w:lang w:val="en-US" w:eastAsia="zh-CN" w:bidi="ar"/>
                    </w:rPr>
                    <w:t>60万大卡</w:t>
                  </w:r>
                </w:p>
              </w:tc>
              <w:tc>
                <w:tcPr>
                  <w:tcW w:w="264" w:type="pct"/>
                  <w:noWrap w:val="0"/>
                  <w:vAlign w:val="center"/>
                </w:tcPr>
                <w:p w14:paraId="1276AFB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9E4E9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106248C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37C180E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导热油储罐</w:t>
                  </w:r>
                </w:p>
              </w:tc>
              <w:tc>
                <w:tcPr>
                  <w:tcW w:w="793" w:type="pct"/>
                  <w:tcBorders>
                    <w:right w:val="single" w:color="auto" w:sz="4" w:space="0"/>
                  </w:tcBorders>
                  <w:noWrap w:val="0"/>
                  <w:vAlign w:val="center"/>
                </w:tcPr>
                <w:p w14:paraId="25D4695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5D7B456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1t</w:t>
                  </w:r>
                </w:p>
              </w:tc>
              <w:tc>
                <w:tcPr>
                  <w:tcW w:w="697" w:type="pct"/>
                  <w:tcBorders>
                    <w:right w:val="single" w:color="auto" w:sz="4" w:space="0"/>
                  </w:tcBorders>
                  <w:noWrap w:val="0"/>
                  <w:vAlign w:val="center"/>
                </w:tcPr>
                <w:p w14:paraId="3682721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292A2E7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1t</w:t>
                  </w:r>
                </w:p>
              </w:tc>
              <w:tc>
                <w:tcPr>
                  <w:tcW w:w="264" w:type="pct"/>
                  <w:noWrap w:val="0"/>
                  <w:vAlign w:val="center"/>
                </w:tcPr>
                <w:p w14:paraId="4F52995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030385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04FB4C5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0F7AE6B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LNG储罐</w:t>
                  </w:r>
                </w:p>
              </w:tc>
              <w:tc>
                <w:tcPr>
                  <w:tcW w:w="793" w:type="pct"/>
                  <w:tcBorders>
                    <w:right w:val="single" w:color="auto" w:sz="4" w:space="0"/>
                  </w:tcBorders>
                  <w:noWrap w:val="0"/>
                  <w:vAlign w:val="center"/>
                </w:tcPr>
                <w:p w14:paraId="3FC88BA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50A6350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60m³</w:t>
                  </w:r>
                </w:p>
              </w:tc>
              <w:tc>
                <w:tcPr>
                  <w:tcW w:w="697" w:type="pct"/>
                  <w:tcBorders>
                    <w:right w:val="single" w:color="auto" w:sz="4" w:space="0"/>
                  </w:tcBorders>
                  <w:noWrap w:val="0"/>
                  <w:vAlign w:val="center"/>
                </w:tcPr>
                <w:p w14:paraId="5C9F708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25498B8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60m³</w:t>
                  </w:r>
                </w:p>
              </w:tc>
              <w:tc>
                <w:tcPr>
                  <w:tcW w:w="264" w:type="pct"/>
                  <w:noWrap w:val="0"/>
                  <w:vAlign w:val="center"/>
                </w:tcPr>
                <w:p w14:paraId="7481637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47A66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612E52F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486785A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沥青储罐</w:t>
                  </w:r>
                </w:p>
              </w:tc>
              <w:tc>
                <w:tcPr>
                  <w:tcW w:w="793" w:type="pct"/>
                  <w:tcBorders>
                    <w:right w:val="single" w:color="auto" w:sz="4" w:space="0"/>
                  </w:tcBorders>
                  <w:noWrap w:val="0"/>
                  <w:vAlign w:val="center"/>
                </w:tcPr>
                <w:p w14:paraId="5D62CE4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34BA384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50t</w:t>
                  </w:r>
                </w:p>
              </w:tc>
              <w:tc>
                <w:tcPr>
                  <w:tcW w:w="697" w:type="pct"/>
                  <w:tcBorders>
                    <w:right w:val="single" w:color="auto" w:sz="4" w:space="0"/>
                  </w:tcBorders>
                  <w:noWrap w:val="0"/>
                  <w:vAlign w:val="center"/>
                </w:tcPr>
                <w:p w14:paraId="435C485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1030" w:type="pct"/>
                  <w:tcBorders>
                    <w:left w:val="single" w:color="auto" w:sz="4" w:space="0"/>
                  </w:tcBorders>
                  <w:noWrap w:val="0"/>
                  <w:vAlign w:val="center"/>
                </w:tcPr>
                <w:p w14:paraId="56787A7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50t</w:t>
                  </w:r>
                </w:p>
              </w:tc>
              <w:tc>
                <w:tcPr>
                  <w:tcW w:w="264" w:type="pct"/>
                  <w:noWrap w:val="0"/>
                  <w:vAlign w:val="center"/>
                </w:tcPr>
                <w:p w14:paraId="2927AFE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增加3个</w:t>
                  </w:r>
                </w:p>
              </w:tc>
            </w:tr>
            <w:tr w14:paraId="2C21E6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509951D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ADF189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沥青储罐</w:t>
                  </w:r>
                </w:p>
              </w:tc>
              <w:tc>
                <w:tcPr>
                  <w:tcW w:w="793" w:type="pct"/>
                  <w:tcBorders>
                    <w:right w:val="single" w:color="auto" w:sz="4" w:space="0"/>
                  </w:tcBorders>
                  <w:noWrap w:val="0"/>
                  <w:vAlign w:val="center"/>
                </w:tcPr>
                <w:p w14:paraId="5EB1BE1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3E7518D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300t</w:t>
                  </w:r>
                </w:p>
              </w:tc>
              <w:tc>
                <w:tcPr>
                  <w:tcW w:w="697" w:type="pct"/>
                  <w:tcBorders>
                    <w:right w:val="single" w:color="auto" w:sz="4" w:space="0"/>
                  </w:tcBorders>
                  <w:noWrap w:val="0"/>
                  <w:vAlign w:val="center"/>
                </w:tcPr>
                <w:p w14:paraId="513BD33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560F3CD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300t</w:t>
                  </w:r>
                </w:p>
              </w:tc>
              <w:tc>
                <w:tcPr>
                  <w:tcW w:w="264" w:type="pct"/>
                  <w:noWrap w:val="0"/>
                  <w:vAlign w:val="center"/>
                </w:tcPr>
                <w:p w14:paraId="557E4A7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增加1个</w:t>
                  </w:r>
                </w:p>
              </w:tc>
            </w:tr>
            <w:tr w14:paraId="0D3AC4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restart"/>
                  <w:noWrap w:val="0"/>
                  <w:vAlign w:val="center"/>
                </w:tcPr>
                <w:p w14:paraId="1CD97AD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水稳碎石</w:t>
                  </w:r>
                </w:p>
              </w:tc>
              <w:tc>
                <w:tcPr>
                  <w:tcW w:w="959" w:type="pct"/>
                  <w:noWrap w:val="0"/>
                  <w:vAlign w:val="center"/>
                </w:tcPr>
                <w:p w14:paraId="0C849C4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搅拌器</w:t>
                  </w:r>
                </w:p>
              </w:tc>
              <w:tc>
                <w:tcPr>
                  <w:tcW w:w="793" w:type="pct"/>
                  <w:tcBorders>
                    <w:right w:val="single" w:color="auto" w:sz="4" w:space="0"/>
                  </w:tcBorders>
                  <w:noWrap w:val="0"/>
                  <w:vAlign w:val="center"/>
                </w:tcPr>
                <w:p w14:paraId="75D9547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62CA54A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c>
                <w:tcPr>
                  <w:tcW w:w="697" w:type="pct"/>
                  <w:tcBorders>
                    <w:right w:val="single" w:color="auto" w:sz="4" w:space="0"/>
                  </w:tcBorders>
                  <w:noWrap w:val="0"/>
                  <w:vAlign w:val="center"/>
                </w:tcPr>
                <w:p w14:paraId="59539D9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77DAEF2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c>
                <w:tcPr>
                  <w:tcW w:w="264" w:type="pct"/>
                  <w:noWrap w:val="0"/>
                  <w:vAlign w:val="center"/>
                </w:tcPr>
                <w:p w14:paraId="407BB94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11C069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0A91373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BFC87A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料斗</w:t>
                  </w:r>
                </w:p>
              </w:tc>
              <w:tc>
                <w:tcPr>
                  <w:tcW w:w="793" w:type="pct"/>
                  <w:tcBorders>
                    <w:right w:val="single" w:color="auto" w:sz="4" w:space="0"/>
                  </w:tcBorders>
                  <w:noWrap w:val="0"/>
                  <w:vAlign w:val="center"/>
                </w:tcPr>
                <w:p w14:paraId="6F2E40A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1023" w:type="pct"/>
                  <w:tcBorders>
                    <w:left w:val="single" w:color="auto" w:sz="4" w:space="0"/>
                  </w:tcBorders>
                  <w:noWrap w:val="0"/>
                  <w:vAlign w:val="center"/>
                </w:tcPr>
                <w:p w14:paraId="58E2E3A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8m³</w:t>
                  </w:r>
                </w:p>
              </w:tc>
              <w:tc>
                <w:tcPr>
                  <w:tcW w:w="697" w:type="pct"/>
                  <w:tcBorders>
                    <w:right w:val="single" w:color="auto" w:sz="4" w:space="0"/>
                  </w:tcBorders>
                  <w:noWrap w:val="0"/>
                  <w:vAlign w:val="center"/>
                </w:tcPr>
                <w:p w14:paraId="3300FE1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1030" w:type="pct"/>
                  <w:tcBorders>
                    <w:left w:val="single" w:color="auto" w:sz="4" w:space="0"/>
                  </w:tcBorders>
                  <w:noWrap w:val="0"/>
                  <w:vAlign w:val="center"/>
                </w:tcPr>
                <w:p w14:paraId="29000FD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8m³</w:t>
                  </w:r>
                </w:p>
              </w:tc>
              <w:tc>
                <w:tcPr>
                  <w:tcW w:w="264" w:type="pct"/>
                  <w:noWrap w:val="0"/>
                  <w:vAlign w:val="center"/>
                </w:tcPr>
                <w:p w14:paraId="17BB9D3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611E81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51A2ED9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3800A1A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水泥料仓</w:t>
                  </w:r>
                </w:p>
              </w:tc>
              <w:tc>
                <w:tcPr>
                  <w:tcW w:w="793" w:type="pct"/>
                  <w:tcBorders>
                    <w:right w:val="single" w:color="auto" w:sz="4" w:space="0"/>
                  </w:tcBorders>
                  <w:noWrap w:val="0"/>
                  <w:vAlign w:val="center"/>
                </w:tcPr>
                <w:p w14:paraId="2537CCE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52F3BCF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100T</w:t>
                  </w:r>
                </w:p>
              </w:tc>
              <w:tc>
                <w:tcPr>
                  <w:tcW w:w="697" w:type="pct"/>
                  <w:tcBorders>
                    <w:right w:val="single" w:color="auto" w:sz="4" w:space="0"/>
                  </w:tcBorders>
                  <w:noWrap w:val="0"/>
                  <w:vAlign w:val="center"/>
                </w:tcPr>
                <w:p w14:paraId="5D71E24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76A2316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100T</w:t>
                  </w:r>
                </w:p>
              </w:tc>
              <w:tc>
                <w:tcPr>
                  <w:tcW w:w="264" w:type="pct"/>
                  <w:noWrap w:val="0"/>
                  <w:vAlign w:val="center"/>
                </w:tcPr>
                <w:p w14:paraId="4F776BB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081A63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250DF10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1754D9E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水泥料仓</w:t>
                  </w:r>
                </w:p>
              </w:tc>
              <w:tc>
                <w:tcPr>
                  <w:tcW w:w="793" w:type="pct"/>
                  <w:tcBorders>
                    <w:right w:val="single" w:color="auto" w:sz="4" w:space="0"/>
                  </w:tcBorders>
                  <w:noWrap w:val="0"/>
                  <w:vAlign w:val="center"/>
                </w:tcPr>
                <w:p w14:paraId="069CF7C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2F6507B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50T</w:t>
                  </w:r>
                </w:p>
              </w:tc>
              <w:tc>
                <w:tcPr>
                  <w:tcW w:w="697" w:type="pct"/>
                  <w:tcBorders>
                    <w:right w:val="single" w:color="auto" w:sz="4" w:space="0"/>
                  </w:tcBorders>
                  <w:noWrap w:val="0"/>
                  <w:vAlign w:val="center"/>
                </w:tcPr>
                <w:p w14:paraId="1F2840A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5060631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50T</w:t>
                  </w:r>
                </w:p>
              </w:tc>
              <w:tc>
                <w:tcPr>
                  <w:tcW w:w="264" w:type="pct"/>
                  <w:noWrap w:val="0"/>
                  <w:vAlign w:val="center"/>
                </w:tcPr>
                <w:p w14:paraId="792E23B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06934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7A2E23A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76780FB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传送带</w:t>
                  </w:r>
                </w:p>
              </w:tc>
              <w:tc>
                <w:tcPr>
                  <w:tcW w:w="793" w:type="pct"/>
                  <w:tcBorders>
                    <w:right w:val="single" w:color="auto" w:sz="4" w:space="0"/>
                  </w:tcBorders>
                  <w:noWrap w:val="0"/>
                  <w:vAlign w:val="center"/>
                </w:tcPr>
                <w:p w14:paraId="5222BC9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0715CAA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30m</w:t>
                  </w:r>
                </w:p>
              </w:tc>
              <w:tc>
                <w:tcPr>
                  <w:tcW w:w="697" w:type="pct"/>
                  <w:tcBorders>
                    <w:right w:val="single" w:color="auto" w:sz="4" w:space="0"/>
                  </w:tcBorders>
                  <w:noWrap w:val="0"/>
                  <w:vAlign w:val="center"/>
                </w:tcPr>
                <w:p w14:paraId="4EB7EC7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50BED64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30m</w:t>
                  </w:r>
                </w:p>
              </w:tc>
              <w:tc>
                <w:tcPr>
                  <w:tcW w:w="264" w:type="pct"/>
                  <w:noWrap w:val="0"/>
                  <w:vAlign w:val="center"/>
                </w:tcPr>
                <w:p w14:paraId="28BC0D7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6DD2DE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restart"/>
                  <w:noWrap w:val="0"/>
                  <w:vAlign w:val="center"/>
                </w:tcPr>
                <w:p w14:paraId="6C9C3C9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Times New Roman"/>
                      <w:color w:val="auto"/>
                      <w:sz w:val="21"/>
                      <w:szCs w:val="21"/>
                      <w:lang w:val="en-US" w:eastAsia="zh-CN"/>
                    </w:rPr>
                    <w:t>水泥混凝土</w:t>
                  </w:r>
                </w:p>
              </w:tc>
              <w:tc>
                <w:tcPr>
                  <w:tcW w:w="959" w:type="pct"/>
                  <w:noWrap w:val="0"/>
                  <w:vAlign w:val="center"/>
                </w:tcPr>
                <w:p w14:paraId="776B2504">
                  <w:pPr>
                    <w:keepNext w:val="0"/>
                    <w:keepLines w:val="0"/>
                    <w:pageBreakBefore w:val="0"/>
                    <w:kinsoku/>
                    <w:wordWrap w:val="0"/>
                    <w:overflowPunct/>
                    <w:topLinePunct w:val="0"/>
                    <w:autoSpaceDE/>
                    <w:autoSpaceDN/>
                    <w:bidi w:val="0"/>
                    <w:adjustRightInd w:val="0"/>
                    <w:snapToGrid w:val="0"/>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料斗</w:t>
                  </w:r>
                </w:p>
              </w:tc>
              <w:tc>
                <w:tcPr>
                  <w:tcW w:w="793" w:type="pct"/>
                  <w:tcBorders>
                    <w:right w:val="single" w:color="auto" w:sz="4" w:space="0"/>
                  </w:tcBorders>
                  <w:noWrap w:val="0"/>
                  <w:vAlign w:val="center"/>
                </w:tcPr>
                <w:p w14:paraId="35F23FC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023" w:type="pct"/>
                  <w:tcBorders>
                    <w:left w:val="single" w:color="auto" w:sz="4" w:space="0"/>
                  </w:tcBorders>
                  <w:noWrap w:val="0"/>
                  <w:vAlign w:val="center"/>
                </w:tcPr>
                <w:p w14:paraId="7F6FE6F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8m³</w:t>
                  </w:r>
                </w:p>
              </w:tc>
              <w:tc>
                <w:tcPr>
                  <w:tcW w:w="697" w:type="pct"/>
                  <w:tcBorders>
                    <w:right w:val="single" w:color="auto" w:sz="4" w:space="0"/>
                  </w:tcBorders>
                  <w:noWrap w:val="0"/>
                  <w:vAlign w:val="center"/>
                </w:tcPr>
                <w:p w14:paraId="79F45B5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030" w:type="pct"/>
                  <w:tcBorders>
                    <w:left w:val="single" w:color="auto" w:sz="4" w:space="0"/>
                  </w:tcBorders>
                  <w:noWrap w:val="0"/>
                  <w:vAlign w:val="center"/>
                </w:tcPr>
                <w:p w14:paraId="15F457D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8m³</w:t>
                  </w:r>
                </w:p>
              </w:tc>
              <w:tc>
                <w:tcPr>
                  <w:tcW w:w="264" w:type="pct"/>
                  <w:noWrap w:val="0"/>
                  <w:vAlign w:val="center"/>
                </w:tcPr>
                <w:p w14:paraId="179B8EB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07F8EC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6261CB4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25F7E898">
                  <w:pPr>
                    <w:keepNext w:val="0"/>
                    <w:keepLines w:val="0"/>
                    <w:pageBreakBefore w:val="0"/>
                    <w:kinsoku/>
                    <w:wordWrap w:val="0"/>
                    <w:overflowPunct/>
                    <w:topLinePunct w:val="0"/>
                    <w:autoSpaceDE/>
                    <w:autoSpaceDN/>
                    <w:bidi w:val="0"/>
                    <w:adjustRightInd w:val="0"/>
                    <w:snapToGrid w:val="0"/>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传送带</w:t>
                  </w:r>
                </w:p>
              </w:tc>
              <w:tc>
                <w:tcPr>
                  <w:tcW w:w="793" w:type="pct"/>
                  <w:tcBorders>
                    <w:right w:val="single" w:color="auto" w:sz="4" w:space="0"/>
                  </w:tcBorders>
                  <w:noWrap w:val="0"/>
                  <w:vAlign w:val="center"/>
                </w:tcPr>
                <w:p w14:paraId="6701D25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47ECC32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40m</w:t>
                  </w:r>
                </w:p>
              </w:tc>
              <w:tc>
                <w:tcPr>
                  <w:tcW w:w="697" w:type="pct"/>
                  <w:tcBorders>
                    <w:right w:val="single" w:color="auto" w:sz="4" w:space="0"/>
                  </w:tcBorders>
                  <w:noWrap w:val="0"/>
                  <w:vAlign w:val="center"/>
                </w:tcPr>
                <w:p w14:paraId="07C7332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507DE0D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40m</w:t>
                  </w:r>
                </w:p>
              </w:tc>
              <w:tc>
                <w:tcPr>
                  <w:tcW w:w="264" w:type="pct"/>
                  <w:noWrap w:val="0"/>
                  <w:vAlign w:val="center"/>
                </w:tcPr>
                <w:p w14:paraId="6A6510F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C9939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5E38FED3">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5B845E42">
                  <w:pPr>
                    <w:keepNext w:val="0"/>
                    <w:keepLines w:val="0"/>
                    <w:pageBreakBefore w:val="0"/>
                    <w:kinsoku/>
                    <w:wordWrap w:val="0"/>
                    <w:overflowPunct/>
                    <w:topLinePunct w:val="0"/>
                    <w:autoSpaceDE/>
                    <w:autoSpaceDN/>
                    <w:bidi w:val="0"/>
                    <w:adjustRightInd w:val="0"/>
                    <w:snapToGrid w:val="0"/>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混凝土搅拌楼</w:t>
                  </w:r>
                </w:p>
              </w:tc>
              <w:tc>
                <w:tcPr>
                  <w:tcW w:w="793" w:type="pct"/>
                  <w:tcBorders>
                    <w:right w:val="single" w:color="auto" w:sz="4" w:space="0"/>
                  </w:tcBorders>
                  <w:noWrap w:val="0"/>
                  <w:vAlign w:val="center"/>
                </w:tcPr>
                <w:p w14:paraId="241D6D4B">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23" w:type="pct"/>
                  <w:tcBorders>
                    <w:left w:val="single" w:color="auto" w:sz="4" w:space="0"/>
                  </w:tcBorders>
                  <w:noWrap w:val="0"/>
                  <w:vAlign w:val="center"/>
                </w:tcPr>
                <w:p w14:paraId="5EFC97D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w:t>
                  </w:r>
                </w:p>
              </w:tc>
              <w:tc>
                <w:tcPr>
                  <w:tcW w:w="697" w:type="pct"/>
                  <w:tcBorders>
                    <w:right w:val="single" w:color="auto" w:sz="4" w:space="0"/>
                  </w:tcBorders>
                  <w:noWrap w:val="0"/>
                  <w:vAlign w:val="center"/>
                </w:tcPr>
                <w:p w14:paraId="1C50D5F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19B9F55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w:t>
                  </w:r>
                </w:p>
              </w:tc>
              <w:tc>
                <w:tcPr>
                  <w:tcW w:w="264" w:type="pct"/>
                  <w:noWrap w:val="0"/>
                  <w:vAlign w:val="center"/>
                </w:tcPr>
                <w:p w14:paraId="29B2E72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75FEB0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6AC525E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6DE30697">
                  <w:pPr>
                    <w:keepNext w:val="0"/>
                    <w:keepLines w:val="0"/>
                    <w:pageBreakBefore w:val="0"/>
                    <w:kinsoku/>
                    <w:wordWrap w:val="0"/>
                    <w:overflowPunct/>
                    <w:topLinePunct w:val="0"/>
                    <w:autoSpaceDE/>
                    <w:autoSpaceDN/>
                    <w:bidi w:val="0"/>
                    <w:adjustRightInd w:val="0"/>
                    <w:snapToGrid w:val="0"/>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水泥料仓</w:t>
                  </w:r>
                </w:p>
              </w:tc>
              <w:tc>
                <w:tcPr>
                  <w:tcW w:w="793" w:type="pct"/>
                  <w:tcBorders>
                    <w:right w:val="single" w:color="auto" w:sz="4" w:space="0"/>
                  </w:tcBorders>
                  <w:noWrap w:val="0"/>
                  <w:vAlign w:val="center"/>
                </w:tcPr>
                <w:p w14:paraId="19BB3D2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023" w:type="pct"/>
                  <w:tcBorders>
                    <w:left w:val="single" w:color="auto" w:sz="4" w:space="0"/>
                  </w:tcBorders>
                  <w:noWrap w:val="0"/>
                  <w:vAlign w:val="center"/>
                </w:tcPr>
                <w:p w14:paraId="5CE42E0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80T</w:t>
                  </w:r>
                </w:p>
              </w:tc>
              <w:tc>
                <w:tcPr>
                  <w:tcW w:w="697" w:type="pct"/>
                  <w:tcBorders>
                    <w:right w:val="single" w:color="auto" w:sz="4" w:space="0"/>
                  </w:tcBorders>
                  <w:noWrap w:val="0"/>
                  <w:vAlign w:val="center"/>
                </w:tcPr>
                <w:p w14:paraId="0F1E7AD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030" w:type="pct"/>
                  <w:tcBorders>
                    <w:left w:val="single" w:color="auto" w:sz="4" w:space="0"/>
                  </w:tcBorders>
                  <w:noWrap w:val="0"/>
                  <w:vAlign w:val="center"/>
                </w:tcPr>
                <w:p w14:paraId="7C0487E2">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80T</w:t>
                  </w:r>
                </w:p>
              </w:tc>
              <w:tc>
                <w:tcPr>
                  <w:tcW w:w="264" w:type="pct"/>
                  <w:noWrap w:val="0"/>
                  <w:vAlign w:val="center"/>
                </w:tcPr>
                <w:p w14:paraId="4418B56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不变</w:t>
                  </w:r>
                </w:p>
              </w:tc>
            </w:tr>
            <w:tr w14:paraId="3CE2E8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restart"/>
                  <w:noWrap w:val="0"/>
                  <w:vAlign w:val="center"/>
                </w:tcPr>
                <w:p w14:paraId="3A23B43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bidi="ar-SA"/>
                    </w:rPr>
                    <w:t>乳化沥青</w:t>
                  </w:r>
                </w:p>
              </w:tc>
              <w:tc>
                <w:tcPr>
                  <w:tcW w:w="959" w:type="pct"/>
                  <w:noWrap w:val="0"/>
                  <w:vAlign w:val="center"/>
                </w:tcPr>
                <w:p w14:paraId="056E298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沥青罐</w:t>
                  </w:r>
                </w:p>
              </w:tc>
              <w:tc>
                <w:tcPr>
                  <w:tcW w:w="793" w:type="pct"/>
                  <w:tcBorders>
                    <w:right w:val="single" w:color="auto" w:sz="4" w:space="0"/>
                  </w:tcBorders>
                  <w:noWrap w:val="0"/>
                  <w:vAlign w:val="center"/>
                </w:tcPr>
                <w:p w14:paraId="786B86F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7818F29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97" w:type="pct"/>
                  <w:tcBorders>
                    <w:right w:val="single" w:color="auto" w:sz="4" w:space="0"/>
                  </w:tcBorders>
                  <w:noWrap w:val="0"/>
                  <w:vAlign w:val="center"/>
                </w:tcPr>
                <w:p w14:paraId="4A6518F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498EE6F1">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3t</w:t>
                  </w:r>
                </w:p>
              </w:tc>
              <w:tc>
                <w:tcPr>
                  <w:tcW w:w="264" w:type="pct"/>
                  <w:vMerge w:val="restart"/>
                  <w:noWrap w:val="0"/>
                  <w:vAlign w:val="center"/>
                </w:tcPr>
                <w:p w14:paraId="0D7AE02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新增</w:t>
                  </w:r>
                </w:p>
              </w:tc>
            </w:tr>
            <w:tr w14:paraId="528C58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42816F5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5673575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水罐</w:t>
                  </w:r>
                </w:p>
              </w:tc>
              <w:tc>
                <w:tcPr>
                  <w:tcW w:w="793" w:type="pct"/>
                  <w:tcBorders>
                    <w:right w:val="single" w:color="auto" w:sz="4" w:space="0"/>
                  </w:tcBorders>
                  <w:noWrap w:val="0"/>
                  <w:vAlign w:val="center"/>
                </w:tcPr>
                <w:p w14:paraId="08EC941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1F80705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97" w:type="pct"/>
                  <w:tcBorders>
                    <w:right w:val="single" w:color="auto" w:sz="4" w:space="0"/>
                  </w:tcBorders>
                  <w:noWrap w:val="0"/>
                  <w:vAlign w:val="center"/>
                </w:tcPr>
                <w:p w14:paraId="5093840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59B4D4C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3t</w:t>
                  </w:r>
                </w:p>
              </w:tc>
              <w:tc>
                <w:tcPr>
                  <w:tcW w:w="264" w:type="pct"/>
                  <w:vMerge w:val="continue"/>
                  <w:noWrap w:val="0"/>
                  <w:vAlign w:val="center"/>
                </w:tcPr>
                <w:p w14:paraId="59E2F60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r w14:paraId="00F05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330EFEB8">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0FFE372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成品罐</w:t>
                  </w:r>
                </w:p>
              </w:tc>
              <w:tc>
                <w:tcPr>
                  <w:tcW w:w="793" w:type="pct"/>
                  <w:tcBorders>
                    <w:right w:val="single" w:color="auto" w:sz="4" w:space="0"/>
                  </w:tcBorders>
                  <w:noWrap w:val="0"/>
                  <w:vAlign w:val="center"/>
                </w:tcPr>
                <w:p w14:paraId="3D8B857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540AAB7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97" w:type="pct"/>
                  <w:tcBorders>
                    <w:right w:val="single" w:color="auto" w:sz="4" w:space="0"/>
                  </w:tcBorders>
                  <w:noWrap w:val="0"/>
                  <w:vAlign w:val="center"/>
                </w:tcPr>
                <w:p w14:paraId="4202A30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09E9357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5t\3kw</w:t>
                  </w:r>
                </w:p>
              </w:tc>
              <w:tc>
                <w:tcPr>
                  <w:tcW w:w="264" w:type="pct"/>
                  <w:vMerge w:val="continue"/>
                  <w:noWrap w:val="0"/>
                  <w:vAlign w:val="center"/>
                </w:tcPr>
                <w:p w14:paraId="52F069C9">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r w14:paraId="106DC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4BFC219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2ACB1395">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乳化剂水搅拌罐</w:t>
                  </w:r>
                </w:p>
              </w:tc>
              <w:tc>
                <w:tcPr>
                  <w:tcW w:w="793" w:type="pct"/>
                  <w:tcBorders>
                    <w:right w:val="single" w:color="auto" w:sz="4" w:space="0"/>
                  </w:tcBorders>
                  <w:noWrap w:val="0"/>
                  <w:vAlign w:val="center"/>
                </w:tcPr>
                <w:p w14:paraId="154D1AB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76710C4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97" w:type="pct"/>
                  <w:tcBorders>
                    <w:right w:val="single" w:color="auto" w:sz="4" w:space="0"/>
                  </w:tcBorders>
                  <w:noWrap w:val="0"/>
                  <w:vAlign w:val="center"/>
                </w:tcPr>
                <w:p w14:paraId="2D732AB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030" w:type="pct"/>
                  <w:tcBorders>
                    <w:left w:val="single" w:color="auto" w:sz="4" w:space="0"/>
                  </w:tcBorders>
                  <w:noWrap w:val="0"/>
                  <w:vAlign w:val="center"/>
                </w:tcPr>
                <w:p w14:paraId="6BFCC2ED">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1.2t</w:t>
                  </w:r>
                </w:p>
              </w:tc>
              <w:tc>
                <w:tcPr>
                  <w:tcW w:w="264" w:type="pct"/>
                  <w:vMerge w:val="continue"/>
                  <w:noWrap w:val="0"/>
                  <w:vAlign w:val="center"/>
                </w:tcPr>
                <w:p w14:paraId="02F06386">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r w14:paraId="07F869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 w:type="pct"/>
                  <w:vMerge w:val="continue"/>
                  <w:noWrap w:val="0"/>
                  <w:vAlign w:val="center"/>
                </w:tcPr>
                <w:p w14:paraId="6E7AE59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9" w:type="pct"/>
                  <w:noWrap w:val="0"/>
                  <w:vAlign w:val="center"/>
                </w:tcPr>
                <w:p w14:paraId="181317EC">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胶体磨</w:t>
                  </w:r>
                </w:p>
              </w:tc>
              <w:tc>
                <w:tcPr>
                  <w:tcW w:w="793" w:type="pct"/>
                  <w:tcBorders>
                    <w:right w:val="single" w:color="auto" w:sz="4" w:space="0"/>
                  </w:tcBorders>
                  <w:noWrap w:val="0"/>
                  <w:vAlign w:val="center"/>
                </w:tcPr>
                <w:p w14:paraId="03EAEC47">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23" w:type="pct"/>
                  <w:tcBorders>
                    <w:left w:val="single" w:color="auto" w:sz="4" w:space="0"/>
                  </w:tcBorders>
                  <w:noWrap w:val="0"/>
                  <w:vAlign w:val="center"/>
                </w:tcPr>
                <w:p w14:paraId="09C536EF">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97" w:type="pct"/>
                  <w:tcBorders>
                    <w:right w:val="single" w:color="auto" w:sz="4" w:space="0"/>
                  </w:tcBorders>
                  <w:noWrap w:val="0"/>
                  <w:vAlign w:val="center"/>
                </w:tcPr>
                <w:p w14:paraId="5B8D05BE">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030" w:type="pct"/>
                  <w:tcBorders>
                    <w:left w:val="single" w:color="auto" w:sz="4" w:space="0"/>
                  </w:tcBorders>
                  <w:noWrap w:val="0"/>
                  <w:vAlign w:val="center"/>
                </w:tcPr>
                <w:p w14:paraId="4287E9DA">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22kw</w:t>
                  </w:r>
                </w:p>
              </w:tc>
              <w:tc>
                <w:tcPr>
                  <w:tcW w:w="264" w:type="pct"/>
                  <w:vMerge w:val="continue"/>
                  <w:noWrap w:val="0"/>
                  <w:vAlign w:val="center"/>
                </w:tcPr>
                <w:p w14:paraId="010D8414">
                  <w:pPr>
                    <w:keepNext w:val="0"/>
                    <w:keepLines w:val="0"/>
                    <w:pageBreakBefore w:val="0"/>
                    <w:widowControl/>
                    <w:suppressLineNumbers w:val="0"/>
                    <w:kinsoku/>
                    <w:wordWrap w:val="0"/>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bl>
          <w:p w14:paraId="49B69CB5">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highlight w:val="none"/>
              </w:rPr>
              <w:t>无《产业结构调整指导目录（20</w:t>
            </w:r>
            <w:r>
              <w:rPr>
                <w:rFonts w:hint="eastAsia"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rPr>
              <w:t>年本）》中限制及淘汰的设备</w:t>
            </w:r>
            <w:r>
              <w:rPr>
                <w:rFonts w:hint="eastAsia" w:cs="Times New Roman"/>
                <w:b w:val="0"/>
                <w:bCs w:val="0"/>
                <w:color w:val="auto"/>
                <w:sz w:val="24"/>
                <w:szCs w:val="24"/>
                <w:highlight w:val="none"/>
                <w:lang w:eastAsia="zh-CN"/>
              </w:rPr>
              <w:t>。</w:t>
            </w:r>
          </w:p>
          <w:p w14:paraId="7B08CC94">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val="0"/>
                <w:color w:val="auto"/>
                <w:sz w:val="24"/>
                <w:szCs w:val="24"/>
                <w:lang w:val="en-US" w:eastAsia="zh-CN"/>
              </w:rPr>
              <w:t>五</w:t>
            </w:r>
            <w:r>
              <w:rPr>
                <w:rFonts w:hint="default"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color w:val="auto"/>
                <w:sz w:val="24"/>
                <w:szCs w:val="24"/>
                <w:lang w:val="en-US" w:eastAsia="zh-CN"/>
              </w:rPr>
              <w:t>给排水</w:t>
            </w:r>
          </w:p>
          <w:p w14:paraId="43A7E8D5">
            <w:pPr>
              <w:keepNext w:val="0"/>
              <w:keepLines w:val="0"/>
              <w:pageBreakBefore w:val="0"/>
              <w:widowControl/>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给水</w:t>
            </w:r>
          </w:p>
          <w:p w14:paraId="6241F26F">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GB"/>
              </w:rPr>
            </w:pPr>
            <w:r>
              <w:rPr>
                <w:rFonts w:hint="eastAsia" w:cs="Times New Roman"/>
                <w:color w:val="auto"/>
                <w:sz w:val="24"/>
                <w:szCs w:val="24"/>
                <w:lang w:val="en-US" w:eastAsia="zh-CN"/>
              </w:rPr>
              <w:t>本项目新增用水主要为职工生活用水、喷淋降尘用水、</w:t>
            </w:r>
            <w:r>
              <w:rPr>
                <w:rFonts w:hint="default" w:ascii="Times New Roman" w:hAnsi="Times New Roman" w:eastAsia="宋体" w:cs="Times New Roman"/>
                <w:color w:val="auto"/>
                <w:sz w:val="24"/>
                <w:szCs w:val="24"/>
                <w:lang w:val="en-US" w:eastAsia="zh-CN"/>
              </w:rPr>
              <w:t>沥青烟净化系统喷淋用水</w:t>
            </w:r>
            <w:r>
              <w:rPr>
                <w:rFonts w:hint="eastAsia" w:cs="Times New Roman"/>
                <w:color w:val="auto"/>
                <w:sz w:val="24"/>
                <w:szCs w:val="24"/>
                <w:lang w:val="en-US" w:eastAsia="zh-CN"/>
              </w:rPr>
              <w:t>、乳化沥青搅拌用水和洗车台用水</w:t>
            </w:r>
            <w:r>
              <w:rPr>
                <w:rFonts w:hint="default" w:ascii="Times New Roman" w:hAnsi="Times New Roman" w:eastAsia="宋体" w:cs="Times New Roman"/>
                <w:color w:val="auto"/>
                <w:sz w:val="24"/>
                <w:szCs w:val="24"/>
                <w:lang w:val="en-GB"/>
              </w:rPr>
              <w:t>，</w:t>
            </w:r>
            <w:r>
              <w:rPr>
                <w:rFonts w:hint="default" w:ascii="Times New Roman" w:hAnsi="Times New Roman" w:eastAsia="宋体" w:cs="Times New Roman"/>
                <w:color w:val="auto"/>
                <w:sz w:val="24"/>
                <w:szCs w:val="24"/>
                <w:lang w:val="en-US" w:eastAsia="zh-CN"/>
              </w:rPr>
              <w:t>用水</w:t>
            </w:r>
            <w:r>
              <w:rPr>
                <w:rFonts w:hint="default" w:ascii="Times New Roman" w:hAnsi="Times New Roman" w:eastAsia="宋体" w:cs="Times New Roman"/>
                <w:color w:val="auto"/>
                <w:sz w:val="24"/>
                <w:szCs w:val="24"/>
                <w:lang w:val="en-GB"/>
              </w:rPr>
              <w:t>由</w:t>
            </w:r>
            <w:r>
              <w:rPr>
                <w:rFonts w:hint="default" w:ascii="Times New Roman" w:hAnsi="Times New Roman" w:eastAsia="宋体" w:cs="Times New Roman"/>
                <w:color w:val="auto"/>
                <w:sz w:val="24"/>
                <w:szCs w:val="24"/>
                <w:lang w:val="en-US" w:eastAsia="zh-CN"/>
              </w:rPr>
              <w:t>市政自来水管网</w:t>
            </w:r>
            <w:r>
              <w:rPr>
                <w:rFonts w:hint="default" w:ascii="Times New Roman" w:hAnsi="Times New Roman" w:eastAsia="宋体" w:cs="Times New Roman"/>
                <w:color w:val="auto"/>
                <w:sz w:val="24"/>
                <w:szCs w:val="24"/>
                <w:lang w:val="en-GB"/>
              </w:rPr>
              <w:t>供给，满足日常用水需求。</w:t>
            </w:r>
          </w:p>
          <w:p w14:paraId="60CA0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（1）职工生活用水：根据</w:t>
            </w:r>
            <w:r>
              <w:rPr>
                <w:rFonts w:hint="default" w:ascii="Times New Roman" w:hAnsi="Times New Roman" w:eastAsia="宋体" w:cs="Times New Roman"/>
                <w:color w:val="auto"/>
                <w:sz w:val="24"/>
                <w:szCs w:val="24"/>
                <w:highlight w:val="none"/>
              </w:rPr>
              <w:t>《建筑给水排水设计</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rPr>
              <w:t>》（GB50015-20</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），职工生活用水按50L/人·d计算，</w:t>
            </w:r>
            <w:r>
              <w:rPr>
                <w:rFonts w:hint="eastAsia" w:ascii="Times New Roman" w:hAnsi="Times New Roman" w:eastAsia="宋体" w:cs="Times New Roman"/>
                <w:color w:val="auto"/>
                <w:sz w:val="24"/>
                <w:szCs w:val="24"/>
                <w:highlight w:val="none"/>
                <w:lang w:val="en-US" w:eastAsia="zh-CN"/>
              </w:rPr>
              <w:t>本项目新增职工7人，则</w:t>
            </w:r>
            <w:r>
              <w:rPr>
                <w:rFonts w:hint="default" w:ascii="Times New Roman" w:hAnsi="Times New Roman" w:eastAsia="宋体" w:cs="Times New Roman"/>
                <w:color w:val="auto"/>
                <w:sz w:val="24"/>
                <w:szCs w:val="24"/>
                <w:highlight w:val="none"/>
              </w:rPr>
              <w:t>生活用水量为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0000FF"/>
                <w:sz w:val="24"/>
                <w:szCs w:val="24"/>
                <w:highlight w:val="none"/>
              </w:rPr>
              <w:t>，年生产天数为</w:t>
            </w:r>
            <w:r>
              <w:rPr>
                <w:rFonts w:hint="eastAsia" w:cs="Times New Roman"/>
                <w:color w:val="0000FF"/>
                <w:sz w:val="24"/>
                <w:szCs w:val="24"/>
                <w:highlight w:val="none"/>
                <w:lang w:val="en-US" w:eastAsia="zh-CN"/>
              </w:rPr>
              <w:t>12</w:t>
            </w:r>
            <w:r>
              <w:rPr>
                <w:rFonts w:hint="default" w:ascii="Times New Roman" w:hAnsi="Times New Roman" w:eastAsia="宋体" w:cs="Times New Roman"/>
                <w:color w:val="0000FF"/>
                <w:sz w:val="24"/>
                <w:szCs w:val="24"/>
                <w:highlight w:val="none"/>
                <w:lang w:val="en-US" w:eastAsia="zh-CN"/>
              </w:rPr>
              <w:t>0天</w:t>
            </w:r>
            <w:r>
              <w:rPr>
                <w:rFonts w:hint="default" w:ascii="Times New Roman" w:hAnsi="Times New Roman" w:eastAsia="宋体" w:cs="Times New Roman"/>
                <w:color w:val="0000FF"/>
                <w:sz w:val="24"/>
                <w:szCs w:val="24"/>
                <w:highlight w:val="none"/>
              </w:rPr>
              <w:t>，</w:t>
            </w:r>
            <w:r>
              <w:rPr>
                <w:rFonts w:hint="eastAsia" w:ascii="Times New Roman" w:hAnsi="Times New Roman" w:eastAsia="宋体" w:cs="Times New Roman"/>
                <w:color w:val="0000FF"/>
                <w:sz w:val="24"/>
                <w:szCs w:val="24"/>
                <w:highlight w:val="none"/>
                <w:lang w:val="en-US" w:eastAsia="zh-CN"/>
              </w:rPr>
              <w:t>生活用水量为</w:t>
            </w:r>
            <w:r>
              <w:rPr>
                <w:rFonts w:hint="eastAsia" w:cs="Times New Roman"/>
                <w:color w:val="0000FF"/>
                <w:sz w:val="24"/>
                <w:szCs w:val="24"/>
                <w:highlight w:val="none"/>
                <w:lang w:val="en-US" w:eastAsia="zh-CN"/>
              </w:rPr>
              <w:t>42</w:t>
            </w:r>
            <w:r>
              <w:rPr>
                <w:rFonts w:hint="default" w:ascii="Times New Roman" w:hAnsi="Times New Roman" w:eastAsia="宋体" w:cs="Times New Roman"/>
                <w:color w:val="0000FF"/>
                <w:sz w:val="24"/>
                <w:szCs w:val="24"/>
                <w:highlight w:val="none"/>
              </w:rPr>
              <w:t>m</w:t>
            </w:r>
            <w:r>
              <w:rPr>
                <w:rFonts w:hint="default" w:ascii="Times New Roman" w:hAnsi="Times New Roman" w:eastAsia="宋体" w:cs="Times New Roman"/>
                <w:color w:val="0000FF"/>
                <w:sz w:val="24"/>
                <w:szCs w:val="24"/>
                <w:highlight w:val="none"/>
                <w:vertAlign w:val="superscript"/>
              </w:rPr>
              <w:t>3</w:t>
            </w:r>
            <w:r>
              <w:rPr>
                <w:rFonts w:hint="default" w:ascii="Times New Roman" w:hAnsi="Times New Roman" w:eastAsia="宋体" w:cs="Times New Roman"/>
                <w:color w:val="0000FF"/>
                <w:sz w:val="24"/>
                <w:szCs w:val="24"/>
                <w:highlight w:val="none"/>
              </w:rPr>
              <w:t>/a。</w:t>
            </w:r>
          </w:p>
          <w:p w14:paraId="78BE7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（2）喷淋降尘用水：本项目新增原料用量和物料周转，</w:t>
            </w:r>
            <w:r>
              <w:rPr>
                <w:rFonts w:hint="eastAsia" w:ascii="Times New Roman" w:hAnsi="Times New Roman" w:eastAsia="宋体" w:cs="Times New Roman"/>
                <w:color w:val="auto"/>
                <w:sz w:val="24"/>
                <w:szCs w:val="24"/>
                <w:highlight w:val="none"/>
                <w:lang w:val="en-US" w:eastAsia="zh-CN"/>
              </w:rPr>
              <w:t>厂区内路面和车间新增期喷淋用水，根据企业提供资料，新增喷淋用水量约2m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/d。年生</w:t>
            </w:r>
            <w:r>
              <w:rPr>
                <w:rFonts w:hint="eastAsia" w:ascii="Times New Roman" w:hAnsi="Times New Roman" w:eastAsia="宋体" w:cs="Times New Roman"/>
                <w:color w:val="0000FF"/>
                <w:sz w:val="24"/>
                <w:szCs w:val="24"/>
                <w:highlight w:val="none"/>
                <w:lang w:val="en-US" w:eastAsia="zh-CN"/>
              </w:rPr>
              <w:t>产天数为</w:t>
            </w:r>
            <w:r>
              <w:rPr>
                <w:rFonts w:hint="eastAsia" w:cs="Times New Roman"/>
                <w:color w:val="0000FF"/>
                <w:sz w:val="24"/>
                <w:szCs w:val="24"/>
                <w:highlight w:val="none"/>
                <w:lang w:val="en-US" w:eastAsia="zh-CN"/>
              </w:rPr>
              <w:t>12</w:t>
            </w:r>
            <w:r>
              <w:rPr>
                <w:rFonts w:hint="eastAsia" w:ascii="Times New Roman" w:hAnsi="Times New Roman" w:eastAsia="宋体" w:cs="Times New Roman"/>
                <w:color w:val="0000FF"/>
                <w:sz w:val="24"/>
                <w:szCs w:val="24"/>
                <w:highlight w:val="none"/>
                <w:lang w:val="en-US" w:eastAsia="zh-CN"/>
              </w:rPr>
              <w:t>0天，喷淋降尘用水量为</w:t>
            </w:r>
            <w:r>
              <w:rPr>
                <w:rFonts w:hint="eastAsia" w:cs="Times New Roman"/>
                <w:color w:val="0000FF"/>
                <w:sz w:val="24"/>
                <w:szCs w:val="24"/>
                <w:highlight w:val="none"/>
                <w:lang w:val="en-US" w:eastAsia="zh-CN"/>
              </w:rPr>
              <w:t>24</w:t>
            </w:r>
            <w:r>
              <w:rPr>
                <w:rFonts w:hint="eastAsia" w:ascii="Times New Roman" w:hAnsi="Times New Roman" w:eastAsia="宋体" w:cs="Times New Roman"/>
                <w:color w:val="0000FF"/>
                <w:sz w:val="24"/>
                <w:szCs w:val="24"/>
                <w:highlight w:val="none"/>
                <w:lang w:val="en-US" w:eastAsia="zh-CN"/>
              </w:rPr>
              <w:t>0m</w:t>
            </w:r>
            <w:r>
              <w:rPr>
                <w:rFonts w:hint="eastAsia" w:ascii="Times New Roman" w:hAnsi="Times New Roman" w:eastAsia="宋体" w:cs="Times New Roman"/>
                <w:color w:val="0000FF"/>
                <w:sz w:val="24"/>
                <w:szCs w:val="24"/>
                <w:highlight w:val="none"/>
                <w:vertAlign w:val="superscript"/>
                <w:lang w:val="en-US" w:eastAsia="zh-CN"/>
              </w:rPr>
              <w:t>3</w:t>
            </w:r>
            <w:r>
              <w:rPr>
                <w:rFonts w:hint="eastAsia" w:ascii="Times New Roman" w:hAnsi="Times New Roman" w:eastAsia="宋体" w:cs="Times New Roman"/>
                <w:color w:val="0000FF"/>
                <w:sz w:val="24"/>
                <w:szCs w:val="24"/>
                <w:highlight w:val="none"/>
                <w:lang w:val="en-US" w:eastAsia="zh-CN"/>
              </w:rPr>
              <w:t>/a。</w:t>
            </w:r>
          </w:p>
          <w:p w14:paraId="77BED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FF"/>
                <w:sz w:val="24"/>
                <w:szCs w:val="24"/>
                <w:lang w:val="en-US" w:eastAsia="zh-CN"/>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沥青烟净化系统喷淋用水：沥青烟净化系统使用水喷淋塔对烟气进行喷淋降尘，根据</w:t>
            </w:r>
            <w:r>
              <w:rPr>
                <w:rFonts w:hint="eastAsia" w:cs="Times New Roman"/>
                <w:color w:val="auto"/>
                <w:sz w:val="24"/>
                <w:szCs w:val="24"/>
                <w:lang w:val="en-US" w:eastAsia="zh-CN"/>
              </w:rPr>
              <w:t>企业提供</w:t>
            </w:r>
            <w:r>
              <w:rPr>
                <w:rFonts w:hint="default" w:ascii="Times New Roman" w:hAnsi="Times New Roman" w:eastAsia="宋体" w:cs="Times New Roman"/>
                <w:color w:val="auto"/>
                <w:sz w:val="24"/>
                <w:szCs w:val="24"/>
                <w:lang w:val="en-US" w:eastAsia="zh-CN"/>
              </w:rPr>
              <w:t>资料，喷淋塔</w:t>
            </w:r>
            <w:r>
              <w:rPr>
                <w:rFonts w:hint="eastAsia" w:cs="Times New Roman"/>
                <w:color w:val="auto"/>
                <w:sz w:val="24"/>
                <w:szCs w:val="24"/>
                <w:lang w:val="en-US" w:eastAsia="zh-CN"/>
              </w:rPr>
              <w:t>用水为循环使用，</w:t>
            </w:r>
            <w:r>
              <w:rPr>
                <w:rFonts w:hint="eastAsia"/>
                <w:color w:val="auto"/>
                <w:sz w:val="24"/>
                <w:szCs w:val="24"/>
                <w:lang w:eastAsia="zh-CN"/>
              </w:rPr>
              <w:t>补水量为</w:t>
            </w:r>
            <w:r>
              <w:rPr>
                <w:rFonts w:hint="eastAsia"/>
                <w:color w:val="auto"/>
                <w:sz w:val="24"/>
                <w:szCs w:val="24"/>
                <w:lang w:val="en-US" w:eastAsia="zh-CN"/>
              </w:rPr>
              <w:t>0.1m</w:t>
            </w:r>
            <w:r>
              <w:rPr>
                <w:rFonts w:hint="eastAsia"/>
                <w:color w:val="auto"/>
                <w:sz w:val="24"/>
                <w:szCs w:val="24"/>
                <w:vertAlign w:val="superscript"/>
                <w:lang w:val="en-US" w:eastAsia="zh-CN"/>
              </w:rPr>
              <w:t>3</w:t>
            </w:r>
            <w:r>
              <w:rPr>
                <w:rFonts w:hint="eastAsia"/>
                <w:color w:val="auto"/>
                <w:sz w:val="24"/>
                <w:szCs w:val="24"/>
                <w:lang w:val="en-US" w:eastAsia="zh-CN"/>
              </w:rPr>
              <w:t>/d，</w:t>
            </w:r>
            <w:r>
              <w:rPr>
                <w:rFonts w:hint="eastAsia" w:ascii="Times New Roman" w:hAnsi="Times New Roman" w:eastAsia="宋体" w:cs="Times New Roman"/>
                <w:color w:val="0000FF"/>
                <w:sz w:val="24"/>
                <w:szCs w:val="24"/>
                <w:highlight w:val="none"/>
                <w:lang w:val="en-US" w:eastAsia="zh-CN"/>
              </w:rPr>
              <w:t>年生产天数为</w:t>
            </w:r>
            <w:r>
              <w:rPr>
                <w:rFonts w:hint="eastAsia" w:cs="Times New Roman"/>
                <w:color w:val="0000FF"/>
                <w:sz w:val="24"/>
                <w:szCs w:val="24"/>
                <w:highlight w:val="none"/>
                <w:lang w:val="en-US" w:eastAsia="zh-CN"/>
              </w:rPr>
              <w:t>12</w:t>
            </w:r>
            <w:r>
              <w:rPr>
                <w:rFonts w:hint="eastAsia" w:ascii="Times New Roman" w:hAnsi="Times New Roman" w:eastAsia="宋体" w:cs="Times New Roman"/>
                <w:color w:val="0000FF"/>
                <w:sz w:val="24"/>
                <w:szCs w:val="24"/>
                <w:highlight w:val="none"/>
                <w:lang w:val="en-US" w:eastAsia="zh-CN"/>
              </w:rPr>
              <w:t>0天，则</w:t>
            </w:r>
            <w:r>
              <w:rPr>
                <w:rFonts w:hint="default" w:ascii="Times New Roman" w:hAnsi="Times New Roman" w:eastAsia="宋体" w:cs="Times New Roman"/>
                <w:color w:val="0000FF"/>
                <w:sz w:val="24"/>
                <w:szCs w:val="24"/>
                <w:lang w:val="en-US" w:eastAsia="zh-CN"/>
              </w:rPr>
              <w:t>补充新鲜水</w:t>
            </w:r>
            <w:r>
              <w:rPr>
                <w:rFonts w:hint="eastAsia" w:cs="Times New Roman"/>
                <w:color w:val="0000FF"/>
                <w:sz w:val="24"/>
                <w:szCs w:val="24"/>
                <w:lang w:val="en-US" w:eastAsia="zh-CN"/>
              </w:rPr>
              <w:t>为12</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p>
          <w:p w14:paraId="242A5F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sz w:val="24"/>
                <w:szCs w:val="24"/>
                <w:lang w:val="en-US" w:eastAsia="zh-CN"/>
              </w:rPr>
              <w:t>（4）乳化沥青搅拌用水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根据企业提供资料，</w:t>
            </w:r>
            <w:r>
              <w:rPr>
                <w:rFonts w:hint="eastAsia" w:cs="Times New Roman"/>
                <w:color w:val="auto"/>
                <w:sz w:val="24"/>
                <w:szCs w:val="24"/>
                <w:lang w:val="en-US" w:eastAsia="zh-CN"/>
              </w:rPr>
              <w:t>乳化沥青搅拌用水</w:t>
            </w:r>
            <w:r>
              <w:rPr>
                <w:rFonts w:hint="default" w:ascii="Times New Roman" w:hAnsi="Times New Roman" w:eastAsia="宋体" w:cs="Times New Roman"/>
                <w:color w:val="auto"/>
                <w:sz w:val="24"/>
                <w:szCs w:val="24"/>
                <w:lang w:val="en-US" w:eastAsia="zh-CN"/>
              </w:rPr>
              <w:t>量为</w:t>
            </w:r>
            <w:r>
              <w:rPr>
                <w:rFonts w:hint="eastAsia" w:ascii="Times New Roman" w:hAnsi="Times New Roman" w:eastAsia="宋体" w:cs="Times New Roman"/>
                <w:color w:val="auto"/>
                <w:sz w:val="24"/>
                <w:szCs w:val="24"/>
                <w:highlight w:val="none"/>
                <w:lang w:val="en-US" w:eastAsia="zh-CN"/>
              </w:rPr>
              <w:t>117.6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全部进入产品</w:t>
            </w:r>
            <w:r>
              <w:rPr>
                <w:rFonts w:hint="default" w:ascii="Times New Roman" w:hAnsi="Times New Roman" w:eastAsia="宋体" w:cs="Times New Roman"/>
                <w:color w:val="auto"/>
                <w:kern w:val="0"/>
                <w:sz w:val="24"/>
                <w:szCs w:val="24"/>
                <w:highlight w:val="none"/>
                <w:lang w:val="zh-CN" w:eastAsia="zh-CN"/>
              </w:rPr>
              <w:t>。</w:t>
            </w:r>
          </w:p>
          <w:p w14:paraId="5FFDF5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color w:val="0000FF"/>
                <w:kern w:val="0"/>
                <w:sz w:val="24"/>
                <w:szCs w:val="24"/>
                <w:highlight w:val="none"/>
                <w:lang w:val="en-US" w:eastAsia="zh-CN"/>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洗车用水：洗车</w:t>
            </w:r>
            <w:r>
              <w:rPr>
                <w:rFonts w:hint="eastAsia" w:cs="Times New Roman"/>
                <w:color w:val="auto"/>
                <w:sz w:val="24"/>
                <w:szCs w:val="24"/>
                <w:lang w:val="en-US" w:eastAsia="zh-CN"/>
              </w:rPr>
              <w:t>废水经沉淀池处理后</w:t>
            </w:r>
            <w:r>
              <w:rPr>
                <w:rFonts w:hint="default" w:ascii="Times New Roman" w:hAnsi="Times New Roman" w:eastAsia="宋体" w:cs="Times New Roman"/>
                <w:color w:val="auto"/>
                <w:sz w:val="24"/>
                <w:szCs w:val="24"/>
                <w:lang w:val="en-US" w:eastAsia="zh-CN"/>
              </w:rPr>
              <w:t>循环使用，</w:t>
            </w:r>
            <w:r>
              <w:rPr>
                <w:rFonts w:hint="eastAsia" w:cs="Times New Roman"/>
                <w:color w:val="auto"/>
                <w:sz w:val="24"/>
                <w:szCs w:val="24"/>
                <w:lang w:val="en-US" w:eastAsia="zh-CN"/>
              </w:rPr>
              <w:t>不外排。</w:t>
            </w:r>
            <w:r>
              <w:rPr>
                <w:rFonts w:hint="eastAsia"/>
                <w:color w:val="auto"/>
                <w:sz w:val="24"/>
                <w:szCs w:val="24"/>
                <w:lang w:eastAsia="zh-CN"/>
              </w:rPr>
              <w:t>根据企业通过资料，新增的补水量为</w:t>
            </w:r>
            <w:r>
              <w:rPr>
                <w:rFonts w:hint="eastAsia"/>
                <w:color w:val="auto"/>
                <w:sz w:val="24"/>
                <w:szCs w:val="24"/>
                <w:lang w:val="en-US" w:eastAsia="zh-CN"/>
              </w:rPr>
              <w:t>0.5m</w:t>
            </w:r>
            <w:r>
              <w:rPr>
                <w:rFonts w:hint="eastAsia"/>
                <w:color w:val="auto"/>
                <w:sz w:val="24"/>
                <w:szCs w:val="24"/>
                <w:vertAlign w:val="superscript"/>
                <w:lang w:val="en-US" w:eastAsia="zh-CN"/>
              </w:rPr>
              <w:t>3</w:t>
            </w:r>
            <w:r>
              <w:rPr>
                <w:rFonts w:hint="eastAsia"/>
                <w:color w:val="auto"/>
                <w:sz w:val="24"/>
                <w:szCs w:val="24"/>
                <w:lang w:val="en-US" w:eastAsia="zh-CN"/>
              </w:rPr>
              <w:t>/d，</w:t>
            </w:r>
            <w:r>
              <w:rPr>
                <w:rFonts w:hint="eastAsia" w:ascii="Times New Roman" w:hAnsi="Times New Roman" w:eastAsia="宋体" w:cs="Times New Roman"/>
                <w:color w:val="0000FF"/>
                <w:sz w:val="24"/>
                <w:szCs w:val="24"/>
                <w:highlight w:val="none"/>
                <w:lang w:val="en-US" w:eastAsia="zh-CN"/>
              </w:rPr>
              <w:t>年生产天数为</w:t>
            </w:r>
            <w:r>
              <w:rPr>
                <w:rFonts w:hint="eastAsia" w:cs="Times New Roman"/>
                <w:color w:val="0000FF"/>
                <w:sz w:val="24"/>
                <w:szCs w:val="24"/>
                <w:highlight w:val="none"/>
                <w:lang w:val="en-US" w:eastAsia="zh-CN"/>
              </w:rPr>
              <w:t>12</w:t>
            </w:r>
            <w:r>
              <w:rPr>
                <w:rFonts w:hint="eastAsia" w:ascii="Times New Roman" w:hAnsi="Times New Roman" w:eastAsia="宋体" w:cs="Times New Roman"/>
                <w:color w:val="0000FF"/>
                <w:sz w:val="24"/>
                <w:szCs w:val="24"/>
                <w:highlight w:val="none"/>
                <w:lang w:val="en-US" w:eastAsia="zh-CN"/>
              </w:rPr>
              <w:t>0天，</w:t>
            </w:r>
            <w:r>
              <w:rPr>
                <w:rFonts w:hint="default" w:ascii="Times New Roman" w:hAnsi="Times New Roman" w:eastAsia="宋体" w:cs="Times New Roman"/>
                <w:color w:val="0000FF"/>
                <w:sz w:val="24"/>
                <w:szCs w:val="24"/>
                <w:lang w:val="en-US" w:eastAsia="zh-CN"/>
              </w:rPr>
              <w:t>补充水量为</w:t>
            </w:r>
            <w:r>
              <w:rPr>
                <w:rFonts w:hint="eastAsia" w:cs="Times New Roman"/>
                <w:color w:val="0000FF"/>
                <w:sz w:val="24"/>
                <w:szCs w:val="24"/>
                <w:lang w:val="en-US" w:eastAsia="zh-CN"/>
              </w:rPr>
              <w:t>60</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r>
              <w:rPr>
                <w:rFonts w:hint="default" w:ascii="Times New Roman" w:hAnsi="Times New Roman" w:eastAsia="宋体" w:cs="Times New Roman"/>
                <w:color w:val="0000FF"/>
                <w:kern w:val="0"/>
                <w:sz w:val="24"/>
                <w:szCs w:val="24"/>
                <w:highlight w:val="none"/>
                <w:lang w:val="zh-CN" w:eastAsia="zh-CN"/>
              </w:rPr>
              <w:t>。</w:t>
            </w:r>
          </w:p>
          <w:p w14:paraId="3D540933">
            <w:pPr>
              <w:keepNext w:val="0"/>
              <w:keepLines w:val="0"/>
              <w:pageBreakBefore w:val="0"/>
              <w:widowControl/>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排水</w:t>
            </w:r>
          </w:p>
          <w:p w14:paraId="6F8E60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snapToGrid w:val="0"/>
                <w:color w:val="auto"/>
                <w:spacing w:val="0"/>
                <w:kern w:val="2"/>
                <w:sz w:val="24"/>
                <w:szCs w:val="24"/>
                <w:highlight w:val="none"/>
                <w:lang w:val="en-US" w:eastAsia="zh-CN" w:bidi="ar-SA"/>
              </w:rPr>
              <w:t>本</w:t>
            </w:r>
            <w:r>
              <w:rPr>
                <w:rFonts w:hint="default" w:ascii="Times New Roman" w:hAnsi="Times New Roman" w:eastAsia="宋体" w:cs="Times New Roman"/>
                <w:snapToGrid w:val="0"/>
                <w:color w:val="auto"/>
                <w:spacing w:val="0"/>
                <w:kern w:val="2"/>
                <w:sz w:val="24"/>
                <w:szCs w:val="24"/>
                <w:highlight w:val="none"/>
                <w:lang w:val="en-US" w:eastAsia="zh-CN" w:bidi="ar-SA"/>
              </w:rPr>
              <w:t>项目</w:t>
            </w:r>
            <w:r>
              <w:rPr>
                <w:rFonts w:hint="default" w:ascii="Times New Roman" w:hAnsi="Times New Roman" w:eastAsia="宋体" w:cs="Times New Roman"/>
                <w:color w:val="auto"/>
                <w:sz w:val="24"/>
                <w:szCs w:val="24"/>
                <w:highlight w:val="none"/>
              </w:rPr>
              <w:t>排水采用雨污分流制。</w:t>
            </w:r>
            <w:r>
              <w:rPr>
                <w:rFonts w:hint="eastAsia" w:cs="Times New Roman"/>
                <w:color w:val="auto"/>
                <w:sz w:val="24"/>
                <w:szCs w:val="24"/>
                <w:highlight w:val="none"/>
                <w:lang w:val="en-US" w:eastAsia="zh-CN"/>
              </w:rPr>
              <w:t>本项目</w:t>
            </w:r>
            <w:r>
              <w:rPr>
                <w:rFonts w:hint="eastAsia" w:cs="Times New Roman"/>
                <w:bCs/>
                <w:color w:val="auto"/>
                <w:sz w:val="24"/>
                <w:szCs w:val="24"/>
                <w:vertAlign w:val="baseline"/>
                <w:lang w:val="en-US" w:eastAsia="zh-CN"/>
              </w:rPr>
              <w:t>职工生活污水</w:t>
            </w:r>
            <w:r>
              <w:rPr>
                <w:rFonts w:hint="default" w:ascii="Times New Roman" w:hAnsi="Times New Roman" w:eastAsia="宋体" w:cs="Times New Roman"/>
                <w:b w:val="0"/>
                <w:bCs w:val="0"/>
                <w:color w:val="auto"/>
                <w:sz w:val="24"/>
                <w:szCs w:val="24"/>
                <w:highlight w:val="none"/>
              </w:rPr>
              <w:t>产生量按用水量的80%计，则</w:t>
            </w:r>
            <w:r>
              <w:rPr>
                <w:rFonts w:hint="eastAsia" w:ascii="Times New Roman" w:hAnsi="Times New Roman" w:eastAsia="宋体" w:cs="Times New Roman"/>
                <w:b w:val="0"/>
                <w:bCs w:val="0"/>
                <w:color w:val="auto"/>
                <w:sz w:val="24"/>
                <w:szCs w:val="24"/>
                <w:highlight w:val="none"/>
                <w:lang w:eastAsia="zh-CN"/>
              </w:rPr>
              <w:t>生活污水产生</w:t>
            </w:r>
            <w:r>
              <w:rPr>
                <w:rFonts w:hint="default" w:ascii="Times New Roman" w:hAnsi="Times New Roman" w:eastAsia="宋体" w:cs="Times New Roman"/>
                <w:b w:val="0"/>
                <w:bCs w:val="0"/>
                <w:color w:val="auto"/>
                <w:sz w:val="24"/>
                <w:szCs w:val="24"/>
                <w:highlight w:val="none"/>
              </w:rPr>
              <w:t>量</w:t>
            </w:r>
            <w:r>
              <w:rPr>
                <w:rFonts w:hint="default" w:ascii="Times New Roman" w:hAnsi="Times New Roman" w:eastAsia="宋体" w:cs="Times New Roman"/>
                <w:b w:val="0"/>
                <w:bCs w:val="0"/>
                <w:color w:val="0000FF"/>
                <w:sz w:val="24"/>
                <w:szCs w:val="24"/>
                <w:highlight w:val="none"/>
              </w:rPr>
              <w:t>为</w:t>
            </w:r>
            <w:r>
              <w:rPr>
                <w:rFonts w:hint="eastAsia" w:cs="Times New Roman"/>
                <w:b w:val="0"/>
                <w:bCs w:val="0"/>
                <w:color w:val="0000FF"/>
                <w:sz w:val="24"/>
                <w:szCs w:val="24"/>
                <w:highlight w:val="none"/>
                <w:lang w:val="en-US" w:eastAsia="zh-CN"/>
              </w:rPr>
              <w:t>33.6</w:t>
            </w:r>
            <w:r>
              <w:rPr>
                <w:rFonts w:hint="default" w:ascii="Times New Roman" w:hAnsi="Times New Roman" w:eastAsia="宋体" w:cs="Times New Roman"/>
                <w:b w:val="0"/>
                <w:bCs w:val="0"/>
                <w:color w:val="0000FF"/>
                <w:sz w:val="24"/>
                <w:szCs w:val="24"/>
                <w:highlight w:val="none"/>
                <w:lang w:val="en-US" w:eastAsia="zh-CN"/>
              </w:rPr>
              <w:t>m</w:t>
            </w:r>
            <w:r>
              <w:rPr>
                <w:rFonts w:hint="eastAsia" w:ascii="Times New Roman" w:hAnsi="Times New Roman" w:eastAsia="宋体" w:cs="Times New Roman"/>
                <w:b w:val="0"/>
                <w:bCs w:val="0"/>
                <w:color w:val="0000FF"/>
                <w:sz w:val="24"/>
                <w:szCs w:val="24"/>
                <w:highlight w:val="none"/>
                <w:vertAlign w:val="superscript"/>
                <w:lang w:val="en-US" w:eastAsia="zh-CN"/>
              </w:rPr>
              <w:t>3</w:t>
            </w:r>
            <w:r>
              <w:rPr>
                <w:rFonts w:hint="default" w:ascii="Times New Roman" w:hAnsi="Times New Roman" w:eastAsia="宋体" w:cs="Times New Roman"/>
                <w:b w:val="0"/>
                <w:bCs w:val="0"/>
                <w:color w:val="0000FF"/>
                <w:sz w:val="24"/>
                <w:szCs w:val="24"/>
                <w:highlight w:val="none"/>
              </w:rPr>
              <w:t>/a</w:t>
            </w:r>
            <w:r>
              <w:rPr>
                <w:rFonts w:hint="default" w:ascii="Times New Roman" w:hAnsi="Times New Roman" w:eastAsia="宋体" w:cs="Times New Roman"/>
                <w:b w:val="0"/>
                <w:bCs w:val="0"/>
                <w:color w:val="auto"/>
                <w:sz w:val="24"/>
                <w:szCs w:val="24"/>
                <w:highlight w:val="none"/>
                <w:lang w:eastAsia="zh-CN"/>
              </w:rPr>
              <w:t>，</w:t>
            </w:r>
            <w:r>
              <w:rPr>
                <w:rFonts w:hint="eastAsia" w:cs="Times New Roman"/>
                <w:bCs/>
                <w:color w:val="auto"/>
                <w:sz w:val="24"/>
                <w:szCs w:val="24"/>
                <w:vertAlign w:val="baseline"/>
                <w:lang w:val="en-US" w:eastAsia="zh-CN"/>
              </w:rPr>
              <w:t>经化粪池处理后排入嘉祥公用水务有限公司处理。喷淋塔废水经隔油沉淀处理后循环使用，洗车废水沉淀后循环使用，乳化沥青搅拌用水全部进入产品，无生产废水外排</w:t>
            </w:r>
            <w:r>
              <w:rPr>
                <w:rFonts w:hint="default" w:ascii="Times New Roman" w:hAnsi="Times New Roman" w:eastAsia="宋体" w:cs="Times New Roman"/>
                <w:color w:val="auto"/>
                <w:spacing w:val="0"/>
                <w:sz w:val="24"/>
                <w:szCs w:val="24"/>
                <w:highlight w:val="none"/>
                <w:lang w:val="en-US" w:eastAsia="zh-CN"/>
              </w:rPr>
              <w:t>。</w:t>
            </w:r>
            <w:r>
              <w:rPr>
                <w:rFonts w:hint="eastAsia" w:cs="Times New Roman"/>
                <w:color w:val="auto"/>
                <w:spacing w:val="0"/>
                <w:sz w:val="24"/>
                <w:szCs w:val="24"/>
                <w:highlight w:val="none"/>
                <w:lang w:val="en-US" w:eastAsia="zh-CN"/>
              </w:rPr>
              <w:t>本项目水平衡如下。</w:t>
            </w:r>
          </w:p>
          <w:p w14:paraId="68FCD370">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5" o:spt="75" type="#_x0000_t75" style="height:356.4pt;width:330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02C4E1D0">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图2-</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本项目水平衡图（单位：</w:t>
            </w:r>
            <w:r>
              <w:rPr>
                <w:rFonts w:hint="default" w:ascii="Times New Roman" w:hAnsi="Times New Roman" w:eastAsia="宋体" w:cs="Times New Roman"/>
                <w:b/>
                <w:bCs/>
                <w:color w:val="auto"/>
                <w:sz w:val="24"/>
                <w:szCs w:val="24"/>
                <w:highlight w:val="yellow"/>
              </w:rPr>
              <w:t>m</w:t>
            </w:r>
            <w:r>
              <w:rPr>
                <w:rFonts w:hint="default" w:ascii="Times New Roman" w:hAnsi="Times New Roman" w:eastAsia="宋体" w:cs="Times New Roman"/>
                <w:b/>
                <w:bCs/>
                <w:color w:val="auto"/>
                <w:sz w:val="24"/>
                <w:szCs w:val="24"/>
                <w:highlight w:val="yellow"/>
                <w:vertAlign w:val="superscript"/>
              </w:rPr>
              <w:t>3</w:t>
            </w:r>
            <w:r>
              <w:rPr>
                <w:rFonts w:hint="default" w:ascii="Times New Roman" w:hAnsi="Times New Roman" w:eastAsia="宋体" w:cs="Times New Roman"/>
                <w:b/>
                <w:bCs/>
                <w:color w:val="auto"/>
                <w:sz w:val="24"/>
                <w:szCs w:val="24"/>
                <w:highlight w:val="yellow"/>
              </w:rPr>
              <w:t>/a</w:t>
            </w:r>
            <w:r>
              <w:rPr>
                <w:rFonts w:hint="default" w:ascii="Times New Roman" w:hAnsi="Times New Roman" w:eastAsia="宋体" w:cs="Times New Roman"/>
                <w:b/>
                <w:bCs/>
                <w:color w:val="auto"/>
                <w:sz w:val="24"/>
                <w:szCs w:val="24"/>
                <w:highlight w:val="none"/>
              </w:rPr>
              <w:t>）</w:t>
            </w:r>
          </w:p>
          <w:p w14:paraId="0D1DB511">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6" o:spt="75" type="#_x0000_t75" style="height:438pt;width:335.4pt;" o:ole="t" filled="f" o:preferrelative="t" stroked="f" coordsize="21600,21600">
                  <v:path/>
                  <v:fill on="f" focussize="0,0"/>
                  <v:stroke on="f"/>
                  <v:imagedata r:id="rId11" o:title=""/>
                  <o:lock v:ext="edit" aspectratio="t"/>
                  <w10:wrap type="none"/>
                  <w10:anchorlock/>
                </v:shape>
                <o:OLEObject Type="Embed" ProgID="Visio.Drawing.11" ShapeID="_x0000_i1026" DrawAspect="Content" ObjectID="_1468075726" r:id="rId10">
                  <o:LockedField>false</o:LockedField>
                </o:OLEObject>
              </w:object>
            </w:r>
          </w:p>
          <w:p w14:paraId="5B7D3DDA">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图2-</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本项目</w:t>
            </w:r>
            <w:r>
              <w:rPr>
                <w:rFonts w:hint="eastAsia" w:cs="Times New Roman"/>
                <w:b/>
                <w:bCs/>
                <w:color w:val="auto"/>
                <w:sz w:val="24"/>
                <w:szCs w:val="24"/>
                <w:highlight w:val="none"/>
                <w:lang w:eastAsia="zh-CN"/>
              </w:rPr>
              <w:t>建成后全厂</w:t>
            </w:r>
            <w:r>
              <w:rPr>
                <w:rFonts w:hint="default" w:ascii="Times New Roman" w:hAnsi="Times New Roman" w:eastAsia="宋体" w:cs="Times New Roman"/>
                <w:b/>
                <w:bCs/>
                <w:color w:val="auto"/>
                <w:sz w:val="24"/>
                <w:szCs w:val="24"/>
                <w:highlight w:val="none"/>
              </w:rPr>
              <w:t>水平衡图（单位：</w:t>
            </w:r>
            <w:r>
              <w:rPr>
                <w:rFonts w:hint="default" w:ascii="Times New Roman" w:hAnsi="Times New Roman" w:eastAsia="宋体" w:cs="Times New Roman"/>
                <w:b/>
                <w:bCs/>
                <w:color w:val="auto"/>
                <w:sz w:val="24"/>
                <w:szCs w:val="24"/>
                <w:highlight w:val="yellow"/>
              </w:rPr>
              <w:t>m</w:t>
            </w:r>
            <w:r>
              <w:rPr>
                <w:rFonts w:hint="default" w:ascii="Times New Roman" w:hAnsi="Times New Roman" w:eastAsia="宋体" w:cs="Times New Roman"/>
                <w:b/>
                <w:bCs/>
                <w:color w:val="auto"/>
                <w:sz w:val="24"/>
                <w:szCs w:val="24"/>
                <w:highlight w:val="yellow"/>
                <w:vertAlign w:val="superscript"/>
              </w:rPr>
              <w:t>3</w:t>
            </w:r>
            <w:r>
              <w:rPr>
                <w:rFonts w:hint="default" w:ascii="Times New Roman" w:hAnsi="Times New Roman" w:eastAsia="宋体" w:cs="Times New Roman"/>
                <w:b/>
                <w:bCs/>
                <w:color w:val="auto"/>
                <w:sz w:val="24"/>
                <w:szCs w:val="24"/>
                <w:highlight w:val="yellow"/>
              </w:rPr>
              <w:t>/a</w:t>
            </w:r>
            <w:r>
              <w:rPr>
                <w:rFonts w:hint="default" w:ascii="Times New Roman" w:hAnsi="Times New Roman" w:eastAsia="宋体" w:cs="Times New Roman"/>
                <w:b/>
                <w:bCs/>
                <w:color w:val="auto"/>
                <w:sz w:val="24"/>
                <w:szCs w:val="24"/>
                <w:highlight w:val="none"/>
              </w:rPr>
              <w:t>）</w:t>
            </w:r>
          </w:p>
          <w:p w14:paraId="4B62E6A6">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六、</w:t>
            </w:r>
            <w:r>
              <w:rPr>
                <w:rFonts w:hint="default" w:ascii="Times New Roman" w:hAnsi="Times New Roman" w:eastAsia="宋体" w:cs="Times New Roman"/>
                <w:b/>
                <w:bCs w:val="0"/>
                <w:color w:val="auto"/>
                <w:sz w:val="24"/>
                <w:szCs w:val="24"/>
                <w:lang w:val="en-US" w:eastAsia="zh-CN"/>
              </w:rPr>
              <w:t>劳动定员与工作制度</w:t>
            </w:r>
          </w:p>
          <w:p w14:paraId="289B9BFC">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FF"/>
                <w:sz w:val="24"/>
                <w:szCs w:val="24"/>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新增职工7人，建成后全厂</w:t>
            </w:r>
            <w:r>
              <w:rPr>
                <w:rFonts w:hint="default" w:ascii="Times New Roman" w:hAnsi="Times New Roman" w:eastAsia="宋体" w:cs="Times New Roman"/>
                <w:color w:val="auto"/>
                <w:sz w:val="24"/>
                <w:szCs w:val="24"/>
                <w:lang w:val="en-US" w:eastAsia="zh-CN"/>
              </w:rPr>
              <w:t>劳动定员</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人</w:t>
            </w:r>
            <w:r>
              <w:rPr>
                <w:rFonts w:hint="eastAsia" w:cs="Times New Roman"/>
                <w:color w:val="auto"/>
                <w:sz w:val="24"/>
                <w:szCs w:val="24"/>
                <w:lang w:val="en-US" w:eastAsia="zh-CN"/>
              </w:rPr>
              <w:t>。</w:t>
            </w:r>
            <w:r>
              <w:rPr>
                <w:rFonts w:hint="eastAsia" w:cs="Times New Roman"/>
                <w:color w:val="0000FF"/>
                <w:sz w:val="24"/>
                <w:szCs w:val="24"/>
                <w:lang w:val="en-US" w:eastAsia="zh-CN"/>
              </w:rPr>
              <w:t>根据企业提供资料，沥青混凝土和乳化沥青的生产时间为每年的4月至10月，</w:t>
            </w:r>
            <w:r>
              <w:rPr>
                <w:rFonts w:hint="eastAsia" w:ascii="Times New Roman" w:hAnsi="Times New Roman" w:eastAsia="宋体" w:cs="Times New Roman"/>
                <w:color w:val="0000FF"/>
                <w:sz w:val="24"/>
                <w:szCs w:val="24"/>
                <w:lang w:val="en-US" w:eastAsia="zh-CN"/>
              </w:rPr>
              <w:t>根据客户订单要求，生产期间昼夜间均生产</w:t>
            </w:r>
            <w:r>
              <w:rPr>
                <w:rFonts w:hint="eastAsia"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每年生产时间约为240h</w:t>
            </w:r>
            <w:r>
              <w:rPr>
                <w:rFonts w:hint="default" w:ascii="Times New Roman" w:hAnsi="Times New Roman" w:eastAsia="宋体" w:cs="Times New Roman"/>
                <w:color w:val="0000FF"/>
                <w:sz w:val="24"/>
                <w:szCs w:val="24"/>
                <w:lang w:val="en-US" w:eastAsia="zh-CN"/>
              </w:rPr>
              <w:t>。</w:t>
            </w:r>
          </w:p>
          <w:p w14:paraId="38F5528F">
            <w:pPr>
              <w:keepNext w:val="0"/>
              <w:keepLines w:val="0"/>
              <w:pageBreakBefore w:val="0"/>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七</w:t>
            </w:r>
            <w:r>
              <w:rPr>
                <w:rFonts w:hint="default" w:ascii="Times New Roman" w:hAnsi="Times New Roman" w:eastAsia="宋体" w:cs="Times New Roman"/>
                <w:b/>
                <w:bCs/>
                <w:color w:val="auto"/>
                <w:sz w:val="24"/>
                <w:szCs w:val="24"/>
                <w:lang w:val="en-US" w:eastAsia="zh-CN"/>
              </w:rPr>
              <w:t>、平面布置情况</w:t>
            </w:r>
          </w:p>
          <w:p w14:paraId="4CFA53A1">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本项目依托现有车间建设，不改变整体布局。</w:t>
            </w:r>
            <w:r>
              <w:rPr>
                <w:rFonts w:hint="default" w:ascii="Times New Roman" w:hAnsi="Times New Roman" w:eastAsia="宋体" w:cs="Times New Roman"/>
                <w:bCs/>
                <w:color w:val="auto"/>
                <w:sz w:val="24"/>
                <w:szCs w:val="24"/>
                <w:vertAlign w:val="baseline"/>
              </w:rPr>
              <w:t>沥青混凝土</w:t>
            </w:r>
            <w:r>
              <w:rPr>
                <w:rFonts w:hint="eastAsia" w:cs="Times New Roman"/>
                <w:bCs/>
                <w:color w:val="auto"/>
                <w:sz w:val="24"/>
                <w:szCs w:val="24"/>
                <w:vertAlign w:val="baseline"/>
                <w:lang w:val="en-US" w:eastAsia="zh-CN"/>
              </w:rPr>
              <w:t>拌和站位于厂区西部，沥青罐及导热油炉位于</w:t>
            </w:r>
            <w:r>
              <w:rPr>
                <w:rFonts w:hint="default" w:ascii="Times New Roman" w:hAnsi="Times New Roman" w:eastAsia="宋体" w:cs="Times New Roman"/>
                <w:bCs/>
                <w:color w:val="auto"/>
                <w:sz w:val="24"/>
                <w:szCs w:val="24"/>
                <w:vertAlign w:val="baseline"/>
              </w:rPr>
              <w:t>沥青混凝土</w:t>
            </w:r>
            <w:r>
              <w:rPr>
                <w:rFonts w:hint="eastAsia" w:cs="Times New Roman"/>
                <w:bCs/>
                <w:color w:val="auto"/>
                <w:sz w:val="24"/>
                <w:szCs w:val="24"/>
                <w:vertAlign w:val="baseline"/>
                <w:lang w:val="en-US" w:eastAsia="zh-CN"/>
              </w:rPr>
              <w:t>拌和站南侧，水稳碎石生产线和水泥混凝土生产线位于厂区西南角，原料仓库位于厂区中部，</w:t>
            </w:r>
            <w:r>
              <w:rPr>
                <w:rFonts w:hint="eastAsia" w:cs="Times New Roman"/>
                <w:color w:val="auto"/>
                <w:sz w:val="24"/>
                <w:szCs w:val="24"/>
                <w:lang w:val="en-US" w:eastAsia="zh-CN"/>
              </w:rPr>
              <w:t>厂区大门朝东位于东南角。</w:t>
            </w:r>
          </w:p>
          <w:p w14:paraId="7C62FFF1">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cs="Times New Roman"/>
                <w:color w:val="auto"/>
                <w:sz w:val="24"/>
                <w:szCs w:val="24"/>
                <w:lang w:val="en-US" w:eastAsia="zh-CN"/>
              </w:rPr>
              <w:t>厂区整个布局</w:t>
            </w:r>
            <w:r>
              <w:rPr>
                <w:rFonts w:hint="default" w:ascii="Times New Roman" w:hAnsi="Times New Roman" w:eastAsia="宋体" w:cs="Times New Roman"/>
                <w:color w:val="auto"/>
                <w:sz w:val="24"/>
                <w:szCs w:val="24"/>
                <w:lang w:val="en-US" w:eastAsia="zh-CN"/>
              </w:rPr>
              <w:t>遵循紧凑布局、节约用地的原则，满足生产工艺和公用设施的需要，在合理利用土地的基础上，本着工艺合理、物流顺畅、建筑物布局做到遵守有关规定，满足环保、消防、节能和职业安全卫生等方面的要求。</w:t>
            </w:r>
          </w:p>
        </w:tc>
      </w:tr>
      <w:tr w14:paraId="7379B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14:paraId="3B723F8E">
            <w:pPr>
              <w:pStyle w:val="21"/>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4740" w:type="pct"/>
            <w:noWrap w:val="0"/>
            <w:vAlign w:val="top"/>
          </w:tcPr>
          <w:p w14:paraId="3E317D66">
            <w:pPr>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一、施工期</w:t>
            </w:r>
          </w:p>
          <w:p w14:paraId="7FD4D04E">
            <w:pPr>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eastAsia" w:cs="Times New Roman"/>
                <w:color w:val="auto"/>
                <w:kern w:val="0"/>
                <w:sz w:val="24"/>
                <w:szCs w:val="24"/>
                <w:highlight w:val="none"/>
                <w:lang w:eastAsia="zh-CN"/>
              </w:rPr>
              <w:t>利用</w:t>
            </w:r>
            <w:r>
              <w:rPr>
                <w:rFonts w:hint="default" w:ascii="Times New Roman" w:hAnsi="Times New Roman" w:eastAsia="宋体" w:cs="Times New Roman"/>
                <w:color w:val="auto"/>
                <w:kern w:val="0"/>
                <w:sz w:val="24"/>
                <w:szCs w:val="24"/>
                <w:highlight w:val="none"/>
              </w:rPr>
              <w:t>已建成的车间，施工期仅为设备的安装调试，影响较小，不再分析。</w:t>
            </w:r>
          </w:p>
          <w:p w14:paraId="0B968C6C">
            <w:pPr>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二、运营期</w:t>
            </w:r>
          </w:p>
          <w:p w14:paraId="69995816">
            <w:pPr>
              <w:autoSpaceDE w:val="0"/>
              <w:autoSpaceDN w:val="0"/>
              <w:spacing w:line="360" w:lineRule="auto"/>
              <w:ind w:firstLine="480" w:firstLineChars="200"/>
              <w:rPr>
                <w:rFonts w:hint="eastAsia"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1、工艺流程</w:t>
            </w:r>
          </w:p>
          <w:p w14:paraId="362BBA6B">
            <w:pPr>
              <w:autoSpaceDE w:val="0"/>
              <w:autoSpaceDN w:val="0"/>
              <w:spacing w:line="360" w:lineRule="auto"/>
              <w:ind w:firstLine="480" w:firstLineChars="200"/>
              <w:rPr>
                <w:rFonts w:hint="eastAsia" w:ascii="Times New Roman" w:hAnsi="Times New Roman" w:eastAsia="宋体" w:cs="Times New Roman"/>
                <w:color w:val="auto"/>
                <w:kern w:val="0"/>
                <w:sz w:val="24"/>
                <w:szCs w:val="24"/>
                <w:highlight w:val="none"/>
                <w:lang w:eastAsia="zh-CN"/>
              </w:rPr>
            </w:pP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一</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sz w:val="24"/>
                <w:szCs w:val="24"/>
              </w:rPr>
              <w:t>沥青混凝土</w:t>
            </w:r>
          </w:p>
          <w:p w14:paraId="5B50A7B9">
            <w:pPr>
              <w:pStyle w:val="16"/>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object>
                <v:shape id="_x0000_i1027" o:spt="75" type="#_x0000_t75" style="height:329.45pt;width:361.7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11DAD1E4">
            <w:pPr>
              <w:pStyle w:val="16"/>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图2-</w:t>
            </w:r>
            <w:r>
              <w:rPr>
                <w:rFonts w:hint="eastAsia"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rPr>
              <w:t xml:space="preserve">  沥青混凝土生产工艺流程及产污环节图</w:t>
            </w:r>
          </w:p>
          <w:p w14:paraId="01DD93C1">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生产工艺描述：</w:t>
            </w:r>
          </w:p>
          <w:p w14:paraId="3EBECCD1">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（1）沥青预处理</w:t>
            </w:r>
          </w:p>
          <w:p w14:paraId="05F86D8C">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沥青进厂时由专用沥青运输车通过密闭的沥青管道运送至沥青储罐内，利用天然气导热油炉将沥青间接加热至150℃~170℃。加热后的沥青通过计量器计量后，通过专门的管道送入沥青混凝土</w:t>
            </w:r>
            <w:r>
              <w:rPr>
                <w:rFonts w:hint="eastAsia" w:ascii="Times New Roman" w:hAnsi="Times New Roman" w:eastAsia="宋体" w:cs="Times New Roman"/>
                <w:color w:val="auto"/>
                <w:kern w:val="0"/>
                <w:sz w:val="24"/>
                <w:szCs w:val="24"/>
                <w:highlight w:val="none"/>
                <w:lang w:eastAsia="zh-CN"/>
              </w:rPr>
              <w:t>拌和站</w:t>
            </w:r>
            <w:r>
              <w:rPr>
                <w:rFonts w:hint="default" w:ascii="Times New Roman" w:hAnsi="Times New Roman" w:eastAsia="宋体" w:cs="Times New Roman"/>
                <w:color w:val="auto"/>
                <w:kern w:val="0"/>
                <w:sz w:val="24"/>
                <w:szCs w:val="24"/>
                <w:highlight w:val="none"/>
                <w:lang w:eastAsia="zh-CN"/>
              </w:rPr>
              <w:t>。</w:t>
            </w:r>
          </w:p>
          <w:p w14:paraId="143D7BC6">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产污环节：</w:t>
            </w:r>
            <w:r>
              <w:rPr>
                <w:rFonts w:hint="eastAsia" w:cs="Times New Roman"/>
                <w:color w:val="auto"/>
                <w:kern w:val="0"/>
                <w:sz w:val="24"/>
                <w:szCs w:val="24"/>
                <w:highlight w:val="none"/>
                <w:lang w:eastAsia="zh-CN"/>
              </w:rPr>
              <w:t>沥青产生的</w:t>
            </w:r>
            <w:r>
              <w:rPr>
                <w:rFonts w:hint="default" w:ascii="Times New Roman" w:hAnsi="Times New Roman" w:eastAsia="宋体" w:cs="Times New Roman"/>
                <w:color w:val="auto"/>
                <w:kern w:val="0"/>
                <w:sz w:val="24"/>
                <w:szCs w:val="24"/>
                <w:highlight w:val="none"/>
                <w:lang w:eastAsia="zh-CN"/>
              </w:rPr>
              <w:t>苯并[a]芘、沥青烟、VOCs</w:t>
            </w:r>
            <w:r>
              <w:rPr>
                <w:rFonts w:hint="eastAsia"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eastAsia="zh-CN"/>
              </w:rPr>
              <w:t>设备</w:t>
            </w:r>
            <w:r>
              <w:rPr>
                <w:rFonts w:hint="default" w:ascii="Times New Roman" w:hAnsi="Times New Roman" w:eastAsia="宋体" w:cs="Times New Roman"/>
                <w:color w:val="auto"/>
                <w:kern w:val="0"/>
                <w:sz w:val="24"/>
                <w:szCs w:val="24"/>
                <w:highlight w:val="none"/>
                <w:lang w:eastAsia="zh-CN"/>
              </w:rPr>
              <w:t>噪声</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天然气燃烧废气。</w:t>
            </w:r>
          </w:p>
          <w:p w14:paraId="067911ED">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（2）骨料处理</w:t>
            </w:r>
          </w:p>
          <w:p w14:paraId="344DD252">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rPr>
              <w:t>机制砂、石子、石硝</w:t>
            </w:r>
            <w:r>
              <w:rPr>
                <w:rFonts w:hint="default" w:ascii="Times New Roman" w:hAnsi="Times New Roman" w:eastAsia="宋体" w:cs="Times New Roman"/>
                <w:color w:val="auto"/>
                <w:kern w:val="0"/>
                <w:sz w:val="24"/>
                <w:szCs w:val="24"/>
                <w:highlight w:val="none"/>
                <w:lang w:eastAsia="zh-CN"/>
              </w:rPr>
              <w:t>通过运输车辆运至厂区，卸至封闭料场。生产时用</w:t>
            </w:r>
            <w:r>
              <w:rPr>
                <w:rFonts w:hint="eastAsia" w:cs="Times New Roman"/>
                <w:color w:val="auto"/>
                <w:kern w:val="0"/>
                <w:sz w:val="24"/>
                <w:szCs w:val="24"/>
                <w:highlight w:val="none"/>
                <w:lang w:val="en-US" w:eastAsia="zh-CN"/>
              </w:rPr>
              <w:t>铲车</w:t>
            </w:r>
            <w:r>
              <w:rPr>
                <w:rFonts w:hint="default" w:ascii="Times New Roman" w:hAnsi="Times New Roman" w:eastAsia="宋体" w:cs="Times New Roman"/>
                <w:color w:val="auto"/>
                <w:kern w:val="0"/>
                <w:sz w:val="24"/>
                <w:szCs w:val="24"/>
                <w:highlight w:val="none"/>
                <w:lang w:eastAsia="zh-CN"/>
              </w:rPr>
              <w:t>将骨料送入料斗，通过封闭皮带输送自动进料。为了使沥青产品不至于因过快冷却而失去良好的性能，骨料在进入搅拌系统之前要经过加热处理。骨料进入烘干系统的烘干筒中，在其中不断加热（以天然气为原料，干燥滚筒内设置低氮燃烧器），烘干筒不断旋转，以使骨料受热均匀。</w:t>
            </w:r>
          </w:p>
          <w:p w14:paraId="3D26DFF5">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产污环节：上料</w:t>
            </w:r>
            <w:r>
              <w:rPr>
                <w:rFonts w:hint="eastAsia"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输送、干燥</w:t>
            </w:r>
            <w:r>
              <w:rPr>
                <w:rFonts w:hint="eastAsia" w:cs="Times New Roman"/>
                <w:color w:val="auto"/>
                <w:kern w:val="0"/>
                <w:sz w:val="24"/>
                <w:szCs w:val="24"/>
                <w:highlight w:val="none"/>
                <w:lang w:val="en-US" w:eastAsia="zh-CN"/>
              </w:rPr>
              <w:t>等工序产生的</w:t>
            </w:r>
            <w:r>
              <w:rPr>
                <w:rFonts w:hint="default" w:ascii="Times New Roman" w:hAnsi="Times New Roman" w:eastAsia="宋体" w:cs="Times New Roman"/>
                <w:color w:val="auto"/>
                <w:kern w:val="0"/>
                <w:sz w:val="24"/>
                <w:szCs w:val="24"/>
                <w:highlight w:val="none"/>
                <w:lang w:eastAsia="zh-CN"/>
              </w:rPr>
              <w:t>粉尘</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天然气燃烧废气，</w:t>
            </w:r>
            <w:r>
              <w:rPr>
                <w:rFonts w:hint="eastAsia" w:cs="Times New Roman"/>
                <w:color w:val="auto"/>
                <w:kern w:val="0"/>
                <w:sz w:val="24"/>
                <w:szCs w:val="24"/>
                <w:highlight w:val="none"/>
                <w:lang w:eastAsia="zh-CN"/>
              </w:rPr>
              <w:t>设备</w:t>
            </w:r>
            <w:r>
              <w:rPr>
                <w:rFonts w:hint="default" w:ascii="Times New Roman" w:hAnsi="Times New Roman" w:eastAsia="宋体" w:cs="Times New Roman"/>
                <w:color w:val="auto"/>
                <w:kern w:val="0"/>
                <w:sz w:val="24"/>
                <w:szCs w:val="24"/>
                <w:highlight w:val="none"/>
                <w:lang w:eastAsia="zh-CN"/>
              </w:rPr>
              <w:t>噪声。</w:t>
            </w:r>
          </w:p>
          <w:p w14:paraId="6274C054">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（3）搅拌及出料工序</w:t>
            </w:r>
          </w:p>
          <w:p w14:paraId="60C1A7A4">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热骨料</w:t>
            </w:r>
            <w:r>
              <w:rPr>
                <w:rFonts w:hint="eastAsia" w:cs="Times New Roman"/>
                <w:color w:val="auto"/>
                <w:kern w:val="0"/>
                <w:sz w:val="24"/>
                <w:szCs w:val="24"/>
                <w:highlight w:val="none"/>
                <w:lang w:val="en-US" w:eastAsia="zh-CN"/>
              </w:rPr>
              <w:t>进入搅拌机，与</w:t>
            </w:r>
            <w:r>
              <w:rPr>
                <w:rFonts w:hint="default" w:ascii="Times New Roman" w:hAnsi="Times New Roman" w:eastAsia="宋体" w:cs="Times New Roman"/>
                <w:color w:val="auto"/>
                <w:kern w:val="0"/>
                <w:sz w:val="24"/>
                <w:szCs w:val="24"/>
                <w:highlight w:val="none"/>
                <w:lang w:eastAsia="zh-CN"/>
              </w:rPr>
              <w:t>沥青在</w:t>
            </w:r>
            <w:r>
              <w:rPr>
                <w:rFonts w:hint="eastAsia" w:ascii="Times New Roman" w:hAnsi="Times New Roman" w:eastAsia="宋体" w:cs="Times New Roman"/>
                <w:color w:val="auto"/>
                <w:kern w:val="0"/>
                <w:sz w:val="24"/>
                <w:szCs w:val="24"/>
                <w:highlight w:val="none"/>
                <w:lang w:eastAsia="zh-CN"/>
              </w:rPr>
              <w:t>拌和站</w:t>
            </w:r>
            <w:r>
              <w:rPr>
                <w:rFonts w:hint="default" w:ascii="Times New Roman" w:hAnsi="Times New Roman" w:eastAsia="宋体" w:cs="Times New Roman"/>
                <w:color w:val="auto"/>
                <w:kern w:val="0"/>
                <w:sz w:val="24"/>
                <w:szCs w:val="24"/>
                <w:highlight w:val="none"/>
                <w:lang w:eastAsia="zh-CN"/>
              </w:rPr>
              <w:t>内经</w:t>
            </w:r>
            <w:r>
              <w:rPr>
                <w:rFonts w:hint="eastAsia" w:cs="Times New Roman"/>
                <w:color w:val="auto"/>
                <w:kern w:val="0"/>
                <w:sz w:val="24"/>
                <w:szCs w:val="24"/>
                <w:highlight w:val="none"/>
                <w:lang w:eastAsia="zh-CN"/>
              </w:rPr>
              <w:t>拌和</w:t>
            </w:r>
            <w:r>
              <w:rPr>
                <w:rFonts w:hint="default" w:ascii="Times New Roman" w:hAnsi="Times New Roman" w:eastAsia="宋体" w:cs="Times New Roman"/>
                <w:color w:val="auto"/>
                <w:kern w:val="0"/>
                <w:sz w:val="24"/>
                <w:szCs w:val="24"/>
                <w:highlight w:val="none"/>
                <w:lang w:eastAsia="zh-CN"/>
              </w:rPr>
              <w:t>后成为成品沥青混凝土，搅拌工序在密闭设备内进行。在成品仓放料门处采用电加热自动控温，待运输车辆到达后，成品由保温仓出料口装入车斗运出。热沥青为流动液态，搅拌过程中无粉尘产生</w:t>
            </w:r>
            <w:r>
              <w:rPr>
                <w:rFonts w:hint="eastAsia" w:cs="Times New Roman"/>
                <w:color w:val="auto"/>
                <w:kern w:val="0"/>
                <w:sz w:val="24"/>
                <w:szCs w:val="24"/>
                <w:highlight w:val="none"/>
                <w:lang w:eastAsia="zh-CN"/>
              </w:rPr>
              <w:t>。</w:t>
            </w:r>
          </w:p>
          <w:p w14:paraId="63F8A747">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产污环节：</w:t>
            </w:r>
            <w:r>
              <w:rPr>
                <w:rFonts w:hint="eastAsia" w:cs="Times New Roman"/>
                <w:color w:val="auto"/>
                <w:kern w:val="0"/>
                <w:sz w:val="24"/>
                <w:szCs w:val="24"/>
                <w:highlight w:val="none"/>
                <w:lang w:val="en-US" w:eastAsia="zh-CN"/>
              </w:rPr>
              <w:t>上料产生的粉尘，</w:t>
            </w:r>
            <w:r>
              <w:rPr>
                <w:rFonts w:hint="eastAsia" w:cs="Times New Roman"/>
                <w:color w:val="auto"/>
                <w:kern w:val="0"/>
                <w:sz w:val="24"/>
                <w:szCs w:val="24"/>
                <w:highlight w:val="none"/>
                <w:lang w:eastAsia="zh-CN"/>
              </w:rPr>
              <w:t>沥青产生的</w:t>
            </w:r>
            <w:r>
              <w:rPr>
                <w:rFonts w:hint="default" w:ascii="Times New Roman" w:hAnsi="Times New Roman" w:eastAsia="宋体" w:cs="Times New Roman"/>
                <w:color w:val="auto"/>
                <w:kern w:val="0"/>
                <w:sz w:val="24"/>
                <w:szCs w:val="24"/>
                <w:highlight w:val="none"/>
                <w:lang w:eastAsia="zh-CN"/>
              </w:rPr>
              <w:t>苯并[a]芘、沥青烟、VOCs</w:t>
            </w:r>
            <w:r>
              <w:rPr>
                <w:rFonts w:hint="eastAsia"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eastAsia="zh-CN"/>
              </w:rPr>
              <w:t>设备</w:t>
            </w:r>
            <w:r>
              <w:rPr>
                <w:rFonts w:hint="default" w:ascii="Times New Roman" w:hAnsi="Times New Roman" w:eastAsia="宋体" w:cs="Times New Roman"/>
                <w:color w:val="auto"/>
                <w:kern w:val="0"/>
                <w:sz w:val="24"/>
                <w:szCs w:val="24"/>
                <w:highlight w:val="none"/>
                <w:lang w:eastAsia="zh-CN"/>
              </w:rPr>
              <w:t>噪声。</w:t>
            </w:r>
          </w:p>
          <w:p w14:paraId="2590DA74">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二</w:t>
            </w:r>
            <w:r>
              <w:rPr>
                <w:rFonts w:hint="eastAsia" w:cs="Times New Roman"/>
                <w:color w:val="auto"/>
                <w:kern w:val="0"/>
                <w:sz w:val="24"/>
                <w:szCs w:val="24"/>
                <w:highlight w:val="none"/>
                <w:lang w:eastAsia="zh-CN"/>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乳化沥青</w:t>
            </w:r>
          </w:p>
          <w:p w14:paraId="550724BD">
            <w:pPr>
              <w:pStyle w:val="16"/>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object>
                <v:shape id="_x0000_i1028" o:spt="75" type="#_x0000_t75" style="height:298.85pt;width:365.55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p>
          <w:p w14:paraId="512A9E2D">
            <w:pPr>
              <w:pStyle w:val="16"/>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图2-</w:t>
            </w:r>
            <w:r>
              <w:rPr>
                <w:rFonts w:hint="eastAsia"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rPr>
              <w:t xml:space="preserve">  </w:t>
            </w:r>
            <w:r>
              <w:rPr>
                <w:rFonts w:hint="default" w:ascii="Times New Roman" w:hAnsi="Times New Roman" w:eastAsia="宋体" w:cs="Times New Roman"/>
                <w:b/>
                <w:bCs/>
                <w:color w:val="auto"/>
                <w:kern w:val="0"/>
                <w:sz w:val="24"/>
                <w:szCs w:val="24"/>
                <w:highlight w:val="none"/>
                <w:lang w:val="en-US" w:eastAsia="zh-CN"/>
              </w:rPr>
              <w:t>乳化沥青</w:t>
            </w:r>
            <w:r>
              <w:rPr>
                <w:rFonts w:hint="default" w:ascii="Times New Roman" w:hAnsi="Times New Roman" w:eastAsia="宋体" w:cs="Times New Roman"/>
                <w:b/>
                <w:bCs/>
                <w:color w:val="auto"/>
                <w:kern w:val="0"/>
                <w:sz w:val="24"/>
                <w:szCs w:val="24"/>
                <w:highlight w:val="none"/>
              </w:rPr>
              <w:t>生产工艺流程及产污环节图</w:t>
            </w:r>
          </w:p>
          <w:p w14:paraId="60394BFE">
            <w:pPr>
              <w:pStyle w:val="2"/>
              <w:spacing w:after="0" w:line="360" w:lineRule="auto"/>
              <w:ind w:left="0" w:leftChars="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生产工艺描述：</w:t>
            </w:r>
          </w:p>
          <w:p w14:paraId="03AEB062">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eastAsia" w:eastAsia="宋体" w:cs="Times New Roman"/>
                <w:color w:val="auto"/>
                <w:kern w:val="0"/>
                <w:sz w:val="24"/>
                <w:szCs w:val="24"/>
                <w:highlight w:val="none"/>
                <w:lang w:val="en-US" w:eastAsia="zh-CN"/>
              </w:rPr>
              <w:t>水和沥青采用</w:t>
            </w:r>
            <w:r>
              <w:rPr>
                <w:rFonts w:hint="default" w:eastAsia="宋体" w:cs="Times New Roman"/>
                <w:color w:val="auto"/>
                <w:kern w:val="0"/>
                <w:sz w:val="24"/>
                <w:szCs w:val="24"/>
                <w:highlight w:val="none"/>
                <w:lang w:val="en-US" w:eastAsia="zh-CN"/>
              </w:rPr>
              <w:t>天然气导热油炉间接加热</w:t>
            </w:r>
            <w:r>
              <w:rPr>
                <w:rFonts w:hint="eastAsia" w:eastAsia="宋体" w:cs="Times New Roman"/>
                <w:color w:val="auto"/>
                <w:kern w:val="0"/>
                <w:sz w:val="24"/>
                <w:szCs w:val="24"/>
                <w:highlight w:val="none"/>
                <w:lang w:val="en-US" w:eastAsia="zh-CN"/>
              </w:rPr>
              <w:t>，</w:t>
            </w:r>
            <w:r>
              <w:rPr>
                <w:rFonts w:hint="eastAsia" w:eastAsia="宋体" w:cs="Times New Roman"/>
                <w:color w:val="auto"/>
                <w:kern w:val="0"/>
                <w:sz w:val="24"/>
                <w:szCs w:val="24"/>
                <w:highlight w:val="none"/>
                <w:lang w:val="en-US" w:eastAsia="zh-CN"/>
              </w:rPr>
              <w:t>水和乳化液按比例要求计量，与沥青一并在胶体磨内搅拌均匀，然后外运至工地</w:t>
            </w:r>
            <w:r>
              <w:rPr>
                <w:rFonts w:hint="default" w:ascii="Times New Roman" w:hAnsi="Times New Roman" w:eastAsia="宋体" w:cs="Times New Roman"/>
                <w:color w:val="auto"/>
                <w:kern w:val="0"/>
                <w:sz w:val="24"/>
                <w:szCs w:val="24"/>
                <w:highlight w:val="none"/>
                <w:lang w:eastAsia="zh-CN"/>
              </w:rPr>
              <w:t>。</w:t>
            </w:r>
          </w:p>
          <w:p w14:paraId="37750FCA">
            <w:pPr>
              <w:pStyle w:val="2"/>
              <w:spacing w:after="0" w:line="360" w:lineRule="auto"/>
              <w:ind w:left="0" w:leftChars="0"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产污环节：</w:t>
            </w:r>
            <w:r>
              <w:rPr>
                <w:rFonts w:hint="eastAsia" w:cs="Times New Roman"/>
                <w:color w:val="auto"/>
                <w:kern w:val="0"/>
                <w:sz w:val="24"/>
                <w:szCs w:val="24"/>
                <w:highlight w:val="none"/>
                <w:lang w:eastAsia="zh-CN"/>
              </w:rPr>
              <w:t>沥青产生的</w:t>
            </w:r>
            <w:r>
              <w:rPr>
                <w:rFonts w:hint="default" w:ascii="Times New Roman" w:hAnsi="Times New Roman" w:eastAsia="宋体" w:cs="Times New Roman"/>
                <w:color w:val="auto"/>
                <w:kern w:val="0"/>
                <w:sz w:val="24"/>
                <w:szCs w:val="24"/>
                <w:highlight w:val="none"/>
                <w:lang w:eastAsia="zh-CN"/>
              </w:rPr>
              <w:t>苯并[a]芘、沥青烟、VOCs</w:t>
            </w:r>
            <w:r>
              <w:rPr>
                <w:rFonts w:hint="eastAsia"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eastAsia="zh-CN"/>
              </w:rPr>
              <w:t>设备</w:t>
            </w:r>
            <w:r>
              <w:rPr>
                <w:rFonts w:hint="default" w:ascii="Times New Roman" w:hAnsi="Times New Roman" w:eastAsia="宋体" w:cs="Times New Roman"/>
                <w:color w:val="auto"/>
                <w:kern w:val="0"/>
                <w:sz w:val="24"/>
                <w:szCs w:val="24"/>
                <w:highlight w:val="none"/>
                <w:lang w:eastAsia="zh-CN"/>
              </w:rPr>
              <w:t>噪声</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天然气燃烧废气。</w:t>
            </w:r>
          </w:p>
          <w:p w14:paraId="2CCB2D57">
            <w:pPr>
              <w:pStyle w:val="2"/>
              <w:spacing w:after="0" w:line="360" w:lineRule="auto"/>
              <w:ind w:left="0" w:leftChars="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2、产污环节</w:t>
            </w:r>
          </w:p>
          <w:p w14:paraId="4660AF17">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产排污环节汇总表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048"/>
              <w:gridCol w:w="1088"/>
              <w:gridCol w:w="1249"/>
              <w:gridCol w:w="3842"/>
            </w:tblGrid>
            <w:tr w14:paraId="357E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noWrap w:val="0"/>
                  <w:vAlign w:val="center"/>
                </w:tcPr>
                <w:p w14:paraId="02CAC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类别</w:t>
                  </w:r>
                </w:p>
              </w:tc>
              <w:tc>
                <w:tcPr>
                  <w:tcW w:w="668" w:type="pct"/>
                  <w:noWrap w:val="0"/>
                  <w:vAlign w:val="center"/>
                </w:tcPr>
                <w:p w14:paraId="47F6F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名称</w:t>
                  </w:r>
                </w:p>
              </w:tc>
              <w:tc>
                <w:tcPr>
                  <w:tcW w:w="693" w:type="pct"/>
                  <w:noWrap w:val="0"/>
                  <w:vAlign w:val="center"/>
                </w:tcPr>
                <w:p w14:paraId="63A78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产生环节</w:t>
                  </w:r>
                </w:p>
              </w:tc>
              <w:tc>
                <w:tcPr>
                  <w:tcW w:w="796" w:type="pct"/>
                  <w:noWrap w:val="0"/>
                  <w:vAlign w:val="center"/>
                </w:tcPr>
                <w:p w14:paraId="15DCF8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污染因子</w:t>
                  </w:r>
                </w:p>
              </w:tc>
              <w:tc>
                <w:tcPr>
                  <w:tcW w:w="2449" w:type="pct"/>
                  <w:noWrap w:val="0"/>
                  <w:vAlign w:val="center"/>
                </w:tcPr>
                <w:p w14:paraId="377D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处理措施</w:t>
                  </w:r>
                </w:p>
              </w:tc>
            </w:tr>
            <w:tr w14:paraId="79B6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0402B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w:t>
                  </w:r>
                </w:p>
              </w:tc>
              <w:tc>
                <w:tcPr>
                  <w:tcW w:w="668" w:type="pct"/>
                  <w:noWrap w:val="0"/>
                  <w:vAlign w:val="center"/>
                </w:tcPr>
                <w:p w14:paraId="418E48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汽运粉尘</w:t>
                  </w:r>
                </w:p>
              </w:tc>
              <w:tc>
                <w:tcPr>
                  <w:tcW w:w="693" w:type="pct"/>
                  <w:noWrap w:val="0"/>
                  <w:vAlign w:val="center"/>
                </w:tcPr>
                <w:p w14:paraId="176B7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运输车辆</w:t>
                  </w:r>
                </w:p>
              </w:tc>
              <w:tc>
                <w:tcPr>
                  <w:tcW w:w="796" w:type="pct"/>
                  <w:noWrap w:val="0"/>
                  <w:vAlign w:val="center"/>
                </w:tcPr>
                <w:p w14:paraId="42B8D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颗粒物</w:t>
                  </w:r>
                </w:p>
              </w:tc>
              <w:tc>
                <w:tcPr>
                  <w:tcW w:w="2449" w:type="pct"/>
                  <w:noWrap w:val="0"/>
                  <w:vAlign w:val="center"/>
                </w:tcPr>
                <w:p w14:paraId="700357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eastAsia="zh-CN"/>
                    </w:rPr>
                    <w:t>厂区进出口建设自动感应洗车台；进出厂的运输车辆采取密闭或全覆盖措施；厂区路面硬化；及时清扫，定时洒水</w:t>
                  </w:r>
                </w:p>
              </w:tc>
            </w:tr>
            <w:tr w14:paraId="2273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65D8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3F323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装卸粉尘</w:t>
                  </w:r>
                </w:p>
              </w:tc>
              <w:tc>
                <w:tcPr>
                  <w:tcW w:w="693" w:type="pct"/>
                  <w:noWrap w:val="0"/>
                  <w:vAlign w:val="center"/>
                </w:tcPr>
                <w:p w14:paraId="6BD6D8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骨料装卸工序</w:t>
                  </w:r>
                </w:p>
              </w:tc>
              <w:tc>
                <w:tcPr>
                  <w:tcW w:w="796" w:type="pct"/>
                  <w:noWrap w:val="0"/>
                  <w:vAlign w:val="center"/>
                </w:tcPr>
                <w:p w14:paraId="71324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颗粒物</w:t>
                  </w:r>
                </w:p>
              </w:tc>
              <w:tc>
                <w:tcPr>
                  <w:tcW w:w="2449" w:type="pct"/>
                  <w:noWrap w:val="0"/>
                  <w:vAlign w:val="center"/>
                </w:tcPr>
                <w:p w14:paraId="12E16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装卸过程在密闭车间内，雾炮喷淋降尘，降低装卸高度</w:t>
                  </w:r>
                </w:p>
              </w:tc>
            </w:tr>
            <w:tr w14:paraId="6B4B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77C2C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371D3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堆场粉尘</w:t>
                  </w:r>
                </w:p>
              </w:tc>
              <w:tc>
                <w:tcPr>
                  <w:tcW w:w="693" w:type="pct"/>
                  <w:noWrap w:val="0"/>
                  <w:vAlign w:val="center"/>
                </w:tcPr>
                <w:p w14:paraId="0490D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原料堆场</w:t>
                  </w:r>
                </w:p>
              </w:tc>
              <w:tc>
                <w:tcPr>
                  <w:tcW w:w="796" w:type="pct"/>
                  <w:noWrap w:val="0"/>
                  <w:vAlign w:val="center"/>
                </w:tcPr>
                <w:p w14:paraId="7632CF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颗粒物</w:t>
                  </w:r>
                </w:p>
              </w:tc>
              <w:tc>
                <w:tcPr>
                  <w:tcW w:w="2449" w:type="pct"/>
                  <w:noWrap w:val="0"/>
                  <w:vAlign w:val="center"/>
                </w:tcPr>
                <w:p w14:paraId="137CE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堆场在密闭车间内</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车间顶部</w:t>
                  </w:r>
                  <w:r>
                    <w:rPr>
                      <w:rFonts w:hint="eastAsia" w:ascii="Times New Roman" w:hAnsi="Times New Roman" w:eastAsia="宋体" w:cs="Times New Roman"/>
                      <w:color w:val="auto"/>
                      <w:sz w:val="21"/>
                      <w:szCs w:val="21"/>
                      <w:highlight w:val="none"/>
                      <w:lang w:eastAsia="zh-CN"/>
                    </w:rPr>
                    <w:t>喷淋设施</w:t>
                  </w:r>
                </w:p>
              </w:tc>
            </w:tr>
            <w:tr w14:paraId="11B5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A023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2CFB8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传输粉尘</w:t>
                  </w:r>
                </w:p>
              </w:tc>
              <w:tc>
                <w:tcPr>
                  <w:tcW w:w="693" w:type="pct"/>
                  <w:noWrap w:val="0"/>
                  <w:vAlign w:val="center"/>
                </w:tcPr>
                <w:p w14:paraId="4CCC7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物料输送</w:t>
                  </w:r>
                </w:p>
              </w:tc>
              <w:tc>
                <w:tcPr>
                  <w:tcW w:w="796" w:type="pct"/>
                  <w:noWrap w:val="0"/>
                  <w:vAlign w:val="center"/>
                </w:tcPr>
                <w:p w14:paraId="48F1B3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颗粒物</w:t>
                  </w:r>
                </w:p>
              </w:tc>
              <w:tc>
                <w:tcPr>
                  <w:tcW w:w="2449" w:type="pct"/>
                  <w:noWrap w:val="0"/>
                  <w:vAlign w:val="center"/>
                </w:tcPr>
                <w:p w14:paraId="3B0DD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传输带密闭</w:t>
                  </w:r>
                </w:p>
              </w:tc>
            </w:tr>
            <w:tr w14:paraId="544C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2A46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67BD5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天然气导热油炉废气</w:t>
                  </w:r>
                </w:p>
              </w:tc>
              <w:tc>
                <w:tcPr>
                  <w:tcW w:w="693" w:type="pct"/>
                  <w:noWrap w:val="0"/>
                  <w:vAlign w:val="center"/>
                </w:tcPr>
                <w:p w14:paraId="4674FD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天然气燃烧</w:t>
                  </w:r>
                </w:p>
              </w:tc>
              <w:tc>
                <w:tcPr>
                  <w:tcW w:w="796" w:type="pct"/>
                  <w:noWrap w:val="0"/>
                  <w:vAlign w:val="center"/>
                </w:tcPr>
                <w:p w14:paraId="705887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颗粒物、SO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vertAlign w:val="baseline"/>
                      <w:lang w:val="en-US" w:eastAsia="zh-CN"/>
                    </w:rPr>
                    <w:t>、NOx</w:t>
                  </w:r>
                  <w:r>
                    <w:rPr>
                      <w:rFonts w:hint="eastAsia" w:cs="Times New Roman"/>
                      <w:bCs/>
                      <w:color w:val="auto"/>
                      <w:sz w:val="21"/>
                      <w:szCs w:val="21"/>
                      <w:vertAlign w:val="baseline"/>
                      <w:lang w:val="en-US" w:eastAsia="zh-CN"/>
                    </w:rPr>
                    <w:t>、林格曼黑度</w:t>
                  </w:r>
                </w:p>
              </w:tc>
              <w:tc>
                <w:tcPr>
                  <w:tcW w:w="2449" w:type="pct"/>
                  <w:noWrap w:val="0"/>
                  <w:vAlign w:val="center"/>
                </w:tcPr>
                <w:p w14:paraId="14D286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i w:val="0"/>
                      <w:iCs w:val="0"/>
                      <w:caps w:val="0"/>
                      <w:color w:val="auto"/>
                      <w:spacing w:val="0"/>
                      <w:kern w:val="0"/>
                      <w:sz w:val="21"/>
                      <w:szCs w:val="21"/>
                      <w:shd w:val="clear" w:color="auto" w:fill="FFFFFF"/>
                      <w:lang w:val="en-US" w:eastAsia="zh-CN" w:bidi="ar"/>
                    </w:rPr>
                    <w:t>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低氮燃烧</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技术</w:t>
                  </w:r>
                  <w:r>
                    <w:rPr>
                      <w:rFonts w:hint="eastAsia" w:cs="Times New Roman"/>
                      <w:i w:val="0"/>
                      <w:iCs w:val="0"/>
                      <w:caps w:val="0"/>
                      <w:color w:val="auto"/>
                      <w:spacing w:val="0"/>
                      <w:kern w:val="0"/>
                      <w:sz w:val="21"/>
                      <w:szCs w:val="21"/>
                      <w:shd w:val="clear" w:color="auto" w:fill="FFFFFF"/>
                      <w:lang w:val="en-US" w:eastAsia="zh-CN" w:bidi="ar"/>
                    </w:rPr>
                    <w:t>，废气</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eastAsia" w:cs="Times New Roman"/>
                      <w:i w:val="0"/>
                      <w:iCs w:val="0"/>
                      <w:caps w:val="0"/>
                      <w:color w:val="auto"/>
                      <w:spacing w:val="0"/>
                      <w:kern w:val="0"/>
                      <w:sz w:val="21"/>
                      <w:szCs w:val="21"/>
                      <w:shd w:val="clear" w:color="auto" w:fill="FFFFFF"/>
                      <w:lang w:val="en-US" w:eastAsia="zh-CN" w:bidi="ar"/>
                    </w:rPr>
                    <w:t>15</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m排气筒</w:t>
                  </w:r>
                  <w:r>
                    <w:rPr>
                      <w:rFonts w:hint="eastAsia" w:cs="Times New Roman"/>
                      <w:i w:val="0"/>
                      <w:iCs w:val="0"/>
                      <w:caps w:val="0"/>
                      <w:color w:val="auto"/>
                      <w:spacing w:val="0"/>
                      <w:kern w:val="0"/>
                      <w:sz w:val="21"/>
                      <w:szCs w:val="21"/>
                      <w:shd w:val="clear" w:color="auto" w:fill="FFFFFF"/>
                      <w:lang w:val="en-US" w:eastAsia="zh-CN" w:bidi="ar"/>
                    </w:rPr>
                    <w:t>DA002</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r>
            <w:tr w14:paraId="7323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2E00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298CD4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沥青</w:t>
                  </w:r>
                  <w:r>
                    <w:rPr>
                      <w:rFonts w:hint="eastAsia" w:cs="Times New Roman"/>
                      <w:bCs/>
                      <w:color w:val="auto"/>
                      <w:sz w:val="21"/>
                      <w:szCs w:val="21"/>
                      <w:lang w:val="en-US" w:eastAsia="zh-CN"/>
                    </w:rPr>
                    <w:t>烟气</w:t>
                  </w:r>
                </w:p>
              </w:tc>
              <w:tc>
                <w:tcPr>
                  <w:tcW w:w="693" w:type="pct"/>
                  <w:noWrap w:val="0"/>
                  <w:vAlign w:val="center"/>
                </w:tcPr>
                <w:p w14:paraId="4AC99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沥青受热</w:t>
                  </w:r>
                </w:p>
              </w:tc>
              <w:tc>
                <w:tcPr>
                  <w:tcW w:w="796" w:type="pct"/>
                  <w:noWrap w:val="0"/>
                  <w:vAlign w:val="center"/>
                </w:tcPr>
                <w:p w14:paraId="0F4D80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沥青烟、苯并[α]芘、</w:t>
                  </w:r>
                  <w:r>
                    <w:rPr>
                      <w:rFonts w:hint="eastAsia" w:cs="Times New Roman"/>
                      <w:bCs/>
                      <w:color w:val="auto"/>
                      <w:sz w:val="21"/>
                      <w:szCs w:val="21"/>
                      <w:vertAlign w:val="baseline"/>
                      <w:lang w:val="en-US" w:eastAsia="zh-CN"/>
                    </w:rPr>
                    <w:t>VOCs、臭气浓度</w:t>
                  </w:r>
                </w:p>
              </w:tc>
              <w:tc>
                <w:tcPr>
                  <w:tcW w:w="2449" w:type="pct"/>
                  <w:noWrap w:val="0"/>
                  <w:vAlign w:val="center"/>
                </w:tcPr>
                <w:p w14:paraId="40F8B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沥青储罐呼吸口设密封式集气装置，</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料口设集气装置，将沥青加热过程产生的沥青烟气收集后引入总集气管道，沥青储罐加热、搅拌过程密闭。废气采用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r>
            <w:tr w14:paraId="73B2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01FCC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4A5F3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上料、干燥粉尘</w:t>
                  </w:r>
                </w:p>
              </w:tc>
              <w:tc>
                <w:tcPr>
                  <w:tcW w:w="693" w:type="pct"/>
                  <w:noWrap w:val="0"/>
                  <w:vAlign w:val="center"/>
                </w:tcPr>
                <w:p w14:paraId="1A9EA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上料和干燥工序，天然气燃烧</w:t>
                  </w:r>
                </w:p>
              </w:tc>
              <w:tc>
                <w:tcPr>
                  <w:tcW w:w="796" w:type="pct"/>
                  <w:noWrap w:val="0"/>
                  <w:vAlign w:val="center"/>
                </w:tcPr>
                <w:p w14:paraId="2F724C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颗粒物、SO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vertAlign w:val="baseline"/>
                      <w:lang w:val="en-US" w:eastAsia="zh-CN"/>
                    </w:rPr>
                    <w:t>、NOx</w:t>
                  </w:r>
                </w:p>
              </w:tc>
              <w:tc>
                <w:tcPr>
                  <w:tcW w:w="2449" w:type="pct"/>
                  <w:noWrap w:val="0"/>
                  <w:vAlign w:val="center"/>
                </w:tcPr>
                <w:p w14:paraId="453D1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上料</w:t>
                  </w:r>
                  <w:r>
                    <w:rPr>
                      <w:rFonts w:hint="eastAsia" w:cs="Times New Roman"/>
                      <w:i w:val="0"/>
                      <w:iCs w:val="0"/>
                      <w:caps w:val="0"/>
                      <w:color w:val="auto"/>
                      <w:spacing w:val="0"/>
                      <w:kern w:val="0"/>
                      <w:sz w:val="21"/>
                      <w:szCs w:val="21"/>
                      <w:shd w:val="clear" w:color="auto" w:fill="FFFFFF"/>
                      <w:lang w:val="en-US" w:eastAsia="zh-CN" w:bidi="ar"/>
                    </w:rPr>
                    <w:t>工序</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设置喷淋降尘装置及半密闭式集气罩，干燥工序密闭，采用天然气燃烧尾气对物料直接加热。天然气采用低氮燃烧技术，废气一并经旋风除尘器+布袋除尘器处理后通过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r>
            <w:tr w14:paraId="6EE7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1010D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5F6ACC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乳化沥青废气</w:t>
                  </w:r>
                </w:p>
              </w:tc>
              <w:tc>
                <w:tcPr>
                  <w:tcW w:w="693" w:type="pct"/>
                  <w:noWrap w:val="0"/>
                  <w:vAlign w:val="center"/>
                </w:tcPr>
                <w:p w14:paraId="697D12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沥青受热</w:t>
                  </w:r>
                </w:p>
              </w:tc>
              <w:tc>
                <w:tcPr>
                  <w:tcW w:w="796" w:type="pct"/>
                  <w:noWrap w:val="0"/>
                  <w:vAlign w:val="center"/>
                </w:tcPr>
                <w:p w14:paraId="41CB83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沥青烟、苯并[α]芘、</w:t>
                  </w:r>
                  <w:r>
                    <w:rPr>
                      <w:rFonts w:hint="eastAsia" w:cs="Times New Roman"/>
                      <w:bCs/>
                      <w:color w:val="auto"/>
                      <w:sz w:val="21"/>
                      <w:szCs w:val="21"/>
                      <w:vertAlign w:val="baseline"/>
                      <w:lang w:val="en-US" w:eastAsia="zh-CN"/>
                    </w:rPr>
                    <w:t>VOCs、臭气浓度</w:t>
                  </w:r>
                </w:p>
              </w:tc>
              <w:tc>
                <w:tcPr>
                  <w:tcW w:w="2449" w:type="pct"/>
                  <w:noWrap w:val="0"/>
                  <w:vAlign w:val="center"/>
                </w:tcPr>
                <w:p w14:paraId="53866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沥青储罐呼吸口设密封式集气装置，</w:t>
                  </w:r>
                  <w:r>
                    <w:rPr>
                      <w:rFonts w:hint="eastAsia" w:eastAsia="宋体" w:cs="Times New Roman"/>
                      <w:i w:val="0"/>
                      <w:iCs w:val="0"/>
                      <w:caps w:val="0"/>
                      <w:color w:val="auto"/>
                      <w:spacing w:val="0"/>
                      <w:kern w:val="0"/>
                      <w:sz w:val="21"/>
                      <w:szCs w:val="21"/>
                      <w:shd w:val="clear" w:color="auto" w:fill="FFFFFF"/>
                      <w:lang w:val="en-US" w:eastAsia="zh-CN" w:bidi="ar"/>
                    </w:rPr>
                    <w:t>搅拌和</w:t>
                  </w:r>
                  <w:r>
                    <w:rPr>
                      <w:rFonts w:hint="eastAsia" w:cs="Times New Roman"/>
                      <w:i w:val="0"/>
                      <w:iCs w:val="0"/>
                      <w:caps w:val="0"/>
                      <w:color w:val="auto"/>
                      <w:spacing w:val="0"/>
                      <w:kern w:val="0"/>
                      <w:sz w:val="21"/>
                      <w:szCs w:val="21"/>
                      <w:shd w:val="clear" w:color="auto" w:fill="FFFFFF"/>
                      <w:lang w:val="en-US" w:eastAsia="zh-CN" w:bidi="ar"/>
                    </w:rPr>
                    <w:t>出</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料口设集气装置，</w:t>
                  </w:r>
                  <w:r>
                    <w:rPr>
                      <w:rFonts w:hint="eastAsia" w:cs="Times New Roman"/>
                      <w:i w:val="0"/>
                      <w:iCs w:val="0"/>
                      <w:caps w:val="0"/>
                      <w:color w:val="auto"/>
                      <w:spacing w:val="0"/>
                      <w:kern w:val="0"/>
                      <w:sz w:val="21"/>
                      <w:szCs w:val="21"/>
                      <w:shd w:val="clear" w:color="auto" w:fill="FFFFFF"/>
                      <w:lang w:val="en-US" w:eastAsia="zh-CN" w:bidi="ar"/>
                    </w:rPr>
                    <w:t>废气</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采用</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水喷淋+电捕焦油器+二级活性炭吸附处理后</w:t>
                  </w: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通过</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15m排气筒</w:t>
                  </w:r>
                  <w:r>
                    <w:rPr>
                      <w:rFonts w:hint="eastAsia" w:cs="Times New Roman"/>
                      <w:i w:val="0"/>
                      <w:iCs w:val="0"/>
                      <w:caps w:val="0"/>
                      <w:color w:val="auto"/>
                      <w:spacing w:val="0"/>
                      <w:kern w:val="0"/>
                      <w:sz w:val="21"/>
                      <w:szCs w:val="21"/>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排放</w:t>
                  </w:r>
                </w:p>
              </w:tc>
            </w:tr>
            <w:tr w14:paraId="0635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4C8CB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w:t>
                  </w:r>
                </w:p>
              </w:tc>
              <w:tc>
                <w:tcPr>
                  <w:tcW w:w="668" w:type="pct"/>
                  <w:noWrap w:val="0"/>
                  <w:vAlign w:val="center"/>
                </w:tcPr>
                <w:p w14:paraId="2798E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生活污水</w:t>
                  </w:r>
                </w:p>
              </w:tc>
              <w:tc>
                <w:tcPr>
                  <w:tcW w:w="693" w:type="pct"/>
                  <w:noWrap w:val="0"/>
                  <w:vAlign w:val="center"/>
                </w:tcPr>
                <w:p w14:paraId="334AE1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职工生活</w:t>
                  </w:r>
                </w:p>
              </w:tc>
              <w:tc>
                <w:tcPr>
                  <w:tcW w:w="796" w:type="pct"/>
                  <w:noWrap w:val="0"/>
                  <w:vAlign w:val="center"/>
                </w:tcPr>
                <w:p w14:paraId="2E946B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COD、氨氮、SS等</w:t>
                  </w:r>
                </w:p>
              </w:tc>
              <w:tc>
                <w:tcPr>
                  <w:tcW w:w="2449" w:type="pct"/>
                  <w:noWrap w:val="0"/>
                  <w:vAlign w:val="center"/>
                </w:tcPr>
                <w:p w14:paraId="3F409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化粪池处理后排入嘉祥公用水务有限公司处理</w:t>
                  </w:r>
                </w:p>
              </w:tc>
            </w:tr>
            <w:tr w14:paraId="2C39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63B04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69B068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喷淋塔废水</w:t>
                  </w:r>
                </w:p>
              </w:tc>
              <w:tc>
                <w:tcPr>
                  <w:tcW w:w="693" w:type="pct"/>
                  <w:noWrap w:val="0"/>
                  <w:vAlign w:val="center"/>
                </w:tcPr>
                <w:p w14:paraId="76B972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喷淋塔</w:t>
                  </w:r>
                </w:p>
              </w:tc>
              <w:tc>
                <w:tcPr>
                  <w:tcW w:w="796" w:type="pct"/>
                  <w:noWrap w:val="0"/>
                  <w:vAlign w:val="center"/>
                </w:tcPr>
                <w:p w14:paraId="565299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SS、石油类等</w:t>
                  </w:r>
                </w:p>
              </w:tc>
              <w:tc>
                <w:tcPr>
                  <w:tcW w:w="2449" w:type="pct"/>
                  <w:noWrap w:val="0"/>
                  <w:vAlign w:val="center"/>
                </w:tcPr>
                <w:p w14:paraId="77667B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隔油沉淀后循环使用不外排</w:t>
                  </w:r>
                </w:p>
              </w:tc>
            </w:tr>
            <w:tr w14:paraId="2791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36877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7BAF2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洗车废水</w:t>
                  </w:r>
                </w:p>
              </w:tc>
              <w:tc>
                <w:tcPr>
                  <w:tcW w:w="693" w:type="pct"/>
                  <w:noWrap w:val="0"/>
                  <w:vAlign w:val="center"/>
                </w:tcPr>
                <w:p w14:paraId="340FD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洗车台</w:t>
                  </w:r>
                </w:p>
              </w:tc>
              <w:tc>
                <w:tcPr>
                  <w:tcW w:w="796" w:type="pct"/>
                  <w:noWrap w:val="0"/>
                  <w:vAlign w:val="center"/>
                </w:tcPr>
                <w:p w14:paraId="1897A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SS等</w:t>
                  </w:r>
                </w:p>
              </w:tc>
              <w:tc>
                <w:tcPr>
                  <w:tcW w:w="2449" w:type="pct"/>
                  <w:noWrap w:val="0"/>
                  <w:vAlign w:val="center"/>
                </w:tcPr>
                <w:p w14:paraId="133A4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沉淀后循环使用不外排</w:t>
                  </w:r>
                </w:p>
              </w:tc>
            </w:tr>
            <w:tr w14:paraId="05CC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noWrap w:val="0"/>
                  <w:vAlign w:val="center"/>
                </w:tcPr>
                <w:p w14:paraId="78847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噪声</w:t>
                  </w:r>
                </w:p>
              </w:tc>
              <w:tc>
                <w:tcPr>
                  <w:tcW w:w="668" w:type="pct"/>
                  <w:noWrap w:val="0"/>
                  <w:vAlign w:val="center"/>
                </w:tcPr>
                <w:p w14:paraId="00DE9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设备</w:t>
                  </w:r>
                  <w:r>
                    <w:rPr>
                      <w:rFonts w:hint="eastAsia" w:cs="Times New Roman"/>
                      <w:bCs/>
                      <w:color w:val="auto"/>
                      <w:sz w:val="21"/>
                      <w:szCs w:val="21"/>
                      <w:vertAlign w:val="baseline"/>
                      <w:lang w:val="en-US" w:eastAsia="zh-CN"/>
                    </w:rPr>
                    <w:t>噪声</w:t>
                  </w:r>
                </w:p>
              </w:tc>
              <w:tc>
                <w:tcPr>
                  <w:tcW w:w="693" w:type="pct"/>
                  <w:noWrap w:val="0"/>
                  <w:vAlign w:val="center"/>
                </w:tcPr>
                <w:p w14:paraId="393F2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生产设备</w:t>
                  </w:r>
                </w:p>
              </w:tc>
              <w:tc>
                <w:tcPr>
                  <w:tcW w:w="796" w:type="pct"/>
                  <w:noWrap w:val="0"/>
                  <w:vAlign w:val="center"/>
                </w:tcPr>
                <w:p w14:paraId="60649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噪声</w:t>
                  </w:r>
                </w:p>
              </w:tc>
              <w:tc>
                <w:tcPr>
                  <w:tcW w:w="2449" w:type="pct"/>
                  <w:noWrap w:val="0"/>
                  <w:vAlign w:val="center"/>
                </w:tcPr>
                <w:p w14:paraId="3E75E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aps w:val="0"/>
                      <w:color w:val="auto"/>
                      <w:spacing w:val="0"/>
                      <w:kern w:val="0"/>
                      <w:position w:val="0"/>
                      <w:sz w:val="21"/>
                      <w:szCs w:val="21"/>
                      <w:highlight w:val="none"/>
                      <w:lang w:eastAsia="zh-CN"/>
                    </w:rPr>
                    <w:t>车间隔声，设备减振</w:t>
                  </w:r>
                </w:p>
              </w:tc>
            </w:tr>
            <w:tr w14:paraId="2030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19665C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固废</w:t>
                  </w:r>
                </w:p>
              </w:tc>
              <w:tc>
                <w:tcPr>
                  <w:tcW w:w="668" w:type="pct"/>
                  <w:noWrap w:val="0"/>
                  <w:vAlign w:val="center"/>
                </w:tcPr>
                <w:p w14:paraId="2FF063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w:t>
                  </w:r>
                </w:p>
              </w:tc>
              <w:tc>
                <w:tcPr>
                  <w:tcW w:w="693" w:type="pct"/>
                  <w:noWrap w:val="0"/>
                  <w:vAlign w:val="center"/>
                </w:tcPr>
                <w:p w14:paraId="26958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职工生活</w:t>
                  </w:r>
                </w:p>
              </w:tc>
              <w:tc>
                <w:tcPr>
                  <w:tcW w:w="796" w:type="pct"/>
                  <w:noWrap w:val="0"/>
                  <w:vAlign w:val="center"/>
                </w:tcPr>
                <w:p w14:paraId="292712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sz w:val="21"/>
                      <w:szCs w:val="21"/>
                      <w:vertAlign w:val="baseline"/>
                      <w:lang w:val="en-US" w:eastAsia="zh-CN"/>
                    </w:rPr>
                    <w:t>纸屑、塑料袋等</w:t>
                  </w:r>
                </w:p>
              </w:tc>
              <w:tc>
                <w:tcPr>
                  <w:tcW w:w="2449" w:type="pct"/>
                  <w:noWrap w:val="0"/>
                  <w:vAlign w:val="center"/>
                </w:tcPr>
                <w:p w14:paraId="39DF0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委托环卫部门清运</w:t>
                  </w:r>
                </w:p>
              </w:tc>
            </w:tr>
            <w:tr w14:paraId="234F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B29D5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07ABD1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废布袋</w:t>
                  </w:r>
                </w:p>
              </w:tc>
              <w:tc>
                <w:tcPr>
                  <w:tcW w:w="693" w:type="pct"/>
                  <w:noWrap w:val="0"/>
                  <w:vAlign w:val="center"/>
                </w:tcPr>
                <w:p w14:paraId="0CDAB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除尘器</w:t>
                  </w:r>
                </w:p>
              </w:tc>
              <w:tc>
                <w:tcPr>
                  <w:tcW w:w="796" w:type="pct"/>
                  <w:noWrap w:val="0"/>
                  <w:vAlign w:val="center"/>
                </w:tcPr>
                <w:p w14:paraId="72980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纤维袋</w:t>
                  </w:r>
                </w:p>
              </w:tc>
              <w:tc>
                <w:tcPr>
                  <w:tcW w:w="2449" w:type="pct"/>
                  <w:noWrap w:val="0"/>
                  <w:vAlign w:val="center"/>
                </w:tcPr>
                <w:p w14:paraId="5A22D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委托厂家更换回收</w:t>
                  </w:r>
                </w:p>
              </w:tc>
            </w:tr>
            <w:tr w14:paraId="32DD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F015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24B34CD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沉淀池</w:t>
                  </w:r>
                  <w:r>
                    <w:rPr>
                      <w:rFonts w:hint="default" w:ascii="Times New Roman" w:hAnsi="Times New Roman" w:eastAsia="宋体" w:cs="Times New Roman"/>
                      <w:color w:val="auto"/>
                      <w:sz w:val="21"/>
                      <w:szCs w:val="21"/>
                      <w:lang w:val="en-US" w:eastAsia="zh-CN"/>
                    </w:rPr>
                    <w:t>沉渣</w:t>
                  </w:r>
                </w:p>
              </w:tc>
              <w:tc>
                <w:tcPr>
                  <w:tcW w:w="693" w:type="pct"/>
                  <w:noWrap w:val="0"/>
                  <w:vAlign w:val="center"/>
                </w:tcPr>
                <w:p w14:paraId="41B1451B">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洗车台沉淀池</w:t>
                  </w:r>
                </w:p>
              </w:tc>
              <w:tc>
                <w:tcPr>
                  <w:tcW w:w="796" w:type="pct"/>
                  <w:noWrap w:val="0"/>
                  <w:vAlign w:val="center"/>
                </w:tcPr>
                <w:p w14:paraId="19EEE0DA">
                  <w:pPr>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cs="Times New Roman"/>
                      <w:color w:val="auto"/>
                      <w:sz w:val="21"/>
                      <w:szCs w:val="21"/>
                      <w:lang w:val="en-US" w:eastAsia="zh-CN"/>
                    </w:rPr>
                    <w:t>污泥</w:t>
                  </w:r>
                </w:p>
              </w:tc>
              <w:tc>
                <w:tcPr>
                  <w:tcW w:w="2449" w:type="pct"/>
                  <w:noWrap w:val="0"/>
                  <w:vAlign w:val="center"/>
                </w:tcPr>
                <w:p w14:paraId="3292659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外售建材企业</w:t>
                  </w:r>
                </w:p>
              </w:tc>
            </w:tr>
            <w:tr w14:paraId="0A2F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028BC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356FAFD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除尘器</w:t>
                  </w:r>
                  <w:r>
                    <w:rPr>
                      <w:rFonts w:hint="default" w:ascii="Times New Roman" w:hAnsi="Times New Roman" w:eastAsia="宋体" w:cs="Times New Roman"/>
                      <w:color w:val="auto"/>
                      <w:sz w:val="21"/>
                      <w:szCs w:val="21"/>
                      <w:lang w:val="en-US" w:eastAsia="zh-CN"/>
                    </w:rPr>
                    <w:t>收尘</w:t>
                  </w:r>
                </w:p>
              </w:tc>
              <w:tc>
                <w:tcPr>
                  <w:tcW w:w="693" w:type="pct"/>
                  <w:noWrap w:val="0"/>
                  <w:vAlign w:val="center"/>
                </w:tcPr>
                <w:p w14:paraId="22904EE9">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除尘器</w:t>
                  </w:r>
                </w:p>
              </w:tc>
              <w:tc>
                <w:tcPr>
                  <w:tcW w:w="796" w:type="pct"/>
                  <w:noWrap w:val="0"/>
                  <w:vAlign w:val="center"/>
                </w:tcPr>
                <w:p w14:paraId="76F4A110">
                  <w:pPr>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石料粉末</w:t>
                  </w:r>
                </w:p>
              </w:tc>
              <w:tc>
                <w:tcPr>
                  <w:tcW w:w="2449" w:type="pct"/>
                  <w:noWrap w:val="0"/>
                  <w:vAlign w:val="center"/>
                </w:tcPr>
                <w:p w14:paraId="26BBC201">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回用于生产</w:t>
                  </w:r>
                </w:p>
              </w:tc>
            </w:tr>
            <w:tr w14:paraId="453C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845B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0192E8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沥青残渣</w:t>
                  </w:r>
                </w:p>
              </w:tc>
              <w:tc>
                <w:tcPr>
                  <w:tcW w:w="693" w:type="pct"/>
                  <w:noWrap w:val="0"/>
                  <w:vAlign w:val="center"/>
                </w:tcPr>
                <w:p w14:paraId="10E1FC57">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生产过程中的滴漏</w:t>
                  </w:r>
                </w:p>
              </w:tc>
              <w:tc>
                <w:tcPr>
                  <w:tcW w:w="796" w:type="pct"/>
                  <w:noWrap w:val="0"/>
                  <w:vAlign w:val="center"/>
                </w:tcPr>
                <w:p w14:paraId="5ACF89A8">
                  <w:pPr>
                    <w:jc w:val="center"/>
                    <w:rPr>
                      <w:rFonts w:hint="eastAsia" w:cs="Times New Roman"/>
                      <w:color w:val="auto"/>
                      <w:sz w:val="21"/>
                      <w:szCs w:val="21"/>
                      <w:lang w:val="en-US" w:eastAsia="zh-CN"/>
                    </w:rPr>
                  </w:pPr>
                  <w:r>
                    <w:rPr>
                      <w:rFonts w:hint="eastAsia" w:cs="Times New Roman"/>
                      <w:color w:val="auto"/>
                      <w:sz w:val="21"/>
                      <w:szCs w:val="21"/>
                      <w:lang w:val="en-US" w:eastAsia="zh-CN"/>
                    </w:rPr>
                    <w:t>沥青残渣</w:t>
                  </w:r>
                </w:p>
              </w:tc>
              <w:tc>
                <w:tcPr>
                  <w:tcW w:w="2449" w:type="pct"/>
                  <w:noWrap w:val="0"/>
                  <w:vAlign w:val="center"/>
                </w:tcPr>
                <w:p w14:paraId="3230A586">
                  <w:pPr>
                    <w:jc w:val="center"/>
                    <w:rPr>
                      <w:rFonts w:hint="default" w:cs="Times New Roman"/>
                      <w:color w:val="auto"/>
                      <w:sz w:val="21"/>
                      <w:szCs w:val="21"/>
                      <w:lang w:val="en-US" w:eastAsia="zh-CN"/>
                    </w:rPr>
                  </w:pPr>
                  <w:r>
                    <w:rPr>
                      <w:rFonts w:hint="eastAsia" w:cs="Times New Roman"/>
                      <w:color w:val="auto"/>
                      <w:sz w:val="21"/>
                      <w:szCs w:val="21"/>
                      <w:lang w:val="en-US" w:eastAsia="zh-CN"/>
                    </w:rPr>
                    <w:t>回用于生产</w:t>
                  </w:r>
                </w:p>
              </w:tc>
            </w:tr>
            <w:tr w14:paraId="4C65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7FCB50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1102B4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废过滤棉</w:t>
                  </w:r>
                </w:p>
              </w:tc>
              <w:tc>
                <w:tcPr>
                  <w:tcW w:w="693" w:type="pct"/>
                  <w:noWrap w:val="0"/>
                  <w:vAlign w:val="center"/>
                </w:tcPr>
                <w:p w14:paraId="041DA6D1">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废气处理</w:t>
                  </w:r>
                </w:p>
              </w:tc>
              <w:tc>
                <w:tcPr>
                  <w:tcW w:w="796" w:type="pct"/>
                  <w:noWrap w:val="0"/>
                  <w:vAlign w:val="center"/>
                </w:tcPr>
                <w:p w14:paraId="2F487C60">
                  <w:pPr>
                    <w:jc w:val="center"/>
                    <w:rPr>
                      <w:rFonts w:hint="eastAsia" w:cs="Times New Roman"/>
                      <w:color w:val="auto"/>
                      <w:sz w:val="21"/>
                      <w:szCs w:val="21"/>
                      <w:lang w:val="en-US" w:eastAsia="zh-CN"/>
                    </w:rPr>
                  </w:pPr>
                  <w:r>
                    <w:rPr>
                      <w:rFonts w:hint="eastAsia" w:cs="Times New Roman"/>
                      <w:color w:val="auto"/>
                      <w:sz w:val="21"/>
                      <w:szCs w:val="21"/>
                      <w:lang w:val="en-US" w:eastAsia="zh-CN"/>
                    </w:rPr>
                    <w:t>废过滤棉</w:t>
                  </w:r>
                </w:p>
              </w:tc>
              <w:tc>
                <w:tcPr>
                  <w:tcW w:w="2449" w:type="pct"/>
                  <w:noWrap w:val="0"/>
                  <w:vAlign w:val="center"/>
                </w:tcPr>
                <w:p w14:paraId="467BE48F">
                  <w:pPr>
                    <w:jc w:val="center"/>
                    <w:rPr>
                      <w:rFonts w:hint="eastAsia" w:cs="Times New Roman"/>
                      <w:color w:val="auto"/>
                      <w:sz w:val="21"/>
                      <w:szCs w:val="21"/>
                      <w:lang w:val="en-US" w:eastAsia="zh-CN"/>
                    </w:rPr>
                  </w:pPr>
                  <w:r>
                    <w:rPr>
                      <w:rFonts w:hint="default" w:ascii="Times New Roman" w:hAnsi="Times New Roman" w:eastAsia="宋体" w:cs="Times New Roman"/>
                      <w:bCs/>
                      <w:color w:val="auto"/>
                      <w:sz w:val="21"/>
                      <w:szCs w:val="21"/>
                      <w:vertAlign w:val="baseline"/>
                      <w:lang w:val="en-US" w:eastAsia="zh-CN"/>
                    </w:rPr>
                    <w:t>暂存</w:t>
                  </w:r>
                  <w:r>
                    <w:rPr>
                      <w:rFonts w:hint="eastAsia" w:ascii="Times New Roman" w:hAnsi="Times New Roman" w:eastAsia="宋体"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6C8E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3A6DB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545FBB52">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693" w:type="pct"/>
                  <w:noWrap w:val="0"/>
                  <w:vAlign w:val="center"/>
                </w:tcPr>
                <w:p w14:paraId="4640F6D5">
                  <w:pPr>
                    <w:jc w:val="center"/>
                    <w:rPr>
                      <w:rFonts w:hint="eastAsia" w:cs="Times New Roman"/>
                      <w:color w:val="auto"/>
                      <w:sz w:val="21"/>
                      <w:szCs w:val="21"/>
                      <w:lang w:val="en-US" w:eastAsia="zh-CN"/>
                    </w:rPr>
                  </w:pPr>
                  <w:r>
                    <w:rPr>
                      <w:rFonts w:hint="eastAsia" w:cs="Times New Roman"/>
                      <w:color w:val="auto"/>
                      <w:sz w:val="21"/>
                      <w:szCs w:val="21"/>
                      <w:lang w:val="en-US" w:eastAsia="zh-CN"/>
                    </w:rPr>
                    <w:t>废气处理</w:t>
                  </w:r>
                </w:p>
              </w:tc>
              <w:tc>
                <w:tcPr>
                  <w:tcW w:w="796" w:type="pct"/>
                  <w:noWrap w:val="0"/>
                  <w:vAlign w:val="center"/>
                </w:tcPr>
                <w:p w14:paraId="05DBFBE4">
                  <w:pPr>
                    <w:jc w:val="center"/>
                    <w:rPr>
                      <w:rFonts w:hint="default" w:cs="Times New Roman"/>
                      <w:color w:val="auto"/>
                      <w:sz w:val="21"/>
                      <w:szCs w:val="21"/>
                      <w:lang w:val="en-US" w:eastAsia="zh-CN"/>
                    </w:rPr>
                  </w:pPr>
                  <w:r>
                    <w:rPr>
                      <w:rFonts w:hint="eastAsia" w:cs="Times New Roman"/>
                      <w:color w:val="auto"/>
                      <w:sz w:val="21"/>
                      <w:szCs w:val="21"/>
                      <w:lang w:val="en-US" w:eastAsia="zh-CN"/>
                    </w:rPr>
                    <w:t>废活性炭</w:t>
                  </w:r>
                </w:p>
              </w:tc>
              <w:tc>
                <w:tcPr>
                  <w:tcW w:w="2449" w:type="pct"/>
                  <w:noWrap w:val="0"/>
                  <w:vAlign w:val="center"/>
                </w:tcPr>
                <w:p w14:paraId="0E39D990">
                  <w:pPr>
                    <w:jc w:val="center"/>
                    <w:rPr>
                      <w:rFonts w:hint="eastAsia" w:cs="Times New Roman"/>
                      <w:color w:val="auto"/>
                      <w:sz w:val="21"/>
                      <w:szCs w:val="21"/>
                      <w:lang w:val="en-US" w:eastAsia="zh-CN"/>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5A8C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F8A7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70141B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废导热油</w:t>
                  </w:r>
                </w:p>
              </w:tc>
              <w:tc>
                <w:tcPr>
                  <w:tcW w:w="693" w:type="pct"/>
                  <w:noWrap w:val="0"/>
                  <w:vAlign w:val="center"/>
                </w:tcPr>
                <w:p w14:paraId="5C917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导热油炉</w:t>
                  </w:r>
                </w:p>
              </w:tc>
              <w:tc>
                <w:tcPr>
                  <w:tcW w:w="796" w:type="pct"/>
                  <w:noWrap w:val="0"/>
                  <w:vAlign w:val="center"/>
                </w:tcPr>
                <w:p w14:paraId="2583C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废矿物油</w:t>
                  </w:r>
                </w:p>
              </w:tc>
              <w:tc>
                <w:tcPr>
                  <w:tcW w:w="2449" w:type="pct"/>
                  <w:noWrap w:val="0"/>
                  <w:vAlign w:val="center"/>
                </w:tcPr>
                <w:p w14:paraId="1B26B0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7463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344B20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7F10F5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废润滑油</w:t>
                  </w:r>
                </w:p>
              </w:tc>
              <w:tc>
                <w:tcPr>
                  <w:tcW w:w="693" w:type="pct"/>
                  <w:noWrap w:val="0"/>
                  <w:vAlign w:val="center"/>
                </w:tcPr>
                <w:p w14:paraId="5DFB8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设备维护</w:t>
                  </w:r>
                </w:p>
              </w:tc>
              <w:tc>
                <w:tcPr>
                  <w:tcW w:w="796" w:type="pct"/>
                  <w:noWrap w:val="0"/>
                  <w:vAlign w:val="center"/>
                </w:tcPr>
                <w:p w14:paraId="28870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废矿物油</w:t>
                  </w:r>
                </w:p>
              </w:tc>
              <w:tc>
                <w:tcPr>
                  <w:tcW w:w="2449" w:type="pct"/>
                  <w:noWrap w:val="0"/>
                  <w:vAlign w:val="center"/>
                </w:tcPr>
                <w:p w14:paraId="58E5F66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7B7A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147C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357D5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废油桶</w:t>
                  </w:r>
                </w:p>
              </w:tc>
              <w:tc>
                <w:tcPr>
                  <w:tcW w:w="693" w:type="pct"/>
                  <w:noWrap w:val="0"/>
                  <w:vAlign w:val="center"/>
                </w:tcPr>
                <w:p w14:paraId="767D0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包装物</w:t>
                  </w:r>
                </w:p>
              </w:tc>
              <w:tc>
                <w:tcPr>
                  <w:tcW w:w="796" w:type="pct"/>
                  <w:noWrap w:val="0"/>
                  <w:vAlign w:val="center"/>
                </w:tcPr>
                <w:p w14:paraId="12D5C0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废矿物油</w:t>
                  </w:r>
                </w:p>
              </w:tc>
              <w:tc>
                <w:tcPr>
                  <w:tcW w:w="2449" w:type="pct"/>
                  <w:noWrap w:val="0"/>
                  <w:vAlign w:val="center"/>
                </w:tcPr>
                <w:p w14:paraId="3D0A0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66CF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7917F4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1515E3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焦油沉渣</w:t>
                  </w:r>
                </w:p>
              </w:tc>
              <w:tc>
                <w:tcPr>
                  <w:tcW w:w="693" w:type="pct"/>
                  <w:noWrap w:val="0"/>
                  <w:vAlign w:val="center"/>
                </w:tcPr>
                <w:p w14:paraId="1C525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隔油沉淀</w:t>
                  </w:r>
                </w:p>
              </w:tc>
              <w:tc>
                <w:tcPr>
                  <w:tcW w:w="796" w:type="pct"/>
                  <w:noWrap w:val="0"/>
                  <w:vAlign w:val="center"/>
                </w:tcPr>
                <w:p w14:paraId="12549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废矿物油</w:t>
                  </w:r>
                </w:p>
              </w:tc>
              <w:tc>
                <w:tcPr>
                  <w:tcW w:w="2449" w:type="pct"/>
                  <w:noWrap w:val="0"/>
                  <w:vAlign w:val="center"/>
                </w:tcPr>
                <w:p w14:paraId="47573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5BF8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4A0C2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668" w:type="pct"/>
                  <w:noWrap w:val="0"/>
                  <w:vAlign w:val="center"/>
                </w:tcPr>
                <w:p w14:paraId="27F9A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olor w:val="auto"/>
                      <w:sz w:val="21"/>
                      <w:szCs w:val="21"/>
                      <w:lang w:val="en-US" w:eastAsia="zh-CN"/>
                    </w:rPr>
                    <w:t>电捕焦油器废油</w:t>
                  </w:r>
                </w:p>
              </w:tc>
              <w:tc>
                <w:tcPr>
                  <w:tcW w:w="693" w:type="pct"/>
                  <w:noWrap w:val="0"/>
                  <w:vAlign w:val="center"/>
                </w:tcPr>
                <w:p w14:paraId="15707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s="Times New Roman"/>
                      <w:color w:val="auto"/>
                      <w:sz w:val="21"/>
                      <w:szCs w:val="21"/>
                      <w:lang w:eastAsia="zh-CN"/>
                    </w:rPr>
                    <w:t>废气处理</w:t>
                  </w:r>
                </w:p>
              </w:tc>
              <w:tc>
                <w:tcPr>
                  <w:tcW w:w="796" w:type="pct"/>
                  <w:noWrap w:val="0"/>
                  <w:vAlign w:val="center"/>
                </w:tcPr>
                <w:p w14:paraId="4DC13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焦油、沥青等</w:t>
                  </w:r>
                </w:p>
              </w:tc>
              <w:tc>
                <w:tcPr>
                  <w:tcW w:w="2449" w:type="pct"/>
                  <w:noWrap w:val="0"/>
                  <w:vAlign w:val="center"/>
                </w:tcPr>
                <w:p w14:paraId="70DA6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bl>
          <w:p w14:paraId="604F0E5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Cs/>
                <w:color w:val="auto"/>
                <w:sz w:val="24"/>
                <w:szCs w:val="24"/>
                <w:lang w:val="en-US" w:eastAsia="zh-CN"/>
              </w:rPr>
            </w:pPr>
          </w:p>
        </w:tc>
      </w:tr>
      <w:tr w14:paraId="492D3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14:paraId="30735943">
            <w:pPr>
              <w:pStyle w:val="21"/>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4740" w:type="pct"/>
            <w:noWrap w:val="0"/>
            <w:vAlign w:val="center"/>
          </w:tcPr>
          <w:p w14:paraId="14A09E9B">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嘉祥兴亮公路工程设备有限公司现有项目为（水稳、水泥混凝土、沥青混凝土）拌和站建设项目</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与项目有关的原有环境污染问题即现有项目的污染物排放情况。</w:t>
            </w:r>
          </w:p>
          <w:p w14:paraId="5B652060">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1、现有</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环保手续履行情况</w:t>
            </w:r>
          </w:p>
          <w:p w14:paraId="1B11286B">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现有</w:t>
            </w:r>
            <w:r>
              <w:rPr>
                <w:rFonts w:hint="eastAsia" w:ascii="Times New Roman" w:hAnsi="Times New Roman" w:eastAsia="宋体" w:cs="Times New Roman"/>
                <w:b/>
                <w:caps w:val="0"/>
                <w:color w:val="auto"/>
                <w:spacing w:val="0"/>
                <w:kern w:val="0"/>
                <w:position w:val="0"/>
                <w:sz w:val="24"/>
                <w:szCs w:val="24"/>
                <w:highlight w:val="none"/>
                <w:lang w:val="en-US" w:eastAsia="zh-CN"/>
              </w:rPr>
              <w:t>项目</w:t>
            </w:r>
            <w:r>
              <w:rPr>
                <w:rFonts w:hint="default" w:ascii="Times New Roman" w:hAnsi="Times New Roman" w:eastAsia="宋体" w:cs="Times New Roman"/>
                <w:b/>
                <w:caps w:val="0"/>
                <w:color w:val="auto"/>
                <w:spacing w:val="0"/>
                <w:kern w:val="0"/>
                <w:position w:val="0"/>
                <w:sz w:val="24"/>
                <w:szCs w:val="24"/>
                <w:highlight w:val="none"/>
                <w:lang w:val="en-US" w:eastAsia="zh-CN"/>
              </w:rPr>
              <w:t>环保手续履行一览表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1694"/>
              <w:gridCol w:w="2246"/>
              <w:gridCol w:w="1931"/>
            </w:tblGrid>
            <w:tr w14:paraId="1EA5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8" w:type="pct"/>
                  <w:noWrap w:val="0"/>
                  <w:vAlign w:val="center"/>
                </w:tcPr>
                <w:p w14:paraId="3289E126">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项目名称</w:t>
                  </w:r>
                </w:p>
              </w:tc>
              <w:tc>
                <w:tcPr>
                  <w:tcW w:w="1079" w:type="pct"/>
                  <w:noWrap w:val="0"/>
                  <w:vAlign w:val="center"/>
                </w:tcPr>
                <w:p w14:paraId="03ED1727">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环评手续类别</w:t>
                  </w:r>
                </w:p>
              </w:tc>
              <w:tc>
                <w:tcPr>
                  <w:tcW w:w="1431" w:type="pct"/>
                  <w:noWrap w:val="0"/>
                  <w:vAlign w:val="center"/>
                </w:tcPr>
                <w:p w14:paraId="7D700C7A">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审批</w:t>
                  </w:r>
                  <w:r>
                    <w:rPr>
                      <w:rFonts w:hint="eastAsia" w:cs="Times New Roman"/>
                      <w:b/>
                      <w:bCs/>
                      <w:color w:val="auto"/>
                      <w:sz w:val="21"/>
                      <w:szCs w:val="21"/>
                      <w:highlight w:val="none"/>
                      <w:lang w:val="en-US" w:eastAsia="zh-CN"/>
                    </w:rPr>
                    <w:t>情况</w:t>
                  </w:r>
                </w:p>
              </w:tc>
              <w:tc>
                <w:tcPr>
                  <w:tcW w:w="1230" w:type="pct"/>
                  <w:noWrap w:val="0"/>
                  <w:vAlign w:val="center"/>
                </w:tcPr>
                <w:p w14:paraId="12F49B9F">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排污许可证</w:t>
                  </w:r>
                </w:p>
              </w:tc>
            </w:tr>
            <w:tr w14:paraId="37C7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8" w:type="pct"/>
                  <w:noWrap w:val="0"/>
                  <w:vAlign w:val="center"/>
                </w:tcPr>
                <w:p w14:paraId="5473D8D8">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（水稳、水泥混凝土、沥青混凝土）拌和站建设项目</w:t>
                  </w:r>
                </w:p>
              </w:tc>
              <w:tc>
                <w:tcPr>
                  <w:tcW w:w="1079" w:type="pct"/>
                  <w:noWrap w:val="0"/>
                  <w:vAlign w:val="center"/>
                </w:tcPr>
                <w:p w14:paraId="3C2CE204">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现状环境影响评估报告</w:t>
                  </w:r>
                </w:p>
              </w:tc>
              <w:tc>
                <w:tcPr>
                  <w:tcW w:w="1431" w:type="pct"/>
                  <w:noWrap w:val="0"/>
                  <w:vAlign w:val="center"/>
                </w:tcPr>
                <w:p w14:paraId="1F24D55E">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原嘉祥县环境保护局</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嘉环备[2017]119号</w:t>
                  </w:r>
                </w:p>
              </w:tc>
              <w:tc>
                <w:tcPr>
                  <w:tcW w:w="1230" w:type="pct"/>
                  <w:noWrap w:val="0"/>
                  <w:vAlign w:val="center"/>
                </w:tcPr>
                <w:p w14:paraId="29B54E0C">
                  <w:pPr>
                    <w:pStyle w:val="58"/>
                    <w:keepNext w:val="0"/>
                    <w:keepLines w:val="0"/>
                    <w:pageBreakBefore w:val="0"/>
                    <w:widowControl w:val="0"/>
                    <w:tabs>
                      <w:tab w:val="left" w:pos="1021"/>
                    </w:tabs>
                    <w:kinsoku/>
                    <w:wordWrap w:val="0"/>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简化管理，91370829791511543W001Y</w:t>
                  </w:r>
                </w:p>
              </w:tc>
            </w:tr>
          </w:tbl>
          <w:p w14:paraId="725D2EAA">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2" w:firstLineChars="200"/>
              <w:textAlignment w:val="auto"/>
              <w:rPr>
                <w:rFonts w:hint="default" w:ascii="Times New Roman" w:hAnsi="Times New Roman" w:eastAsia="宋体" w:cs="Times New Roman"/>
                <w:color w:val="0000FF"/>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2、</w:t>
            </w:r>
            <w:r>
              <w:rPr>
                <w:rFonts w:hint="default" w:ascii="Times New Roman" w:hAnsi="Times New Roman" w:eastAsia="宋体" w:cs="Times New Roman"/>
                <w:color w:val="0000FF"/>
                <w:sz w:val="24"/>
                <w:szCs w:val="24"/>
                <w:highlight w:val="none"/>
                <w:lang w:val="en-US" w:eastAsia="zh-CN"/>
              </w:rPr>
              <w:t>排污许可</w:t>
            </w:r>
            <w:r>
              <w:rPr>
                <w:rFonts w:hint="eastAsia" w:ascii="Times New Roman" w:hAnsi="Times New Roman" w:eastAsia="宋体" w:cs="Times New Roman"/>
                <w:color w:val="0000FF"/>
                <w:sz w:val="24"/>
                <w:szCs w:val="24"/>
                <w:highlight w:val="none"/>
                <w:lang w:val="en-US" w:eastAsia="zh-CN"/>
              </w:rPr>
              <w:t>证</w:t>
            </w:r>
            <w:r>
              <w:rPr>
                <w:rFonts w:hint="default" w:ascii="Times New Roman" w:hAnsi="Times New Roman" w:eastAsia="宋体" w:cs="Times New Roman"/>
                <w:color w:val="0000FF"/>
                <w:sz w:val="24"/>
                <w:szCs w:val="24"/>
                <w:highlight w:val="none"/>
                <w:lang w:val="en-US" w:eastAsia="zh-CN"/>
              </w:rPr>
              <w:t>执行情况</w:t>
            </w:r>
          </w:p>
          <w:p w14:paraId="5F5B760A">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0" w:firstLineChars="200"/>
              <w:textAlignment w:val="auto"/>
              <w:rPr>
                <w:rFonts w:hint="default" w:ascii="Times New Roman" w:hAnsi="Times New Roman" w:eastAsia="宋体" w:cs="Times New Roman"/>
                <w:b w:val="0"/>
                <w:bCs/>
                <w:color w:val="0000FF"/>
                <w:sz w:val="24"/>
                <w:szCs w:val="24"/>
                <w:highlight w:val="none"/>
                <w:lang w:val="en-US" w:eastAsia="zh-CN"/>
              </w:rPr>
            </w:pPr>
            <w:r>
              <w:rPr>
                <w:rFonts w:hint="default" w:ascii="Times New Roman" w:hAnsi="Times New Roman" w:eastAsia="宋体" w:cs="Times New Roman"/>
                <w:b w:val="0"/>
                <w:bCs/>
                <w:color w:val="0000FF"/>
                <w:sz w:val="24"/>
                <w:szCs w:val="24"/>
                <w:highlight w:val="none"/>
                <w:lang w:val="en-US" w:eastAsia="zh-CN"/>
              </w:rPr>
              <w:t>嘉祥兴亮公路工程设备有限公司于202</w:t>
            </w:r>
            <w:r>
              <w:rPr>
                <w:rFonts w:hint="eastAsia" w:ascii="Times New Roman" w:hAnsi="Times New Roman" w:eastAsia="宋体" w:cs="Times New Roman"/>
                <w:b w:val="0"/>
                <w:bCs/>
                <w:color w:val="0000FF"/>
                <w:sz w:val="24"/>
                <w:szCs w:val="24"/>
                <w:highlight w:val="none"/>
                <w:lang w:val="en-US" w:eastAsia="zh-CN"/>
              </w:rPr>
              <w:t>0</w:t>
            </w:r>
            <w:r>
              <w:rPr>
                <w:rFonts w:hint="default" w:ascii="Times New Roman" w:hAnsi="Times New Roman" w:eastAsia="宋体" w:cs="Times New Roman"/>
                <w:b w:val="0"/>
                <w:bCs/>
                <w:color w:val="0000FF"/>
                <w:sz w:val="24"/>
                <w:szCs w:val="24"/>
                <w:highlight w:val="none"/>
                <w:lang w:val="en-US" w:eastAsia="zh-CN"/>
              </w:rPr>
              <w:t>年</w:t>
            </w:r>
            <w:r>
              <w:rPr>
                <w:rFonts w:hint="eastAsia" w:ascii="Times New Roman" w:hAnsi="Times New Roman" w:eastAsia="宋体" w:cs="Times New Roman"/>
                <w:b w:val="0"/>
                <w:bCs/>
                <w:color w:val="0000FF"/>
                <w:sz w:val="24"/>
                <w:szCs w:val="24"/>
                <w:highlight w:val="none"/>
                <w:lang w:val="en-US" w:eastAsia="zh-CN"/>
              </w:rPr>
              <w:t>7</w:t>
            </w:r>
            <w:r>
              <w:rPr>
                <w:rFonts w:hint="default" w:ascii="Times New Roman" w:hAnsi="Times New Roman" w:eastAsia="宋体" w:cs="Times New Roman"/>
                <w:b w:val="0"/>
                <w:bCs/>
                <w:color w:val="0000FF"/>
                <w:sz w:val="24"/>
                <w:szCs w:val="24"/>
                <w:highlight w:val="none"/>
                <w:lang w:val="en-US" w:eastAsia="zh-CN"/>
              </w:rPr>
              <w:t>月</w:t>
            </w:r>
            <w:r>
              <w:rPr>
                <w:rFonts w:hint="eastAsia" w:ascii="Times New Roman" w:hAnsi="Times New Roman" w:eastAsia="宋体" w:cs="Times New Roman"/>
                <w:b w:val="0"/>
                <w:bCs/>
                <w:color w:val="0000FF"/>
                <w:sz w:val="24"/>
                <w:szCs w:val="24"/>
                <w:highlight w:val="none"/>
                <w:lang w:val="en-US" w:eastAsia="zh-CN"/>
              </w:rPr>
              <w:t>10</w:t>
            </w:r>
            <w:r>
              <w:rPr>
                <w:rFonts w:hint="default" w:ascii="Times New Roman" w:hAnsi="Times New Roman" w:eastAsia="宋体" w:cs="Times New Roman"/>
                <w:b w:val="0"/>
                <w:bCs/>
                <w:color w:val="0000FF"/>
                <w:sz w:val="24"/>
                <w:szCs w:val="24"/>
                <w:highlight w:val="none"/>
                <w:lang w:val="en-US" w:eastAsia="zh-CN"/>
              </w:rPr>
              <w:t>日</w:t>
            </w:r>
            <w:r>
              <w:rPr>
                <w:rFonts w:hint="eastAsia" w:ascii="Times New Roman" w:hAnsi="Times New Roman" w:eastAsia="宋体" w:cs="Times New Roman"/>
                <w:b w:val="0"/>
                <w:bCs/>
                <w:color w:val="0000FF"/>
                <w:sz w:val="24"/>
                <w:szCs w:val="24"/>
                <w:highlight w:val="none"/>
                <w:lang w:val="en-US" w:eastAsia="zh-CN"/>
              </w:rPr>
              <w:t>首次申请了</w:t>
            </w:r>
            <w:r>
              <w:rPr>
                <w:rFonts w:hint="default" w:ascii="Times New Roman" w:hAnsi="Times New Roman" w:eastAsia="宋体" w:cs="Times New Roman"/>
                <w:b w:val="0"/>
                <w:bCs/>
                <w:color w:val="0000FF"/>
                <w:sz w:val="24"/>
                <w:szCs w:val="24"/>
                <w:highlight w:val="none"/>
                <w:lang w:val="en-US" w:eastAsia="zh-CN"/>
              </w:rPr>
              <w:t>排污许可证</w:t>
            </w:r>
            <w:r>
              <w:rPr>
                <w:rFonts w:hint="eastAsia" w:ascii="Times New Roman" w:hAnsi="Times New Roman" w:eastAsia="宋体" w:cs="Times New Roman"/>
                <w:b w:val="0"/>
                <w:bCs/>
                <w:color w:val="0000FF"/>
                <w:sz w:val="24"/>
                <w:szCs w:val="24"/>
                <w:highlight w:val="none"/>
                <w:lang w:val="en-US" w:eastAsia="zh-CN"/>
              </w:rPr>
              <w:t>，简化管理，编号91370829791511543W001Y</w:t>
            </w:r>
            <w:r>
              <w:rPr>
                <w:rFonts w:hint="default" w:ascii="Times New Roman" w:hAnsi="Times New Roman" w:eastAsia="宋体" w:cs="Times New Roman"/>
                <w:b w:val="0"/>
                <w:bCs/>
                <w:color w:val="0000FF"/>
                <w:sz w:val="24"/>
                <w:szCs w:val="24"/>
                <w:highlight w:val="none"/>
                <w:lang w:val="en-US" w:eastAsia="zh-CN"/>
              </w:rPr>
              <w:t>。</w:t>
            </w:r>
            <w:r>
              <w:rPr>
                <w:rFonts w:hint="eastAsia" w:ascii="Times New Roman" w:hAnsi="Times New Roman" w:eastAsia="宋体" w:cs="Times New Roman"/>
                <w:b w:val="0"/>
                <w:bCs/>
                <w:color w:val="0000FF"/>
                <w:sz w:val="24"/>
                <w:szCs w:val="24"/>
                <w:highlight w:val="none"/>
                <w:lang w:val="en-US" w:eastAsia="zh-CN"/>
              </w:rPr>
              <w:t>期间经过变更和延续，目前有效期为2023-7-10至2028-7-9。本公司</w:t>
            </w:r>
            <w:r>
              <w:rPr>
                <w:rFonts w:hint="eastAsia" w:cs="Times New Roman"/>
                <w:b w:val="0"/>
                <w:bCs/>
                <w:color w:val="0000FF"/>
                <w:sz w:val="24"/>
                <w:szCs w:val="24"/>
                <w:highlight w:val="none"/>
                <w:lang w:val="en-US" w:eastAsia="zh-CN"/>
              </w:rPr>
              <w:t>按时</w:t>
            </w:r>
            <w:r>
              <w:rPr>
                <w:rFonts w:hint="eastAsia" w:ascii="Times New Roman" w:hAnsi="Times New Roman" w:eastAsia="宋体" w:cs="Times New Roman"/>
                <w:b w:val="0"/>
                <w:bCs/>
                <w:color w:val="0000FF"/>
                <w:sz w:val="24"/>
                <w:szCs w:val="24"/>
                <w:highlight w:val="none"/>
                <w:lang w:val="en-US" w:eastAsia="zh-CN"/>
              </w:rPr>
              <w:t>填写了</w:t>
            </w:r>
            <w:r>
              <w:rPr>
                <w:rFonts w:hint="default" w:ascii="Times New Roman" w:hAnsi="Times New Roman" w:eastAsia="宋体" w:cs="Times New Roman"/>
                <w:b w:val="0"/>
                <w:bCs/>
                <w:color w:val="0000FF"/>
                <w:sz w:val="24"/>
                <w:szCs w:val="24"/>
                <w:highlight w:val="none"/>
                <w:lang w:val="en-US" w:eastAsia="zh-CN"/>
              </w:rPr>
              <w:t>202</w:t>
            </w:r>
            <w:r>
              <w:rPr>
                <w:rFonts w:hint="eastAsia" w:ascii="Times New Roman" w:hAnsi="Times New Roman" w:eastAsia="宋体" w:cs="Times New Roman"/>
                <w:b w:val="0"/>
                <w:bCs/>
                <w:color w:val="0000FF"/>
                <w:sz w:val="24"/>
                <w:szCs w:val="24"/>
                <w:highlight w:val="none"/>
                <w:lang w:val="en-US" w:eastAsia="zh-CN"/>
              </w:rPr>
              <w:t>3</w:t>
            </w:r>
            <w:r>
              <w:rPr>
                <w:rFonts w:hint="default" w:ascii="Times New Roman" w:hAnsi="Times New Roman" w:eastAsia="宋体" w:cs="Times New Roman"/>
                <w:b w:val="0"/>
                <w:bCs/>
                <w:color w:val="0000FF"/>
                <w:sz w:val="24"/>
                <w:szCs w:val="24"/>
                <w:highlight w:val="none"/>
                <w:lang w:val="en-US" w:eastAsia="zh-CN"/>
              </w:rPr>
              <w:t>年排污许可证执行报告（年报）。根据年报情况，建设单位未发生超标排放情况及污染治理设施异常运转情况。</w:t>
            </w:r>
          </w:p>
          <w:p w14:paraId="75FDB308">
            <w:pPr>
              <w:pStyle w:val="40"/>
              <w:keepNext w:val="0"/>
              <w:keepLines w:val="0"/>
              <w:pageBreakBefore w:val="0"/>
              <w:widowControl w:val="0"/>
              <w:numPr>
                <w:ilvl w:val="0"/>
                <w:numId w:val="0"/>
              </w:numP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4"/>
                <w:szCs w:val="24"/>
                <w:highlight w:val="none"/>
                <w:lang w:val="en-US" w:eastAsia="zh-CN"/>
              </w:rPr>
            </w:pPr>
            <w:r>
              <w:rPr>
                <w:rFonts w:ascii="宋体" w:hAnsi="宋体" w:eastAsia="宋体" w:cs="宋体"/>
                <w:sz w:val="24"/>
                <w:szCs w:val="24"/>
              </w:rPr>
              <w:drawing>
                <wp:inline distT="0" distB="0" distL="114300" distR="114300">
                  <wp:extent cx="4802505" cy="3331210"/>
                  <wp:effectExtent l="0" t="0" r="13335" b="635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6"/>
                          <a:srcRect l="55842"/>
                          <a:stretch>
                            <a:fillRect/>
                          </a:stretch>
                        </pic:blipFill>
                        <pic:spPr>
                          <a:xfrm>
                            <a:off x="0" y="0"/>
                            <a:ext cx="4802505" cy="3331210"/>
                          </a:xfrm>
                          <a:prstGeom prst="rect">
                            <a:avLst/>
                          </a:prstGeom>
                          <a:noFill/>
                          <a:ln w="9525">
                            <a:noFill/>
                          </a:ln>
                        </pic:spPr>
                      </pic:pic>
                    </a:graphicData>
                  </a:graphic>
                </wp:inline>
              </w:drawing>
            </w:r>
          </w:p>
          <w:p w14:paraId="22966B6A">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、现有项目污染物排放及达标情况</w:t>
            </w:r>
          </w:p>
          <w:p w14:paraId="43BFC3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（1）废气</w:t>
            </w:r>
          </w:p>
          <w:p w14:paraId="48172DE3">
            <w:pPr>
              <w:tabs>
                <w:tab w:val="left" w:pos="470"/>
                <w:tab w:val="left" w:pos="6840"/>
              </w:tabs>
              <w:spacing w:line="360" w:lineRule="auto"/>
              <w:ind w:firstLine="480" w:firstLineChars="200"/>
              <w:rPr>
                <w:rFonts w:hint="eastAsia"/>
                <w:color w:val="auto"/>
                <w:sz w:val="24"/>
                <w:szCs w:val="24"/>
                <w:lang w:val="en-US" w:eastAsia="zh-CN"/>
              </w:rPr>
            </w:pPr>
            <w:r>
              <w:rPr>
                <w:rFonts w:hint="eastAsia"/>
                <w:color w:val="auto"/>
                <w:sz w:val="24"/>
                <w:szCs w:val="24"/>
                <w:lang w:eastAsia="zh-CN"/>
              </w:rPr>
              <w:t>①有组织废气：</w:t>
            </w:r>
            <w:r>
              <w:rPr>
                <w:rFonts w:hint="eastAsia"/>
                <w:color w:val="auto"/>
                <w:sz w:val="24"/>
                <w:szCs w:val="24"/>
                <w:lang w:val="en-US" w:eastAsia="zh-CN"/>
              </w:rPr>
              <w:t>沥青拌和站产生的沥青烟气和粉尘，天然气燃烧废气。</w:t>
            </w:r>
          </w:p>
          <w:p w14:paraId="3D6A53F5">
            <w:pPr>
              <w:tabs>
                <w:tab w:val="left" w:pos="470"/>
                <w:tab w:val="left" w:pos="6840"/>
              </w:tabs>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②无组织废气：水泥料仓粉尘、汽运粉尘、装卸粉尘、堆场粉尘、传输带粉尘、未收集的废气。</w:t>
            </w:r>
          </w:p>
          <w:p w14:paraId="3A177AD7">
            <w:pPr>
              <w:tabs>
                <w:tab w:val="left" w:pos="470"/>
                <w:tab w:val="left" w:pos="6840"/>
              </w:tabs>
              <w:spacing w:line="360" w:lineRule="auto"/>
              <w:ind w:firstLine="480" w:firstLineChars="200"/>
              <w:rPr>
                <w:rFonts w:hint="eastAsia" w:eastAsia="宋体"/>
                <w:color w:val="auto"/>
                <w:sz w:val="24"/>
                <w:szCs w:val="24"/>
                <w:lang w:eastAsia="zh-CN"/>
              </w:rPr>
            </w:pPr>
            <w:r>
              <w:rPr>
                <w:rFonts w:hint="eastAsia"/>
                <w:color w:val="auto"/>
                <w:sz w:val="24"/>
                <w:szCs w:val="24"/>
                <w:lang w:eastAsia="zh-CN"/>
              </w:rPr>
              <w:t>现有项目产生的废气及治理措施见下表。</w:t>
            </w:r>
          </w:p>
          <w:p w14:paraId="5800963E">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eastAsia" w:ascii="Times New Roman" w:hAnsi="Times New Roman" w:eastAsia="宋体" w:cs="Times New Roman"/>
                <w:b/>
                <w:caps w:val="0"/>
                <w:color w:val="auto"/>
                <w:spacing w:val="0"/>
                <w:kern w:val="0"/>
                <w:position w:val="0"/>
                <w:sz w:val="24"/>
                <w:szCs w:val="24"/>
                <w:highlight w:val="none"/>
                <w:lang w:val="en-US" w:eastAsia="zh-CN"/>
              </w:rPr>
              <w:t>现有项目</w:t>
            </w:r>
            <w:r>
              <w:rPr>
                <w:rFonts w:hint="default" w:ascii="Times New Roman" w:hAnsi="Times New Roman" w:eastAsia="宋体" w:cs="Times New Roman"/>
                <w:b/>
                <w:caps w:val="0"/>
                <w:color w:val="auto"/>
                <w:spacing w:val="0"/>
                <w:kern w:val="0"/>
                <w:position w:val="0"/>
                <w:sz w:val="24"/>
                <w:szCs w:val="24"/>
                <w:highlight w:val="none"/>
                <w:lang w:val="en-US" w:eastAsia="zh-CN"/>
              </w:rPr>
              <w:t>废气污染物</w:t>
            </w:r>
            <w:r>
              <w:rPr>
                <w:rFonts w:hint="eastAsia" w:ascii="Times New Roman" w:hAnsi="Times New Roman" w:eastAsia="宋体" w:cs="Times New Roman"/>
                <w:b/>
                <w:caps w:val="0"/>
                <w:color w:val="auto"/>
                <w:spacing w:val="0"/>
                <w:kern w:val="0"/>
                <w:position w:val="0"/>
                <w:sz w:val="24"/>
                <w:szCs w:val="24"/>
                <w:highlight w:val="none"/>
                <w:lang w:val="en-US" w:eastAsia="zh-CN"/>
              </w:rPr>
              <w:t>治理措施</w:t>
            </w:r>
            <w:r>
              <w:rPr>
                <w:rFonts w:hint="default" w:ascii="Times New Roman" w:hAnsi="Times New Roman" w:eastAsia="宋体" w:cs="Times New Roman"/>
                <w:b/>
                <w:caps w:val="0"/>
                <w:color w:val="auto"/>
                <w:spacing w:val="0"/>
                <w:kern w:val="0"/>
                <w:position w:val="0"/>
                <w:sz w:val="24"/>
                <w:szCs w:val="24"/>
                <w:highlight w:val="none"/>
                <w:lang w:val="en-US"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8"/>
              <w:gridCol w:w="1930"/>
              <w:gridCol w:w="2550"/>
              <w:gridCol w:w="1795"/>
            </w:tblGrid>
            <w:tr w14:paraId="0FC6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tcBorders>
                    <w:tl2br w:val="nil"/>
                    <w:tr2bl w:val="nil"/>
                  </w:tcBorders>
                  <w:noWrap w:val="0"/>
                  <w:vAlign w:val="center"/>
                </w:tcPr>
                <w:p w14:paraId="098CB0C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1"/>
                      <w:szCs w:val="21"/>
                      <w:highlight w:val="none"/>
                      <w:u w:color="000000"/>
                      <w:lang w:val="en-US" w:eastAsia="zh-CN" w:bidi="ar-SA"/>
                    </w:rPr>
                  </w:pPr>
                  <w:r>
                    <w:rPr>
                      <w:rFonts w:hint="eastAsia" w:ascii="Times New Roman" w:hAnsi="Times New Roman" w:eastAsia="宋体" w:cs="Times New Roman"/>
                      <w:b/>
                      <w:color w:val="auto"/>
                      <w:sz w:val="21"/>
                      <w:szCs w:val="21"/>
                      <w:highlight w:val="none"/>
                      <w:lang w:val="en-US" w:eastAsia="zh-CN"/>
                    </w:rPr>
                    <w:t>排放口</w:t>
                  </w:r>
                  <w:r>
                    <w:rPr>
                      <w:rFonts w:hint="eastAsia" w:ascii="Times New Roman" w:hAnsi="Times New Roman" w:cs="Times New Roman"/>
                      <w:b/>
                      <w:color w:val="auto"/>
                      <w:sz w:val="21"/>
                      <w:szCs w:val="21"/>
                      <w:highlight w:val="none"/>
                      <w:lang w:val="en-US" w:eastAsia="zh-CN"/>
                    </w:rPr>
                    <w:t>编号</w:t>
                  </w:r>
                </w:p>
              </w:tc>
              <w:tc>
                <w:tcPr>
                  <w:tcW w:w="1230" w:type="pct"/>
                  <w:tcBorders>
                    <w:tl2br w:val="nil"/>
                    <w:tr2bl w:val="nil"/>
                  </w:tcBorders>
                  <w:noWrap w:val="0"/>
                  <w:vAlign w:val="center"/>
                </w:tcPr>
                <w:p w14:paraId="3FE98B2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污染因子</w:t>
                  </w:r>
                </w:p>
              </w:tc>
              <w:tc>
                <w:tcPr>
                  <w:tcW w:w="1625" w:type="pct"/>
                  <w:tcBorders>
                    <w:tl2br w:val="nil"/>
                    <w:tr2bl w:val="nil"/>
                  </w:tcBorders>
                  <w:noWrap w:val="0"/>
                  <w:vAlign w:val="center"/>
                </w:tcPr>
                <w:p w14:paraId="023FC92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治理措施</w:t>
                  </w:r>
                </w:p>
              </w:tc>
              <w:tc>
                <w:tcPr>
                  <w:tcW w:w="1144" w:type="pct"/>
                  <w:tcBorders>
                    <w:tl2br w:val="nil"/>
                    <w:tr2bl w:val="nil"/>
                  </w:tcBorders>
                  <w:noWrap w:val="0"/>
                  <w:vAlign w:val="center"/>
                </w:tcPr>
                <w:p w14:paraId="670D9D8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排放去向</w:t>
                  </w:r>
                </w:p>
              </w:tc>
            </w:tr>
            <w:tr w14:paraId="1861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restart"/>
                  <w:tcBorders>
                    <w:top w:val="single" w:color="000000" w:sz="4" w:space="0"/>
                    <w:tl2br w:val="nil"/>
                    <w:tr2bl w:val="nil"/>
                  </w:tcBorders>
                  <w:noWrap w:val="0"/>
                  <w:vAlign w:val="center"/>
                </w:tcPr>
                <w:p w14:paraId="5724506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kern w:val="0"/>
                      <w:sz w:val="21"/>
                      <w:szCs w:val="21"/>
                      <w:highlight w:val="none"/>
                      <w:u w:color="000000"/>
                      <w:lang w:val="en-US" w:eastAsia="zh-CN" w:bidi="ar-SA"/>
                    </w:rPr>
                  </w:pPr>
                  <w:r>
                    <w:rPr>
                      <w:rFonts w:hint="eastAsia" w:ascii="Times New Roman" w:hAnsi="Times New Roman" w:eastAsia="宋体" w:cs="Times New Roman"/>
                      <w:b w:val="0"/>
                      <w:bCs w:val="0"/>
                      <w:snapToGrid/>
                      <w:color w:val="auto"/>
                      <w:sz w:val="21"/>
                      <w:szCs w:val="21"/>
                      <w:highlight w:val="none"/>
                      <w:lang w:val="en-US" w:eastAsia="zh-CN"/>
                    </w:rPr>
                    <w:t>DA00</w:t>
                  </w:r>
                  <w:r>
                    <w:rPr>
                      <w:rFonts w:hint="eastAsia" w:ascii="Times New Roman" w:hAnsi="Times New Roman" w:cs="Times New Roman"/>
                      <w:b w:val="0"/>
                      <w:bCs w:val="0"/>
                      <w:snapToGrid/>
                      <w:color w:val="auto"/>
                      <w:sz w:val="21"/>
                      <w:szCs w:val="21"/>
                      <w:highlight w:val="none"/>
                      <w:lang w:val="en-US" w:eastAsia="zh-CN"/>
                    </w:rPr>
                    <w:t>1</w:t>
                  </w:r>
                </w:p>
              </w:tc>
              <w:tc>
                <w:tcPr>
                  <w:tcW w:w="1230" w:type="pct"/>
                  <w:tcBorders>
                    <w:top w:val="single" w:color="000000" w:sz="4" w:space="0"/>
                    <w:bottom w:val="single" w:color="000000" w:sz="4" w:space="0"/>
                    <w:tl2br w:val="nil"/>
                    <w:tr2bl w:val="nil"/>
                  </w:tcBorders>
                  <w:noWrap w:val="0"/>
                  <w:vAlign w:val="center"/>
                </w:tcPr>
                <w:p w14:paraId="7C3B80B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颗粒物</w:t>
                  </w:r>
                </w:p>
              </w:tc>
              <w:tc>
                <w:tcPr>
                  <w:tcW w:w="1625" w:type="pct"/>
                  <w:tcBorders>
                    <w:top w:val="single" w:color="000000" w:sz="4" w:space="0"/>
                    <w:bottom w:val="single" w:color="000000" w:sz="4" w:space="0"/>
                    <w:tl2br w:val="nil"/>
                    <w:tr2bl w:val="nil"/>
                  </w:tcBorders>
                  <w:noWrap w:val="0"/>
                  <w:vAlign w:val="center"/>
                </w:tcPr>
                <w:p w14:paraId="618F50B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旋风除尘器+布袋除尘器</w:t>
                  </w:r>
                </w:p>
              </w:tc>
              <w:tc>
                <w:tcPr>
                  <w:tcW w:w="1144" w:type="pct"/>
                  <w:vMerge w:val="restart"/>
                  <w:tcBorders>
                    <w:top w:val="single" w:color="000000" w:sz="4" w:space="0"/>
                    <w:tl2br w:val="nil"/>
                    <w:tr2bl w:val="nil"/>
                  </w:tcBorders>
                  <w:noWrap w:val="0"/>
                  <w:vAlign w:val="center"/>
                </w:tcPr>
                <w:p w14:paraId="7FB363B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15m排气筒排放</w:t>
                  </w:r>
                </w:p>
              </w:tc>
            </w:tr>
            <w:tr w14:paraId="1F63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24C2084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47309C4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二氧化硫</w:t>
                  </w:r>
                </w:p>
              </w:tc>
              <w:tc>
                <w:tcPr>
                  <w:tcW w:w="1625" w:type="pct"/>
                  <w:tcBorders>
                    <w:top w:val="single" w:color="000000" w:sz="4" w:space="0"/>
                    <w:bottom w:val="single" w:color="000000" w:sz="4" w:space="0"/>
                    <w:tl2br w:val="nil"/>
                    <w:tr2bl w:val="nil"/>
                  </w:tcBorders>
                  <w:noWrap w:val="0"/>
                  <w:vAlign w:val="center"/>
                </w:tcPr>
                <w:p w14:paraId="1B04ED2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w:t>
                  </w:r>
                </w:p>
              </w:tc>
              <w:tc>
                <w:tcPr>
                  <w:tcW w:w="1144" w:type="pct"/>
                  <w:vMerge w:val="continue"/>
                  <w:tcBorders>
                    <w:tl2br w:val="nil"/>
                    <w:tr2bl w:val="nil"/>
                  </w:tcBorders>
                  <w:noWrap w:val="0"/>
                  <w:vAlign w:val="center"/>
                </w:tcPr>
                <w:p w14:paraId="3A9110D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p>
              </w:tc>
            </w:tr>
            <w:tr w14:paraId="1B1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7AF917F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234968D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氮氧化物</w:t>
                  </w:r>
                </w:p>
              </w:tc>
              <w:tc>
                <w:tcPr>
                  <w:tcW w:w="1625" w:type="pct"/>
                  <w:tcBorders>
                    <w:top w:val="single" w:color="000000" w:sz="4" w:space="0"/>
                    <w:bottom w:val="single" w:color="000000" w:sz="4" w:space="0"/>
                    <w:tl2br w:val="nil"/>
                    <w:tr2bl w:val="nil"/>
                  </w:tcBorders>
                  <w:noWrap w:val="0"/>
                  <w:vAlign w:val="center"/>
                </w:tcPr>
                <w:p w14:paraId="35DBC82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低氮燃烧</w:t>
                  </w:r>
                </w:p>
              </w:tc>
              <w:tc>
                <w:tcPr>
                  <w:tcW w:w="1144" w:type="pct"/>
                  <w:vMerge w:val="continue"/>
                  <w:tcBorders>
                    <w:tl2br w:val="nil"/>
                    <w:tr2bl w:val="nil"/>
                  </w:tcBorders>
                  <w:noWrap w:val="0"/>
                  <w:vAlign w:val="center"/>
                </w:tcPr>
                <w:p w14:paraId="68AE20E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0F50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1156400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75144E9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沥青烟</w:t>
                  </w:r>
                </w:p>
              </w:tc>
              <w:tc>
                <w:tcPr>
                  <w:tcW w:w="1625" w:type="pct"/>
                  <w:tcBorders>
                    <w:top w:val="single" w:color="000000" w:sz="4" w:space="0"/>
                    <w:bottom w:val="single" w:color="000000" w:sz="4" w:space="0"/>
                    <w:tl2br w:val="nil"/>
                    <w:tr2bl w:val="nil"/>
                  </w:tcBorders>
                  <w:noWrap w:val="0"/>
                  <w:vAlign w:val="center"/>
                </w:tcPr>
                <w:p w14:paraId="43EF56B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活性炭吸附</w:t>
                  </w:r>
                </w:p>
              </w:tc>
              <w:tc>
                <w:tcPr>
                  <w:tcW w:w="1144" w:type="pct"/>
                  <w:vMerge w:val="continue"/>
                  <w:tcBorders>
                    <w:tl2br w:val="nil"/>
                    <w:tr2bl w:val="nil"/>
                  </w:tcBorders>
                  <w:noWrap w:val="0"/>
                  <w:vAlign w:val="center"/>
                </w:tcPr>
                <w:p w14:paraId="25C8562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42A4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bottom w:val="single" w:color="000000" w:sz="4" w:space="0"/>
                    <w:tl2br w:val="nil"/>
                    <w:tr2bl w:val="nil"/>
                  </w:tcBorders>
                  <w:noWrap w:val="0"/>
                  <w:vAlign w:val="center"/>
                </w:tcPr>
                <w:p w14:paraId="44D6F3F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5EE67DF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苯并[a]芘</w:t>
                  </w:r>
                </w:p>
              </w:tc>
              <w:tc>
                <w:tcPr>
                  <w:tcW w:w="1625" w:type="pct"/>
                  <w:tcBorders>
                    <w:top w:val="single" w:color="000000" w:sz="4" w:space="0"/>
                    <w:bottom w:val="single" w:color="000000" w:sz="4" w:space="0"/>
                    <w:tl2br w:val="nil"/>
                    <w:tr2bl w:val="nil"/>
                  </w:tcBorders>
                  <w:noWrap w:val="0"/>
                  <w:vAlign w:val="center"/>
                </w:tcPr>
                <w:p w14:paraId="59F0ACC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活性炭吸附</w:t>
                  </w:r>
                </w:p>
              </w:tc>
              <w:tc>
                <w:tcPr>
                  <w:tcW w:w="1144" w:type="pct"/>
                  <w:vMerge w:val="continue"/>
                  <w:tcBorders>
                    <w:bottom w:val="single" w:color="000000" w:sz="4" w:space="0"/>
                    <w:tl2br w:val="nil"/>
                    <w:tr2bl w:val="nil"/>
                  </w:tcBorders>
                  <w:noWrap w:val="0"/>
                  <w:vAlign w:val="center"/>
                </w:tcPr>
                <w:p w14:paraId="394FB46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3168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restart"/>
                  <w:tcBorders>
                    <w:top w:val="single" w:color="000000" w:sz="4" w:space="0"/>
                    <w:tl2br w:val="nil"/>
                    <w:tr2bl w:val="nil"/>
                  </w:tcBorders>
                  <w:noWrap w:val="0"/>
                  <w:vAlign w:val="center"/>
                </w:tcPr>
                <w:p w14:paraId="765AEB7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eastAsia="宋体" w:cs="Times New Roman"/>
                      <w:b w:val="0"/>
                      <w:bCs w:val="0"/>
                      <w:snapToGrid/>
                      <w:color w:val="auto"/>
                      <w:sz w:val="21"/>
                      <w:szCs w:val="21"/>
                      <w:highlight w:val="none"/>
                      <w:lang w:val="en-US" w:eastAsia="zh-CN"/>
                    </w:rPr>
                    <w:t>DA00</w:t>
                  </w:r>
                  <w:r>
                    <w:rPr>
                      <w:rFonts w:hint="eastAsia" w:ascii="Times New Roman" w:hAnsi="Times New Roman" w:cs="Times New Roman"/>
                      <w:b w:val="0"/>
                      <w:bCs w:val="0"/>
                      <w:snapToGrid/>
                      <w:color w:val="auto"/>
                      <w:sz w:val="21"/>
                      <w:szCs w:val="21"/>
                      <w:highlight w:val="none"/>
                      <w:lang w:val="en-US" w:eastAsia="zh-CN"/>
                    </w:rPr>
                    <w:t>2</w:t>
                  </w:r>
                </w:p>
              </w:tc>
              <w:tc>
                <w:tcPr>
                  <w:tcW w:w="1230" w:type="pct"/>
                  <w:tcBorders>
                    <w:top w:val="single" w:color="000000" w:sz="4" w:space="0"/>
                    <w:bottom w:val="single" w:color="000000" w:sz="4" w:space="0"/>
                    <w:tl2br w:val="nil"/>
                    <w:tr2bl w:val="nil"/>
                  </w:tcBorders>
                  <w:noWrap w:val="0"/>
                  <w:vAlign w:val="center"/>
                </w:tcPr>
                <w:p w14:paraId="3F729C5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颗粒物</w:t>
                  </w:r>
                </w:p>
              </w:tc>
              <w:tc>
                <w:tcPr>
                  <w:tcW w:w="1625" w:type="pct"/>
                  <w:tcBorders>
                    <w:top w:val="single" w:color="000000" w:sz="4" w:space="0"/>
                    <w:bottom w:val="single" w:color="000000" w:sz="4" w:space="0"/>
                    <w:tl2br w:val="nil"/>
                    <w:tr2bl w:val="nil"/>
                  </w:tcBorders>
                  <w:noWrap w:val="0"/>
                  <w:vAlign w:val="center"/>
                </w:tcPr>
                <w:p w14:paraId="64B3058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w:t>
                  </w:r>
                </w:p>
              </w:tc>
              <w:tc>
                <w:tcPr>
                  <w:tcW w:w="1144" w:type="pct"/>
                  <w:vMerge w:val="restart"/>
                  <w:tcBorders>
                    <w:top w:val="single" w:color="000000" w:sz="4" w:space="0"/>
                    <w:tl2br w:val="nil"/>
                    <w:tr2bl w:val="nil"/>
                  </w:tcBorders>
                  <w:noWrap w:val="0"/>
                  <w:vAlign w:val="center"/>
                </w:tcPr>
                <w:p w14:paraId="66CCBEA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w:t>
                  </w:r>
                  <w:r>
                    <w:rPr>
                      <w:rFonts w:hint="eastAsia" w:ascii="Times New Roman" w:hAnsi="Times New Roman" w:eastAsia="宋体" w:cs="Times New Roman"/>
                      <w:b w:val="0"/>
                      <w:bCs w:val="0"/>
                      <w:color w:val="auto"/>
                      <w:sz w:val="21"/>
                      <w:szCs w:val="21"/>
                      <w:highlight w:val="none"/>
                      <w:lang w:val="en-US" w:eastAsia="zh-CN"/>
                    </w:rPr>
                    <w:t>m排气筒排放</w:t>
                  </w:r>
                </w:p>
              </w:tc>
            </w:tr>
            <w:tr w14:paraId="427A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7D244F8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7FBF399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二氧化硫</w:t>
                  </w:r>
                </w:p>
              </w:tc>
              <w:tc>
                <w:tcPr>
                  <w:tcW w:w="1625" w:type="pct"/>
                  <w:tcBorders>
                    <w:top w:val="single" w:color="000000" w:sz="4" w:space="0"/>
                    <w:bottom w:val="single" w:color="000000" w:sz="4" w:space="0"/>
                    <w:tl2br w:val="nil"/>
                    <w:tr2bl w:val="nil"/>
                  </w:tcBorders>
                  <w:noWrap w:val="0"/>
                  <w:vAlign w:val="center"/>
                </w:tcPr>
                <w:p w14:paraId="4E8C731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w:t>
                  </w:r>
                </w:p>
              </w:tc>
              <w:tc>
                <w:tcPr>
                  <w:tcW w:w="1144" w:type="pct"/>
                  <w:vMerge w:val="continue"/>
                  <w:tcBorders>
                    <w:tl2br w:val="nil"/>
                    <w:tr2bl w:val="nil"/>
                  </w:tcBorders>
                  <w:noWrap w:val="0"/>
                  <w:vAlign w:val="center"/>
                </w:tcPr>
                <w:p w14:paraId="16F5473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5A71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58FFA49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1CAFE17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氮氧化物</w:t>
                  </w:r>
                </w:p>
              </w:tc>
              <w:tc>
                <w:tcPr>
                  <w:tcW w:w="1625" w:type="pct"/>
                  <w:tcBorders>
                    <w:top w:val="single" w:color="000000" w:sz="4" w:space="0"/>
                    <w:bottom w:val="single" w:color="000000" w:sz="4" w:space="0"/>
                    <w:tl2br w:val="nil"/>
                    <w:tr2bl w:val="nil"/>
                  </w:tcBorders>
                  <w:noWrap w:val="0"/>
                  <w:vAlign w:val="center"/>
                </w:tcPr>
                <w:p w14:paraId="4A6AFE2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低氮燃烧</w:t>
                  </w:r>
                </w:p>
              </w:tc>
              <w:tc>
                <w:tcPr>
                  <w:tcW w:w="1144" w:type="pct"/>
                  <w:vMerge w:val="continue"/>
                  <w:tcBorders>
                    <w:tl2br w:val="nil"/>
                    <w:tr2bl w:val="nil"/>
                  </w:tcBorders>
                  <w:noWrap w:val="0"/>
                  <w:vAlign w:val="center"/>
                </w:tcPr>
                <w:p w14:paraId="0CB3848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p>
              </w:tc>
            </w:tr>
            <w:tr w14:paraId="459C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Merge w:val="continue"/>
                  <w:tcBorders>
                    <w:tl2br w:val="nil"/>
                    <w:tr2bl w:val="nil"/>
                  </w:tcBorders>
                  <w:noWrap w:val="0"/>
                  <w:vAlign w:val="center"/>
                </w:tcPr>
                <w:p w14:paraId="7E7B6F1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p>
              </w:tc>
              <w:tc>
                <w:tcPr>
                  <w:tcW w:w="1230" w:type="pct"/>
                  <w:tcBorders>
                    <w:top w:val="single" w:color="000000" w:sz="4" w:space="0"/>
                    <w:bottom w:val="single" w:color="000000" w:sz="4" w:space="0"/>
                    <w:tl2br w:val="nil"/>
                    <w:tr2bl w:val="nil"/>
                  </w:tcBorders>
                  <w:noWrap w:val="0"/>
                  <w:vAlign w:val="center"/>
                </w:tcPr>
                <w:p w14:paraId="1B2DD0E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林格曼黑度</w:t>
                  </w:r>
                </w:p>
              </w:tc>
              <w:tc>
                <w:tcPr>
                  <w:tcW w:w="1625" w:type="pct"/>
                  <w:tcBorders>
                    <w:top w:val="single" w:color="000000" w:sz="4" w:space="0"/>
                    <w:bottom w:val="single" w:color="000000" w:sz="4" w:space="0"/>
                    <w:tl2br w:val="nil"/>
                    <w:tr2bl w:val="nil"/>
                  </w:tcBorders>
                  <w:noWrap w:val="0"/>
                  <w:vAlign w:val="center"/>
                </w:tcPr>
                <w:p w14:paraId="5316F3C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w:t>
                  </w:r>
                </w:p>
              </w:tc>
              <w:tc>
                <w:tcPr>
                  <w:tcW w:w="1144" w:type="pct"/>
                  <w:vMerge w:val="continue"/>
                  <w:tcBorders>
                    <w:tl2br w:val="nil"/>
                    <w:tr2bl w:val="nil"/>
                  </w:tcBorders>
                  <w:noWrap w:val="0"/>
                  <w:vAlign w:val="center"/>
                </w:tcPr>
                <w:p w14:paraId="31821DA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p>
              </w:tc>
            </w:tr>
            <w:tr w14:paraId="3F4A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tcBorders>
                    <w:tl2br w:val="nil"/>
                    <w:tr2bl w:val="nil"/>
                  </w:tcBorders>
                  <w:noWrap w:val="0"/>
                  <w:vAlign w:val="center"/>
                </w:tcPr>
                <w:p w14:paraId="41064F5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cs="Times New Roman"/>
                      <w:b w:val="0"/>
                      <w:bCs w:val="0"/>
                      <w:snapToGrid/>
                      <w:color w:val="auto"/>
                      <w:sz w:val="21"/>
                      <w:szCs w:val="21"/>
                      <w:highlight w:val="none"/>
                      <w:lang w:val="en-US" w:eastAsia="zh-CN"/>
                    </w:rPr>
                    <w:t>厂界</w:t>
                  </w:r>
                </w:p>
              </w:tc>
              <w:tc>
                <w:tcPr>
                  <w:tcW w:w="1230" w:type="pct"/>
                  <w:tcBorders>
                    <w:top w:val="single" w:color="000000" w:sz="4" w:space="0"/>
                    <w:tl2br w:val="nil"/>
                    <w:tr2bl w:val="nil"/>
                  </w:tcBorders>
                  <w:noWrap w:val="0"/>
                  <w:vAlign w:val="center"/>
                </w:tcPr>
                <w:p w14:paraId="3C1BC24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颗粒物、</w:t>
                  </w:r>
                  <w:r>
                    <w:rPr>
                      <w:rFonts w:hint="eastAsia" w:ascii="Times New Roman" w:hAnsi="Times New Roman" w:cs="Times New Roman"/>
                      <w:snapToGrid/>
                      <w:color w:val="auto"/>
                      <w:sz w:val="21"/>
                      <w:szCs w:val="21"/>
                      <w:highlight w:val="none"/>
                      <w:lang w:val="en-US" w:eastAsia="zh-CN"/>
                    </w:rPr>
                    <w:t>沥青烟、苯并[a]芘</w:t>
                  </w:r>
                </w:p>
              </w:tc>
              <w:tc>
                <w:tcPr>
                  <w:tcW w:w="1625" w:type="pct"/>
                  <w:tcBorders>
                    <w:top w:val="single" w:color="000000" w:sz="4" w:space="0"/>
                    <w:tl2br w:val="nil"/>
                    <w:tr2bl w:val="nil"/>
                  </w:tcBorders>
                  <w:noWrap w:val="0"/>
                  <w:vAlign w:val="center"/>
                </w:tcPr>
                <w:p w14:paraId="5064B54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kern w:val="0"/>
                      <w:sz w:val="21"/>
                      <w:szCs w:val="21"/>
                      <w:highlight w:val="none"/>
                      <w:u w:color="000000"/>
                      <w:lang w:val="en-US" w:eastAsia="zh-CN" w:bidi="ar-SA"/>
                    </w:rPr>
                    <w:t>水泥料仓自带除尘器，传输带密闭，喷淋降尘，车辆冲洗等</w:t>
                  </w:r>
                </w:p>
              </w:tc>
              <w:tc>
                <w:tcPr>
                  <w:tcW w:w="1144" w:type="pct"/>
                  <w:tcBorders>
                    <w:bottom w:val="single" w:color="auto" w:sz="4" w:space="0"/>
                    <w:tl2br w:val="nil"/>
                    <w:tr2bl w:val="nil"/>
                  </w:tcBorders>
                  <w:noWrap w:val="0"/>
                  <w:vAlign w:val="center"/>
                </w:tcPr>
                <w:p w14:paraId="536309F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无组织排放至大气环境</w:t>
                  </w:r>
                </w:p>
              </w:tc>
            </w:tr>
          </w:tbl>
          <w:p w14:paraId="2C164591">
            <w:pPr>
              <w:tabs>
                <w:tab w:val="left" w:pos="470"/>
                <w:tab w:val="left" w:pos="6840"/>
              </w:tabs>
              <w:spacing w:line="360" w:lineRule="auto"/>
              <w:ind w:firstLine="480" w:firstLineChars="200"/>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企业自行监测报告（检测时生产工况为90%），废气污染物排放情况如下（最大值）。</w:t>
            </w:r>
          </w:p>
          <w:p w14:paraId="3D11B7BE">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eastAsia" w:ascii="Times New Roman" w:hAnsi="Times New Roman" w:eastAsia="宋体" w:cs="Times New Roman"/>
                <w:b/>
                <w:caps w:val="0"/>
                <w:color w:val="auto"/>
                <w:spacing w:val="0"/>
                <w:kern w:val="0"/>
                <w:position w:val="0"/>
                <w:sz w:val="24"/>
                <w:szCs w:val="24"/>
                <w:highlight w:val="none"/>
                <w:lang w:val="en-US" w:eastAsia="zh-CN"/>
              </w:rPr>
              <w:t>无组织</w:t>
            </w:r>
            <w:r>
              <w:rPr>
                <w:rFonts w:hint="default" w:ascii="Times New Roman" w:hAnsi="Times New Roman" w:eastAsia="宋体" w:cs="Times New Roman"/>
                <w:b/>
                <w:caps w:val="0"/>
                <w:color w:val="auto"/>
                <w:spacing w:val="0"/>
                <w:kern w:val="0"/>
                <w:position w:val="0"/>
                <w:sz w:val="24"/>
                <w:szCs w:val="24"/>
                <w:highlight w:val="none"/>
                <w:lang w:val="en-US" w:eastAsia="zh-CN"/>
              </w:rPr>
              <w:t>废气污染物排放情况一览表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1"/>
              <w:gridCol w:w="1383"/>
              <w:gridCol w:w="1383"/>
              <w:gridCol w:w="1632"/>
              <w:gridCol w:w="2064"/>
            </w:tblGrid>
            <w:tr w14:paraId="11A7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76FD08B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1"/>
                      <w:szCs w:val="21"/>
                      <w:highlight w:val="none"/>
                      <w:u w:color="000000"/>
                      <w:lang w:val="en-US" w:eastAsia="zh-CN" w:bidi="ar-SA"/>
                    </w:rPr>
                  </w:pPr>
                  <w:r>
                    <w:rPr>
                      <w:rFonts w:hint="eastAsia" w:ascii="Times New Roman" w:hAnsi="Times New Roman" w:eastAsia="宋体" w:cs="Times New Roman"/>
                      <w:b/>
                      <w:color w:val="auto"/>
                      <w:sz w:val="21"/>
                      <w:szCs w:val="21"/>
                      <w:highlight w:val="none"/>
                      <w:lang w:val="en-US" w:eastAsia="zh-CN"/>
                    </w:rPr>
                    <w:t>检测</w:t>
                  </w:r>
                  <w:r>
                    <w:rPr>
                      <w:rFonts w:hint="default" w:ascii="Times New Roman" w:hAnsi="Times New Roman" w:eastAsia="宋体" w:cs="Times New Roman"/>
                      <w:b/>
                      <w:color w:val="auto"/>
                      <w:sz w:val="21"/>
                      <w:szCs w:val="21"/>
                      <w:highlight w:val="none"/>
                      <w:lang w:val="en-US" w:eastAsia="zh-CN"/>
                    </w:rPr>
                    <w:t>点位</w:t>
                  </w:r>
                </w:p>
              </w:tc>
              <w:tc>
                <w:tcPr>
                  <w:tcW w:w="881" w:type="pct"/>
                  <w:tcBorders>
                    <w:tl2br w:val="nil"/>
                    <w:tr2bl w:val="nil"/>
                  </w:tcBorders>
                  <w:noWrap w:val="0"/>
                  <w:vAlign w:val="center"/>
                </w:tcPr>
                <w:p w14:paraId="05975AD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val="en-US" w:eastAsia="zh-CN"/>
                    </w:rPr>
                    <w:t>检测</w:t>
                  </w:r>
                  <w:r>
                    <w:rPr>
                      <w:rFonts w:hint="eastAsia" w:ascii="Times New Roman" w:hAnsi="Times New Roman" w:eastAsia="宋体" w:cs="Times New Roman"/>
                      <w:b/>
                      <w:color w:val="auto"/>
                      <w:sz w:val="21"/>
                      <w:szCs w:val="21"/>
                      <w:highlight w:val="none"/>
                      <w:lang w:eastAsia="zh-CN"/>
                    </w:rPr>
                    <w:t>时间</w:t>
                  </w:r>
                </w:p>
              </w:tc>
              <w:tc>
                <w:tcPr>
                  <w:tcW w:w="881" w:type="pct"/>
                  <w:tcBorders>
                    <w:tl2br w:val="nil"/>
                    <w:tr2bl w:val="nil"/>
                  </w:tcBorders>
                  <w:noWrap w:val="0"/>
                  <w:vAlign w:val="center"/>
                </w:tcPr>
                <w:p w14:paraId="28E0B49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检测项目</w:t>
                  </w:r>
                </w:p>
              </w:tc>
              <w:tc>
                <w:tcPr>
                  <w:tcW w:w="1040" w:type="pct"/>
                  <w:tcBorders>
                    <w:tl2br w:val="nil"/>
                    <w:tr2bl w:val="nil"/>
                  </w:tcBorders>
                  <w:noWrap w:val="0"/>
                  <w:vAlign w:val="center"/>
                </w:tcPr>
                <w:p w14:paraId="2C8C772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检测结果</w:t>
                  </w:r>
                </w:p>
              </w:tc>
              <w:tc>
                <w:tcPr>
                  <w:tcW w:w="1315" w:type="pct"/>
                  <w:tcBorders>
                    <w:tl2br w:val="nil"/>
                    <w:tr2bl w:val="nil"/>
                  </w:tcBorders>
                  <w:noWrap w:val="0"/>
                  <w:vAlign w:val="center"/>
                </w:tcPr>
                <w:p w14:paraId="1214146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排放标准</w:t>
                  </w:r>
                </w:p>
              </w:tc>
            </w:tr>
            <w:tr w14:paraId="5F13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op w:val="single" w:color="000000" w:sz="4" w:space="0"/>
                    <w:tl2br w:val="nil"/>
                    <w:tr2bl w:val="nil"/>
                  </w:tcBorders>
                  <w:noWrap w:val="0"/>
                  <w:vAlign w:val="center"/>
                </w:tcPr>
                <w:p w14:paraId="0B4C25D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default" w:ascii="Times New Roman" w:hAnsi="Times New Roman" w:eastAsia="宋体" w:cs="Times New Roman"/>
                      <w:b w:val="0"/>
                      <w:bCs w:val="0"/>
                      <w:snapToGrid/>
                      <w:color w:val="auto"/>
                      <w:sz w:val="21"/>
                      <w:szCs w:val="21"/>
                      <w:highlight w:val="none"/>
                      <w:lang w:val="en-US" w:eastAsia="zh-CN"/>
                    </w:rPr>
                    <w:t>上风向</w:t>
                  </w:r>
                  <w:r>
                    <w:rPr>
                      <w:rFonts w:hint="eastAsia" w:ascii="Times New Roman" w:hAnsi="Times New Roman" w:eastAsia="宋体" w:cs="Times New Roman"/>
                      <w:b w:val="0"/>
                      <w:bCs w:val="0"/>
                      <w:snapToGrid/>
                      <w:color w:val="auto"/>
                      <w:sz w:val="21"/>
                      <w:szCs w:val="21"/>
                      <w:highlight w:val="none"/>
                      <w:lang w:val="en-US" w:eastAsia="zh-CN"/>
                    </w:rPr>
                    <w:t>1#</w:t>
                  </w:r>
                </w:p>
              </w:tc>
              <w:tc>
                <w:tcPr>
                  <w:tcW w:w="881" w:type="pct"/>
                  <w:vMerge w:val="restart"/>
                  <w:tcBorders>
                    <w:top w:val="single" w:color="000000" w:sz="4" w:space="0"/>
                    <w:tl2br w:val="nil"/>
                    <w:tr2bl w:val="nil"/>
                  </w:tcBorders>
                  <w:noWrap w:val="0"/>
                  <w:vAlign w:val="center"/>
                </w:tcPr>
                <w:p w14:paraId="0A6853E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2023.4.14</w:t>
                  </w:r>
                </w:p>
              </w:tc>
              <w:tc>
                <w:tcPr>
                  <w:tcW w:w="881" w:type="pct"/>
                  <w:vMerge w:val="restart"/>
                  <w:tcBorders>
                    <w:top w:val="single" w:color="000000" w:sz="4" w:space="0"/>
                    <w:tl2br w:val="nil"/>
                    <w:tr2bl w:val="nil"/>
                  </w:tcBorders>
                  <w:noWrap w:val="0"/>
                  <w:vAlign w:val="center"/>
                </w:tcPr>
                <w:p w14:paraId="1434A61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lang w:val="en-US" w:eastAsia="zh-CN"/>
                    </w:rPr>
                    <w:t>颗粒物</w:t>
                  </w:r>
                </w:p>
              </w:tc>
              <w:tc>
                <w:tcPr>
                  <w:tcW w:w="1040" w:type="pct"/>
                  <w:tcBorders>
                    <w:top w:val="single" w:color="000000" w:sz="4" w:space="0"/>
                    <w:bottom w:val="single" w:color="auto" w:sz="4" w:space="0"/>
                    <w:tl2br w:val="nil"/>
                    <w:tr2bl w:val="nil"/>
                  </w:tcBorders>
                  <w:noWrap w:val="0"/>
                  <w:vAlign w:val="center"/>
                </w:tcPr>
                <w:p w14:paraId="30F7464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307</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315" w:type="pct"/>
                  <w:vMerge w:val="restart"/>
                  <w:tcBorders>
                    <w:top w:val="single" w:color="000000" w:sz="4" w:space="0"/>
                    <w:tl2br w:val="nil"/>
                    <w:tr2bl w:val="nil"/>
                  </w:tcBorders>
                  <w:noWrap w:val="0"/>
                  <w:vAlign w:val="center"/>
                </w:tcPr>
                <w:p w14:paraId="79B690D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0.5</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0C69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380C998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2#</w:t>
                  </w:r>
                </w:p>
              </w:tc>
              <w:tc>
                <w:tcPr>
                  <w:tcW w:w="881" w:type="pct"/>
                  <w:vMerge w:val="continue"/>
                  <w:tcBorders>
                    <w:tl2br w:val="nil"/>
                    <w:tr2bl w:val="nil"/>
                  </w:tcBorders>
                  <w:noWrap w:val="0"/>
                  <w:vAlign w:val="center"/>
                </w:tcPr>
                <w:p w14:paraId="351ABED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tl2br w:val="nil"/>
                    <w:tr2bl w:val="nil"/>
                  </w:tcBorders>
                  <w:noWrap w:val="0"/>
                  <w:vAlign w:val="center"/>
                </w:tcPr>
                <w:p w14:paraId="1314194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040" w:type="pct"/>
                  <w:tcBorders>
                    <w:top w:val="single" w:color="auto" w:sz="4" w:space="0"/>
                    <w:bottom w:val="single" w:color="auto" w:sz="4" w:space="0"/>
                    <w:tl2br w:val="nil"/>
                    <w:tr2bl w:val="nil"/>
                  </w:tcBorders>
                  <w:noWrap w:val="0"/>
                  <w:vAlign w:val="center"/>
                </w:tcPr>
                <w:p w14:paraId="31357E9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347</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315" w:type="pct"/>
                  <w:vMerge w:val="continue"/>
                  <w:tcBorders>
                    <w:tl2br w:val="nil"/>
                    <w:tr2bl w:val="nil"/>
                  </w:tcBorders>
                  <w:noWrap w:val="0"/>
                  <w:vAlign w:val="center"/>
                </w:tcPr>
                <w:p w14:paraId="3894C65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0C1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1DD0A8A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1" w:type="pct"/>
                  <w:vMerge w:val="continue"/>
                  <w:tcBorders>
                    <w:tl2br w:val="nil"/>
                    <w:tr2bl w:val="nil"/>
                  </w:tcBorders>
                  <w:noWrap w:val="0"/>
                  <w:vAlign w:val="center"/>
                </w:tcPr>
                <w:p w14:paraId="261649E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tl2br w:val="nil"/>
                    <w:tr2bl w:val="nil"/>
                  </w:tcBorders>
                  <w:noWrap w:val="0"/>
                  <w:vAlign w:val="center"/>
                </w:tcPr>
                <w:p w14:paraId="5599E40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040" w:type="pct"/>
                  <w:tcBorders>
                    <w:top w:val="single" w:color="auto" w:sz="4" w:space="0"/>
                    <w:bottom w:val="single" w:color="auto" w:sz="4" w:space="0"/>
                    <w:tl2br w:val="nil"/>
                    <w:tr2bl w:val="nil"/>
                  </w:tcBorders>
                  <w:noWrap w:val="0"/>
                  <w:vAlign w:val="center"/>
                </w:tcPr>
                <w:p w14:paraId="1C4E5B3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352</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315" w:type="pct"/>
                  <w:vMerge w:val="continue"/>
                  <w:tcBorders>
                    <w:tl2br w:val="nil"/>
                    <w:tr2bl w:val="nil"/>
                  </w:tcBorders>
                  <w:noWrap w:val="0"/>
                  <w:vAlign w:val="center"/>
                </w:tcPr>
                <w:p w14:paraId="4C8AFAE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33DB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bottom w:val="single" w:color="auto" w:sz="4" w:space="0"/>
                    <w:tl2br w:val="nil"/>
                    <w:tr2bl w:val="nil"/>
                  </w:tcBorders>
                  <w:noWrap w:val="0"/>
                  <w:vAlign w:val="center"/>
                </w:tcPr>
                <w:p w14:paraId="6AB246E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w:t>
                  </w:r>
                </w:p>
              </w:tc>
              <w:tc>
                <w:tcPr>
                  <w:tcW w:w="881" w:type="pct"/>
                  <w:vMerge w:val="continue"/>
                  <w:tcBorders>
                    <w:bottom w:val="single" w:color="auto" w:sz="4" w:space="0"/>
                    <w:tl2br w:val="nil"/>
                    <w:tr2bl w:val="nil"/>
                  </w:tcBorders>
                  <w:noWrap w:val="0"/>
                  <w:vAlign w:val="center"/>
                </w:tcPr>
                <w:p w14:paraId="74B04F3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bottom w:val="single" w:color="auto" w:sz="4" w:space="0"/>
                    <w:tl2br w:val="nil"/>
                    <w:tr2bl w:val="nil"/>
                  </w:tcBorders>
                  <w:noWrap w:val="0"/>
                  <w:vAlign w:val="center"/>
                </w:tcPr>
                <w:p w14:paraId="54DCE39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040" w:type="pct"/>
                  <w:tcBorders>
                    <w:top w:val="single" w:color="auto" w:sz="4" w:space="0"/>
                    <w:bottom w:val="single" w:color="auto" w:sz="4" w:space="0"/>
                    <w:tl2br w:val="nil"/>
                    <w:tr2bl w:val="nil"/>
                  </w:tcBorders>
                  <w:noWrap w:val="0"/>
                  <w:vAlign w:val="center"/>
                </w:tcPr>
                <w:p w14:paraId="1AD2647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357</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315" w:type="pct"/>
                  <w:vMerge w:val="continue"/>
                  <w:tcBorders>
                    <w:bottom w:val="single" w:color="auto" w:sz="4" w:space="0"/>
                    <w:tl2br w:val="nil"/>
                    <w:tr2bl w:val="nil"/>
                  </w:tcBorders>
                  <w:noWrap w:val="0"/>
                  <w:vAlign w:val="center"/>
                </w:tcPr>
                <w:p w14:paraId="351100A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489F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40B8B3B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1"/>
                      <w:szCs w:val="21"/>
                      <w:highlight w:val="none"/>
                      <w:u w:color="000000"/>
                      <w:lang w:val="en-US" w:eastAsia="zh-CN" w:bidi="ar-SA"/>
                    </w:rPr>
                  </w:pPr>
                  <w:r>
                    <w:rPr>
                      <w:rFonts w:hint="eastAsia" w:ascii="Times New Roman" w:hAnsi="Times New Roman" w:eastAsia="宋体" w:cs="Times New Roman"/>
                      <w:b/>
                      <w:color w:val="auto"/>
                      <w:sz w:val="21"/>
                      <w:szCs w:val="21"/>
                      <w:highlight w:val="none"/>
                      <w:lang w:val="en-US" w:eastAsia="zh-CN"/>
                    </w:rPr>
                    <w:t>检测</w:t>
                  </w:r>
                  <w:r>
                    <w:rPr>
                      <w:rFonts w:hint="default" w:ascii="Times New Roman" w:hAnsi="Times New Roman" w:eastAsia="宋体" w:cs="Times New Roman"/>
                      <w:b/>
                      <w:color w:val="auto"/>
                      <w:sz w:val="21"/>
                      <w:szCs w:val="21"/>
                      <w:highlight w:val="none"/>
                      <w:lang w:val="en-US" w:eastAsia="zh-CN"/>
                    </w:rPr>
                    <w:t>点位</w:t>
                  </w:r>
                </w:p>
              </w:tc>
              <w:tc>
                <w:tcPr>
                  <w:tcW w:w="881" w:type="pct"/>
                  <w:tcBorders>
                    <w:tl2br w:val="nil"/>
                    <w:tr2bl w:val="nil"/>
                  </w:tcBorders>
                  <w:noWrap w:val="0"/>
                  <w:vAlign w:val="center"/>
                </w:tcPr>
                <w:p w14:paraId="47EE300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val="en-US" w:eastAsia="zh-CN"/>
                    </w:rPr>
                    <w:t>检测</w:t>
                  </w:r>
                  <w:r>
                    <w:rPr>
                      <w:rFonts w:hint="eastAsia" w:ascii="Times New Roman" w:hAnsi="Times New Roman" w:eastAsia="宋体" w:cs="Times New Roman"/>
                      <w:b/>
                      <w:color w:val="auto"/>
                      <w:sz w:val="21"/>
                      <w:szCs w:val="21"/>
                      <w:highlight w:val="none"/>
                      <w:lang w:eastAsia="zh-CN"/>
                    </w:rPr>
                    <w:t>时间</w:t>
                  </w:r>
                </w:p>
              </w:tc>
              <w:tc>
                <w:tcPr>
                  <w:tcW w:w="881" w:type="pct"/>
                  <w:tcBorders>
                    <w:tl2br w:val="nil"/>
                    <w:tr2bl w:val="nil"/>
                  </w:tcBorders>
                  <w:noWrap w:val="0"/>
                  <w:vAlign w:val="center"/>
                </w:tcPr>
                <w:p w14:paraId="7B7FB42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检测项目</w:t>
                  </w:r>
                </w:p>
              </w:tc>
              <w:tc>
                <w:tcPr>
                  <w:tcW w:w="1040" w:type="pct"/>
                  <w:tcBorders>
                    <w:tl2br w:val="nil"/>
                    <w:tr2bl w:val="nil"/>
                  </w:tcBorders>
                  <w:noWrap w:val="0"/>
                  <w:vAlign w:val="center"/>
                </w:tcPr>
                <w:p w14:paraId="3668C59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检测结果</w:t>
                  </w:r>
                </w:p>
              </w:tc>
              <w:tc>
                <w:tcPr>
                  <w:tcW w:w="1315" w:type="pct"/>
                  <w:tcBorders>
                    <w:tl2br w:val="nil"/>
                    <w:tr2bl w:val="nil"/>
                  </w:tcBorders>
                  <w:noWrap w:val="0"/>
                  <w:vAlign w:val="center"/>
                </w:tcPr>
                <w:p w14:paraId="21A3351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排放标准</w:t>
                  </w:r>
                </w:p>
              </w:tc>
            </w:tr>
            <w:tr w14:paraId="1C43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op w:val="single" w:color="000000" w:sz="4" w:space="0"/>
                    <w:tl2br w:val="nil"/>
                    <w:tr2bl w:val="nil"/>
                  </w:tcBorders>
                  <w:noWrap w:val="0"/>
                  <w:vAlign w:val="center"/>
                </w:tcPr>
                <w:p w14:paraId="6DC148C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default" w:ascii="Times New Roman" w:hAnsi="Times New Roman" w:eastAsia="宋体" w:cs="Times New Roman"/>
                      <w:b w:val="0"/>
                      <w:bCs w:val="0"/>
                      <w:snapToGrid/>
                      <w:color w:val="auto"/>
                      <w:sz w:val="21"/>
                      <w:szCs w:val="21"/>
                      <w:highlight w:val="none"/>
                      <w:lang w:val="en-US" w:eastAsia="zh-CN"/>
                    </w:rPr>
                    <w:t>上风向</w:t>
                  </w:r>
                  <w:r>
                    <w:rPr>
                      <w:rFonts w:hint="eastAsia" w:ascii="Times New Roman" w:hAnsi="Times New Roman" w:eastAsia="宋体" w:cs="Times New Roman"/>
                      <w:b w:val="0"/>
                      <w:bCs w:val="0"/>
                      <w:snapToGrid/>
                      <w:color w:val="auto"/>
                      <w:sz w:val="21"/>
                      <w:szCs w:val="21"/>
                      <w:highlight w:val="none"/>
                      <w:lang w:val="en-US" w:eastAsia="zh-CN"/>
                    </w:rPr>
                    <w:t>1#</w:t>
                  </w:r>
                </w:p>
              </w:tc>
              <w:tc>
                <w:tcPr>
                  <w:tcW w:w="881" w:type="pct"/>
                  <w:vMerge w:val="restart"/>
                  <w:tcBorders>
                    <w:top w:val="single" w:color="000000" w:sz="4" w:space="0"/>
                    <w:tl2br w:val="nil"/>
                    <w:tr2bl w:val="nil"/>
                  </w:tcBorders>
                  <w:noWrap w:val="0"/>
                  <w:vAlign w:val="center"/>
                </w:tcPr>
                <w:p w14:paraId="70A9350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2023.4.14</w:t>
                  </w:r>
                </w:p>
              </w:tc>
              <w:tc>
                <w:tcPr>
                  <w:tcW w:w="881" w:type="pct"/>
                  <w:vMerge w:val="restart"/>
                  <w:tcBorders>
                    <w:top w:val="single" w:color="000000" w:sz="4" w:space="0"/>
                    <w:tl2br w:val="nil"/>
                    <w:tr2bl w:val="nil"/>
                  </w:tcBorders>
                  <w:noWrap w:val="0"/>
                  <w:vAlign w:val="center"/>
                </w:tcPr>
                <w:p w14:paraId="37D3700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苯并[a]芘</w:t>
                  </w:r>
                </w:p>
              </w:tc>
              <w:tc>
                <w:tcPr>
                  <w:tcW w:w="1040" w:type="pct"/>
                  <w:tcBorders>
                    <w:top w:val="single" w:color="000000" w:sz="4" w:space="0"/>
                    <w:bottom w:val="single" w:color="auto" w:sz="4" w:space="0"/>
                    <w:tl2br w:val="nil"/>
                    <w:tr2bl w:val="nil"/>
                  </w:tcBorders>
                  <w:noWrap w:val="0"/>
                  <w:vAlign w:val="center"/>
                </w:tcPr>
                <w:p w14:paraId="4D9DED5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未检出</w:t>
                  </w:r>
                </w:p>
              </w:tc>
              <w:tc>
                <w:tcPr>
                  <w:tcW w:w="1315" w:type="pct"/>
                  <w:vMerge w:val="restart"/>
                  <w:tcBorders>
                    <w:top w:val="single" w:color="000000" w:sz="4" w:space="0"/>
                    <w:tl2br w:val="nil"/>
                    <w:tr2bl w:val="nil"/>
                  </w:tcBorders>
                  <w:noWrap w:val="0"/>
                  <w:vAlign w:val="center"/>
                </w:tcPr>
                <w:p w14:paraId="6C484C2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0.000008</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383A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765BB4C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2#</w:t>
                  </w:r>
                </w:p>
              </w:tc>
              <w:tc>
                <w:tcPr>
                  <w:tcW w:w="881" w:type="pct"/>
                  <w:vMerge w:val="continue"/>
                  <w:tcBorders>
                    <w:tl2br w:val="nil"/>
                    <w:tr2bl w:val="nil"/>
                  </w:tcBorders>
                  <w:noWrap w:val="0"/>
                  <w:vAlign w:val="center"/>
                </w:tcPr>
                <w:p w14:paraId="1B2BCB9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tl2br w:val="nil"/>
                    <w:tr2bl w:val="nil"/>
                  </w:tcBorders>
                  <w:noWrap w:val="0"/>
                  <w:vAlign w:val="center"/>
                </w:tcPr>
                <w:p w14:paraId="219DD33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040" w:type="pct"/>
                  <w:tcBorders>
                    <w:top w:val="single" w:color="auto" w:sz="4" w:space="0"/>
                    <w:bottom w:val="single" w:color="auto" w:sz="4" w:space="0"/>
                    <w:tl2br w:val="nil"/>
                    <w:tr2bl w:val="nil"/>
                  </w:tcBorders>
                  <w:noWrap w:val="0"/>
                  <w:vAlign w:val="center"/>
                </w:tcPr>
                <w:p w14:paraId="7DDB5B6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未检出</w:t>
                  </w:r>
                </w:p>
              </w:tc>
              <w:tc>
                <w:tcPr>
                  <w:tcW w:w="1315" w:type="pct"/>
                  <w:vMerge w:val="continue"/>
                  <w:tcBorders>
                    <w:tl2br w:val="nil"/>
                    <w:tr2bl w:val="nil"/>
                  </w:tcBorders>
                  <w:noWrap w:val="0"/>
                  <w:vAlign w:val="center"/>
                </w:tcPr>
                <w:p w14:paraId="2F276EF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3E2A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tl2br w:val="nil"/>
                    <w:tr2bl w:val="nil"/>
                  </w:tcBorders>
                  <w:noWrap w:val="0"/>
                  <w:vAlign w:val="center"/>
                </w:tcPr>
                <w:p w14:paraId="5A0C9F9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1" w:type="pct"/>
                  <w:vMerge w:val="continue"/>
                  <w:tcBorders>
                    <w:tl2br w:val="nil"/>
                    <w:tr2bl w:val="nil"/>
                  </w:tcBorders>
                  <w:noWrap w:val="0"/>
                  <w:vAlign w:val="center"/>
                </w:tcPr>
                <w:p w14:paraId="09E4A93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tl2br w:val="nil"/>
                    <w:tr2bl w:val="nil"/>
                  </w:tcBorders>
                  <w:noWrap w:val="0"/>
                  <w:vAlign w:val="center"/>
                </w:tcPr>
                <w:p w14:paraId="2C00BD0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717" w:type="dxa"/>
                  <w:tcBorders>
                    <w:top w:val="single" w:color="auto" w:sz="4" w:space="0"/>
                    <w:bottom w:val="single" w:color="auto" w:sz="4" w:space="0"/>
                    <w:tl2br w:val="nil"/>
                    <w:tr2bl w:val="nil"/>
                  </w:tcBorders>
                  <w:noWrap w:val="0"/>
                  <w:vAlign w:val="center"/>
                </w:tcPr>
                <w:p w14:paraId="694CB2E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未检出</w:t>
                  </w:r>
                </w:p>
              </w:tc>
              <w:tc>
                <w:tcPr>
                  <w:tcW w:w="1315" w:type="pct"/>
                  <w:vMerge w:val="continue"/>
                  <w:tcBorders>
                    <w:tl2br w:val="nil"/>
                    <w:tr2bl w:val="nil"/>
                  </w:tcBorders>
                  <w:noWrap w:val="0"/>
                  <w:vAlign w:val="center"/>
                </w:tcPr>
                <w:p w14:paraId="387A076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782E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0" w:type="pct"/>
                  <w:tcBorders>
                    <w:bottom w:val="single" w:color="auto" w:sz="4" w:space="0"/>
                    <w:tl2br w:val="nil"/>
                    <w:tr2bl w:val="nil"/>
                  </w:tcBorders>
                  <w:noWrap w:val="0"/>
                  <w:vAlign w:val="center"/>
                </w:tcPr>
                <w:p w14:paraId="66405F9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w:t>
                  </w: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w:t>
                  </w:r>
                </w:p>
              </w:tc>
              <w:tc>
                <w:tcPr>
                  <w:tcW w:w="881" w:type="pct"/>
                  <w:vMerge w:val="continue"/>
                  <w:tcBorders>
                    <w:bottom w:val="single" w:color="auto" w:sz="4" w:space="0"/>
                    <w:tl2br w:val="nil"/>
                    <w:tr2bl w:val="nil"/>
                  </w:tcBorders>
                  <w:noWrap w:val="0"/>
                  <w:vAlign w:val="center"/>
                </w:tcPr>
                <w:p w14:paraId="6BEA04E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881" w:type="pct"/>
                  <w:vMerge w:val="continue"/>
                  <w:tcBorders>
                    <w:bottom w:val="single" w:color="auto" w:sz="4" w:space="0"/>
                    <w:tl2br w:val="nil"/>
                    <w:tr2bl w:val="nil"/>
                  </w:tcBorders>
                  <w:noWrap w:val="0"/>
                  <w:vAlign w:val="center"/>
                </w:tcPr>
                <w:p w14:paraId="4C6A8C1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sz w:val="21"/>
                      <w:szCs w:val="21"/>
                      <w:highlight w:val="none"/>
                      <w:lang w:val="en-US" w:eastAsia="zh-CN"/>
                    </w:rPr>
                  </w:pPr>
                </w:p>
              </w:tc>
              <w:tc>
                <w:tcPr>
                  <w:tcW w:w="1717" w:type="dxa"/>
                  <w:tcBorders>
                    <w:top w:val="single" w:color="auto" w:sz="4" w:space="0"/>
                    <w:bottom w:val="single" w:color="auto" w:sz="4" w:space="0"/>
                    <w:tl2br w:val="nil"/>
                    <w:tr2bl w:val="nil"/>
                  </w:tcBorders>
                  <w:noWrap w:val="0"/>
                  <w:vAlign w:val="center"/>
                </w:tcPr>
                <w:p w14:paraId="4B61C1D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未检出</w:t>
                  </w:r>
                </w:p>
              </w:tc>
              <w:tc>
                <w:tcPr>
                  <w:tcW w:w="1315" w:type="pct"/>
                  <w:vMerge w:val="continue"/>
                  <w:tcBorders>
                    <w:bottom w:val="single" w:color="auto" w:sz="4" w:space="0"/>
                    <w:tl2br w:val="nil"/>
                    <w:tr2bl w:val="nil"/>
                  </w:tcBorders>
                  <w:noWrap w:val="0"/>
                  <w:vAlign w:val="center"/>
                </w:tcPr>
                <w:p w14:paraId="1C9BC65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14:paraId="79B7012D">
            <w:pPr>
              <w:tabs>
                <w:tab w:val="left" w:pos="470"/>
                <w:tab w:val="left" w:pos="6840"/>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根据上表，</w:t>
            </w:r>
            <w:r>
              <w:rPr>
                <w:rFonts w:hint="eastAsia" w:cs="Times New Roman"/>
                <w:color w:val="auto"/>
                <w:sz w:val="24"/>
                <w:szCs w:val="24"/>
                <w:highlight w:val="none"/>
                <w:lang w:val="en-US" w:eastAsia="zh-CN"/>
              </w:rPr>
              <w:t>厂界</w:t>
            </w:r>
            <w:r>
              <w:rPr>
                <w:rFonts w:hint="eastAsia" w:ascii="Times New Roman" w:hAnsi="Times New Roman" w:eastAsia="宋体" w:cs="Times New Roman"/>
                <w:color w:val="auto"/>
                <w:sz w:val="24"/>
                <w:szCs w:val="24"/>
                <w:highlight w:val="none"/>
                <w:lang w:eastAsia="zh-CN"/>
              </w:rPr>
              <w:t>无组织</w:t>
            </w:r>
            <w:r>
              <w:rPr>
                <w:rFonts w:hint="eastAsia" w:cs="Times New Roman"/>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eastAsia="zh-CN"/>
              </w:rPr>
              <w:t>浓度满足《建材工业大气污染物排放标准》（DB37/2373-2018）表</w:t>
            </w:r>
            <w:r>
              <w:rPr>
                <w:rFonts w:hint="eastAsia" w:cs="Times New Roman"/>
                <w:color w:val="auto"/>
                <w:sz w:val="24"/>
                <w:szCs w:val="24"/>
                <w:highlight w:val="none"/>
                <w:lang w:val="en-US" w:eastAsia="zh-CN"/>
              </w:rPr>
              <w:t>3标准</w:t>
            </w:r>
            <w:r>
              <w:rPr>
                <w:rFonts w:hint="eastAsia" w:ascii="Times New Roman" w:hAnsi="Times New Roman" w:eastAsia="宋体" w:cs="Times New Roman"/>
                <w:color w:val="auto"/>
                <w:sz w:val="24"/>
                <w:szCs w:val="24"/>
                <w:highlight w:val="none"/>
                <w:lang w:eastAsia="zh-CN"/>
              </w:rPr>
              <w:t>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因企业有水稳碎石生产线和水泥混凝土生产线，结合企业现有项目的排污许可证要求，确定厂界无组织颗粒物执行水泥行业标准，0.5mg/m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厂界</w:t>
            </w:r>
            <w:r>
              <w:rPr>
                <w:rFonts w:hint="eastAsia" w:ascii="Times New Roman" w:hAnsi="Times New Roman" w:eastAsia="宋体" w:cs="Times New Roman"/>
                <w:color w:val="auto"/>
                <w:sz w:val="24"/>
                <w:szCs w:val="24"/>
                <w:highlight w:val="none"/>
                <w:lang w:eastAsia="zh-CN"/>
              </w:rPr>
              <w:t>无组织</w:t>
            </w:r>
            <w:r>
              <w:rPr>
                <w:rFonts w:hint="eastAsia" w:ascii="Times New Roman" w:hAnsi="Times New Roman" w:eastAsia="宋体" w:cs="Times New Roman"/>
                <w:snapToGrid/>
                <w:color w:val="auto"/>
                <w:sz w:val="24"/>
                <w:szCs w:val="24"/>
                <w:highlight w:val="none"/>
                <w:lang w:val="en-US" w:eastAsia="zh-CN"/>
              </w:rPr>
              <w:t>苯并[a]芘</w:t>
            </w:r>
            <w:r>
              <w:rPr>
                <w:rFonts w:hint="eastAsia" w:ascii="Times New Roman" w:hAnsi="Times New Roman" w:eastAsia="宋体" w:cs="Times New Roman"/>
                <w:color w:val="auto"/>
                <w:sz w:val="24"/>
                <w:szCs w:val="24"/>
                <w:highlight w:val="none"/>
                <w:lang w:eastAsia="zh-CN"/>
              </w:rPr>
              <w:t>浓度满足《大气污染物综合排放标准》（GB16297-1996）表</w:t>
            </w:r>
            <w:r>
              <w:rPr>
                <w:rFonts w:hint="eastAsia" w:cs="Times New Roman"/>
                <w:color w:val="auto"/>
                <w:sz w:val="24"/>
                <w:szCs w:val="24"/>
                <w:highlight w:val="none"/>
                <w:lang w:val="en-US" w:eastAsia="zh-CN"/>
              </w:rPr>
              <w:t>2标准</w:t>
            </w:r>
            <w:r>
              <w:rPr>
                <w:rFonts w:hint="eastAsia" w:ascii="Times New Roman" w:hAnsi="Times New Roman" w:eastAsia="宋体" w:cs="Times New Roman"/>
                <w:color w:val="auto"/>
                <w:sz w:val="24"/>
                <w:szCs w:val="24"/>
                <w:highlight w:val="none"/>
                <w:lang w:eastAsia="zh-CN"/>
              </w:rPr>
              <w:t>要求</w:t>
            </w:r>
            <w:r>
              <w:rPr>
                <w:rFonts w:hint="eastAsia" w:ascii="Times New Roman" w:hAnsi="Times New Roman" w:eastAsia="宋体" w:cs="Times New Roman"/>
                <w:color w:val="auto"/>
                <w:sz w:val="24"/>
                <w:szCs w:val="24"/>
                <w:highlight w:val="none"/>
                <w:lang w:val="en-US" w:eastAsia="zh-CN"/>
              </w:rPr>
              <w:t>。</w:t>
            </w:r>
          </w:p>
          <w:p w14:paraId="5E0F2C0A">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eastAsia" w:ascii="Times New Roman" w:hAnsi="Times New Roman" w:eastAsia="宋体" w:cs="Times New Roman"/>
                <w:b/>
                <w:caps w:val="0"/>
                <w:color w:val="auto"/>
                <w:spacing w:val="0"/>
                <w:kern w:val="0"/>
                <w:position w:val="0"/>
                <w:sz w:val="24"/>
                <w:szCs w:val="24"/>
                <w:highlight w:val="none"/>
                <w:lang w:val="en-US" w:eastAsia="zh-CN"/>
              </w:rPr>
              <w:t>有组织</w:t>
            </w:r>
            <w:r>
              <w:rPr>
                <w:rFonts w:hint="default" w:ascii="Times New Roman" w:hAnsi="Times New Roman" w:eastAsia="宋体" w:cs="Times New Roman"/>
                <w:b/>
                <w:caps w:val="0"/>
                <w:color w:val="auto"/>
                <w:spacing w:val="0"/>
                <w:kern w:val="0"/>
                <w:position w:val="0"/>
                <w:sz w:val="24"/>
                <w:szCs w:val="24"/>
                <w:highlight w:val="none"/>
                <w:lang w:val="en-US" w:eastAsia="zh-CN"/>
              </w:rPr>
              <w:t>废气污染物排放情况一览表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9"/>
              <w:gridCol w:w="1048"/>
              <w:gridCol w:w="1265"/>
              <w:gridCol w:w="1473"/>
              <w:gridCol w:w="1159"/>
              <w:gridCol w:w="1872"/>
            </w:tblGrid>
            <w:tr w14:paraId="3E2A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noWrap w:val="0"/>
                  <w:vAlign w:val="center"/>
                </w:tcPr>
                <w:p w14:paraId="45DAB75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检测</w:t>
                  </w:r>
                  <w:r>
                    <w:rPr>
                      <w:rFonts w:hint="default" w:ascii="Times New Roman" w:hAnsi="Times New Roman" w:eastAsia="宋体" w:cs="Times New Roman"/>
                      <w:b/>
                      <w:color w:val="auto"/>
                      <w:sz w:val="21"/>
                      <w:szCs w:val="21"/>
                      <w:highlight w:val="none"/>
                      <w:lang w:val="en-US" w:eastAsia="zh-CN"/>
                    </w:rPr>
                    <w:t>点位</w:t>
                  </w:r>
                </w:p>
              </w:tc>
              <w:tc>
                <w:tcPr>
                  <w:tcW w:w="667" w:type="pct"/>
                  <w:tcBorders>
                    <w:tl2br w:val="nil"/>
                    <w:tr2bl w:val="nil"/>
                  </w:tcBorders>
                  <w:noWrap w:val="0"/>
                  <w:vAlign w:val="center"/>
                </w:tcPr>
                <w:p w14:paraId="5706F69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val="en-US" w:eastAsia="zh-CN"/>
                    </w:rPr>
                    <w:t>检测</w:t>
                  </w:r>
                  <w:r>
                    <w:rPr>
                      <w:rFonts w:hint="eastAsia" w:ascii="Times New Roman" w:hAnsi="Times New Roman" w:eastAsia="宋体" w:cs="Times New Roman"/>
                      <w:b/>
                      <w:color w:val="auto"/>
                      <w:sz w:val="21"/>
                      <w:szCs w:val="21"/>
                      <w:highlight w:val="none"/>
                      <w:lang w:eastAsia="zh-CN"/>
                    </w:rPr>
                    <w:t>时间</w:t>
                  </w:r>
                </w:p>
              </w:tc>
              <w:tc>
                <w:tcPr>
                  <w:tcW w:w="806" w:type="pct"/>
                  <w:tcBorders>
                    <w:tl2br w:val="nil"/>
                    <w:tr2bl w:val="nil"/>
                  </w:tcBorders>
                  <w:noWrap w:val="0"/>
                  <w:vAlign w:val="center"/>
                </w:tcPr>
                <w:p w14:paraId="40F898D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检测项目</w:t>
                  </w:r>
                </w:p>
              </w:tc>
              <w:tc>
                <w:tcPr>
                  <w:tcW w:w="938" w:type="pct"/>
                  <w:tcBorders>
                    <w:tl2br w:val="nil"/>
                    <w:tr2bl w:val="nil"/>
                  </w:tcBorders>
                  <w:noWrap w:val="0"/>
                  <w:vAlign w:val="center"/>
                </w:tcPr>
                <w:p w14:paraId="449999E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w:t>
                  </w:r>
                  <w:r>
                    <w:rPr>
                      <w:rFonts w:hint="eastAsia" w:ascii="Times New Roman" w:hAnsi="Times New Roman" w:eastAsia="宋体" w:cs="Times New Roman"/>
                      <w:b/>
                      <w:color w:val="auto"/>
                      <w:sz w:val="21"/>
                      <w:szCs w:val="21"/>
                      <w:highlight w:val="none"/>
                      <w:lang w:val="en-US" w:eastAsia="zh-CN"/>
                    </w:rPr>
                    <w:t>浓度</w:t>
                  </w:r>
                </w:p>
              </w:tc>
              <w:tc>
                <w:tcPr>
                  <w:tcW w:w="738" w:type="pct"/>
                  <w:tcBorders>
                    <w:tl2br w:val="nil"/>
                    <w:tr2bl w:val="nil"/>
                  </w:tcBorders>
                  <w:noWrap w:val="0"/>
                  <w:vAlign w:val="center"/>
                </w:tcPr>
                <w:p w14:paraId="7F5E584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排放速率</w:t>
                  </w:r>
                </w:p>
              </w:tc>
              <w:tc>
                <w:tcPr>
                  <w:tcW w:w="1192" w:type="pct"/>
                  <w:tcBorders>
                    <w:tl2br w:val="nil"/>
                    <w:tr2bl w:val="nil"/>
                  </w:tcBorders>
                  <w:noWrap w:val="0"/>
                  <w:vAlign w:val="center"/>
                </w:tcPr>
                <w:p w14:paraId="2BC5730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排放标准</w:t>
                  </w:r>
                </w:p>
              </w:tc>
            </w:tr>
            <w:tr w14:paraId="03CA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restart"/>
                  <w:tcBorders>
                    <w:top w:val="single" w:color="000000" w:sz="4" w:space="0"/>
                    <w:tl2br w:val="nil"/>
                    <w:tr2bl w:val="nil"/>
                  </w:tcBorders>
                  <w:noWrap w:val="0"/>
                  <w:vAlign w:val="center"/>
                </w:tcPr>
                <w:p w14:paraId="0AB47EE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eastAsia="宋体" w:cs="Times New Roman"/>
                      <w:snapToGrid/>
                      <w:color w:val="auto"/>
                      <w:sz w:val="21"/>
                      <w:szCs w:val="21"/>
                      <w:highlight w:val="none"/>
                      <w:lang w:val="en-US" w:eastAsia="zh-CN"/>
                    </w:rPr>
                    <w:t>DA00</w:t>
                  </w:r>
                  <w:r>
                    <w:rPr>
                      <w:rFonts w:hint="eastAsia" w:ascii="Times New Roman" w:hAnsi="Times New Roman" w:cs="Times New Roman"/>
                      <w:snapToGrid/>
                      <w:color w:val="auto"/>
                      <w:sz w:val="21"/>
                      <w:szCs w:val="21"/>
                      <w:highlight w:val="none"/>
                      <w:lang w:val="en-US" w:eastAsia="zh-CN"/>
                    </w:rPr>
                    <w:t>1</w:t>
                  </w:r>
                </w:p>
              </w:tc>
              <w:tc>
                <w:tcPr>
                  <w:tcW w:w="667" w:type="pct"/>
                  <w:vMerge w:val="restart"/>
                  <w:tcBorders>
                    <w:top w:val="single" w:color="000000" w:sz="4" w:space="0"/>
                    <w:tl2br w:val="nil"/>
                    <w:tr2bl w:val="nil"/>
                  </w:tcBorders>
                  <w:noWrap w:val="0"/>
                  <w:vAlign w:val="center"/>
                </w:tcPr>
                <w:p w14:paraId="09726BD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2023.4.14</w:t>
                  </w:r>
                </w:p>
              </w:tc>
              <w:tc>
                <w:tcPr>
                  <w:tcW w:w="806" w:type="pct"/>
                  <w:tcBorders>
                    <w:top w:val="single" w:color="000000" w:sz="4" w:space="0"/>
                    <w:bottom w:val="single" w:color="auto" w:sz="4" w:space="0"/>
                    <w:tl2br w:val="nil"/>
                    <w:tr2bl w:val="nil"/>
                  </w:tcBorders>
                  <w:noWrap w:val="0"/>
                  <w:vAlign w:val="center"/>
                </w:tcPr>
                <w:p w14:paraId="66F6CFA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eastAsia" w:ascii="Times New Roman" w:hAnsi="Times New Roman" w:eastAsia="宋体" w:cs="Times New Roman"/>
                      <w:b w:val="0"/>
                      <w:bCs w:val="0"/>
                      <w:snapToGrid/>
                      <w:color w:val="auto"/>
                      <w:sz w:val="21"/>
                      <w:szCs w:val="21"/>
                      <w:highlight w:val="none"/>
                      <w:lang w:val="en-US" w:eastAsia="zh-CN"/>
                    </w:rPr>
                    <w:t>颗粒物</w:t>
                  </w:r>
                </w:p>
              </w:tc>
              <w:tc>
                <w:tcPr>
                  <w:tcW w:w="938" w:type="pct"/>
                  <w:tcBorders>
                    <w:top w:val="single" w:color="000000" w:sz="4" w:space="0"/>
                    <w:bottom w:val="single" w:color="auto" w:sz="4" w:space="0"/>
                    <w:tl2br w:val="nil"/>
                    <w:tr2bl w:val="nil"/>
                  </w:tcBorders>
                  <w:noWrap w:val="0"/>
                  <w:vAlign w:val="center"/>
                </w:tcPr>
                <w:p w14:paraId="54B8A85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3.</w:t>
                  </w:r>
                  <w:r>
                    <w:rPr>
                      <w:rFonts w:hint="eastAsia" w:ascii="Times New Roman" w:hAnsi="Times New Roman"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738" w:type="pct"/>
                  <w:tcBorders>
                    <w:top w:val="single" w:color="000000" w:sz="4" w:space="0"/>
                    <w:tl2br w:val="nil"/>
                    <w:tr2bl w:val="nil"/>
                  </w:tcBorders>
                  <w:noWrap w:val="0"/>
                  <w:vAlign w:val="center"/>
                </w:tcPr>
                <w:p w14:paraId="7243557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10</w:t>
                  </w:r>
                  <w:r>
                    <w:rPr>
                      <w:rFonts w:hint="eastAsia" w:ascii="Times New Roman" w:hAnsi="Times New Roman" w:eastAsia="宋体" w:cs="Times New Roman"/>
                      <w:b w:val="0"/>
                      <w:bCs w:val="0"/>
                      <w:color w:val="auto"/>
                      <w:sz w:val="21"/>
                      <w:szCs w:val="21"/>
                      <w:highlight w:val="none"/>
                      <w:lang w:val="en-US" w:eastAsia="zh-CN"/>
                    </w:rPr>
                    <w:t>4kg/h</w:t>
                  </w:r>
                </w:p>
              </w:tc>
              <w:tc>
                <w:tcPr>
                  <w:tcW w:w="1192" w:type="pct"/>
                  <w:tcBorders>
                    <w:top w:val="single" w:color="000000" w:sz="4" w:space="0"/>
                    <w:tl2br w:val="nil"/>
                    <w:tr2bl w:val="nil"/>
                  </w:tcBorders>
                  <w:noWrap w:val="0"/>
                  <w:vAlign w:val="center"/>
                </w:tcPr>
                <w:p w14:paraId="431392B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superscript"/>
                      <w:lang w:val="en-US" w:eastAsia="zh-CN"/>
                    </w:rPr>
                  </w:pPr>
                  <w:r>
                    <w:rPr>
                      <w:rFonts w:hint="eastAsia" w:ascii="Times New Roman" w:hAnsi="Times New Roman" w:eastAsia="宋体" w:cs="Times New Roman"/>
                      <w:b w:val="0"/>
                      <w:bCs w:val="0"/>
                      <w:color w:val="auto"/>
                      <w:sz w:val="21"/>
                      <w:szCs w:val="21"/>
                      <w:highlight w:val="none"/>
                      <w:lang w:val="en-US" w:eastAsia="zh-CN"/>
                    </w:rPr>
                    <w:t>浓度：</w:t>
                  </w:r>
                  <w:r>
                    <w:rPr>
                      <w:rFonts w:hint="eastAsia" w:ascii="Times New Roman" w:hAnsi="Times New Roman"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p w14:paraId="172E657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ascii="Times New Roman" w:hAnsi="Times New Roman" w:eastAsia="宋体" w:cs="Times New Roman"/>
                      <w:b w:val="0"/>
                      <w:bCs w:val="0"/>
                      <w:color w:val="auto"/>
                      <w:sz w:val="21"/>
                      <w:szCs w:val="21"/>
                      <w:highlight w:val="none"/>
                      <w:lang w:val="en-US" w:eastAsia="zh-CN"/>
                    </w:rPr>
                    <w:t>速率：3.5kg/h</w:t>
                  </w:r>
                </w:p>
              </w:tc>
            </w:tr>
            <w:tr w14:paraId="4D48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4AAABBD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2F4F4D3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4D8D33E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cs="Times New Roman"/>
                      <w:b w:val="0"/>
                      <w:bCs w:val="0"/>
                      <w:snapToGrid/>
                      <w:color w:val="auto"/>
                      <w:sz w:val="21"/>
                      <w:szCs w:val="21"/>
                      <w:highlight w:val="none"/>
                      <w:lang w:val="en-US" w:eastAsia="zh-CN"/>
                    </w:rPr>
                    <w:t>二氧化硫</w:t>
                  </w:r>
                </w:p>
              </w:tc>
              <w:tc>
                <w:tcPr>
                  <w:tcW w:w="938" w:type="pct"/>
                  <w:tcBorders>
                    <w:top w:val="single" w:color="000000" w:sz="4" w:space="0"/>
                    <w:bottom w:val="single" w:color="auto" w:sz="4" w:space="0"/>
                    <w:tl2br w:val="nil"/>
                    <w:tr2bl w:val="nil"/>
                  </w:tcBorders>
                  <w:noWrap w:val="0"/>
                  <w:vAlign w:val="center"/>
                </w:tcPr>
                <w:p w14:paraId="281874D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未检出</w:t>
                  </w:r>
                </w:p>
              </w:tc>
              <w:tc>
                <w:tcPr>
                  <w:tcW w:w="738" w:type="pct"/>
                  <w:tcBorders>
                    <w:top w:val="single" w:color="000000" w:sz="4" w:space="0"/>
                    <w:tl2br w:val="nil"/>
                    <w:tr2bl w:val="nil"/>
                  </w:tcBorders>
                  <w:noWrap w:val="0"/>
                  <w:vAlign w:val="center"/>
                </w:tcPr>
                <w:p w14:paraId="1E9EC45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228B596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superscript"/>
                      <w:lang w:val="en-US" w:eastAsia="zh-CN"/>
                    </w:rPr>
                  </w:pPr>
                  <w:r>
                    <w:rPr>
                      <w:rFonts w:hint="eastAsia" w:ascii="Times New Roman" w:hAnsi="Times New Roman" w:eastAsia="宋体" w:cs="Times New Roman"/>
                      <w:b w:val="0"/>
                      <w:bCs w:val="0"/>
                      <w:color w:val="auto"/>
                      <w:sz w:val="21"/>
                      <w:szCs w:val="21"/>
                      <w:highlight w:val="none"/>
                      <w:lang w:val="en-US" w:eastAsia="zh-CN"/>
                    </w:rPr>
                    <w:t>浓度：</w:t>
                  </w:r>
                  <w:r>
                    <w:rPr>
                      <w:rFonts w:hint="eastAsia" w:ascii="Times New Roman" w:hAnsi="Times New Roman"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p w14:paraId="02C1C00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ascii="Times New Roman" w:hAnsi="Times New Roman" w:eastAsia="宋体" w:cs="Times New Roman"/>
                      <w:b w:val="0"/>
                      <w:bCs w:val="0"/>
                      <w:color w:val="auto"/>
                      <w:sz w:val="21"/>
                      <w:szCs w:val="21"/>
                      <w:highlight w:val="none"/>
                      <w:lang w:val="en-US" w:eastAsia="zh-CN"/>
                    </w:rPr>
                    <w:t>速率：2.6kg/h</w:t>
                  </w:r>
                </w:p>
              </w:tc>
            </w:tr>
            <w:tr w14:paraId="7743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44E105C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2C25EFE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1ACAF9B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color w:val="auto"/>
                      <w:sz w:val="21"/>
                      <w:szCs w:val="21"/>
                      <w:highlight w:val="none"/>
                      <w:lang w:val="en-US" w:eastAsia="zh-CN"/>
                    </w:rPr>
                  </w:pPr>
                  <w:r>
                    <w:rPr>
                      <w:rFonts w:hint="eastAsia" w:ascii="Times New Roman" w:hAnsi="Times New Roman" w:cs="Times New Roman"/>
                      <w:b w:val="0"/>
                      <w:bCs w:val="0"/>
                      <w:snapToGrid/>
                      <w:color w:val="auto"/>
                      <w:sz w:val="21"/>
                      <w:szCs w:val="21"/>
                      <w:highlight w:val="none"/>
                      <w:lang w:val="en-US" w:eastAsia="zh-CN"/>
                    </w:rPr>
                    <w:t>氮氧化物</w:t>
                  </w:r>
                </w:p>
              </w:tc>
              <w:tc>
                <w:tcPr>
                  <w:tcW w:w="938" w:type="pct"/>
                  <w:tcBorders>
                    <w:top w:val="single" w:color="000000" w:sz="4" w:space="0"/>
                    <w:bottom w:val="single" w:color="auto" w:sz="4" w:space="0"/>
                    <w:tl2br w:val="nil"/>
                    <w:tr2bl w:val="nil"/>
                  </w:tcBorders>
                  <w:noWrap w:val="0"/>
                  <w:vAlign w:val="center"/>
                </w:tcPr>
                <w:p w14:paraId="06916DB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未检出</w:t>
                  </w:r>
                </w:p>
              </w:tc>
              <w:tc>
                <w:tcPr>
                  <w:tcW w:w="738" w:type="pct"/>
                  <w:tcBorders>
                    <w:top w:val="single" w:color="000000" w:sz="4" w:space="0"/>
                    <w:tl2br w:val="nil"/>
                    <w:tr2bl w:val="nil"/>
                  </w:tcBorders>
                  <w:noWrap w:val="0"/>
                  <w:vAlign w:val="center"/>
                </w:tcPr>
                <w:p w14:paraId="345DC80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1FE9436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superscript"/>
                      <w:lang w:val="en-US" w:eastAsia="zh-CN"/>
                    </w:rPr>
                  </w:pPr>
                  <w:r>
                    <w:rPr>
                      <w:rFonts w:hint="eastAsia" w:ascii="Times New Roman" w:hAnsi="Times New Roman" w:eastAsia="宋体" w:cs="Times New Roman"/>
                      <w:b w:val="0"/>
                      <w:bCs w:val="0"/>
                      <w:color w:val="auto"/>
                      <w:sz w:val="21"/>
                      <w:szCs w:val="21"/>
                      <w:highlight w:val="none"/>
                      <w:lang w:val="en-US" w:eastAsia="zh-CN"/>
                    </w:rPr>
                    <w:t>浓度：100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p w14:paraId="6BAB148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ascii="Times New Roman" w:hAnsi="Times New Roman" w:eastAsia="宋体" w:cs="Times New Roman"/>
                      <w:b w:val="0"/>
                      <w:bCs w:val="0"/>
                      <w:color w:val="auto"/>
                      <w:sz w:val="21"/>
                      <w:szCs w:val="21"/>
                      <w:highlight w:val="none"/>
                      <w:lang w:val="en-US" w:eastAsia="zh-CN"/>
                    </w:rPr>
                    <w:t>速率：0.77kg/h</w:t>
                  </w:r>
                </w:p>
              </w:tc>
            </w:tr>
            <w:tr w14:paraId="0B66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46DA44B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620EEF5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6B6C553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color w:val="auto"/>
                      <w:sz w:val="21"/>
                      <w:szCs w:val="21"/>
                      <w:highlight w:val="none"/>
                      <w:lang w:val="en-US" w:eastAsia="zh-CN"/>
                    </w:rPr>
                  </w:pPr>
                  <w:r>
                    <w:rPr>
                      <w:rFonts w:hint="eastAsia" w:ascii="Times New Roman" w:hAnsi="Times New Roman" w:cs="Times New Roman"/>
                      <w:b w:val="0"/>
                      <w:bCs w:val="0"/>
                      <w:snapToGrid/>
                      <w:color w:val="auto"/>
                      <w:sz w:val="21"/>
                      <w:szCs w:val="21"/>
                      <w:highlight w:val="none"/>
                      <w:lang w:val="en-US" w:eastAsia="zh-CN"/>
                    </w:rPr>
                    <w:t>沥青烟</w:t>
                  </w:r>
                </w:p>
              </w:tc>
              <w:tc>
                <w:tcPr>
                  <w:tcW w:w="938" w:type="pct"/>
                  <w:tcBorders>
                    <w:top w:val="single" w:color="000000" w:sz="4" w:space="0"/>
                    <w:bottom w:val="single" w:color="auto" w:sz="4" w:space="0"/>
                    <w:tl2br w:val="nil"/>
                    <w:tr2bl w:val="nil"/>
                  </w:tcBorders>
                  <w:noWrap w:val="0"/>
                  <w:vAlign w:val="center"/>
                </w:tcPr>
                <w:p w14:paraId="2F5646A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4.6</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738" w:type="pct"/>
                  <w:tcBorders>
                    <w:top w:val="single" w:color="000000" w:sz="4" w:space="0"/>
                    <w:tl2br w:val="nil"/>
                    <w:tr2bl w:val="nil"/>
                  </w:tcBorders>
                  <w:noWrap w:val="0"/>
                  <w:vAlign w:val="center"/>
                </w:tcPr>
                <w:p w14:paraId="652C2BF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128</w:t>
                  </w:r>
                  <w:r>
                    <w:rPr>
                      <w:rFonts w:hint="eastAsia" w:ascii="Times New Roman" w:hAnsi="Times New Roman" w:eastAsia="宋体" w:cs="Times New Roman"/>
                      <w:b w:val="0"/>
                      <w:bCs w:val="0"/>
                      <w:color w:val="auto"/>
                      <w:sz w:val="21"/>
                      <w:szCs w:val="21"/>
                      <w:highlight w:val="none"/>
                      <w:lang w:val="en-US" w:eastAsia="zh-CN"/>
                    </w:rPr>
                    <w:t>kg/h</w:t>
                  </w:r>
                </w:p>
              </w:tc>
              <w:tc>
                <w:tcPr>
                  <w:tcW w:w="1192" w:type="pct"/>
                  <w:tcBorders>
                    <w:top w:val="single" w:color="000000" w:sz="4" w:space="0"/>
                    <w:tl2br w:val="nil"/>
                    <w:tr2bl w:val="nil"/>
                  </w:tcBorders>
                  <w:noWrap w:val="0"/>
                  <w:vAlign w:val="center"/>
                </w:tcPr>
                <w:p w14:paraId="26FD8EB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75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5FF62A9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0.18</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7004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4DCDAA6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68E5872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7E5D1BB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snapToGrid/>
                      <w:color w:val="auto"/>
                      <w:sz w:val="21"/>
                      <w:szCs w:val="21"/>
                      <w:highlight w:val="none"/>
                      <w:lang w:val="en-US" w:eastAsia="zh-CN"/>
                    </w:rPr>
                  </w:pPr>
                  <w:r>
                    <w:rPr>
                      <w:rFonts w:hint="eastAsia" w:ascii="Times New Roman" w:hAnsi="Times New Roman" w:eastAsia="宋体" w:cs="Times New Roman"/>
                      <w:snapToGrid/>
                      <w:color w:val="auto"/>
                      <w:sz w:val="21"/>
                      <w:szCs w:val="21"/>
                      <w:highlight w:val="none"/>
                      <w:lang w:val="en-US" w:eastAsia="zh-CN"/>
                    </w:rPr>
                    <w:t>苯并[a]芘</w:t>
                  </w:r>
                </w:p>
              </w:tc>
              <w:tc>
                <w:tcPr>
                  <w:tcW w:w="938" w:type="pct"/>
                  <w:tcBorders>
                    <w:top w:val="single" w:color="000000" w:sz="4" w:space="0"/>
                    <w:bottom w:val="single" w:color="auto" w:sz="4" w:space="0"/>
                    <w:tl2br w:val="nil"/>
                    <w:tr2bl w:val="nil"/>
                  </w:tcBorders>
                  <w:noWrap w:val="0"/>
                  <w:vAlign w:val="center"/>
                </w:tcPr>
                <w:p w14:paraId="7FDAB26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未检出</w:t>
                  </w:r>
                </w:p>
              </w:tc>
              <w:tc>
                <w:tcPr>
                  <w:tcW w:w="738" w:type="pct"/>
                  <w:tcBorders>
                    <w:top w:val="single" w:color="000000" w:sz="4" w:space="0"/>
                    <w:tl2br w:val="nil"/>
                    <w:tr2bl w:val="nil"/>
                  </w:tcBorders>
                  <w:noWrap w:val="0"/>
                  <w:vAlign w:val="center"/>
                </w:tcPr>
                <w:p w14:paraId="0E5E471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66D227F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0.0003</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609F51F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0.00005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255A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restart"/>
                  <w:tcBorders>
                    <w:top w:val="single" w:color="000000" w:sz="4" w:space="0"/>
                    <w:tl2br w:val="nil"/>
                    <w:tr2bl w:val="nil"/>
                  </w:tcBorders>
                  <w:noWrap w:val="0"/>
                  <w:vAlign w:val="center"/>
                </w:tcPr>
                <w:p w14:paraId="0929224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eastAsia="宋体" w:cs="Times New Roman"/>
                      <w:snapToGrid/>
                      <w:color w:val="auto"/>
                      <w:sz w:val="21"/>
                      <w:szCs w:val="21"/>
                      <w:highlight w:val="none"/>
                      <w:lang w:val="en-US" w:eastAsia="zh-CN"/>
                    </w:rPr>
                    <w:t>DA00</w:t>
                  </w:r>
                  <w:r>
                    <w:rPr>
                      <w:rFonts w:hint="eastAsia" w:ascii="Times New Roman" w:hAnsi="Times New Roman" w:cs="Times New Roman"/>
                      <w:snapToGrid/>
                      <w:color w:val="auto"/>
                      <w:sz w:val="21"/>
                      <w:szCs w:val="21"/>
                      <w:highlight w:val="none"/>
                      <w:lang w:val="en-US" w:eastAsia="zh-CN"/>
                    </w:rPr>
                    <w:t>2</w:t>
                  </w:r>
                </w:p>
              </w:tc>
              <w:tc>
                <w:tcPr>
                  <w:tcW w:w="667" w:type="pct"/>
                  <w:vMerge w:val="restart"/>
                  <w:tcBorders>
                    <w:top w:val="single" w:color="000000" w:sz="4" w:space="0"/>
                    <w:tl2br w:val="nil"/>
                    <w:tr2bl w:val="nil"/>
                  </w:tcBorders>
                  <w:noWrap w:val="0"/>
                  <w:vAlign w:val="center"/>
                </w:tcPr>
                <w:p w14:paraId="6D5E930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kern w:val="0"/>
                      <w:sz w:val="21"/>
                      <w:szCs w:val="21"/>
                      <w:highlight w:val="none"/>
                      <w:u w:color="000000"/>
                      <w:lang w:val="en-US" w:eastAsia="zh-CN" w:bidi="ar-SA"/>
                    </w:rPr>
                  </w:pPr>
                  <w:r>
                    <w:rPr>
                      <w:rFonts w:hint="eastAsia" w:ascii="Times New Roman" w:hAnsi="Times New Roman" w:cs="Times New Roman"/>
                      <w:snapToGrid/>
                      <w:color w:val="auto"/>
                      <w:sz w:val="21"/>
                      <w:szCs w:val="21"/>
                      <w:highlight w:val="none"/>
                      <w:lang w:val="en-US" w:eastAsia="zh-CN"/>
                    </w:rPr>
                    <w:t>2023.4.14</w:t>
                  </w:r>
                </w:p>
              </w:tc>
              <w:tc>
                <w:tcPr>
                  <w:tcW w:w="806" w:type="pct"/>
                  <w:tcBorders>
                    <w:top w:val="single" w:color="000000" w:sz="4" w:space="0"/>
                    <w:bottom w:val="single" w:color="auto" w:sz="4" w:space="0"/>
                    <w:tl2br w:val="nil"/>
                    <w:tr2bl w:val="nil"/>
                  </w:tcBorders>
                  <w:noWrap w:val="0"/>
                  <w:vAlign w:val="center"/>
                </w:tcPr>
                <w:p w14:paraId="4D57914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eastAsia" w:ascii="Times New Roman" w:hAnsi="Times New Roman" w:eastAsia="宋体" w:cs="Times New Roman"/>
                      <w:b w:val="0"/>
                      <w:bCs w:val="0"/>
                      <w:snapToGrid/>
                      <w:color w:val="auto"/>
                      <w:sz w:val="21"/>
                      <w:szCs w:val="21"/>
                      <w:highlight w:val="none"/>
                      <w:lang w:val="en-US" w:eastAsia="zh-CN"/>
                    </w:rPr>
                    <w:t>颗粒物</w:t>
                  </w:r>
                </w:p>
              </w:tc>
              <w:tc>
                <w:tcPr>
                  <w:tcW w:w="938" w:type="pct"/>
                  <w:tcBorders>
                    <w:top w:val="single" w:color="000000" w:sz="4" w:space="0"/>
                    <w:bottom w:val="single" w:color="auto" w:sz="4" w:space="0"/>
                    <w:tl2br w:val="nil"/>
                    <w:tr2bl w:val="nil"/>
                  </w:tcBorders>
                  <w:noWrap w:val="0"/>
                  <w:vAlign w:val="center"/>
                </w:tcPr>
                <w:p w14:paraId="6DD16EF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1.7</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738" w:type="pct"/>
                  <w:tcBorders>
                    <w:top w:val="single" w:color="000000" w:sz="4" w:space="0"/>
                    <w:tl2br w:val="nil"/>
                    <w:tr2bl w:val="nil"/>
                  </w:tcBorders>
                  <w:noWrap w:val="0"/>
                  <w:vAlign w:val="center"/>
                </w:tcPr>
                <w:p w14:paraId="18D6D9D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21C2920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vertAlign w:val="subscript"/>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3446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3532FE0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7771652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32848FB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eastAsia" w:ascii="Times New Roman" w:hAnsi="Times New Roman" w:eastAsia="宋体" w:cs="Times New Roman"/>
                      <w:b w:val="0"/>
                      <w:bCs w:val="0"/>
                      <w:snapToGrid/>
                      <w:color w:val="auto"/>
                      <w:sz w:val="21"/>
                      <w:szCs w:val="21"/>
                      <w:highlight w:val="none"/>
                      <w:lang w:val="en-US" w:eastAsia="zh-CN"/>
                    </w:rPr>
                    <w:t>二氧化硫</w:t>
                  </w:r>
                </w:p>
              </w:tc>
              <w:tc>
                <w:tcPr>
                  <w:tcW w:w="938" w:type="pct"/>
                  <w:tcBorders>
                    <w:top w:val="single" w:color="000000" w:sz="4" w:space="0"/>
                    <w:bottom w:val="single" w:color="auto" w:sz="4" w:space="0"/>
                    <w:tl2br w:val="nil"/>
                    <w:tr2bl w:val="nil"/>
                  </w:tcBorders>
                  <w:noWrap w:val="0"/>
                  <w:vAlign w:val="center"/>
                </w:tcPr>
                <w:p w14:paraId="7E1DE4A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未检出</w:t>
                  </w:r>
                </w:p>
              </w:tc>
              <w:tc>
                <w:tcPr>
                  <w:tcW w:w="738" w:type="pct"/>
                  <w:tcBorders>
                    <w:top w:val="single" w:color="000000" w:sz="4" w:space="0"/>
                    <w:tl2br w:val="nil"/>
                    <w:tr2bl w:val="nil"/>
                  </w:tcBorders>
                  <w:noWrap w:val="0"/>
                  <w:vAlign w:val="center"/>
                </w:tcPr>
                <w:p w14:paraId="16B1244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4230F4B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741D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6A9C4AE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7CDD911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806" w:type="pct"/>
                  <w:tcBorders>
                    <w:top w:val="single" w:color="000000" w:sz="4" w:space="0"/>
                    <w:bottom w:val="single" w:color="000000" w:sz="4" w:space="0"/>
                    <w:tl2br w:val="nil"/>
                    <w:tr2bl w:val="nil"/>
                  </w:tcBorders>
                  <w:noWrap w:val="0"/>
                  <w:vAlign w:val="center"/>
                </w:tcPr>
                <w:p w14:paraId="23A38F2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kern w:val="0"/>
                      <w:sz w:val="21"/>
                      <w:szCs w:val="21"/>
                      <w:highlight w:val="none"/>
                      <w:u w:color="000000"/>
                      <w:lang w:val="en-US" w:eastAsia="zh-CN" w:bidi="ar-SA"/>
                    </w:rPr>
                  </w:pPr>
                  <w:r>
                    <w:rPr>
                      <w:rFonts w:hint="eastAsia" w:ascii="Times New Roman" w:hAnsi="Times New Roman" w:eastAsia="宋体" w:cs="Times New Roman"/>
                      <w:b w:val="0"/>
                      <w:bCs w:val="0"/>
                      <w:snapToGrid/>
                      <w:color w:val="auto"/>
                      <w:sz w:val="21"/>
                      <w:szCs w:val="21"/>
                      <w:highlight w:val="none"/>
                      <w:lang w:val="en-US" w:eastAsia="zh-CN"/>
                    </w:rPr>
                    <w:t>氮氧化物</w:t>
                  </w:r>
                </w:p>
              </w:tc>
              <w:tc>
                <w:tcPr>
                  <w:tcW w:w="938" w:type="pct"/>
                  <w:tcBorders>
                    <w:top w:val="single" w:color="000000" w:sz="4" w:space="0"/>
                    <w:bottom w:val="single" w:color="000000" w:sz="4" w:space="0"/>
                    <w:tl2br w:val="nil"/>
                    <w:tr2bl w:val="nil"/>
                  </w:tcBorders>
                  <w:noWrap w:val="0"/>
                  <w:vAlign w:val="center"/>
                </w:tcPr>
                <w:p w14:paraId="2257F2B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（折算浓度）30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738" w:type="pct"/>
                  <w:tcBorders>
                    <w:top w:val="single" w:color="000000" w:sz="4" w:space="0"/>
                    <w:bottom w:val="single" w:color="000000" w:sz="4" w:space="0"/>
                    <w:tl2br w:val="nil"/>
                    <w:tr2bl w:val="nil"/>
                  </w:tcBorders>
                  <w:noWrap w:val="0"/>
                  <w:vAlign w:val="center"/>
                </w:tcPr>
                <w:p w14:paraId="0799C1A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1192" w:type="pct"/>
                  <w:tcBorders>
                    <w:top w:val="single" w:color="000000" w:sz="4" w:space="0"/>
                    <w:bottom w:val="single" w:color="000000" w:sz="4" w:space="0"/>
                    <w:tl2br w:val="nil"/>
                    <w:tr2bl w:val="nil"/>
                  </w:tcBorders>
                  <w:noWrap w:val="0"/>
                  <w:vAlign w:val="center"/>
                </w:tcPr>
                <w:p w14:paraId="0DC9690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color="000000"/>
                      <w:lang w:val="en-US" w:eastAsia="zh-CN" w:bidi="ar-SA"/>
                    </w:rPr>
                  </w:pPr>
                  <w:r>
                    <w:rPr>
                      <w:rFonts w:hint="eastAsia"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660B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noWrap w:val="0"/>
                  <w:vAlign w:val="center"/>
                </w:tcPr>
                <w:p w14:paraId="0CAC91C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667" w:type="pct"/>
                  <w:vMerge w:val="continue"/>
                  <w:tcBorders>
                    <w:tl2br w:val="nil"/>
                    <w:tr2bl w:val="nil"/>
                  </w:tcBorders>
                  <w:noWrap w:val="0"/>
                  <w:vAlign w:val="center"/>
                </w:tcPr>
                <w:p w14:paraId="387C190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color w:val="auto"/>
                      <w:sz w:val="21"/>
                      <w:szCs w:val="21"/>
                      <w:highlight w:val="none"/>
                      <w:lang w:val="en-US" w:eastAsia="zh-CN"/>
                    </w:rPr>
                  </w:pPr>
                </w:p>
              </w:tc>
              <w:tc>
                <w:tcPr>
                  <w:tcW w:w="806" w:type="pct"/>
                  <w:tcBorders>
                    <w:top w:val="single" w:color="000000" w:sz="4" w:space="0"/>
                    <w:bottom w:val="single" w:color="auto" w:sz="4" w:space="0"/>
                    <w:tl2br w:val="nil"/>
                    <w:tr2bl w:val="nil"/>
                  </w:tcBorders>
                  <w:noWrap w:val="0"/>
                  <w:vAlign w:val="center"/>
                </w:tcPr>
                <w:p w14:paraId="0461D02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eastAsia="宋体" w:cs="Times New Roman"/>
                      <w:b w:val="0"/>
                      <w:bCs w:val="0"/>
                      <w:snapToGrid/>
                      <w:color w:val="auto"/>
                      <w:sz w:val="21"/>
                      <w:szCs w:val="21"/>
                      <w:highlight w:val="none"/>
                      <w:lang w:val="en-US" w:eastAsia="zh-CN"/>
                    </w:rPr>
                    <w:t>林格曼黑度</w:t>
                  </w:r>
                </w:p>
              </w:tc>
              <w:tc>
                <w:tcPr>
                  <w:tcW w:w="938" w:type="pct"/>
                  <w:tcBorders>
                    <w:top w:val="single" w:color="000000" w:sz="4" w:space="0"/>
                    <w:bottom w:val="single" w:color="auto" w:sz="4" w:space="0"/>
                    <w:tl2br w:val="nil"/>
                    <w:tr2bl w:val="nil"/>
                  </w:tcBorders>
                  <w:noWrap w:val="0"/>
                  <w:vAlign w:val="center"/>
                </w:tcPr>
                <w:p w14:paraId="5F857E5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微软雅黑" w:hAnsi="微软雅黑" w:eastAsia="微软雅黑" w:cs="微软雅黑"/>
                      <w:b w:val="0"/>
                      <w:bCs w:val="0"/>
                      <w:snapToGrid/>
                      <w:color w:val="auto"/>
                      <w:sz w:val="21"/>
                      <w:szCs w:val="21"/>
                      <w:highlight w:val="none"/>
                      <w:lang w:val="en-US" w:eastAsia="zh-CN"/>
                    </w:rPr>
                    <w:t>&lt;</w:t>
                  </w:r>
                  <w:r>
                    <w:rPr>
                      <w:rFonts w:hint="eastAsia" w:ascii="Times New Roman" w:hAnsi="Times New Roman" w:eastAsia="宋体" w:cs="Times New Roman"/>
                      <w:b w:val="0"/>
                      <w:bCs w:val="0"/>
                      <w:snapToGrid/>
                      <w:color w:val="auto"/>
                      <w:sz w:val="21"/>
                      <w:szCs w:val="21"/>
                      <w:highlight w:val="none"/>
                      <w:lang w:val="en-US" w:eastAsia="zh-CN"/>
                    </w:rPr>
                    <w:t>1级</w:t>
                  </w:r>
                </w:p>
              </w:tc>
              <w:tc>
                <w:tcPr>
                  <w:tcW w:w="738" w:type="pct"/>
                  <w:tcBorders>
                    <w:top w:val="single" w:color="000000" w:sz="4" w:space="0"/>
                    <w:tl2br w:val="nil"/>
                    <w:tr2bl w:val="nil"/>
                  </w:tcBorders>
                  <w:noWrap w:val="0"/>
                  <w:vAlign w:val="center"/>
                </w:tcPr>
                <w:p w14:paraId="2B9B903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z w:val="21"/>
                      <w:szCs w:val="21"/>
                      <w:highlight w:val="none"/>
                      <w:lang w:val="en-US" w:eastAsia="zh-CN"/>
                    </w:rPr>
                  </w:pPr>
                  <w:r>
                    <w:rPr>
                      <w:rFonts w:hint="eastAsia" w:ascii="Times New Roman" w:hAnsi="Times New Roman" w:eastAsia="宋体" w:cs="Times New Roman"/>
                      <w:b w:val="0"/>
                      <w:bCs w:val="0"/>
                      <w:snapToGrid/>
                      <w:color w:val="auto"/>
                      <w:sz w:val="21"/>
                      <w:szCs w:val="21"/>
                      <w:highlight w:val="none"/>
                      <w:lang w:val="en-US" w:eastAsia="zh-CN"/>
                    </w:rPr>
                    <w:t>/</w:t>
                  </w:r>
                </w:p>
              </w:tc>
              <w:tc>
                <w:tcPr>
                  <w:tcW w:w="1192" w:type="pct"/>
                  <w:tcBorders>
                    <w:top w:val="single" w:color="000000" w:sz="4" w:space="0"/>
                    <w:tl2br w:val="nil"/>
                    <w:tr2bl w:val="nil"/>
                  </w:tcBorders>
                  <w:noWrap w:val="0"/>
                  <w:vAlign w:val="center"/>
                </w:tcPr>
                <w:p w14:paraId="0296780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≦1级</w:t>
                  </w:r>
                </w:p>
              </w:tc>
            </w:tr>
          </w:tbl>
          <w:p w14:paraId="1837B22E">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lang w:eastAsia="zh-CN"/>
              </w:rPr>
              <w:t>根据</w:t>
            </w:r>
            <w:r>
              <w:rPr>
                <w:rFonts w:hint="eastAsia" w:ascii="Times New Roman" w:hAnsi="Times New Roman" w:eastAsia="宋体" w:cs="Times New Roman"/>
                <w:color w:val="auto"/>
                <w:sz w:val="24"/>
                <w:szCs w:val="24"/>
                <w:highlight w:val="none"/>
                <w:lang w:eastAsia="zh-CN"/>
              </w:rPr>
              <w:t>上表，</w:t>
            </w:r>
            <w:r>
              <w:rPr>
                <w:rFonts w:hint="eastAsia" w:cs="Times New Roman"/>
                <w:color w:val="auto"/>
                <w:sz w:val="24"/>
                <w:szCs w:val="24"/>
                <w:highlight w:val="none"/>
                <w:lang w:val="en-US" w:eastAsia="zh-CN"/>
              </w:rPr>
              <w:t>DA001排放的</w:t>
            </w:r>
            <w:r>
              <w:rPr>
                <w:rFonts w:hint="default" w:ascii="Times New Roman" w:hAnsi="Times New Roman" w:eastAsia="宋体" w:cs="Times New Roman"/>
                <w:color w:val="auto"/>
                <w:sz w:val="24"/>
                <w:szCs w:val="24"/>
                <w:highlight w:val="none"/>
                <w:lang w:eastAsia="zh-CN"/>
              </w:rPr>
              <w:t>颗粒物、二氧化硫和氮氧化物排放浓度</w:t>
            </w:r>
            <w:r>
              <w:rPr>
                <w:rFonts w:hint="eastAsia"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z w:val="24"/>
                <w:szCs w:val="24"/>
                <w:highlight w:val="none"/>
                <w:lang w:eastAsia="zh-CN"/>
              </w:rPr>
              <w:t>《区域性大气污染物综合排放标准》（DB37/2376-2019）表1</w:t>
            </w:r>
            <w:r>
              <w:rPr>
                <w:rFonts w:hint="eastAsia"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lang w:eastAsia="zh-CN"/>
              </w:rPr>
              <w:t>控制区</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eastAsia="zh-CN"/>
              </w:rPr>
              <w:t>要求，排放速率</w:t>
            </w:r>
            <w:r>
              <w:rPr>
                <w:rFonts w:hint="eastAsia"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z w:val="24"/>
                <w:szCs w:val="24"/>
                <w:highlight w:val="none"/>
                <w:lang w:eastAsia="zh-CN"/>
              </w:rPr>
              <w:t>《大气污染物综合排放标准》（GB16297-1996）表2二级标准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排放的沥青烟、</w:t>
            </w:r>
            <w:r>
              <w:rPr>
                <w:rFonts w:hint="eastAsia" w:ascii="Times New Roman" w:hAnsi="Times New Roman" w:eastAsia="宋体" w:cs="Times New Roman"/>
                <w:snapToGrid/>
                <w:color w:val="auto"/>
                <w:sz w:val="24"/>
                <w:szCs w:val="24"/>
                <w:highlight w:val="none"/>
                <w:lang w:val="en-US" w:eastAsia="zh-CN"/>
              </w:rPr>
              <w:t>苯并[a]芘</w:t>
            </w:r>
            <w:r>
              <w:rPr>
                <w:rFonts w:hint="eastAsia" w:eastAsia="宋体" w:cs="Times New Roman"/>
                <w:snapToGrid/>
                <w:color w:val="auto"/>
                <w:sz w:val="24"/>
                <w:szCs w:val="24"/>
                <w:highlight w:val="none"/>
                <w:lang w:val="en-US" w:eastAsia="zh-CN"/>
              </w:rPr>
              <w:t>满足</w:t>
            </w:r>
            <w:r>
              <w:rPr>
                <w:rFonts w:hint="eastAsia" w:ascii="Times New Roman" w:hAnsi="Times New Roman" w:eastAsia="宋体" w:cs="Times New Roman"/>
                <w:color w:val="auto"/>
                <w:sz w:val="24"/>
                <w:szCs w:val="24"/>
                <w:highlight w:val="none"/>
                <w:lang w:eastAsia="zh-CN"/>
              </w:rPr>
              <w:t>《大气污染物综合排放标准》（GB16297-1996）表</w:t>
            </w:r>
            <w:r>
              <w:rPr>
                <w:rFonts w:hint="eastAsia" w:cs="Times New Roman"/>
                <w:color w:val="auto"/>
                <w:sz w:val="24"/>
                <w:szCs w:val="24"/>
                <w:highlight w:val="none"/>
                <w:lang w:val="en-US" w:eastAsia="zh-CN"/>
              </w:rPr>
              <w:t>2二级标准</w:t>
            </w:r>
            <w:r>
              <w:rPr>
                <w:rFonts w:hint="eastAsia" w:ascii="Times New Roman" w:hAnsi="Times New Roman" w:eastAsia="宋体" w:cs="Times New Roman"/>
                <w:color w:val="auto"/>
                <w:sz w:val="24"/>
                <w:szCs w:val="24"/>
                <w:highlight w:val="none"/>
                <w:lang w:eastAsia="zh-CN"/>
              </w:rPr>
              <w:t>要求</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DA002排放的颗粒物、二氧化硫、氮氧化物、林格曼黑度排放浓度</w:t>
            </w:r>
            <w:r>
              <w:rPr>
                <w:rFonts w:hint="eastAsia" w:ascii="Times New Roman" w:hAnsi="Times New Roman" w:eastAsia="宋体" w:cs="Times New Roman"/>
                <w:color w:val="auto"/>
                <w:sz w:val="24"/>
                <w:szCs w:val="24"/>
                <w:highlight w:val="none"/>
                <w:lang w:eastAsia="zh-CN"/>
              </w:rPr>
              <w:t>满足《锅炉大气污染物排放标准》（DB37/2374-2018）</w:t>
            </w:r>
            <w:r>
              <w:rPr>
                <w:rFonts w:hint="eastAsia" w:cs="Times New Roman"/>
                <w:color w:val="auto"/>
                <w:sz w:val="24"/>
                <w:szCs w:val="24"/>
                <w:highlight w:val="none"/>
                <w:lang w:val="en-US" w:eastAsia="zh-CN"/>
              </w:rPr>
              <w:t>表2重点控制区标准要求，同时氮氧化物满足</w:t>
            </w:r>
            <w:r>
              <w:rPr>
                <w:rFonts w:hint="default" w:ascii="Times New Roman" w:hAnsi="Times New Roman" w:eastAsia="宋体" w:cs="Times New Roman"/>
                <w:color w:val="auto"/>
                <w:sz w:val="24"/>
                <w:szCs w:val="24"/>
                <w:lang w:val="en-US" w:eastAsia="zh-CN"/>
              </w:rPr>
              <w:t>《关于印发济宁市2018年大气污染防治工作方案的通知》</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济气综治办发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43号）要求</w:t>
            </w:r>
            <w:r>
              <w:rPr>
                <w:rFonts w:hint="default" w:ascii="Times New Roman" w:hAnsi="Times New Roman" w:eastAsia="宋体" w:cs="Times New Roman"/>
                <w:color w:val="auto"/>
                <w:sz w:val="24"/>
                <w:szCs w:val="24"/>
                <w:highlight w:val="none"/>
                <w:lang w:eastAsia="zh-CN"/>
              </w:rPr>
              <w:t>。</w:t>
            </w:r>
          </w:p>
          <w:p w14:paraId="22D6FFCC">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废水</w:t>
            </w:r>
          </w:p>
          <w:p w14:paraId="4F83A850">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lang w:val="en-US" w:eastAsia="zh-CN"/>
              </w:rPr>
              <w:t>现有项目职工生活污水经化粪池处理后排入嘉祥公用水务有限公司处理，洗车废水沉淀后循环使用，生产搅拌用水全部进入产品，无生产废水外排</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根据《排污许可证申请与核发技术规范 石墨及其他非金属矿物制品制造》（HJ1119-2020）的要求，单独排入公共污水处理设施的生活污水仅说明排放去向。</w:t>
            </w:r>
          </w:p>
          <w:p w14:paraId="5205B4F0">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噪声</w:t>
            </w:r>
          </w:p>
          <w:p w14:paraId="27C7425B">
            <w:pPr>
              <w:tabs>
                <w:tab w:val="left" w:pos="470"/>
                <w:tab w:val="left" w:pos="6840"/>
              </w:tabs>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color w:val="auto"/>
                <w:sz w:val="24"/>
                <w:szCs w:val="24"/>
                <w:lang w:eastAsia="zh-CN"/>
              </w:rPr>
              <w:t>现有项目</w:t>
            </w:r>
            <w:r>
              <w:rPr>
                <w:rFonts w:hint="default" w:ascii="Times New Roman" w:hAnsi="Times New Roman" w:eastAsia="宋体" w:cs="Times New Roman"/>
                <w:color w:val="auto"/>
                <w:kern w:val="0"/>
                <w:sz w:val="24"/>
                <w:szCs w:val="24"/>
                <w:highlight w:val="none"/>
              </w:rPr>
              <w:t>噪声源主要为设备运行过程中产生的噪声，设备全部设置在室内，各机械设备安装时采用加大减振基础，安装减振装置。采用隔声门、窗，加强厂房门窗密闭性。加强管理，经常保养和维护生产设备，避免设备在不良状态下运行</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企业自行监测报告（检测时生产工况为90%）</w:t>
            </w:r>
            <w:r>
              <w:rPr>
                <w:rFonts w:hint="eastAsia" w:ascii="Times New Roman" w:hAnsi="Times New Roman" w:eastAsia="宋体" w:cs="Times New Roman"/>
                <w:color w:val="auto"/>
                <w:sz w:val="24"/>
                <w:szCs w:val="24"/>
                <w:highlight w:val="none"/>
                <w:lang w:val="en-US" w:eastAsia="zh-CN"/>
              </w:rPr>
              <w:t>，厂界噪声监测结果下表。</w:t>
            </w:r>
          </w:p>
          <w:p w14:paraId="3D097712">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厂界噪声监测结果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712"/>
              <w:gridCol w:w="1890"/>
              <w:gridCol w:w="2531"/>
            </w:tblGrid>
            <w:tr w14:paraId="0B37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restart"/>
                  <w:tcBorders>
                    <w:tl2br w:val="nil"/>
                    <w:tr2bl w:val="nil"/>
                  </w:tcBorders>
                  <w:noWrap w:val="0"/>
                  <w:vAlign w:val="center"/>
                </w:tcPr>
                <w:p w14:paraId="193665D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采样时间</w:t>
                  </w:r>
                </w:p>
              </w:tc>
              <w:tc>
                <w:tcPr>
                  <w:tcW w:w="1091" w:type="pct"/>
                  <w:vMerge w:val="restart"/>
                  <w:tcBorders>
                    <w:tl2br w:val="nil"/>
                    <w:tr2bl w:val="nil"/>
                  </w:tcBorders>
                  <w:noWrap w:val="0"/>
                  <w:vAlign w:val="center"/>
                </w:tcPr>
                <w:p w14:paraId="407679D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检测点位</w:t>
                  </w:r>
                </w:p>
              </w:tc>
              <w:tc>
                <w:tcPr>
                  <w:tcW w:w="1204" w:type="pct"/>
                  <w:tcBorders>
                    <w:right w:val="single" w:color="000000" w:sz="4" w:space="0"/>
                    <w:tl2br w:val="nil"/>
                    <w:tr2bl w:val="nil"/>
                  </w:tcBorders>
                  <w:noWrap w:val="0"/>
                  <w:vAlign w:val="center"/>
                </w:tcPr>
                <w:p w14:paraId="5FF203A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检测结果</w:t>
                  </w:r>
                </w:p>
              </w:tc>
              <w:tc>
                <w:tcPr>
                  <w:tcW w:w="1613" w:type="pct"/>
                  <w:vMerge w:val="restart"/>
                  <w:tcBorders>
                    <w:right w:val="single" w:color="000000" w:sz="4" w:space="0"/>
                    <w:tl2br w:val="nil"/>
                    <w:tr2bl w:val="nil"/>
                  </w:tcBorders>
                  <w:noWrap w:val="0"/>
                  <w:vAlign w:val="center"/>
                </w:tcPr>
                <w:p w14:paraId="2AC7CFC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排放标准</w:t>
                  </w:r>
                </w:p>
              </w:tc>
            </w:tr>
            <w:tr w14:paraId="578B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continue"/>
                  <w:tcBorders>
                    <w:tl2br w:val="nil"/>
                    <w:tr2bl w:val="nil"/>
                  </w:tcBorders>
                  <w:noWrap w:val="0"/>
                  <w:vAlign w:val="center"/>
                </w:tcPr>
                <w:p w14:paraId="1C062F7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p>
              </w:tc>
              <w:tc>
                <w:tcPr>
                  <w:tcW w:w="1091" w:type="pct"/>
                  <w:vMerge w:val="continue"/>
                  <w:tcBorders>
                    <w:tl2br w:val="nil"/>
                    <w:tr2bl w:val="nil"/>
                  </w:tcBorders>
                  <w:noWrap w:val="0"/>
                  <w:vAlign w:val="center"/>
                </w:tcPr>
                <w:p w14:paraId="018E24E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tc>
              <w:tc>
                <w:tcPr>
                  <w:tcW w:w="1204" w:type="pct"/>
                  <w:tcBorders>
                    <w:tl2br w:val="nil"/>
                    <w:tr2bl w:val="nil"/>
                  </w:tcBorders>
                  <w:noWrap w:val="0"/>
                  <w:vAlign w:val="center"/>
                </w:tcPr>
                <w:p w14:paraId="6BEBFC8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昼间</w:t>
                  </w:r>
                  <w:r>
                    <w:rPr>
                      <w:rFonts w:hint="default" w:ascii="Times New Roman" w:hAnsi="Times New Roman" w:eastAsia="宋体" w:cs="Times New Roman"/>
                      <w:b/>
                      <w:bCs/>
                      <w:color w:val="auto"/>
                      <w:sz w:val="21"/>
                      <w:szCs w:val="21"/>
                      <w:highlight w:val="none"/>
                      <w:lang w:val="en-US" w:eastAsia="zh-CN"/>
                    </w:rPr>
                    <w:t>dB(A)</w:t>
                  </w:r>
                </w:p>
              </w:tc>
              <w:tc>
                <w:tcPr>
                  <w:tcW w:w="1613" w:type="pct"/>
                  <w:vMerge w:val="continue"/>
                  <w:tcBorders>
                    <w:right w:val="single" w:color="000000" w:sz="4" w:space="0"/>
                    <w:tl2br w:val="nil"/>
                    <w:tr2bl w:val="nil"/>
                  </w:tcBorders>
                  <w:noWrap w:val="0"/>
                  <w:vAlign w:val="center"/>
                </w:tcPr>
                <w:p w14:paraId="17A9BC3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p>
              </w:tc>
            </w:tr>
            <w:tr w14:paraId="1726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restart"/>
                  <w:tcBorders>
                    <w:tl2br w:val="nil"/>
                    <w:tr2bl w:val="nil"/>
                  </w:tcBorders>
                  <w:noWrap w:val="0"/>
                  <w:vAlign w:val="center"/>
                </w:tcPr>
                <w:p w14:paraId="7375FD9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snapToGrid/>
                      <w:color w:val="auto"/>
                      <w:sz w:val="21"/>
                      <w:szCs w:val="21"/>
                      <w:highlight w:val="none"/>
                      <w:lang w:val="en-US" w:eastAsia="zh-CN"/>
                    </w:rPr>
                    <w:t>2023.4.14</w:t>
                  </w:r>
                </w:p>
              </w:tc>
              <w:tc>
                <w:tcPr>
                  <w:tcW w:w="1091" w:type="pct"/>
                  <w:tcBorders>
                    <w:tl2br w:val="nil"/>
                    <w:tr2bl w:val="nil"/>
                  </w:tcBorders>
                  <w:noWrap w:val="0"/>
                  <w:vAlign w:val="center"/>
                </w:tcPr>
                <w:p w14:paraId="028A647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厂界</w:t>
                  </w:r>
                  <w:r>
                    <w:rPr>
                      <w:rFonts w:hint="eastAsia" w:ascii="Times New Roman" w:hAnsi="Times New Roman" w:eastAsia="宋体" w:cs="Times New Roman"/>
                      <w:b w:val="0"/>
                      <w:bCs w:val="0"/>
                      <w:color w:val="auto"/>
                      <w:sz w:val="21"/>
                      <w:szCs w:val="21"/>
                      <w:highlight w:val="none"/>
                      <w:lang w:val="en-US" w:eastAsia="zh-CN"/>
                    </w:rPr>
                    <w:t>外1m</w:t>
                  </w:r>
                </w:p>
              </w:tc>
              <w:tc>
                <w:tcPr>
                  <w:tcW w:w="1204" w:type="pct"/>
                  <w:tcBorders>
                    <w:tl2br w:val="nil"/>
                    <w:tr2bl w:val="nil"/>
                  </w:tcBorders>
                  <w:noWrap w:val="0"/>
                  <w:vAlign w:val="center"/>
                </w:tcPr>
                <w:p w14:paraId="147D043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34.6</w:t>
                  </w:r>
                </w:p>
              </w:tc>
              <w:tc>
                <w:tcPr>
                  <w:tcW w:w="1613" w:type="pct"/>
                  <w:vMerge w:val="restart"/>
                  <w:tcBorders>
                    <w:tl2br w:val="nil"/>
                    <w:tr2bl w:val="nil"/>
                  </w:tcBorders>
                  <w:noWrap w:val="0"/>
                  <w:vAlign w:val="center"/>
                </w:tcPr>
                <w:p w14:paraId="56D6748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昼间60</w:t>
                  </w:r>
                  <w:r>
                    <w:rPr>
                      <w:rFonts w:hint="default" w:ascii="Times New Roman" w:hAnsi="Times New Roman" w:eastAsia="宋体" w:cs="Times New Roman"/>
                      <w:b w:val="0"/>
                      <w:bCs w:val="0"/>
                      <w:color w:val="auto"/>
                      <w:sz w:val="21"/>
                      <w:szCs w:val="21"/>
                      <w:highlight w:val="none"/>
                      <w:lang w:val="en-US" w:eastAsia="zh-CN"/>
                    </w:rPr>
                    <w:t>dB(A)</w:t>
                  </w:r>
                </w:p>
              </w:tc>
            </w:tr>
            <w:tr w14:paraId="306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continue"/>
                  <w:tcBorders>
                    <w:tl2br w:val="nil"/>
                    <w:tr2bl w:val="nil"/>
                  </w:tcBorders>
                  <w:noWrap w:val="0"/>
                  <w:vAlign w:val="center"/>
                </w:tcPr>
                <w:p w14:paraId="42746D0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091" w:type="pct"/>
                  <w:tcBorders>
                    <w:tl2br w:val="nil"/>
                    <w:tr2bl w:val="nil"/>
                  </w:tcBorders>
                  <w:noWrap w:val="0"/>
                  <w:vAlign w:val="center"/>
                </w:tcPr>
                <w:p w14:paraId="08F7060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南</w:t>
                  </w:r>
                  <w:r>
                    <w:rPr>
                      <w:rFonts w:hint="default" w:ascii="Times New Roman" w:hAnsi="Times New Roman" w:eastAsia="宋体" w:cs="Times New Roman"/>
                      <w:b w:val="0"/>
                      <w:bCs w:val="0"/>
                      <w:color w:val="auto"/>
                      <w:sz w:val="21"/>
                      <w:szCs w:val="21"/>
                      <w:highlight w:val="none"/>
                      <w:lang w:val="en-US" w:eastAsia="zh-CN"/>
                    </w:rPr>
                    <w:t>厂界</w:t>
                  </w:r>
                  <w:r>
                    <w:rPr>
                      <w:rFonts w:hint="eastAsia" w:ascii="Times New Roman" w:hAnsi="Times New Roman" w:eastAsia="宋体" w:cs="Times New Roman"/>
                      <w:b w:val="0"/>
                      <w:bCs w:val="0"/>
                      <w:color w:val="auto"/>
                      <w:sz w:val="21"/>
                      <w:szCs w:val="21"/>
                      <w:highlight w:val="none"/>
                      <w:lang w:val="en-US" w:eastAsia="zh-CN"/>
                    </w:rPr>
                    <w:t>外1m</w:t>
                  </w:r>
                </w:p>
              </w:tc>
              <w:tc>
                <w:tcPr>
                  <w:tcW w:w="1204" w:type="pct"/>
                  <w:tcBorders>
                    <w:tl2br w:val="nil"/>
                    <w:tr2bl w:val="nil"/>
                  </w:tcBorders>
                  <w:noWrap w:val="0"/>
                  <w:vAlign w:val="center"/>
                </w:tcPr>
                <w:p w14:paraId="7E00590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31.0</w:t>
                  </w:r>
                </w:p>
              </w:tc>
              <w:tc>
                <w:tcPr>
                  <w:tcW w:w="1613" w:type="pct"/>
                  <w:vMerge w:val="continue"/>
                  <w:tcBorders>
                    <w:tl2br w:val="nil"/>
                    <w:tr2bl w:val="nil"/>
                  </w:tcBorders>
                  <w:noWrap w:val="0"/>
                  <w:vAlign w:val="center"/>
                </w:tcPr>
                <w:p w14:paraId="01416E9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435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continue"/>
                  <w:tcBorders>
                    <w:tl2br w:val="nil"/>
                    <w:tr2bl w:val="nil"/>
                  </w:tcBorders>
                  <w:noWrap w:val="0"/>
                  <w:vAlign w:val="center"/>
                </w:tcPr>
                <w:p w14:paraId="12031C7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091" w:type="pct"/>
                  <w:tcBorders>
                    <w:tl2br w:val="nil"/>
                    <w:tr2bl w:val="nil"/>
                  </w:tcBorders>
                  <w:noWrap w:val="0"/>
                  <w:vAlign w:val="center"/>
                </w:tcPr>
                <w:p w14:paraId="7E5A7C3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西</w:t>
                  </w:r>
                  <w:r>
                    <w:rPr>
                      <w:rFonts w:hint="default" w:ascii="Times New Roman" w:hAnsi="Times New Roman" w:eastAsia="宋体" w:cs="Times New Roman"/>
                      <w:b w:val="0"/>
                      <w:bCs w:val="0"/>
                      <w:color w:val="auto"/>
                      <w:sz w:val="21"/>
                      <w:szCs w:val="21"/>
                      <w:highlight w:val="none"/>
                      <w:lang w:val="en-US" w:eastAsia="zh-CN"/>
                    </w:rPr>
                    <w:t>厂界</w:t>
                  </w:r>
                  <w:r>
                    <w:rPr>
                      <w:rFonts w:hint="eastAsia" w:ascii="Times New Roman" w:hAnsi="Times New Roman" w:eastAsia="宋体" w:cs="Times New Roman"/>
                      <w:b w:val="0"/>
                      <w:bCs w:val="0"/>
                      <w:color w:val="auto"/>
                      <w:sz w:val="21"/>
                      <w:szCs w:val="21"/>
                      <w:highlight w:val="none"/>
                      <w:lang w:val="en-US" w:eastAsia="zh-CN"/>
                    </w:rPr>
                    <w:t>外1m</w:t>
                  </w:r>
                </w:p>
              </w:tc>
              <w:tc>
                <w:tcPr>
                  <w:tcW w:w="1204" w:type="pct"/>
                  <w:tcBorders>
                    <w:tl2br w:val="nil"/>
                    <w:tr2bl w:val="nil"/>
                  </w:tcBorders>
                  <w:noWrap w:val="0"/>
                  <w:vAlign w:val="center"/>
                </w:tcPr>
                <w:p w14:paraId="03FA598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30.6</w:t>
                  </w:r>
                </w:p>
              </w:tc>
              <w:tc>
                <w:tcPr>
                  <w:tcW w:w="1613" w:type="pct"/>
                  <w:vMerge w:val="continue"/>
                  <w:tcBorders>
                    <w:tl2br w:val="nil"/>
                    <w:tr2bl w:val="nil"/>
                  </w:tcBorders>
                  <w:noWrap w:val="0"/>
                  <w:vAlign w:val="center"/>
                </w:tcPr>
                <w:p w14:paraId="2387E07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7425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pct"/>
                  <w:vMerge w:val="continue"/>
                  <w:tcBorders>
                    <w:tl2br w:val="nil"/>
                    <w:tr2bl w:val="nil"/>
                  </w:tcBorders>
                  <w:noWrap w:val="0"/>
                  <w:vAlign w:val="center"/>
                </w:tcPr>
                <w:p w14:paraId="1D738C4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091" w:type="pct"/>
                  <w:tcBorders>
                    <w:tl2br w:val="nil"/>
                    <w:tr2bl w:val="nil"/>
                  </w:tcBorders>
                  <w:noWrap w:val="0"/>
                  <w:vAlign w:val="center"/>
                </w:tcPr>
                <w:p w14:paraId="6C46384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厂界</w:t>
                  </w:r>
                  <w:r>
                    <w:rPr>
                      <w:rFonts w:hint="eastAsia" w:ascii="Times New Roman" w:hAnsi="Times New Roman" w:eastAsia="宋体" w:cs="Times New Roman"/>
                      <w:b w:val="0"/>
                      <w:bCs w:val="0"/>
                      <w:color w:val="auto"/>
                      <w:sz w:val="21"/>
                      <w:szCs w:val="21"/>
                      <w:highlight w:val="none"/>
                      <w:lang w:val="en-US" w:eastAsia="zh-CN"/>
                    </w:rPr>
                    <w:t>外1m</w:t>
                  </w:r>
                </w:p>
              </w:tc>
              <w:tc>
                <w:tcPr>
                  <w:tcW w:w="1204" w:type="pct"/>
                  <w:tcBorders>
                    <w:tl2br w:val="nil"/>
                    <w:tr2bl w:val="nil"/>
                  </w:tcBorders>
                  <w:noWrap w:val="0"/>
                  <w:vAlign w:val="center"/>
                </w:tcPr>
                <w:p w14:paraId="07E02BE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30.2</w:t>
                  </w:r>
                </w:p>
              </w:tc>
              <w:tc>
                <w:tcPr>
                  <w:tcW w:w="1613" w:type="pct"/>
                  <w:vMerge w:val="continue"/>
                  <w:tcBorders>
                    <w:tl2br w:val="nil"/>
                    <w:tr2bl w:val="nil"/>
                  </w:tcBorders>
                  <w:noWrap w:val="0"/>
                  <w:vAlign w:val="center"/>
                </w:tcPr>
                <w:p w14:paraId="4232101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14:paraId="0C55000C">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厂界昼间噪声</w:t>
            </w:r>
            <w:r>
              <w:rPr>
                <w:rFonts w:hint="eastAsia" w:cs="Times New Roman"/>
                <w:color w:val="auto"/>
                <w:sz w:val="24"/>
                <w:szCs w:val="24"/>
                <w:highlight w:val="none"/>
                <w:lang w:val="en-US" w:eastAsia="zh-CN"/>
              </w:rPr>
              <w:t>最大</w:t>
            </w:r>
            <w:r>
              <w:rPr>
                <w:rFonts w:hint="eastAsia" w:ascii="Times New Roman" w:hAnsi="Times New Roman" w:eastAsia="宋体" w:cs="Times New Roman"/>
                <w:color w:val="auto"/>
                <w:sz w:val="24"/>
                <w:szCs w:val="24"/>
                <w:highlight w:val="none"/>
                <w:lang w:val="en-US" w:eastAsia="zh-CN"/>
              </w:rPr>
              <w:t>值</w:t>
            </w:r>
            <w:r>
              <w:rPr>
                <w:rFonts w:hint="eastAsia" w:cs="Times New Roman"/>
                <w:color w:val="auto"/>
                <w:sz w:val="24"/>
                <w:szCs w:val="24"/>
                <w:highlight w:val="none"/>
                <w:lang w:val="en-US" w:eastAsia="zh-CN"/>
              </w:rPr>
              <w:t>为34.6</w:t>
            </w:r>
            <w:r>
              <w:rPr>
                <w:rFonts w:hint="eastAsia" w:ascii="Times New Roman" w:hAnsi="Times New Roman" w:eastAsia="宋体" w:cs="Times New Roman"/>
                <w:color w:val="auto"/>
                <w:sz w:val="24"/>
                <w:szCs w:val="24"/>
                <w:highlight w:val="none"/>
                <w:lang w:val="en-US" w:eastAsia="zh-CN"/>
              </w:rPr>
              <w:t>dB(A)，符合《工业企业厂界环境噪声排放标准》（GB12348-2008）2类标准要求</w:t>
            </w:r>
            <w:r>
              <w:rPr>
                <w:rFonts w:hint="eastAsia" w:cs="Times New Roman"/>
                <w:color w:val="auto"/>
                <w:sz w:val="24"/>
                <w:szCs w:val="24"/>
                <w:highlight w:val="none"/>
                <w:lang w:val="en-US" w:eastAsia="zh-CN"/>
              </w:rPr>
              <w:t>（现有项目</w:t>
            </w:r>
            <w:r>
              <w:rPr>
                <w:rFonts w:hint="eastAsia" w:ascii="Times New Roman" w:hAnsi="Times New Roman" w:eastAsia="宋体" w:cs="Times New Roman"/>
                <w:color w:val="auto"/>
                <w:sz w:val="24"/>
                <w:szCs w:val="24"/>
                <w:highlight w:val="none"/>
                <w:lang w:val="en-US" w:eastAsia="zh-CN"/>
              </w:rPr>
              <w:t>夜间不生产</w:t>
            </w:r>
            <w:r>
              <w:rPr>
                <w:rFonts w:hint="eastAsia" w:cs="Times New Roman"/>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w:t>
            </w:r>
          </w:p>
          <w:p w14:paraId="6EDAD70A">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固体废物</w:t>
            </w:r>
          </w:p>
          <w:p w14:paraId="68B9784F">
            <w:pPr>
              <w:tabs>
                <w:tab w:val="left" w:pos="470"/>
                <w:tab w:val="left" w:pos="6840"/>
              </w:tabs>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根据现有项目的</w:t>
            </w:r>
            <w:r>
              <w:rPr>
                <w:rFonts w:hint="default" w:ascii="Times New Roman" w:hAnsi="Times New Roman" w:eastAsia="宋体" w:cs="Times New Roman"/>
                <w:bCs/>
                <w:color w:val="auto"/>
                <w:sz w:val="24"/>
                <w:szCs w:val="24"/>
                <w:highlight w:val="none"/>
                <w:lang w:val="en-US" w:eastAsia="zh-CN"/>
              </w:rPr>
              <w:t>环保</w:t>
            </w:r>
            <w:r>
              <w:rPr>
                <w:rFonts w:hint="default" w:ascii="Times New Roman" w:hAnsi="Times New Roman" w:eastAsia="宋体" w:cs="Times New Roman"/>
                <w:bCs/>
                <w:color w:val="auto"/>
                <w:sz w:val="24"/>
                <w:szCs w:val="24"/>
                <w:highlight w:val="none"/>
                <w:lang w:eastAsia="zh-CN"/>
              </w:rPr>
              <w:t>手续，现有</w:t>
            </w:r>
            <w:r>
              <w:rPr>
                <w:rFonts w:hint="default" w:ascii="Times New Roman" w:hAnsi="Times New Roman" w:eastAsia="宋体" w:cs="Times New Roman"/>
                <w:bCs/>
                <w:color w:val="auto"/>
                <w:sz w:val="24"/>
                <w:szCs w:val="24"/>
                <w:highlight w:val="none"/>
              </w:rPr>
              <w:t>项目固废</w:t>
            </w:r>
            <w:r>
              <w:rPr>
                <w:rFonts w:hint="default" w:ascii="Times New Roman" w:hAnsi="Times New Roman" w:eastAsia="宋体" w:cs="Times New Roman"/>
                <w:bCs/>
                <w:color w:val="auto"/>
                <w:sz w:val="24"/>
                <w:szCs w:val="24"/>
                <w:highlight w:val="none"/>
                <w:lang w:eastAsia="zh-CN"/>
              </w:rPr>
              <w:t>产生及处理情况见下表。</w:t>
            </w:r>
          </w:p>
          <w:p w14:paraId="35963F04">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现有项目固废产生、处理措施一览表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474"/>
              <w:gridCol w:w="1635"/>
              <w:gridCol w:w="1303"/>
              <w:gridCol w:w="2712"/>
            </w:tblGrid>
            <w:tr w14:paraId="5AE9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05249AD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940" w:type="pct"/>
                  <w:tcBorders>
                    <w:tl2br w:val="nil"/>
                    <w:tr2bl w:val="nil"/>
                  </w:tcBorders>
                  <w:noWrap w:val="0"/>
                  <w:vAlign w:val="center"/>
                </w:tcPr>
                <w:p w14:paraId="3D61B98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名称</w:t>
                  </w:r>
                </w:p>
              </w:tc>
              <w:tc>
                <w:tcPr>
                  <w:tcW w:w="1042" w:type="pct"/>
                  <w:tcBorders>
                    <w:tl2br w:val="nil"/>
                    <w:tr2bl w:val="nil"/>
                  </w:tcBorders>
                  <w:noWrap w:val="0"/>
                  <w:vAlign w:val="center"/>
                </w:tcPr>
                <w:p w14:paraId="136D41A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类别</w:t>
                  </w:r>
                </w:p>
              </w:tc>
              <w:tc>
                <w:tcPr>
                  <w:tcW w:w="831" w:type="pct"/>
                  <w:tcBorders>
                    <w:tl2br w:val="nil"/>
                    <w:tr2bl w:val="nil"/>
                  </w:tcBorders>
                  <w:noWrap w:val="0"/>
                  <w:vAlign w:val="center"/>
                </w:tcPr>
                <w:p w14:paraId="63716C7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产生量</w:t>
                  </w:r>
                  <w:r>
                    <w:rPr>
                      <w:rFonts w:hint="default" w:ascii="Times New Roman" w:hAnsi="Times New Roman" w:eastAsia="宋体" w:cs="Times New Roman"/>
                      <w:b/>
                      <w:color w:val="auto"/>
                      <w:kern w:val="0"/>
                      <w:sz w:val="21"/>
                      <w:szCs w:val="21"/>
                      <w:highlight w:val="none"/>
                      <w:lang w:val="en-US" w:eastAsia="zh-CN"/>
                    </w:rPr>
                    <w:t>t/a</w:t>
                  </w:r>
                </w:p>
              </w:tc>
              <w:tc>
                <w:tcPr>
                  <w:tcW w:w="1729" w:type="pct"/>
                  <w:tcBorders>
                    <w:tl2br w:val="nil"/>
                    <w:tr2bl w:val="nil"/>
                  </w:tcBorders>
                  <w:noWrap w:val="0"/>
                  <w:vAlign w:val="center"/>
                </w:tcPr>
                <w:p w14:paraId="2D383A7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eastAsia="zh-CN"/>
                    </w:rPr>
                    <w:t>处理措施</w:t>
                  </w:r>
                </w:p>
              </w:tc>
            </w:tr>
            <w:tr w14:paraId="4E29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6B71DF8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w:t>
                  </w:r>
                </w:p>
              </w:tc>
              <w:tc>
                <w:tcPr>
                  <w:tcW w:w="940" w:type="pct"/>
                  <w:tcBorders>
                    <w:tl2br w:val="nil"/>
                    <w:tr2bl w:val="nil"/>
                  </w:tcBorders>
                  <w:noWrap w:val="0"/>
                  <w:vAlign w:val="center"/>
                </w:tcPr>
                <w:p w14:paraId="79C2BF3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生活垃圾</w:t>
                  </w:r>
                </w:p>
              </w:tc>
              <w:tc>
                <w:tcPr>
                  <w:tcW w:w="1042" w:type="pct"/>
                  <w:tcBorders>
                    <w:tl2br w:val="nil"/>
                    <w:tr2bl w:val="nil"/>
                  </w:tcBorders>
                  <w:noWrap w:val="0"/>
                  <w:vAlign w:val="center"/>
                </w:tcPr>
                <w:p w14:paraId="607B05C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c>
                <w:tcPr>
                  <w:tcW w:w="831" w:type="pct"/>
                  <w:tcBorders>
                    <w:tl2br w:val="nil"/>
                    <w:tr2bl w:val="nil"/>
                  </w:tcBorders>
                  <w:noWrap w:val="0"/>
                  <w:vAlign w:val="center"/>
                </w:tcPr>
                <w:p w14:paraId="0E7A8AF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2.4</w:t>
                  </w:r>
                </w:p>
              </w:tc>
              <w:tc>
                <w:tcPr>
                  <w:tcW w:w="1729" w:type="pct"/>
                  <w:tcBorders>
                    <w:tl2br w:val="nil"/>
                    <w:tr2bl w:val="nil"/>
                  </w:tcBorders>
                  <w:noWrap w:val="0"/>
                  <w:vAlign w:val="center"/>
                </w:tcPr>
                <w:p w14:paraId="2B0D0FC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环卫部门清运</w:t>
                  </w:r>
                </w:p>
              </w:tc>
            </w:tr>
            <w:tr w14:paraId="572A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181B6DD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2</w:t>
                  </w:r>
                </w:p>
              </w:tc>
              <w:tc>
                <w:tcPr>
                  <w:tcW w:w="940" w:type="pct"/>
                  <w:tcBorders>
                    <w:tl2br w:val="nil"/>
                    <w:tr2bl w:val="nil"/>
                  </w:tcBorders>
                  <w:noWrap w:val="0"/>
                  <w:vAlign w:val="center"/>
                </w:tcPr>
                <w:p w14:paraId="019DCCF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除尘器收尘</w:t>
                  </w:r>
                </w:p>
              </w:tc>
              <w:tc>
                <w:tcPr>
                  <w:tcW w:w="1042" w:type="pct"/>
                  <w:tcBorders>
                    <w:tl2br w:val="nil"/>
                    <w:tr2bl w:val="nil"/>
                  </w:tcBorders>
                  <w:noWrap w:val="0"/>
                  <w:vAlign w:val="center"/>
                </w:tcPr>
                <w:p w14:paraId="379EF46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一般工业固废</w:t>
                  </w:r>
                </w:p>
              </w:tc>
              <w:tc>
                <w:tcPr>
                  <w:tcW w:w="831" w:type="pct"/>
                  <w:tcBorders>
                    <w:tl2br w:val="nil"/>
                    <w:tr2bl w:val="nil"/>
                  </w:tcBorders>
                  <w:noWrap w:val="0"/>
                  <w:vAlign w:val="center"/>
                </w:tcPr>
                <w:p w14:paraId="561154F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7.73</w:t>
                  </w:r>
                </w:p>
              </w:tc>
              <w:tc>
                <w:tcPr>
                  <w:tcW w:w="1729" w:type="pct"/>
                  <w:tcBorders>
                    <w:tl2br w:val="nil"/>
                    <w:tr2bl w:val="nil"/>
                  </w:tcBorders>
                  <w:noWrap w:val="0"/>
                  <w:vAlign w:val="center"/>
                </w:tcPr>
                <w:p w14:paraId="6EFD952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回用于生产</w:t>
                  </w:r>
                </w:p>
              </w:tc>
            </w:tr>
            <w:tr w14:paraId="348A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1439BB9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3</w:t>
                  </w:r>
                </w:p>
              </w:tc>
              <w:tc>
                <w:tcPr>
                  <w:tcW w:w="940" w:type="pct"/>
                  <w:tcBorders>
                    <w:tl2br w:val="nil"/>
                    <w:tr2bl w:val="nil"/>
                  </w:tcBorders>
                  <w:noWrap w:val="0"/>
                  <w:vAlign w:val="center"/>
                </w:tcPr>
                <w:p w14:paraId="1435CF11">
                  <w:pPr>
                    <w:jc w:val="center"/>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default" w:ascii="Times New Roman" w:hAnsi="Times New Roman" w:eastAsia="宋体" w:cs="Times New Roman"/>
                      <w:b w:val="0"/>
                      <w:bCs w:val="0"/>
                      <w:color w:val="auto"/>
                      <w:kern w:val="0"/>
                      <w:sz w:val="21"/>
                      <w:szCs w:val="21"/>
                      <w:highlight w:val="none"/>
                      <w:u w:color="000000"/>
                      <w:lang w:val="en-US" w:eastAsia="zh-CN" w:bidi="ar-SA"/>
                    </w:rPr>
                    <w:t>沥青残渣</w:t>
                  </w:r>
                </w:p>
              </w:tc>
              <w:tc>
                <w:tcPr>
                  <w:tcW w:w="1042" w:type="pct"/>
                  <w:tcBorders>
                    <w:tl2br w:val="nil"/>
                    <w:tr2bl w:val="nil"/>
                  </w:tcBorders>
                  <w:noWrap w:val="0"/>
                  <w:vAlign w:val="center"/>
                </w:tcPr>
                <w:p w14:paraId="4EEF34B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一般工业固废</w:t>
                  </w:r>
                </w:p>
              </w:tc>
              <w:tc>
                <w:tcPr>
                  <w:tcW w:w="831" w:type="pct"/>
                  <w:tcBorders>
                    <w:tl2br w:val="nil"/>
                    <w:tr2bl w:val="nil"/>
                  </w:tcBorders>
                  <w:noWrap w:val="0"/>
                  <w:vAlign w:val="center"/>
                </w:tcPr>
                <w:p w14:paraId="786AD1A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0.15</w:t>
                  </w:r>
                </w:p>
              </w:tc>
              <w:tc>
                <w:tcPr>
                  <w:tcW w:w="1729" w:type="pct"/>
                  <w:tcBorders>
                    <w:tl2br w:val="nil"/>
                    <w:tr2bl w:val="nil"/>
                  </w:tcBorders>
                  <w:noWrap w:val="0"/>
                  <w:vAlign w:val="center"/>
                </w:tcPr>
                <w:p w14:paraId="515301C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回用于生产</w:t>
                  </w:r>
                </w:p>
              </w:tc>
            </w:tr>
            <w:tr w14:paraId="12F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42A6641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4</w:t>
                  </w:r>
                </w:p>
              </w:tc>
              <w:tc>
                <w:tcPr>
                  <w:tcW w:w="940" w:type="pct"/>
                  <w:tcBorders>
                    <w:tl2br w:val="nil"/>
                    <w:tr2bl w:val="nil"/>
                  </w:tcBorders>
                  <w:noWrap w:val="0"/>
                  <w:vAlign w:val="center"/>
                </w:tcPr>
                <w:p w14:paraId="186CA56B">
                  <w:pPr>
                    <w:jc w:val="center"/>
                    <w:rPr>
                      <w:rFonts w:hint="default" w:ascii="Times New Roman" w:hAnsi="Times New Roman" w:eastAsia="宋体" w:cs="Times New Roman"/>
                      <w:b w:val="0"/>
                      <w:bCs w:val="0"/>
                      <w:color w:val="auto"/>
                      <w:kern w:val="0"/>
                      <w:sz w:val="21"/>
                      <w:szCs w:val="21"/>
                      <w:highlight w:val="none"/>
                      <w:u w:color="000000"/>
                      <w:lang w:val="en-US" w:eastAsia="zh-CN" w:bidi="ar-SA"/>
                    </w:rPr>
                  </w:pPr>
                  <w:r>
                    <w:rPr>
                      <w:rFonts w:hint="eastAsia" w:cs="Times New Roman"/>
                      <w:b w:val="0"/>
                      <w:bCs w:val="0"/>
                      <w:color w:val="auto"/>
                      <w:kern w:val="0"/>
                      <w:sz w:val="21"/>
                      <w:szCs w:val="21"/>
                      <w:highlight w:val="none"/>
                      <w:u w:color="000000"/>
                      <w:lang w:val="en-US" w:eastAsia="zh-CN" w:bidi="ar-SA"/>
                    </w:rPr>
                    <w:t>废导热油</w:t>
                  </w:r>
                </w:p>
              </w:tc>
              <w:tc>
                <w:tcPr>
                  <w:tcW w:w="1042" w:type="pct"/>
                  <w:tcBorders>
                    <w:tl2br w:val="nil"/>
                    <w:tr2bl w:val="nil"/>
                  </w:tcBorders>
                  <w:noWrap w:val="0"/>
                  <w:vAlign w:val="center"/>
                </w:tcPr>
                <w:p w14:paraId="77E2AA9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危险废物</w:t>
                  </w:r>
                </w:p>
                <w:p w14:paraId="2578D47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（900-249-08）</w:t>
                  </w:r>
                </w:p>
              </w:tc>
              <w:tc>
                <w:tcPr>
                  <w:tcW w:w="831" w:type="pct"/>
                  <w:tcBorders>
                    <w:tl2br w:val="nil"/>
                    <w:tr2bl w:val="nil"/>
                  </w:tcBorders>
                  <w:noWrap w:val="0"/>
                  <w:vAlign w:val="center"/>
                </w:tcPr>
                <w:p w14:paraId="64ABC2F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0.5</w:t>
                  </w:r>
                </w:p>
              </w:tc>
              <w:tc>
                <w:tcPr>
                  <w:tcW w:w="1729" w:type="pct"/>
                  <w:tcBorders>
                    <w:tl2br w:val="nil"/>
                    <w:tr2bl w:val="nil"/>
                  </w:tcBorders>
                  <w:noWrap w:val="0"/>
                  <w:vAlign w:val="center"/>
                </w:tcPr>
                <w:p w14:paraId="46A1D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暂存</w:t>
                  </w:r>
                  <w:r>
                    <w:rPr>
                      <w:rFonts w:hint="eastAsia" w:cs="Times New Roman"/>
                      <w:b w:val="0"/>
                      <w:bCs w:val="0"/>
                      <w:color w:val="auto"/>
                      <w:kern w:val="0"/>
                      <w:sz w:val="21"/>
                      <w:szCs w:val="21"/>
                      <w:highlight w:val="none"/>
                      <w:lang w:val="en-US" w:eastAsia="zh-CN"/>
                    </w:rPr>
                    <w:t>危废库</w:t>
                  </w:r>
                  <w:r>
                    <w:rPr>
                      <w:rFonts w:hint="eastAsia" w:ascii="Times New Roman" w:hAnsi="Times New Roman" w:eastAsia="宋体" w:cs="Times New Roman"/>
                      <w:b w:val="0"/>
                      <w:bCs w:val="0"/>
                      <w:color w:val="auto"/>
                      <w:kern w:val="0"/>
                      <w:sz w:val="21"/>
                      <w:szCs w:val="21"/>
                      <w:highlight w:val="none"/>
                      <w:lang w:val="en-US" w:eastAsia="zh-CN"/>
                    </w:rPr>
                    <w:t>，委托有资质单位处置</w:t>
                  </w:r>
                </w:p>
              </w:tc>
            </w:tr>
            <w:tr w14:paraId="4273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6" w:type="pct"/>
                  <w:tcBorders>
                    <w:tl2br w:val="nil"/>
                    <w:tr2bl w:val="nil"/>
                  </w:tcBorders>
                  <w:noWrap w:val="0"/>
                  <w:vAlign w:val="center"/>
                </w:tcPr>
                <w:p w14:paraId="1748279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5</w:t>
                  </w:r>
                </w:p>
              </w:tc>
              <w:tc>
                <w:tcPr>
                  <w:tcW w:w="940" w:type="pct"/>
                  <w:tcBorders>
                    <w:tl2br w:val="nil"/>
                    <w:tr2bl w:val="nil"/>
                  </w:tcBorders>
                  <w:noWrap w:val="0"/>
                  <w:vAlign w:val="center"/>
                </w:tcPr>
                <w:p w14:paraId="105A5D6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废活性炭</w:t>
                  </w:r>
                </w:p>
              </w:tc>
              <w:tc>
                <w:tcPr>
                  <w:tcW w:w="1042" w:type="pct"/>
                  <w:tcBorders>
                    <w:tl2br w:val="nil"/>
                    <w:tr2bl w:val="nil"/>
                  </w:tcBorders>
                  <w:noWrap w:val="0"/>
                  <w:vAlign w:val="center"/>
                </w:tcPr>
                <w:p w14:paraId="056AE62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危险废物</w:t>
                  </w:r>
                </w:p>
                <w:p w14:paraId="23D0774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（900-039-49）</w:t>
                  </w:r>
                </w:p>
              </w:tc>
              <w:tc>
                <w:tcPr>
                  <w:tcW w:w="831" w:type="pct"/>
                  <w:tcBorders>
                    <w:tl2br w:val="nil"/>
                    <w:tr2bl w:val="nil"/>
                  </w:tcBorders>
                  <w:noWrap w:val="0"/>
                  <w:vAlign w:val="center"/>
                </w:tcPr>
                <w:p w14:paraId="68F2B7C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0.5</w:t>
                  </w:r>
                </w:p>
              </w:tc>
              <w:tc>
                <w:tcPr>
                  <w:tcW w:w="1729" w:type="pct"/>
                  <w:tcBorders>
                    <w:tl2br w:val="nil"/>
                    <w:tr2bl w:val="nil"/>
                  </w:tcBorders>
                  <w:noWrap w:val="0"/>
                  <w:vAlign w:val="center"/>
                </w:tcPr>
                <w:p w14:paraId="65E335F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暂存</w:t>
                  </w:r>
                  <w:r>
                    <w:rPr>
                      <w:rFonts w:hint="eastAsia" w:ascii="Times New Roman" w:hAnsi="Times New Roman" w:cs="Times New Roman"/>
                      <w:b w:val="0"/>
                      <w:bCs w:val="0"/>
                      <w:color w:val="auto"/>
                      <w:kern w:val="0"/>
                      <w:sz w:val="21"/>
                      <w:szCs w:val="21"/>
                      <w:highlight w:val="none"/>
                      <w:lang w:val="en-US" w:eastAsia="zh-CN"/>
                    </w:rPr>
                    <w:t>危废库</w:t>
                  </w:r>
                  <w:r>
                    <w:rPr>
                      <w:rFonts w:hint="eastAsia" w:ascii="Times New Roman" w:hAnsi="Times New Roman" w:eastAsia="宋体" w:cs="Times New Roman"/>
                      <w:b w:val="0"/>
                      <w:bCs w:val="0"/>
                      <w:color w:val="auto"/>
                      <w:kern w:val="0"/>
                      <w:sz w:val="21"/>
                      <w:szCs w:val="21"/>
                      <w:highlight w:val="none"/>
                      <w:lang w:val="en-US" w:eastAsia="zh-CN"/>
                    </w:rPr>
                    <w:t>，委托有资质单位处置</w:t>
                  </w:r>
                </w:p>
              </w:tc>
            </w:tr>
          </w:tbl>
          <w:p w14:paraId="1A17C8AC">
            <w:pPr>
              <w:keepNext w:val="0"/>
              <w:keepLines w:val="0"/>
              <w:pageBreakBefore w:val="0"/>
              <w:widowControl w:val="0"/>
              <w:tabs>
                <w:tab w:val="left" w:pos="470"/>
                <w:tab w:val="left" w:pos="6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kern w:val="0"/>
                <w:sz w:val="24"/>
                <w:szCs w:val="24"/>
                <w:highlight w:val="none"/>
                <w:lang w:val="en-US" w:eastAsia="zh-CN"/>
              </w:rPr>
            </w:pPr>
            <w:r>
              <w:rPr>
                <w:rFonts w:hint="default" w:ascii="Times New Roman" w:hAnsi="Times New Roman" w:eastAsia="宋体" w:cs="Times New Roman"/>
                <w:bCs/>
                <w:snapToGrid w:val="0"/>
                <w:color w:val="auto"/>
                <w:kern w:val="0"/>
                <w:sz w:val="24"/>
                <w:szCs w:val="24"/>
                <w:highlight w:val="none"/>
                <w:lang w:val="en-US" w:eastAsia="zh-CN"/>
              </w:rPr>
              <w:t>一般固废处置符合《一般工业固体废物贮存和填埋污染控制标准》（GB18599-202</w:t>
            </w:r>
            <w:r>
              <w:rPr>
                <w:rFonts w:hint="default" w:ascii="Times New Roman" w:hAnsi="Times New Roman" w:eastAsia="宋体" w:cs="Times New Roman"/>
                <w:b w:val="0"/>
                <w:bCs/>
                <w:snapToGrid w:val="0"/>
                <w:color w:val="auto"/>
                <w:kern w:val="0"/>
                <w:sz w:val="24"/>
                <w:szCs w:val="24"/>
                <w:highlight w:val="none"/>
                <w:lang w:val="en-US" w:eastAsia="zh-CN"/>
              </w:rPr>
              <w:t>0）</w:t>
            </w:r>
            <w:r>
              <w:rPr>
                <w:rFonts w:hint="eastAsia" w:cs="Times New Roman"/>
                <w:b w:val="0"/>
                <w:bCs/>
                <w:snapToGrid w:val="0"/>
                <w:color w:val="auto"/>
                <w:kern w:val="0"/>
                <w:sz w:val="24"/>
                <w:szCs w:val="24"/>
                <w:highlight w:val="none"/>
                <w:lang w:val="en-US" w:eastAsia="zh-CN"/>
              </w:rPr>
              <w:t>要求</w:t>
            </w:r>
            <w:r>
              <w:rPr>
                <w:rFonts w:hint="eastAsia" w:ascii="Times New Roman" w:hAnsi="Times New Roman" w:eastAsia="宋体" w:cs="Times New Roman"/>
                <w:b w:val="0"/>
                <w:bCs/>
                <w:snapToGrid w:val="0"/>
                <w:color w:val="auto"/>
                <w:kern w:val="0"/>
                <w:sz w:val="24"/>
                <w:szCs w:val="24"/>
                <w:highlight w:val="none"/>
                <w:lang w:val="en-US" w:eastAsia="zh-CN"/>
              </w:rPr>
              <w:t>，危险废物处置符合《危险废物贮存污染控制标准》(GB18597-2023)</w:t>
            </w:r>
            <w:r>
              <w:rPr>
                <w:rFonts w:hint="eastAsia" w:cs="Times New Roman"/>
                <w:b w:val="0"/>
                <w:bCs/>
                <w:snapToGrid w:val="0"/>
                <w:color w:val="auto"/>
                <w:kern w:val="0"/>
                <w:sz w:val="24"/>
                <w:szCs w:val="24"/>
                <w:highlight w:val="none"/>
                <w:lang w:val="en-US" w:eastAsia="zh-CN"/>
              </w:rPr>
              <w:t>要求。</w:t>
            </w:r>
          </w:p>
          <w:p w14:paraId="73E97091">
            <w:pPr>
              <w:pStyle w:val="40"/>
              <w:keepNext w:val="0"/>
              <w:keepLines w:val="0"/>
              <w:pageBreakBefore w:val="0"/>
              <w:widowControl w:val="0"/>
              <w:numPr>
                <w:ilvl w:val="0"/>
                <w:numId w:val="0"/>
              </w:numPr>
              <w:kinsoku/>
              <w:wordWrap/>
              <w:overflowPunct/>
              <w:topLinePunct w:val="0"/>
              <w:autoSpaceDE w:val="0"/>
              <w:autoSpaceDN w:val="0"/>
              <w:bidi w:val="0"/>
              <w:adjustRightInd/>
              <w:snapToGrid/>
              <w:ind w:leftChars="0" w:firstLine="482"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现有</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污染物</w:t>
            </w:r>
            <w:r>
              <w:rPr>
                <w:rFonts w:hint="eastAsia"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量</w:t>
            </w:r>
          </w:p>
          <w:p w14:paraId="12C40747">
            <w:pPr>
              <w:keepNext w:val="0"/>
              <w:keepLines w:val="0"/>
              <w:pageBreakBefore w:val="0"/>
              <w:widowControl w:val="0"/>
              <w:tabs>
                <w:tab w:val="left" w:pos="470"/>
                <w:tab w:val="left" w:pos="684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kern w:val="0"/>
                <w:sz w:val="24"/>
                <w:szCs w:val="24"/>
                <w:highlight w:val="none"/>
                <w:lang w:val="en-US" w:eastAsia="zh-CN"/>
              </w:rPr>
            </w:pPr>
            <w:r>
              <w:rPr>
                <w:rFonts w:hint="eastAsia" w:ascii="Times New Roman" w:hAnsi="Times New Roman" w:eastAsia="宋体" w:cs="Times New Roman"/>
                <w:b w:val="0"/>
                <w:bCs/>
                <w:snapToGrid w:val="0"/>
                <w:color w:val="auto"/>
                <w:kern w:val="0"/>
                <w:sz w:val="24"/>
                <w:szCs w:val="24"/>
                <w:highlight w:val="none"/>
                <w:lang w:val="en-US" w:eastAsia="zh-CN"/>
              </w:rPr>
              <w:t>因现有工程的有组织废气例行监测数据存在未检出的情况，污染物排放量均采用现状评估报告</w:t>
            </w:r>
            <w:r>
              <w:rPr>
                <w:rFonts w:hint="eastAsia" w:cs="Times New Roman"/>
                <w:b w:val="0"/>
                <w:bCs/>
                <w:snapToGrid w:val="0"/>
                <w:color w:val="auto"/>
                <w:kern w:val="0"/>
                <w:sz w:val="24"/>
                <w:szCs w:val="24"/>
                <w:highlight w:val="none"/>
                <w:lang w:val="en-US" w:eastAsia="zh-CN"/>
              </w:rPr>
              <w:t>（嘉环备[2017]119号）</w:t>
            </w:r>
            <w:r>
              <w:rPr>
                <w:rFonts w:hint="eastAsia" w:ascii="Times New Roman" w:hAnsi="Times New Roman" w:eastAsia="宋体" w:cs="Times New Roman"/>
                <w:b w:val="0"/>
                <w:bCs/>
                <w:snapToGrid w:val="0"/>
                <w:color w:val="auto"/>
                <w:kern w:val="0"/>
                <w:sz w:val="24"/>
                <w:szCs w:val="24"/>
                <w:highlight w:val="none"/>
                <w:lang w:val="en-US" w:eastAsia="zh-CN"/>
              </w:rPr>
              <w:t>的数据。</w:t>
            </w:r>
          </w:p>
          <w:p w14:paraId="2224E80B">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现有项目污染物排放情况一览表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708"/>
              <w:gridCol w:w="3799"/>
            </w:tblGrid>
            <w:tr w14:paraId="703A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tcBorders>
                    <w:tl2br w:val="nil"/>
                    <w:tr2bl w:val="nil"/>
                  </w:tcBorders>
                  <w:noWrap w:val="0"/>
                  <w:vAlign w:val="center"/>
                </w:tcPr>
                <w:p w14:paraId="35F7C30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类别</w:t>
                  </w:r>
                </w:p>
              </w:tc>
              <w:tc>
                <w:tcPr>
                  <w:tcW w:w="1726" w:type="pct"/>
                  <w:tcBorders>
                    <w:tl2br w:val="nil"/>
                    <w:tr2bl w:val="nil"/>
                  </w:tcBorders>
                  <w:noWrap w:val="0"/>
                  <w:vAlign w:val="center"/>
                </w:tcPr>
                <w:p w14:paraId="7B84318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2421" w:type="pct"/>
                  <w:tcBorders>
                    <w:tl2br w:val="nil"/>
                    <w:tr2bl w:val="nil"/>
                  </w:tcBorders>
                  <w:noWrap w:val="0"/>
                  <w:vAlign w:val="center"/>
                </w:tcPr>
                <w:p w14:paraId="6A762C0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排放量（t/a）</w:t>
                  </w:r>
                </w:p>
              </w:tc>
            </w:tr>
            <w:tr w14:paraId="49F1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restart"/>
                  <w:tcBorders>
                    <w:tl2br w:val="nil"/>
                    <w:tr2bl w:val="nil"/>
                  </w:tcBorders>
                  <w:noWrap w:val="0"/>
                  <w:vAlign w:val="center"/>
                </w:tcPr>
                <w:p w14:paraId="662A7B7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1726" w:type="pct"/>
                  <w:tcBorders>
                    <w:tl2br w:val="nil"/>
                    <w:tr2bl w:val="nil"/>
                  </w:tcBorders>
                  <w:noWrap w:val="0"/>
                  <w:vAlign w:val="center"/>
                </w:tcPr>
                <w:p w14:paraId="073D440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c>
                <w:tcPr>
                  <w:tcW w:w="2421" w:type="pct"/>
                  <w:tcBorders>
                    <w:tl2br w:val="nil"/>
                    <w:tr2bl w:val="nil"/>
                  </w:tcBorders>
                  <w:noWrap w:val="0"/>
                  <w:vAlign w:val="center"/>
                </w:tcPr>
                <w:p w14:paraId="446A9D5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0.14</w:t>
                  </w:r>
                </w:p>
              </w:tc>
            </w:tr>
            <w:tr w14:paraId="2EB4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4E619C8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708" w:type="dxa"/>
                  <w:tcBorders>
                    <w:tl2br w:val="nil"/>
                    <w:tr2bl w:val="nil"/>
                  </w:tcBorders>
                  <w:noWrap w:val="0"/>
                  <w:vAlign w:val="center"/>
                </w:tcPr>
                <w:p w14:paraId="1BEC5056">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SO</w:t>
                  </w:r>
                  <w:r>
                    <w:rPr>
                      <w:rStyle w:val="67"/>
                      <w:rFonts w:eastAsia="宋体"/>
                      <w:color w:val="auto"/>
                      <w:sz w:val="21"/>
                      <w:szCs w:val="21"/>
                      <w:lang w:val="en-US" w:eastAsia="zh-CN" w:bidi="ar"/>
                    </w:rPr>
                    <w:t>2</w:t>
                  </w:r>
                </w:p>
              </w:tc>
              <w:tc>
                <w:tcPr>
                  <w:tcW w:w="2421" w:type="pct"/>
                  <w:tcBorders>
                    <w:tl2br w:val="nil"/>
                    <w:tr2bl w:val="nil"/>
                  </w:tcBorders>
                  <w:noWrap w:val="0"/>
                  <w:vAlign w:val="center"/>
                </w:tcPr>
                <w:p w14:paraId="22EA777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0.317</w:t>
                  </w:r>
                </w:p>
              </w:tc>
            </w:tr>
            <w:tr w14:paraId="07D1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50F78A1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708" w:type="dxa"/>
                  <w:tcBorders>
                    <w:tl2br w:val="nil"/>
                    <w:tr2bl w:val="nil"/>
                  </w:tcBorders>
                  <w:noWrap w:val="0"/>
                  <w:vAlign w:val="center"/>
                </w:tcPr>
                <w:p w14:paraId="24CF4220">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2421" w:type="pct"/>
                  <w:tcBorders>
                    <w:tl2br w:val="nil"/>
                    <w:tr2bl w:val="nil"/>
                  </w:tcBorders>
                  <w:noWrap w:val="0"/>
                  <w:vAlign w:val="center"/>
                </w:tcPr>
                <w:p w14:paraId="4EC3E82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0.651</w:t>
                  </w:r>
                </w:p>
              </w:tc>
            </w:tr>
            <w:tr w14:paraId="45F4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5939CCF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726" w:type="pct"/>
                  <w:tcBorders>
                    <w:tl2br w:val="nil"/>
                    <w:tr2bl w:val="nil"/>
                  </w:tcBorders>
                  <w:noWrap w:val="0"/>
                  <w:vAlign w:val="center"/>
                </w:tcPr>
                <w:p w14:paraId="525071A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沥青烟</w:t>
                  </w:r>
                </w:p>
              </w:tc>
              <w:tc>
                <w:tcPr>
                  <w:tcW w:w="2421" w:type="pct"/>
                  <w:tcBorders>
                    <w:tl2br w:val="nil"/>
                    <w:tr2bl w:val="nil"/>
                  </w:tcBorders>
                  <w:noWrap w:val="0"/>
                  <w:vAlign w:val="center"/>
                </w:tcPr>
                <w:p w14:paraId="355A172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0.034</w:t>
                  </w:r>
                </w:p>
              </w:tc>
            </w:tr>
            <w:tr w14:paraId="7F3E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1DBB5BA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726" w:type="pct"/>
                  <w:tcBorders>
                    <w:tl2br w:val="nil"/>
                    <w:tr2bl w:val="nil"/>
                  </w:tcBorders>
                  <w:noWrap w:val="0"/>
                  <w:vAlign w:val="center"/>
                </w:tcPr>
                <w:p w14:paraId="68DB6B0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苯并[a]芘</w:t>
                  </w:r>
                </w:p>
              </w:tc>
              <w:tc>
                <w:tcPr>
                  <w:tcW w:w="2421" w:type="pct"/>
                  <w:tcBorders>
                    <w:tl2br w:val="nil"/>
                    <w:tr2bl w:val="nil"/>
                  </w:tcBorders>
                  <w:noWrap w:val="0"/>
                  <w:vAlign w:val="center"/>
                </w:tcPr>
                <w:p w14:paraId="55B4349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0.000336‬</w:t>
                  </w:r>
                </w:p>
              </w:tc>
            </w:tr>
            <w:tr w14:paraId="45D8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restart"/>
                  <w:tcBorders>
                    <w:tl2br w:val="nil"/>
                    <w:tr2bl w:val="nil"/>
                  </w:tcBorders>
                  <w:noWrap w:val="0"/>
                  <w:vAlign w:val="center"/>
                </w:tcPr>
                <w:p w14:paraId="3B26CFE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tc>
              <w:tc>
                <w:tcPr>
                  <w:tcW w:w="1726" w:type="pct"/>
                  <w:tcBorders>
                    <w:tl2br w:val="nil"/>
                    <w:tr2bl w:val="nil"/>
                  </w:tcBorders>
                  <w:noWrap w:val="0"/>
                  <w:vAlign w:val="center"/>
                </w:tcPr>
                <w:p w14:paraId="0FBA0FC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CODcr</w:t>
                  </w:r>
                </w:p>
              </w:tc>
              <w:tc>
                <w:tcPr>
                  <w:tcW w:w="2421" w:type="pct"/>
                  <w:tcBorders>
                    <w:tl2br w:val="nil"/>
                    <w:tr2bl w:val="nil"/>
                  </w:tcBorders>
                  <w:noWrap w:val="0"/>
                  <w:vAlign w:val="center"/>
                </w:tcPr>
                <w:p w14:paraId="0498245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0.067</w:t>
                  </w:r>
                </w:p>
              </w:tc>
            </w:tr>
            <w:tr w14:paraId="2D1A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2FA7845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726" w:type="pct"/>
                  <w:tcBorders>
                    <w:tl2br w:val="nil"/>
                    <w:tr2bl w:val="nil"/>
                  </w:tcBorders>
                  <w:noWrap w:val="0"/>
                  <w:vAlign w:val="center"/>
                </w:tcPr>
                <w:p w14:paraId="43484C4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氨氮</w:t>
                  </w:r>
                </w:p>
              </w:tc>
              <w:tc>
                <w:tcPr>
                  <w:tcW w:w="2421" w:type="pct"/>
                  <w:tcBorders>
                    <w:tl2br w:val="nil"/>
                    <w:tr2bl w:val="nil"/>
                  </w:tcBorders>
                  <w:noWrap w:val="0"/>
                  <w:vAlign w:val="center"/>
                </w:tcPr>
                <w:p w14:paraId="2E89863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0.0067</w:t>
                  </w:r>
                </w:p>
              </w:tc>
            </w:tr>
            <w:tr w14:paraId="5AAA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restart"/>
                  <w:tcBorders>
                    <w:tl2br w:val="nil"/>
                    <w:tr2bl w:val="nil"/>
                  </w:tcBorders>
                  <w:noWrap w:val="0"/>
                  <w:vAlign w:val="center"/>
                </w:tcPr>
                <w:p w14:paraId="022A4F6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固体废物</w:t>
                  </w:r>
                </w:p>
                <w:p w14:paraId="617E377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（产生量）</w:t>
                  </w:r>
                </w:p>
              </w:tc>
              <w:tc>
                <w:tcPr>
                  <w:tcW w:w="2848" w:type="dxa"/>
                  <w:tcBorders>
                    <w:tl2br w:val="nil"/>
                    <w:tr2bl w:val="nil"/>
                  </w:tcBorders>
                  <w:noWrap w:val="0"/>
                  <w:vAlign w:val="center"/>
                </w:tcPr>
                <w:p w14:paraId="027AABE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生活垃圾</w:t>
                  </w:r>
                </w:p>
              </w:tc>
              <w:tc>
                <w:tcPr>
                  <w:tcW w:w="3995" w:type="dxa"/>
                  <w:tcBorders>
                    <w:tl2br w:val="nil"/>
                    <w:tr2bl w:val="nil"/>
                  </w:tcBorders>
                  <w:noWrap w:val="0"/>
                  <w:vAlign w:val="center"/>
                </w:tcPr>
                <w:p w14:paraId="432B90F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2.4</w:t>
                  </w:r>
                </w:p>
              </w:tc>
            </w:tr>
            <w:tr w14:paraId="0AEF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0EFE527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848" w:type="dxa"/>
                  <w:tcBorders>
                    <w:tl2br w:val="nil"/>
                    <w:tr2bl w:val="nil"/>
                  </w:tcBorders>
                  <w:noWrap w:val="0"/>
                  <w:vAlign w:val="center"/>
                </w:tcPr>
                <w:p w14:paraId="25E1324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除尘器收尘</w:t>
                  </w:r>
                </w:p>
              </w:tc>
              <w:tc>
                <w:tcPr>
                  <w:tcW w:w="3995" w:type="dxa"/>
                  <w:tcBorders>
                    <w:tl2br w:val="nil"/>
                    <w:tr2bl w:val="nil"/>
                  </w:tcBorders>
                  <w:noWrap w:val="0"/>
                  <w:vAlign w:val="center"/>
                </w:tcPr>
                <w:p w14:paraId="44AE839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7.73</w:t>
                  </w:r>
                </w:p>
              </w:tc>
            </w:tr>
            <w:tr w14:paraId="0B5D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547532A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848" w:type="dxa"/>
                  <w:tcBorders>
                    <w:tl2br w:val="nil"/>
                    <w:tr2bl w:val="nil"/>
                  </w:tcBorders>
                  <w:noWrap w:val="0"/>
                  <w:vAlign w:val="center"/>
                </w:tcPr>
                <w:p w14:paraId="4E30E8B2">
                  <w:pPr>
                    <w:jc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u w:color="000000"/>
                      <w:lang w:val="en-US" w:eastAsia="zh-CN" w:bidi="ar-SA"/>
                    </w:rPr>
                    <w:t>沥青残渣</w:t>
                  </w:r>
                </w:p>
              </w:tc>
              <w:tc>
                <w:tcPr>
                  <w:tcW w:w="3995" w:type="dxa"/>
                  <w:tcBorders>
                    <w:tl2br w:val="nil"/>
                    <w:tr2bl w:val="nil"/>
                  </w:tcBorders>
                  <w:noWrap w:val="0"/>
                  <w:vAlign w:val="center"/>
                </w:tcPr>
                <w:p w14:paraId="625FB38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0.15</w:t>
                  </w:r>
                </w:p>
              </w:tc>
            </w:tr>
            <w:tr w14:paraId="28A5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30597BC9">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848" w:type="dxa"/>
                  <w:tcBorders>
                    <w:tl2br w:val="nil"/>
                    <w:tr2bl w:val="nil"/>
                  </w:tcBorders>
                  <w:noWrap w:val="0"/>
                  <w:vAlign w:val="center"/>
                </w:tcPr>
                <w:p w14:paraId="34DC225A">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kern w:val="0"/>
                      <w:sz w:val="21"/>
                      <w:szCs w:val="21"/>
                      <w:highlight w:val="none"/>
                      <w:u w:color="000000"/>
                      <w:lang w:val="en-US" w:eastAsia="zh-CN" w:bidi="ar-SA"/>
                    </w:rPr>
                    <w:t>废导热油</w:t>
                  </w:r>
                </w:p>
              </w:tc>
              <w:tc>
                <w:tcPr>
                  <w:tcW w:w="3995" w:type="dxa"/>
                  <w:tcBorders>
                    <w:tl2br w:val="nil"/>
                    <w:tr2bl w:val="nil"/>
                  </w:tcBorders>
                  <w:noWrap w:val="0"/>
                  <w:vAlign w:val="center"/>
                </w:tcPr>
                <w:p w14:paraId="70FB749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0.5</w:t>
                  </w:r>
                </w:p>
              </w:tc>
            </w:tr>
            <w:tr w14:paraId="3386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vMerge w:val="continue"/>
                  <w:tcBorders>
                    <w:tl2br w:val="nil"/>
                    <w:tr2bl w:val="nil"/>
                  </w:tcBorders>
                  <w:noWrap w:val="0"/>
                  <w:vAlign w:val="center"/>
                </w:tcPr>
                <w:p w14:paraId="15AAB55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848" w:type="dxa"/>
                  <w:tcBorders>
                    <w:tl2br w:val="nil"/>
                    <w:tr2bl w:val="nil"/>
                  </w:tcBorders>
                  <w:noWrap w:val="0"/>
                  <w:vAlign w:val="center"/>
                </w:tcPr>
                <w:p w14:paraId="770B6D2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废活性炭</w:t>
                  </w:r>
                </w:p>
              </w:tc>
              <w:tc>
                <w:tcPr>
                  <w:tcW w:w="3995" w:type="dxa"/>
                  <w:tcBorders>
                    <w:tl2br w:val="nil"/>
                    <w:tr2bl w:val="nil"/>
                  </w:tcBorders>
                  <w:noWrap w:val="0"/>
                  <w:vAlign w:val="center"/>
                </w:tcPr>
                <w:p w14:paraId="054FCD3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0.5</w:t>
                  </w:r>
                </w:p>
              </w:tc>
            </w:tr>
          </w:tbl>
          <w:p w14:paraId="0794278D">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现有工程存在的主要环境问题及整改措施</w:t>
            </w:r>
          </w:p>
          <w:p w14:paraId="7C7713C2">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现有</w:t>
            </w:r>
            <w:r>
              <w:rPr>
                <w:rFonts w:hint="eastAsia" w:ascii="Times New Roman" w:hAnsi="Times New Roman" w:eastAsia="宋体" w:cs="Times New Roman"/>
                <w:b/>
                <w:caps w:val="0"/>
                <w:color w:val="auto"/>
                <w:spacing w:val="0"/>
                <w:kern w:val="0"/>
                <w:position w:val="0"/>
                <w:sz w:val="24"/>
                <w:szCs w:val="24"/>
                <w:highlight w:val="none"/>
                <w:lang w:val="en-US" w:eastAsia="zh-CN"/>
              </w:rPr>
              <w:t>工程</w:t>
            </w:r>
            <w:r>
              <w:rPr>
                <w:rFonts w:hint="default" w:ascii="Times New Roman" w:hAnsi="Times New Roman" w:eastAsia="宋体" w:cs="Times New Roman"/>
                <w:b/>
                <w:caps w:val="0"/>
                <w:color w:val="auto"/>
                <w:spacing w:val="0"/>
                <w:kern w:val="0"/>
                <w:position w:val="0"/>
                <w:sz w:val="24"/>
                <w:szCs w:val="24"/>
                <w:highlight w:val="none"/>
                <w:lang w:val="en-US" w:eastAsia="zh-CN"/>
              </w:rPr>
              <w:t>主要环境问题及整改措施</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2590"/>
              <w:gridCol w:w="1853"/>
            </w:tblGrid>
            <w:tr w14:paraId="6F0B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pct"/>
                  <w:tcBorders>
                    <w:tl2br w:val="nil"/>
                    <w:tr2bl w:val="nil"/>
                  </w:tcBorders>
                  <w:noWrap w:val="0"/>
                  <w:vAlign w:val="center"/>
                </w:tcPr>
                <w:p w14:paraId="4AAC9B8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环境问题</w:t>
                  </w:r>
                </w:p>
              </w:tc>
              <w:tc>
                <w:tcPr>
                  <w:tcW w:w="1651" w:type="pct"/>
                  <w:tcBorders>
                    <w:tl2br w:val="nil"/>
                    <w:tr2bl w:val="nil"/>
                  </w:tcBorders>
                  <w:noWrap w:val="0"/>
                  <w:vAlign w:val="center"/>
                </w:tcPr>
                <w:p w14:paraId="31A512C7">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整改措施</w:t>
                  </w:r>
                </w:p>
              </w:tc>
              <w:tc>
                <w:tcPr>
                  <w:tcW w:w="1181" w:type="pct"/>
                  <w:tcBorders>
                    <w:tl2br w:val="nil"/>
                    <w:tr2bl w:val="nil"/>
                  </w:tcBorders>
                  <w:noWrap w:val="0"/>
                  <w:vAlign w:val="center"/>
                </w:tcPr>
                <w:p w14:paraId="2355603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整改期限</w:t>
                  </w:r>
                </w:p>
              </w:tc>
            </w:tr>
            <w:tr w14:paraId="5A32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pct"/>
                  <w:tcBorders>
                    <w:tl2br w:val="nil"/>
                    <w:tr2bl w:val="nil"/>
                  </w:tcBorders>
                  <w:noWrap w:val="0"/>
                  <w:vAlign w:val="center"/>
                </w:tcPr>
                <w:p w14:paraId="0B8297F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沥青烟气处理措施</w:t>
                  </w:r>
                  <w:r>
                    <w:rPr>
                      <w:rFonts w:hint="eastAsia" w:ascii="Times New Roman" w:hAnsi="Times New Roman" w:cs="Times New Roman"/>
                      <w:b w:val="0"/>
                      <w:bCs w:val="0"/>
                      <w:color w:val="auto"/>
                      <w:sz w:val="21"/>
                      <w:szCs w:val="21"/>
                      <w:highlight w:val="none"/>
                      <w:lang w:val="en-US" w:eastAsia="zh-CN"/>
                    </w:rPr>
                    <w:t>仅为</w:t>
                  </w:r>
                  <w:r>
                    <w:rPr>
                      <w:rFonts w:hint="eastAsia" w:ascii="Times New Roman" w:hAnsi="Times New Roman" w:eastAsia="宋体" w:cs="Times New Roman"/>
                      <w:b w:val="0"/>
                      <w:bCs w:val="0"/>
                      <w:color w:val="auto"/>
                      <w:sz w:val="21"/>
                      <w:szCs w:val="21"/>
                      <w:highlight w:val="none"/>
                      <w:lang w:val="en-US" w:eastAsia="zh-CN"/>
                    </w:rPr>
                    <w:t>活性炭吸附</w:t>
                  </w:r>
                  <w:r>
                    <w:rPr>
                      <w:rFonts w:hint="eastAsia" w:ascii="Times New Roman" w:hAnsi="Times New Roman" w:cs="Times New Roman"/>
                      <w:b w:val="0"/>
                      <w:bCs w:val="0"/>
                      <w:color w:val="auto"/>
                      <w:sz w:val="21"/>
                      <w:szCs w:val="21"/>
                      <w:highlight w:val="none"/>
                      <w:lang w:val="en-US" w:eastAsia="zh-CN"/>
                    </w:rPr>
                    <w:t>，处理效果一般</w:t>
                  </w:r>
                </w:p>
              </w:tc>
              <w:tc>
                <w:tcPr>
                  <w:tcW w:w="1651" w:type="pct"/>
                  <w:tcBorders>
                    <w:tl2br w:val="nil"/>
                    <w:tr2bl w:val="nil"/>
                  </w:tcBorders>
                  <w:noWrap w:val="0"/>
                  <w:vAlign w:val="center"/>
                </w:tcPr>
                <w:p w14:paraId="5959F72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改为“水喷淋+电捕焦油器+二级活性炭吸附”</w:t>
                  </w:r>
                </w:p>
              </w:tc>
              <w:tc>
                <w:tcPr>
                  <w:tcW w:w="1181" w:type="pct"/>
                  <w:tcBorders>
                    <w:tl2br w:val="nil"/>
                    <w:tr2bl w:val="nil"/>
                  </w:tcBorders>
                  <w:noWrap w:val="0"/>
                  <w:vAlign w:val="center"/>
                </w:tcPr>
                <w:p w14:paraId="44E6DDF1">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与本项目</w:t>
                  </w:r>
                  <w:r>
                    <w:rPr>
                      <w:rFonts w:hint="eastAsia" w:ascii="Times New Roman" w:hAnsi="Times New Roman" w:eastAsia="宋体" w:cs="Times New Roman"/>
                      <w:b w:val="0"/>
                      <w:bCs w:val="0"/>
                      <w:color w:val="auto"/>
                      <w:sz w:val="21"/>
                      <w:szCs w:val="21"/>
                      <w:highlight w:val="none"/>
                      <w:lang w:val="en-US" w:eastAsia="zh-CN"/>
                    </w:rPr>
                    <w:t>生产设备</w:t>
                  </w:r>
                  <w:r>
                    <w:rPr>
                      <w:rFonts w:hint="default" w:ascii="Times New Roman" w:hAnsi="Times New Roman" w:eastAsia="宋体" w:cs="Times New Roman"/>
                      <w:b w:val="0"/>
                      <w:bCs w:val="0"/>
                      <w:color w:val="auto"/>
                      <w:sz w:val="21"/>
                      <w:szCs w:val="21"/>
                      <w:highlight w:val="none"/>
                      <w:lang w:val="en-US" w:eastAsia="zh-CN"/>
                    </w:rPr>
                    <w:t>同步建设</w:t>
                  </w:r>
                </w:p>
              </w:tc>
            </w:tr>
            <w:tr w14:paraId="466F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pct"/>
                  <w:tcBorders>
                    <w:tl2br w:val="nil"/>
                    <w:tr2bl w:val="nil"/>
                  </w:tcBorders>
                  <w:noWrap w:val="0"/>
                  <w:vAlign w:val="center"/>
                </w:tcPr>
                <w:p w14:paraId="5036661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排气筒DA00</w:t>
                  </w:r>
                  <w:r>
                    <w:rPr>
                      <w:rFonts w:hint="eastAsia" w:ascii="Times New Roman" w:hAnsi="Times New Roman"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高度为8m，不符合</w:t>
                  </w:r>
                  <w:r>
                    <w:rPr>
                      <w:rFonts w:hint="eastAsia" w:ascii="Times New Roman" w:hAnsi="Times New Roman" w:eastAsia="宋体" w:cs="Times New Roman"/>
                      <w:color w:val="auto"/>
                      <w:sz w:val="21"/>
                      <w:szCs w:val="21"/>
                      <w:highlight w:val="none"/>
                      <w:lang w:eastAsia="zh-CN"/>
                    </w:rPr>
                    <w:t>《锅炉大气污染物排放标准》（DB37/2374-2018）</w:t>
                  </w:r>
                  <w:r>
                    <w:rPr>
                      <w:rFonts w:hint="eastAsia" w:ascii="Times New Roman" w:hAnsi="Times New Roman" w:eastAsia="宋体" w:cs="Times New Roman"/>
                      <w:color w:val="auto"/>
                      <w:sz w:val="21"/>
                      <w:szCs w:val="21"/>
                      <w:highlight w:val="none"/>
                      <w:lang w:val="en-US" w:eastAsia="zh-CN"/>
                    </w:rPr>
                    <w:t>中“烟囱周围半径200m距离内有建筑物时，其烟囱应高出最高建筑物3m以上”的要求</w:t>
                  </w:r>
                </w:p>
              </w:tc>
              <w:tc>
                <w:tcPr>
                  <w:tcW w:w="1651" w:type="pct"/>
                  <w:tcBorders>
                    <w:tl2br w:val="nil"/>
                    <w:tr2bl w:val="nil"/>
                  </w:tcBorders>
                  <w:noWrap w:val="0"/>
                  <w:vAlign w:val="center"/>
                </w:tcPr>
                <w:p w14:paraId="5646EB8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排气筒DA00</w:t>
                  </w:r>
                  <w:r>
                    <w:rPr>
                      <w:rFonts w:hint="eastAsia" w:ascii="Times New Roman" w:hAnsi="Times New Roman"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高度改为15m</w:t>
                  </w:r>
                </w:p>
              </w:tc>
              <w:tc>
                <w:tcPr>
                  <w:tcW w:w="1181" w:type="pct"/>
                  <w:tcBorders>
                    <w:tl2br w:val="nil"/>
                    <w:tr2bl w:val="nil"/>
                  </w:tcBorders>
                  <w:noWrap w:val="0"/>
                  <w:vAlign w:val="center"/>
                </w:tcPr>
                <w:p w14:paraId="1D828D1F">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与本项目</w:t>
                  </w:r>
                  <w:r>
                    <w:rPr>
                      <w:rFonts w:hint="eastAsia" w:ascii="Times New Roman" w:hAnsi="Times New Roman" w:eastAsia="宋体" w:cs="Times New Roman"/>
                      <w:b w:val="0"/>
                      <w:bCs w:val="0"/>
                      <w:color w:val="auto"/>
                      <w:sz w:val="21"/>
                      <w:szCs w:val="21"/>
                      <w:highlight w:val="none"/>
                      <w:lang w:val="en-US" w:eastAsia="zh-CN"/>
                    </w:rPr>
                    <w:t>生产设备</w:t>
                  </w:r>
                  <w:r>
                    <w:rPr>
                      <w:rFonts w:hint="default" w:ascii="Times New Roman" w:hAnsi="Times New Roman" w:eastAsia="宋体" w:cs="Times New Roman"/>
                      <w:b w:val="0"/>
                      <w:bCs w:val="0"/>
                      <w:color w:val="auto"/>
                      <w:sz w:val="21"/>
                      <w:szCs w:val="21"/>
                      <w:highlight w:val="none"/>
                      <w:lang w:val="en-US" w:eastAsia="zh-CN"/>
                    </w:rPr>
                    <w:t>同步建设</w:t>
                  </w:r>
                </w:p>
              </w:tc>
            </w:tr>
            <w:tr w14:paraId="4795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pct"/>
                  <w:tcBorders>
                    <w:tl2br w:val="nil"/>
                    <w:tr2bl w:val="nil"/>
                  </w:tcBorders>
                  <w:noWrap w:val="0"/>
                  <w:vAlign w:val="center"/>
                </w:tcPr>
                <w:p w14:paraId="25C2645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因现有项目现状评估报告废气污染物识别不全，导致企业自行监测因子不全</w:t>
                  </w:r>
                </w:p>
              </w:tc>
              <w:tc>
                <w:tcPr>
                  <w:tcW w:w="1651" w:type="pct"/>
                  <w:tcBorders>
                    <w:tl2br w:val="nil"/>
                    <w:tr2bl w:val="nil"/>
                  </w:tcBorders>
                  <w:noWrap w:val="0"/>
                  <w:vAlign w:val="center"/>
                </w:tcPr>
                <w:p w14:paraId="6DB3CA9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排气筒DA001增加VOCs</w:t>
                  </w:r>
                  <w:r>
                    <w:rPr>
                      <w:rFonts w:hint="eastAsia" w:ascii="Times New Roman" w:hAnsi="Times New Roman"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臭气浓度，车间外厂区内增加VOCs，厂界增加VOCs和臭气浓度</w:t>
                  </w:r>
                </w:p>
              </w:tc>
              <w:tc>
                <w:tcPr>
                  <w:tcW w:w="1181" w:type="pct"/>
                  <w:tcBorders>
                    <w:tl2br w:val="nil"/>
                    <w:tr2bl w:val="nil"/>
                  </w:tcBorders>
                  <w:noWrap w:val="0"/>
                  <w:vAlign w:val="center"/>
                </w:tcPr>
                <w:p w14:paraId="4C37B70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本项目取得审批意见后变更排污许可证和自行监测计划</w:t>
                  </w:r>
                </w:p>
              </w:tc>
            </w:tr>
          </w:tbl>
          <w:p w14:paraId="7CE15244">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273A2268">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708FB00E">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608770C8">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57574AF7">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50B1DF2F">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5A7FE6FE">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6C04C06C">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9CA711B">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3E3373BE">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4C7C255">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470507F0">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3FEE1D8">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43EBFE31">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C3C242F">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40ECFC0C">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73005255">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67A3C80F">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E5CFD32">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9625522">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0C3008C4">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cs="Times New Roman"/>
                <w:b w:val="0"/>
                <w:bCs/>
                <w:color w:val="auto"/>
                <w:sz w:val="24"/>
                <w:szCs w:val="24"/>
                <w:highlight w:val="none"/>
                <w:lang w:val="en-US" w:eastAsia="zh-CN"/>
              </w:rPr>
            </w:pPr>
          </w:p>
          <w:p w14:paraId="14F035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p>
        </w:tc>
      </w:tr>
    </w:tbl>
    <w:p w14:paraId="00316696">
      <w:pPr>
        <w:pStyle w:val="4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723" w:firstLineChars="200"/>
        <w:jc w:val="both"/>
        <w:textAlignment w:val="auto"/>
        <w:rPr>
          <w:rFonts w:hint="default" w:ascii="Times New Roman" w:hAnsi="Times New Roman" w:eastAsia="宋体" w:cs="Times New Roman"/>
          <w:snapToGrid w:val="0"/>
          <w:color w:val="auto"/>
          <w:sz w:val="36"/>
          <w:szCs w:val="36"/>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5BC65148">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三、区域环境质量现状、环境保护目标及评价标准</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130"/>
      </w:tblGrid>
      <w:tr w14:paraId="241BA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229" w:type="pct"/>
            <w:noWrap w:val="0"/>
            <w:vAlign w:val="center"/>
          </w:tcPr>
          <w:p w14:paraId="2CBABDB6">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14:paraId="443C7B65">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4506C428">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14:paraId="2D88D7A6">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现状</w:t>
            </w:r>
          </w:p>
        </w:tc>
        <w:tc>
          <w:tcPr>
            <w:tcW w:w="4770" w:type="pct"/>
            <w:noWrap w:val="0"/>
            <w:vAlign w:val="center"/>
          </w:tcPr>
          <w:p w14:paraId="3029D57A">
            <w:pPr>
              <w:adjustRightInd w:val="0"/>
              <w:snapToGrid w:val="0"/>
              <w:spacing w:line="360" w:lineRule="auto"/>
              <w:ind w:firstLine="480" w:firstLineChars="200"/>
              <w:rPr>
                <w:color w:val="auto"/>
                <w:sz w:val="24"/>
                <w:szCs w:val="24"/>
                <w:highlight w:val="none"/>
              </w:rPr>
            </w:pPr>
            <w:r>
              <w:rPr>
                <w:color w:val="auto"/>
                <w:sz w:val="24"/>
                <w:szCs w:val="24"/>
                <w:highlight w:val="none"/>
              </w:rPr>
              <w:t>1、大气环境</w:t>
            </w:r>
          </w:p>
          <w:p w14:paraId="376471AB">
            <w:pPr>
              <w:adjustRightInd w:val="0"/>
              <w:snapToGrid w:val="0"/>
              <w:spacing w:line="360" w:lineRule="auto"/>
              <w:ind w:firstLine="480" w:firstLineChars="200"/>
              <w:rPr>
                <w:color w:val="auto"/>
                <w:sz w:val="24"/>
                <w:szCs w:val="24"/>
                <w:highlight w:val="none"/>
              </w:rPr>
            </w:pPr>
            <w:r>
              <w:rPr>
                <w:color w:val="auto"/>
                <w:sz w:val="24"/>
                <w:szCs w:val="24"/>
                <w:highlight w:val="none"/>
              </w:rPr>
              <w:t>项目所在地环境空气质量执行《环境空气质量标准》（GB3095-2012）二级标准。根据济宁市生态环境局发布的全市大气环境质量污染物浓度情况，嘉祥县202</w:t>
            </w:r>
            <w:r>
              <w:rPr>
                <w:rFonts w:hint="eastAsia"/>
                <w:color w:val="auto"/>
                <w:sz w:val="24"/>
                <w:szCs w:val="24"/>
                <w:highlight w:val="none"/>
                <w:lang w:val="en-US" w:eastAsia="zh-CN"/>
              </w:rPr>
              <w:t>2</w:t>
            </w:r>
            <w:r>
              <w:rPr>
                <w:color w:val="auto"/>
                <w:sz w:val="24"/>
                <w:szCs w:val="24"/>
                <w:highlight w:val="none"/>
              </w:rPr>
              <w:t>年1月至202</w:t>
            </w:r>
            <w:r>
              <w:rPr>
                <w:rFonts w:hint="eastAsia"/>
                <w:color w:val="auto"/>
                <w:sz w:val="24"/>
                <w:szCs w:val="24"/>
                <w:highlight w:val="none"/>
                <w:lang w:val="en-US" w:eastAsia="zh-CN"/>
              </w:rPr>
              <w:t>2</w:t>
            </w:r>
            <w:r>
              <w:rPr>
                <w:color w:val="auto"/>
                <w:sz w:val="24"/>
                <w:szCs w:val="24"/>
                <w:highlight w:val="none"/>
              </w:rPr>
              <w:t>年12月大气环境质量见下表。</w:t>
            </w:r>
          </w:p>
          <w:p w14:paraId="46F7AD8E">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aps w:val="0"/>
                <w:color w:val="auto"/>
                <w:spacing w:val="0"/>
                <w:kern w:val="0"/>
                <w:position w:val="0"/>
                <w:sz w:val="24"/>
                <w:szCs w:val="24"/>
                <w:highlight w:val="none"/>
                <w:lang w:val="en-US" w:eastAsia="zh-CN"/>
              </w:rPr>
            </w:pPr>
            <w:r>
              <w:rPr>
                <w:rFonts w:hint="eastAsia" w:ascii="Times New Roman" w:hAnsi="Times New Roman" w:eastAsia="宋体" w:cs="Times New Roman"/>
                <w:b/>
                <w:caps w:val="0"/>
                <w:color w:val="auto"/>
                <w:spacing w:val="0"/>
                <w:kern w:val="0"/>
                <w:position w:val="0"/>
                <w:sz w:val="24"/>
                <w:szCs w:val="24"/>
                <w:highlight w:val="none"/>
                <w:lang w:val="en-US" w:eastAsia="zh-CN"/>
              </w:rPr>
              <w:t>嘉祥县</w:t>
            </w:r>
            <w:r>
              <w:rPr>
                <w:rFonts w:hint="default" w:ascii="Times New Roman" w:hAnsi="Times New Roman" w:eastAsia="宋体" w:cs="Times New Roman"/>
                <w:b/>
                <w:caps w:val="0"/>
                <w:color w:val="auto"/>
                <w:spacing w:val="0"/>
                <w:kern w:val="0"/>
                <w:position w:val="0"/>
                <w:sz w:val="24"/>
                <w:szCs w:val="24"/>
                <w:highlight w:val="none"/>
                <w:lang w:val="en-US" w:eastAsia="zh-CN"/>
              </w:rPr>
              <w:t>大气环境质量</w:t>
            </w:r>
            <w:r>
              <w:rPr>
                <w:rFonts w:hint="eastAsia" w:ascii="Times New Roman" w:hAnsi="Times New Roman" w:eastAsia="宋体" w:cs="Times New Roman"/>
                <w:b/>
                <w:caps w:val="0"/>
                <w:color w:val="auto"/>
                <w:spacing w:val="0"/>
                <w:kern w:val="0"/>
                <w:position w:val="0"/>
                <w:sz w:val="24"/>
                <w:szCs w:val="24"/>
                <w:highlight w:val="none"/>
                <w:lang w:val="en-US" w:eastAsia="zh-CN"/>
              </w:rPr>
              <w:t>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
            <w:tblGrid>
              <w:gridCol w:w="1115"/>
              <w:gridCol w:w="1131"/>
              <w:gridCol w:w="1131"/>
              <w:gridCol w:w="1131"/>
              <w:gridCol w:w="1134"/>
              <w:gridCol w:w="1132"/>
              <w:gridCol w:w="1127"/>
            </w:tblGrid>
            <w:tr w14:paraId="66539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49215FB8">
                  <w:pPr>
                    <w:widowControl/>
                    <w:snapToGrid w:val="0"/>
                    <w:spacing w:line="240" w:lineRule="auto"/>
                    <w:ind w:firstLine="0" w:firstLineChars="0"/>
                    <w:jc w:val="center"/>
                    <w:rPr>
                      <w:b/>
                      <w:bCs/>
                      <w:color w:val="auto"/>
                      <w:sz w:val="21"/>
                      <w:szCs w:val="21"/>
                    </w:rPr>
                  </w:pPr>
                  <w:r>
                    <w:rPr>
                      <w:b/>
                      <w:bCs/>
                      <w:color w:val="auto"/>
                      <w:sz w:val="21"/>
                      <w:szCs w:val="21"/>
                    </w:rPr>
                    <w:t>时间</w:t>
                  </w:r>
                </w:p>
              </w:tc>
              <w:tc>
                <w:tcPr>
                  <w:tcW w:w="715" w:type="pct"/>
                  <w:noWrap w:val="0"/>
                  <w:vAlign w:val="center"/>
                </w:tcPr>
                <w:p w14:paraId="41ADDCB8">
                  <w:pPr>
                    <w:widowControl/>
                    <w:snapToGrid w:val="0"/>
                    <w:spacing w:line="240" w:lineRule="auto"/>
                    <w:ind w:firstLine="0" w:firstLineChars="0"/>
                    <w:jc w:val="center"/>
                    <w:rPr>
                      <w:b/>
                      <w:bCs/>
                      <w:color w:val="auto"/>
                      <w:sz w:val="21"/>
                      <w:szCs w:val="21"/>
                    </w:rPr>
                  </w:pPr>
                  <w:r>
                    <w:rPr>
                      <w:b/>
                      <w:bCs/>
                      <w:color w:val="auto"/>
                      <w:sz w:val="21"/>
                      <w:szCs w:val="21"/>
                    </w:rPr>
                    <w:t>二氧化硫日平均浓度值（μg/m</w:t>
                  </w:r>
                  <w:r>
                    <w:rPr>
                      <w:b/>
                      <w:bCs/>
                      <w:color w:val="auto"/>
                      <w:sz w:val="21"/>
                      <w:szCs w:val="21"/>
                      <w:vertAlign w:val="superscript"/>
                    </w:rPr>
                    <w:t>3</w:t>
                  </w:r>
                  <w:r>
                    <w:rPr>
                      <w:b/>
                      <w:bCs/>
                      <w:color w:val="auto"/>
                      <w:sz w:val="21"/>
                      <w:szCs w:val="21"/>
                    </w:rPr>
                    <w:t>）</w:t>
                  </w:r>
                </w:p>
              </w:tc>
              <w:tc>
                <w:tcPr>
                  <w:tcW w:w="715" w:type="pct"/>
                  <w:noWrap w:val="0"/>
                  <w:vAlign w:val="center"/>
                </w:tcPr>
                <w:p w14:paraId="2ECC4AE7">
                  <w:pPr>
                    <w:widowControl/>
                    <w:snapToGrid w:val="0"/>
                    <w:spacing w:line="240" w:lineRule="auto"/>
                    <w:ind w:firstLine="0" w:firstLineChars="0"/>
                    <w:jc w:val="center"/>
                    <w:rPr>
                      <w:b/>
                      <w:bCs/>
                      <w:color w:val="auto"/>
                      <w:sz w:val="21"/>
                      <w:szCs w:val="21"/>
                    </w:rPr>
                  </w:pPr>
                  <w:r>
                    <w:rPr>
                      <w:b/>
                      <w:bCs/>
                      <w:color w:val="auto"/>
                      <w:sz w:val="21"/>
                      <w:szCs w:val="21"/>
                    </w:rPr>
                    <w:t>二氧化氮日平均浓度值（μg/m</w:t>
                  </w:r>
                  <w:r>
                    <w:rPr>
                      <w:b/>
                      <w:bCs/>
                      <w:color w:val="auto"/>
                      <w:sz w:val="21"/>
                      <w:szCs w:val="21"/>
                      <w:vertAlign w:val="superscript"/>
                    </w:rPr>
                    <w:t>3</w:t>
                  </w:r>
                  <w:r>
                    <w:rPr>
                      <w:b/>
                      <w:bCs/>
                      <w:color w:val="auto"/>
                      <w:sz w:val="21"/>
                      <w:szCs w:val="21"/>
                    </w:rPr>
                    <w:t>）</w:t>
                  </w:r>
                </w:p>
              </w:tc>
              <w:tc>
                <w:tcPr>
                  <w:tcW w:w="715" w:type="pct"/>
                  <w:noWrap w:val="0"/>
                  <w:vAlign w:val="center"/>
                </w:tcPr>
                <w:p w14:paraId="4CEF2E8C">
                  <w:pPr>
                    <w:widowControl/>
                    <w:snapToGrid w:val="0"/>
                    <w:spacing w:line="240" w:lineRule="auto"/>
                    <w:ind w:firstLine="0" w:firstLineChars="0"/>
                    <w:jc w:val="center"/>
                    <w:rPr>
                      <w:b/>
                      <w:bCs/>
                      <w:color w:val="auto"/>
                      <w:sz w:val="21"/>
                      <w:szCs w:val="21"/>
                    </w:rPr>
                  </w:pPr>
                  <w:r>
                    <w:rPr>
                      <w:b/>
                      <w:bCs/>
                      <w:color w:val="auto"/>
                      <w:sz w:val="21"/>
                      <w:szCs w:val="21"/>
                    </w:rPr>
                    <w:t>PM</w:t>
                  </w:r>
                  <w:r>
                    <w:rPr>
                      <w:b/>
                      <w:bCs/>
                      <w:color w:val="auto"/>
                      <w:sz w:val="21"/>
                      <w:szCs w:val="21"/>
                      <w:vertAlign w:val="subscript"/>
                    </w:rPr>
                    <w:t>10</w:t>
                  </w:r>
                  <w:r>
                    <w:rPr>
                      <w:b/>
                      <w:bCs/>
                      <w:color w:val="auto"/>
                      <w:sz w:val="21"/>
                      <w:szCs w:val="21"/>
                    </w:rPr>
                    <w:t>日平均浓度值（μg/m</w:t>
                  </w:r>
                  <w:r>
                    <w:rPr>
                      <w:b/>
                      <w:bCs/>
                      <w:color w:val="auto"/>
                      <w:sz w:val="21"/>
                      <w:szCs w:val="21"/>
                      <w:vertAlign w:val="superscript"/>
                    </w:rPr>
                    <w:t>3</w:t>
                  </w:r>
                  <w:r>
                    <w:rPr>
                      <w:b/>
                      <w:bCs/>
                      <w:color w:val="auto"/>
                      <w:sz w:val="21"/>
                      <w:szCs w:val="21"/>
                    </w:rPr>
                    <w:t>）</w:t>
                  </w:r>
                </w:p>
              </w:tc>
              <w:tc>
                <w:tcPr>
                  <w:tcW w:w="717" w:type="pct"/>
                  <w:noWrap w:val="0"/>
                  <w:vAlign w:val="center"/>
                </w:tcPr>
                <w:p w14:paraId="57D9F5D2">
                  <w:pPr>
                    <w:widowControl/>
                    <w:snapToGrid w:val="0"/>
                    <w:spacing w:line="240" w:lineRule="auto"/>
                    <w:ind w:firstLine="0" w:firstLineChars="0"/>
                    <w:jc w:val="center"/>
                    <w:rPr>
                      <w:b/>
                      <w:bCs/>
                      <w:color w:val="auto"/>
                      <w:sz w:val="21"/>
                      <w:szCs w:val="21"/>
                    </w:rPr>
                  </w:pPr>
                  <w:r>
                    <w:rPr>
                      <w:b/>
                      <w:bCs/>
                      <w:color w:val="auto"/>
                      <w:sz w:val="21"/>
                      <w:szCs w:val="21"/>
                    </w:rPr>
                    <w:t>PM</w:t>
                  </w:r>
                  <w:r>
                    <w:rPr>
                      <w:b/>
                      <w:bCs/>
                      <w:color w:val="auto"/>
                      <w:sz w:val="21"/>
                      <w:szCs w:val="21"/>
                      <w:vertAlign w:val="subscript"/>
                    </w:rPr>
                    <w:t>2.5</w:t>
                  </w:r>
                  <w:r>
                    <w:rPr>
                      <w:b/>
                      <w:bCs/>
                      <w:color w:val="auto"/>
                      <w:sz w:val="21"/>
                      <w:szCs w:val="21"/>
                    </w:rPr>
                    <w:t>日平均浓度值（μg/m</w:t>
                  </w:r>
                  <w:r>
                    <w:rPr>
                      <w:b/>
                      <w:bCs/>
                      <w:color w:val="auto"/>
                      <w:sz w:val="21"/>
                      <w:szCs w:val="21"/>
                      <w:vertAlign w:val="superscript"/>
                    </w:rPr>
                    <w:t>3</w:t>
                  </w:r>
                  <w:r>
                    <w:rPr>
                      <w:b/>
                      <w:bCs/>
                      <w:color w:val="auto"/>
                      <w:sz w:val="21"/>
                      <w:szCs w:val="21"/>
                    </w:rPr>
                    <w:t>）</w:t>
                  </w:r>
                </w:p>
              </w:tc>
              <w:tc>
                <w:tcPr>
                  <w:tcW w:w="716" w:type="pct"/>
                  <w:noWrap w:val="0"/>
                  <w:vAlign w:val="center"/>
                </w:tcPr>
                <w:p w14:paraId="72BDF406">
                  <w:pPr>
                    <w:widowControl/>
                    <w:snapToGrid w:val="0"/>
                    <w:spacing w:line="240" w:lineRule="auto"/>
                    <w:ind w:firstLine="0" w:firstLineChars="0"/>
                    <w:jc w:val="center"/>
                    <w:rPr>
                      <w:b/>
                      <w:bCs/>
                      <w:color w:val="auto"/>
                      <w:sz w:val="21"/>
                      <w:szCs w:val="21"/>
                    </w:rPr>
                  </w:pPr>
                  <w:r>
                    <w:rPr>
                      <w:b/>
                      <w:bCs/>
                      <w:color w:val="auto"/>
                      <w:sz w:val="21"/>
                      <w:szCs w:val="21"/>
                    </w:rPr>
                    <w:t>CO95百分数浓度值（mg/m</w:t>
                  </w:r>
                  <w:r>
                    <w:rPr>
                      <w:b/>
                      <w:bCs/>
                      <w:color w:val="auto"/>
                      <w:sz w:val="21"/>
                      <w:szCs w:val="21"/>
                      <w:vertAlign w:val="superscript"/>
                    </w:rPr>
                    <w:t>3</w:t>
                  </w:r>
                  <w:r>
                    <w:rPr>
                      <w:b/>
                      <w:bCs/>
                      <w:color w:val="auto"/>
                      <w:sz w:val="21"/>
                      <w:szCs w:val="21"/>
                    </w:rPr>
                    <w:t>）</w:t>
                  </w:r>
                </w:p>
              </w:tc>
              <w:tc>
                <w:tcPr>
                  <w:tcW w:w="713" w:type="pct"/>
                  <w:noWrap w:val="0"/>
                  <w:vAlign w:val="center"/>
                </w:tcPr>
                <w:p w14:paraId="15AF48A5">
                  <w:pPr>
                    <w:widowControl/>
                    <w:snapToGrid w:val="0"/>
                    <w:spacing w:line="240" w:lineRule="auto"/>
                    <w:ind w:firstLine="0" w:firstLineChars="0"/>
                    <w:jc w:val="center"/>
                    <w:rPr>
                      <w:b/>
                      <w:bCs/>
                      <w:color w:val="auto"/>
                      <w:sz w:val="21"/>
                      <w:szCs w:val="21"/>
                    </w:rPr>
                  </w:pPr>
                  <w:r>
                    <w:rPr>
                      <w:b/>
                      <w:bCs/>
                      <w:color w:val="auto"/>
                      <w:sz w:val="21"/>
                      <w:szCs w:val="21"/>
                    </w:rPr>
                    <w:t>O</w:t>
                  </w:r>
                  <w:r>
                    <w:rPr>
                      <w:b/>
                      <w:bCs/>
                      <w:color w:val="auto"/>
                      <w:sz w:val="21"/>
                      <w:szCs w:val="21"/>
                      <w:vertAlign w:val="subscript"/>
                    </w:rPr>
                    <w:t>3</w:t>
                  </w:r>
                  <w:r>
                    <w:rPr>
                      <w:b/>
                      <w:bCs/>
                      <w:color w:val="auto"/>
                      <w:sz w:val="21"/>
                      <w:szCs w:val="21"/>
                    </w:rPr>
                    <w:t>90百分数浓度值（μg/m</w:t>
                  </w:r>
                  <w:r>
                    <w:rPr>
                      <w:b/>
                      <w:bCs/>
                      <w:color w:val="auto"/>
                      <w:sz w:val="21"/>
                      <w:szCs w:val="21"/>
                      <w:vertAlign w:val="superscript"/>
                    </w:rPr>
                    <w:t>3</w:t>
                  </w:r>
                  <w:r>
                    <w:rPr>
                      <w:b/>
                      <w:bCs/>
                      <w:color w:val="auto"/>
                      <w:sz w:val="21"/>
                      <w:szCs w:val="21"/>
                    </w:rPr>
                    <w:t>）</w:t>
                  </w:r>
                </w:p>
              </w:tc>
            </w:tr>
            <w:tr w14:paraId="4EB12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1ADFA4D7">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-1</w:t>
                  </w:r>
                </w:p>
              </w:tc>
              <w:tc>
                <w:tcPr>
                  <w:tcW w:w="715" w:type="pct"/>
                  <w:noWrap w:val="0"/>
                  <w:vAlign w:val="center"/>
                </w:tcPr>
                <w:p w14:paraId="2C939FE7">
                  <w:pPr>
                    <w:snapToGrid w:val="0"/>
                    <w:spacing w:line="240" w:lineRule="auto"/>
                    <w:ind w:firstLine="0" w:firstLineChars="0"/>
                    <w:jc w:val="center"/>
                    <w:rPr>
                      <w:color w:val="auto"/>
                      <w:sz w:val="21"/>
                      <w:szCs w:val="21"/>
                    </w:rPr>
                  </w:pPr>
                  <w:r>
                    <w:rPr>
                      <w:color w:val="auto"/>
                      <w:sz w:val="21"/>
                      <w:szCs w:val="21"/>
                    </w:rPr>
                    <w:t>16</w:t>
                  </w:r>
                </w:p>
              </w:tc>
              <w:tc>
                <w:tcPr>
                  <w:tcW w:w="715" w:type="pct"/>
                  <w:noWrap w:val="0"/>
                  <w:vAlign w:val="center"/>
                </w:tcPr>
                <w:p w14:paraId="7FDE54B2">
                  <w:pPr>
                    <w:snapToGrid w:val="0"/>
                    <w:spacing w:line="240" w:lineRule="auto"/>
                    <w:ind w:firstLine="0" w:firstLineChars="0"/>
                    <w:jc w:val="center"/>
                    <w:rPr>
                      <w:color w:val="auto"/>
                      <w:sz w:val="21"/>
                      <w:szCs w:val="21"/>
                    </w:rPr>
                  </w:pPr>
                  <w:r>
                    <w:rPr>
                      <w:color w:val="auto"/>
                      <w:sz w:val="21"/>
                      <w:szCs w:val="21"/>
                    </w:rPr>
                    <w:t>39</w:t>
                  </w:r>
                </w:p>
              </w:tc>
              <w:tc>
                <w:tcPr>
                  <w:tcW w:w="715" w:type="pct"/>
                  <w:noWrap w:val="0"/>
                  <w:vAlign w:val="center"/>
                </w:tcPr>
                <w:p w14:paraId="7A8F6C6D">
                  <w:pPr>
                    <w:snapToGrid w:val="0"/>
                    <w:spacing w:line="240" w:lineRule="auto"/>
                    <w:ind w:firstLine="0" w:firstLineChars="0"/>
                    <w:jc w:val="center"/>
                    <w:rPr>
                      <w:color w:val="auto"/>
                      <w:sz w:val="21"/>
                      <w:szCs w:val="21"/>
                    </w:rPr>
                  </w:pPr>
                  <w:r>
                    <w:rPr>
                      <w:color w:val="auto"/>
                      <w:sz w:val="21"/>
                      <w:szCs w:val="21"/>
                    </w:rPr>
                    <w:t>143</w:t>
                  </w:r>
                </w:p>
              </w:tc>
              <w:tc>
                <w:tcPr>
                  <w:tcW w:w="717" w:type="pct"/>
                  <w:noWrap w:val="0"/>
                  <w:vAlign w:val="center"/>
                </w:tcPr>
                <w:p w14:paraId="4095B57A">
                  <w:pPr>
                    <w:snapToGrid w:val="0"/>
                    <w:spacing w:line="240" w:lineRule="auto"/>
                    <w:ind w:firstLine="0" w:firstLineChars="0"/>
                    <w:jc w:val="center"/>
                    <w:rPr>
                      <w:color w:val="auto"/>
                      <w:sz w:val="21"/>
                      <w:szCs w:val="21"/>
                    </w:rPr>
                  </w:pPr>
                  <w:r>
                    <w:rPr>
                      <w:color w:val="auto"/>
                      <w:sz w:val="21"/>
                      <w:szCs w:val="21"/>
                    </w:rPr>
                    <w:t>110</w:t>
                  </w:r>
                </w:p>
              </w:tc>
              <w:tc>
                <w:tcPr>
                  <w:tcW w:w="716" w:type="pct"/>
                  <w:noWrap w:val="0"/>
                  <w:vAlign w:val="center"/>
                </w:tcPr>
                <w:p w14:paraId="1EF36E7E">
                  <w:pPr>
                    <w:snapToGrid w:val="0"/>
                    <w:spacing w:line="240" w:lineRule="auto"/>
                    <w:ind w:firstLine="0" w:firstLineChars="0"/>
                    <w:jc w:val="center"/>
                    <w:rPr>
                      <w:color w:val="auto"/>
                      <w:sz w:val="21"/>
                      <w:szCs w:val="21"/>
                    </w:rPr>
                  </w:pPr>
                  <w:r>
                    <w:rPr>
                      <w:color w:val="auto"/>
                      <w:sz w:val="21"/>
                      <w:szCs w:val="21"/>
                    </w:rPr>
                    <w:t>1.8</w:t>
                  </w:r>
                </w:p>
              </w:tc>
              <w:tc>
                <w:tcPr>
                  <w:tcW w:w="713" w:type="pct"/>
                  <w:noWrap w:val="0"/>
                  <w:vAlign w:val="center"/>
                </w:tcPr>
                <w:p w14:paraId="7C6617AC">
                  <w:pPr>
                    <w:snapToGrid w:val="0"/>
                    <w:spacing w:line="240" w:lineRule="auto"/>
                    <w:ind w:firstLine="0" w:firstLineChars="0"/>
                    <w:jc w:val="center"/>
                    <w:rPr>
                      <w:color w:val="auto"/>
                      <w:sz w:val="21"/>
                      <w:szCs w:val="21"/>
                    </w:rPr>
                  </w:pPr>
                  <w:r>
                    <w:rPr>
                      <w:color w:val="auto"/>
                      <w:sz w:val="21"/>
                      <w:szCs w:val="21"/>
                    </w:rPr>
                    <w:t>77</w:t>
                  </w:r>
                </w:p>
              </w:tc>
            </w:tr>
            <w:tr w14:paraId="5EA71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773F3872">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-2</w:t>
                  </w:r>
                </w:p>
              </w:tc>
              <w:tc>
                <w:tcPr>
                  <w:tcW w:w="715" w:type="pct"/>
                  <w:noWrap w:val="0"/>
                  <w:vAlign w:val="center"/>
                </w:tcPr>
                <w:p w14:paraId="194B7C99">
                  <w:pPr>
                    <w:snapToGrid w:val="0"/>
                    <w:spacing w:line="240" w:lineRule="auto"/>
                    <w:ind w:firstLine="0" w:firstLineChars="0"/>
                    <w:jc w:val="center"/>
                    <w:rPr>
                      <w:color w:val="auto"/>
                      <w:sz w:val="21"/>
                      <w:szCs w:val="21"/>
                    </w:rPr>
                  </w:pPr>
                  <w:r>
                    <w:rPr>
                      <w:color w:val="auto"/>
                      <w:sz w:val="21"/>
                      <w:szCs w:val="21"/>
                    </w:rPr>
                    <w:t>14</w:t>
                  </w:r>
                </w:p>
              </w:tc>
              <w:tc>
                <w:tcPr>
                  <w:tcW w:w="715" w:type="pct"/>
                  <w:noWrap w:val="0"/>
                  <w:vAlign w:val="center"/>
                </w:tcPr>
                <w:p w14:paraId="011D8004">
                  <w:pPr>
                    <w:snapToGrid w:val="0"/>
                    <w:spacing w:line="240" w:lineRule="auto"/>
                    <w:ind w:firstLine="0" w:firstLineChars="0"/>
                    <w:jc w:val="center"/>
                    <w:rPr>
                      <w:color w:val="auto"/>
                      <w:sz w:val="21"/>
                      <w:szCs w:val="21"/>
                    </w:rPr>
                  </w:pPr>
                  <w:r>
                    <w:rPr>
                      <w:color w:val="auto"/>
                      <w:sz w:val="21"/>
                      <w:szCs w:val="21"/>
                    </w:rPr>
                    <w:t>26</w:t>
                  </w:r>
                </w:p>
              </w:tc>
              <w:tc>
                <w:tcPr>
                  <w:tcW w:w="715" w:type="pct"/>
                  <w:noWrap w:val="0"/>
                  <w:vAlign w:val="center"/>
                </w:tcPr>
                <w:p w14:paraId="6D95EB76">
                  <w:pPr>
                    <w:snapToGrid w:val="0"/>
                    <w:spacing w:line="240" w:lineRule="auto"/>
                    <w:ind w:firstLine="0" w:firstLineChars="0"/>
                    <w:jc w:val="center"/>
                    <w:rPr>
                      <w:color w:val="auto"/>
                      <w:sz w:val="21"/>
                      <w:szCs w:val="21"/>
                    </w:rPr>
                  </w:pPr>
                  <w:r>
                    <w:rPr>
                      <w:color w:val="auto"/>
                      <w:sz w:val="21"/>
                      <w:szCs w:val="21"/>
                    </w:rPr>
                    <w:t>87</w:t>
                  </w:r>
                </w:p>
              </w:tc>
              <w:tc>
                <w:tcPr>
                  <w:tcW w:w="717" w:type="pct"/>
                  <w:noWrap w:val="0"/>
                  <w:vAlign w:val="center"/>
                </w:tcPr>
                <w:p w14:paraId="101B1017">
                  <w:pPr>
                    <w:snapToGrid w:val="0"/>
                    <w:spacing w:line="240" w:lineRule="auto"/>
                    <w:ind w:firstLine="0" w:firstLineChars="0"/>
                    <w:jc w:val="center"/>
                    <w:rPr>
                      <w:color w:val="auto"/>
                      <w:sz w:val="21"/>
                      <w:szCs w:val="21"/>
                    </w:rPr>
                  </w:pPr>
                  <w:r>
                    <w:rPr>
                      <w:color w:val="auto"/>
                      <w:sz w:val="21"/>
                      <w:szCs w:val="21"/>
                    </w:rPr>
                    <w:t>59</w:t>
                  </w:r>
                </w:p>
              </w:tc>
              <w:tc>
                <w:tcPr>
                  <w:tcW w:w="716" w:type="pct"/>
                  <w:noWrap w:val="0"/>
                  <w:vAlign w:val="center"/>
                </w:tcPr>
                <w:p w14:paraId="5BC1A358">
                  <w:pPr>
                    <w:snapToGrid w:val="0"/>
                    <w:spacing w:line="240" w:lineRule="auto"/>
                    <w:ind w:firstLine="0" w:firstLineChars="0"/>
                    <w:jc w:val="center"/>
                    <w:rPr>
                      <w:color w:val="auto"/>
                      <w:sz w:val="21"/>
                      <w:szCs w:val="21"/>
                    </w:rPr>
                  </w:pPr>
                  <w:r>
                    <w:rPr>
                      <w:color w:val="auto"/>
                      <w:sz w:val="21"/>
                      <w:szCs w:val="21"/>
                    </w:rPr>
                    <w:t>1.1</w:t>
                  </w:r>
                </w:p>
              </w:tc>
              <w:tc>
                <w:tcPr>
                  <w:tcW w:w="713" w:type="pct"/>
                  <w:noWrap w:val="0"/>
                  <w:vAlign w:val="center"/>
                </w:tcPr>
                <w:p w14:paraId="381DF739">
                  <w:pPr>
                    <w:snapToGrid w:val="0"/>
                    <w:spacing w:line="240" w:lineRule="auto"/>
                    <w:ind w:firstLine="0" w:firstLineChars="0"/>
                    <w:jc w:val="center"/>
                    <w:rPr>
                      <w:color w:val="auto"/>
                      <w:sz w:val="21"/>
                      <w:szCs w:val="21"/>
                    </w:rPr>
                  </w:pPr>
                  <w:r>
                    <w:rPr>
                      <w:color w:val="auto"/>
                      <w:sz w:val="21"/>
                      <w:szCs w:val="21"/>
                    </w:rPr>
                    <w:t>114</w:t>
                  </w:r>
                </w:p>
              </w:tc>
            </w:tr>
            <w:tr w14:paraId="7160B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6F9C6D1D">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-3</w:t>
                  </w:r>
                </w:p>
              </w:tc>
              <w:tc>
                <w:tcPr>
                  <w:tcW w:w="715" w:type="pct"/>
                  <w:noWrap w:val="0"/>
                  <w:vAlign w:val="center"/>
                </w:tcPr>
                <w:p w14:paraId="5817B2AA">
                  <w:pPr>
                    <w:snapToGrid w:val="0"/>
                    <w:spacing w:line="240" w:lineRule="auto"/>
                    <w:ind w:firstLine="0" w:firstLineChars="0"/>
                    <w:jc w:val="center"/>
                    <w:rPr>
                      <w:color w:val="auto"/>
                      <w:sz w:val="21"/>
                      <w:szCs w:val="21"/>
                    </w:rPr>
                  </w:pPr>
                  <w:r>
                    <w:rPr>
                      <w:color w:val="auto"/>
                      <w:sz w:val="21"/>
                      <w:szCs w:val="21"/>
                    </w:rPr>
                    <w:t>13</w:t>
                  </w:r>
                </w:p>
              </w:tc>
              <w:tc>
                <w:tcPr>
                  <w:tcW w:w="715" w:type="pct"/>
                  <w:noWrap w:val="0"/>
                  <w:vAlign w:val="center"/>
                </w:tcPr>
                <w:p w14:paraId="5B308897">
                  <w:pPr>
                    <w:snapToGrid w:val="0"/>
                    <w:spacing w:line="240" w:lineRule="auto"/>
                    <w:ind w:firstLine="0" w:firstLineChars="0"/>
                    <w:jc w:val="center"/>
                    <w:rPr>
                      <w:color w:val="auto"/>
                      <w:sz w:val="21"/>
                      <w:szCs w:val="21"/>
                    </w:rPr>
                  </w:pPr>
                  <w:r>
                    <w:rPr>
                      <w:color w:val="auto"/>
                      <w:sz w:val="21"/>
                      <w:szCs w:val="21"/>
                    </w:rPr>
                    <w:t>28</w:t>
                  </w:r>
                </w:p>
              </w:tc>
              <w:tc>
                <w:tcPr>
                  <w:tcW w:w="715" w:type="pct"/>
                  <w:noWrap w:val="0"/>
                  <w:vAlign w:val="center"/>
                </w:tcPr>
                <w:p w14:paraId="12E66649">
                  <w:pPr>
                    <w:snapToGrid w:val="0"/>
                    <w:spacing w:line="240" w:lineRule="auto"/>
                    <w:ind w:firstLine="0" w:firstLineChars="0"/>
                    <w:jc w:val="center"/>
                    <w:rPr>
                      <w:color w:val="auto"/>
                      <w:sz w:val="21"/>
                      <w:szCs w:val="21"/>
                    </w:rPr>
                  </w:pPr>
                  <w:r>
                    <w:rPr>
                      <w:color w:val="auto"/>
                      <w:sz w:val="21"/>
                      <w:szCs w:val="21"/>
                    </w:rPr>
                    <w:t>83</w:t>
                  </w:r>
                </w:p>
              </w:tc>
              <w:tc>
                <w:tcPr>
                  <w:tcW w:w="717" w:type="pct"/>
                  <w:noWrap w:val="0"/>
                  <w:vAlign w:val="center"/>
                </w:tcPr>
                <w:p w14:paraId="663CB89F">
                  <w:pPr>
                    <w:snapToGrid w:val="0"/>
                    <w:spacing w:line="240" w:lineRule="auto"/>
                    <w:ind w:firstLine="0" w:firstLineChars="0"/>
                    <w:jc w:val="center"/>
                    <w:rPr>
                      <w:color w:val="auto"/>
                      <w:sz w:val="21"/>
                      <w:szCs w:val="21"/>
                    </w:rPr>
                  </w:pPr>
                  <w:r>
                    <w:rPr>
                      <w:color w:val="auto"/>
                      <w:sz w:val="21"/>
                      <w:szCs w:val="21"/>
                    </w:rPr>
                    <w:t>49</w:t>
                  </w:r>
                </w:p>
              </w:tc>
              <w:tc>
                <w:tcPr>
                  <w:tcW w:w="716" w:type="pct"/>
                  <w:noWrap w:val="0"/>
                  <w:vAlign w:val="center"/>
                </w:tcPr>
                <w:p w14:paraId="64D6EEBC">
                  <w:pPr>
                    <w:snapToGrid w:val="0"/>
                    <w:spacing w:line="240" w:lineRule="auto"/>
                    <w:ind w:firstLine="0" w:firstLineChars="0"/>
                    <w:jc w:val="center"/>
                    <w:rPr>
                      <w:color w:val="auto"/>
                      <w:sz w:val="21"/>
                      <w:szCs w:val="21"/>
                    </w:rPr>
                  </w:pPr>
                  <w:r>
                    <w:rPr>
                      <w:color w:val="auto"/>
                      <w:sz w:val="21"/>
                      <w:szCs w:val="21"/>
                    </w:rPr>
                    <w:t>1.2</w:t>
                  </w:r>
                </w:p>
              </w:tc>
              <w:tc>
                <w:tcPr>
                  <w:tcW w:w="713" w:type="pct"/>
                  <w:noWrap w:val="0"/>
                  <w:vAlign w:val="center"/>
                </w:tcPr>
                <w:p w14:paraId="613CE61E">
                  <w:pPr>
                    <w:snapToGrid w:val="0"/>
                    <w:spacing w:line="240" w:lineRule="auto"/>
                    <w:ind w:firstLine="0" w:firstLineChars="0"/>
                    <w:jc w:val="center"/>
                    <w:rPr>
                      <w:color w:val="auto"/>
                      <w:sz w:val="21"/>
                      <w:szCs w:val="21"/>
                    </w:rPr>
                  </w:pPr>
                  <w:r>
                    <w:rPr>
                      <w:color w:val="auto"/>
                      <w:sz w:val="21"/>
                      <w:szCs w:val="21"/>
                    </w:rPr>
                    <w:t>122</w:t>
                  </w:r>
                </w:p>
              </w:tc>
            </w:tr>
            <w:tr w14:paraId="65C96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58AFBE21">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-4</w:t>
                  </w:r>
                </w:p>
              </w:tc>
              <w:tc>
                <w:tcPr>
                  <w:tcW w:w="715" w:type="pct"/>
                  <w:noWrap w:val="0"/>
                  <w:vAlign w:val="center"/>
                </w:tcPr>
                <w:p w14:paraId="5DEBE8C2">
                  <w:pPr>
                    <w:snapToGrid w:val="0"/>
                    <w:spacing w:line="240" w:lineRule="auto"/>
                    <w:ind w:firstLine="0" w:firstLineChars="0"/>
                    <w:jc w:val="center"/>
                    <w:rPr>
                      <w:color w:val="auto"/>
                      <w:sz w:val="21"/>
                      <w:szCs w:val="21"/>
                    </w:rPr>
                  </w:pPr>
                  <w:r>
                    <w:rPr>
                      <w:color w:val="auto"/>
                      <w:sz w:val="21"/>
                      <w:szCs w:val="21"/>
                    </w:rPr>
                    <w:t>12</w:t>
                  </w:r>
                </w:p>
              </w:tc>
              <w:tc>
                <w:tcPr>
                  <w:tcW w:w="715" w:type="pct"/>
                  <w:noWrap w:val="0"/>
                  <w:vAlign w:val="center"/>
                </w:tcPr>
                <w:p w14:paraId="6F938A17">
                  <w:pPr>
                    <w:snapToGrid w:val="0"/>
                    <w:spacing w:line="240" w:lineRule="auto"/>
                    <w:ind w:firstLine="0" w:firstLineChars="0"/>
                    <w:jc w:val="center"/>
                    <w:rPr>
                      <w:color w:val="auto"/>
                      <w:sz w:val="21"/>
                      <w:szCs w:val="21"/>
                    </w:rPr>
                  </w:pPr>
                  <w:r>
                    <w:rPr>
                      <w:color w:val="auto"/>
                      <w:sz w:val="21"/>
                      <w:szCs w:val="21"/>
                    </w:rPr>
                    <w:t>20</w:t>
                  </w:r>
                </w:p>
              </w:tc>
              <w:tc>
                <w:tcPr>
                  <w:tcW w:w="715" w:type="pct"/>
                  <w:noWrap w:val="0"/>
                  <w:vAlign w:val="center"/>
                </w:tcPr>
                <w:p w14:paraId="796530B6">
                  <w:pPr>
                    <w:snapToGrid w:val="0"/>
                    <w:spacing w:line="240" w:lineRule="auto"/>
                    <w:ind w:firstLine="0" w:firstLineChars="0"/>
                    <w:jc w:val="center"/>
                    <w:rPr>
                      <w:color w:val="auto"/>
                      <w:sz w:val="21"/>
                      <w:szCs w:val="21"/>
                    </w:rPr>
                  </w:pPr>
                  <w:r>
                    <w:rPr>
                      <w:color w:val="auto"/>
                      <w:sz w:val="21"/>
                      <w:szCs w:val="21"/>
                    </w:rPr>
                    <w:t>77</w:t>
                  </w:r>
                </w:p>
              </w:tc>
              <w:tc>
                <w:tcPr>
                  <w:tcW w:w="717" w:type="pct"/>
                  <w:noWrap w:val="0"/>
                  <w:vAlign w:val="center"/>
                </w:tcPr>
                <w:p w14:paraId="0753F8CC">
                  <w:pPr>
                    <w:snapToGrid w:val="0"/>
                    <w:spacing w:line="240" w:lineRule="auto"/>
                    <w:ind w:firstLine="0" w:firstLineChars="0"/>
                    <w:jc w:val="center"/>
                    <w:rPr>
                      <w:color w:val="auto"/>
                      <w:sz w:val="21"/>
                      <w:szCs w:val="21"/>
                    </w:rPr>
                  </w:pPr>
                  <w:r>
                    <w:rPr>
                      <w:color w:val="auto"/>
                      <w:sz w:val="21"/>
                      <w:szCs w:val="21"/>
                    </w:rPr>
                    <w:t>40</w:t>
                  </w:r>
                </w:p>
              </w:tc>
              <w:tc>
                <w:tcPr>
                  <w:tcW w:w="716" w:type="pct"/>
                  <w:noWrap w:val="0"/>
                  <w:vAlign w:val="center"/>
                </w:tcPr>
                <w:p w14:paraId="2EFDAF00">
                  <w:pPr>
                    <w:snapToGrid w:val="0"/>
                    <w:spacing w:line="240" w:lineRule="auto"/>
                    <w:ind w:firstLine="0" w:firstLineChars="0"/>
                    <w:jc w:val="center"/>
                    <w:rPr>
                      <w:color w:val="auto"/>
                      <w:sz w:val="21"/>
                      <w:szCs w:val="21"/>
                    </w:rPr>
                  </w:pPr>
                  <w:r>
                    <w:rPr>
                      <w:color w:val="auto"/>
                      <w:sz w:val="21"/>
                      <w:szCs w:val="21"/>
                    </w:rPr>
                    <w:t>1</w:t>
                  </w:r>
                </w:p>
              </w:tc>
              <w:tc>
                <w:tcPr>
                  <w:tcW w:w="713" w:type="pct"/>
                  <w:noWrap w:val="0"/>
                  <w:vAlign w:val="center"/>
                </w:tcPr>
                <w:p w14:paraId="3AEFF978">
                  <w:pPr>
                    <w:snapToGrid w:val="0"/>
                    <w:spacing w:line="240" w:lineRule="auto"/>
                    <w:ind w:firstLine="0" w:firstLineChars="0"/>
                    <w:jc w:val="center"/>
                    <w:rPr>
                      <w:color w:val="auto"/>
                      <w:sz w:val="21"/>
                      <w:szCs w:val="21"/>
                    </w:rPr>
                  </w:pPr>
                  <w:r>
                    <w:rPr>
                      <w:color w:val="auto"/>
                      <w:sz w:val="21"/>
                      <w:szCs w:val="21"/>
                    </w:rPr>
                    <w:t>162</w:t>
                  </w:r>
                </w:p>
              </w:tc>
            </w:tr>
            <w:tr w14:paraId="0F4BF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47779C93">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-5</w:t>
                  </w:r>
                </w:p>
              </w:tc>
              <w:tc>
                <w:tcPr>
                  <w:tcW w:w="715" w:type="pct"/>
                  <w:noWrap w:val="0"/>
                  <w:vAlign w:val="center"/>
                </w:tcPr>
                <w:p w14:paraId="5F02295C">
                  <w:pPr>
                    <w:snapToGrid w:val="0"/>
                    <w:spacing w:line="240" w:lineRule="auto"/>
                    <w:ind w:firstLine="0" w:firstLineChars="0"/>
                    <w:jc w:val="center"/>
                    <w:rPr>
                      <w:color w:val="auto"/>
                      <w:sz w:val="21"/>
                      <w:szCs w:val="21"/>
                    </w:rPr>
                  </w:pPr>
                  <w:r>
                    <w:rPr>
                      <w:color w:val="auto"/>
                      <w:sz w:val="21"/>
                      <w:szCs w:val="21"/>
                    </w:rPr>
                    <w:t>12</w:t>
                  </w:r>
                </w:p>
              </w:tc>
              <w:tc>
                <w:tcPr>
                  <w:tcW w:w="715" w:type="pct"/>
                  <w:noWrap w:val="0"/>
                  <w:vAlign w:val="center"/>
                </w:tcPr>
                <w:p w14:paraId="1BCBE434">
                  <w:pPr>
                    <w:snapToGrid w:val="0"/>
                    <w:spacing w:line="240" w:lineRule="auto"/>
                    <w:ind w:firstLine="0" w:firstLineChars="0"/>
                    <w:jc w:val="center"/>
                    <w:rPr>
                      <w:color w:val="auto"/>
                      <w:sz w:val="21"/>
                      <w:szCs w:val="21"/>
                    </w:rPr>
                  </w:pPr>
                  <w:r>
                    <w:rPr>
                      <w:color w:val="auto"/>
                      <w:sz w:val="21"/>
                      <w:szCs w:val="21"/>
                    </w:rPr>
                    <w:t>17</w:t>
                  </w:r>
                </w:p>
              </w:tc>
              <w:tc>
                <w:tcPr>
                  <w:tcW w:w="715" w:type="pct"/>
                  <w:noWrap w:val="0"/>
                  <w:vAlign w:val="center"/>
                </w:tcPr>
                <w:p w14:paraId="467DDAA7">
                  <w:pPr>
                    <w:snapToGrid w:val="0"/>
                    <w:spacing w:line="240" w:lineRule="auto"/>
                    <w:ind w:firstLine="0" w:firstLineChars="0"/>
                    <w:jc w:val="center"/>
                    <w:rPr>
                      <w:color w:val="auto"/>
                      <w:sz w:val="21"/>
                      <w:szCs w:val="21"/>
                    </w:rPr>
                  </w:pPr>
                  <w:r>
                    <w:rPr>
                      <w:color w:val="auto"/>
                      <w:sz w:val="21"/>
                      <w:szCs w:val="21"/>
                    </w:rPr>
                    <w:t>68</w:t>
                  </w:r>
                </w:p>
              </w:tc>
              <w:tc>
                <w:tcPr>
                  <w:tcW w:w="717" w:type="pct"/>
                  <w:noWrap w:val="0"/>
                  <w:vAlign w:val="center"/>
                </w:tcPr>
                <w:p w14:paraId="03981245">
                  <w:pPr>
                    <w:snapToGrid w:val="0"/>
                    <w:spacing w:line="240" w:lineRule="auto"/>
                    <w:ind w:firstLine="0" w:firstLineChars="0"/>
                    <w:jc w:val="center"/>
                    <w:rPr>
                      <w:color w:val="auto"/>
                      <w:sz w:val="21"/>
                      <w:szCs w:val="21"/>
                    </w:rPr>
                  </w:pPr>
                  <w:r>
                    <w:rPr>
                      <w:color w:val="auto"/>
                      <w:sz w:val="21"/>
                      <w:szCs w:val="21"/>
                    </w:rPr>
                    <w:t>33</w:t>
                  </w:r>
                </w:p>
              </w:tc>
              <w:tc>
                <w:tcPr>
                  <w:tcW w:w="716" w:type="pct"/>
                  <w:noWrap w:val="0"/>
                  <w:vAlign w:val="center"/>
                </w:tcPr>
                <w:p w14:paraId="360FA192">
                  <w:pPr>
                    <w:snapToGrid w:val="0"/>
                    <w:spacing w:line="240" w:lineRule="auto"/>
                    <w:ind w:firstLine="0" w:firstLineChars="0"/>
                    <w:jc w:val="center"/>
                    <w:rPr>
                      <w:color w:val="auto"/>
                      <w:sz w:val="21"/>
                      <w:szCs w:val="21"/>
                    </w:rPr>
                  </w:pPr>
                  <w:r>
                    <w:rPr>
                      <w:color w:val="auto"/>
                      <w:sz w:val="21"/>
                      <w:szCs w:val="21"/>
                    </w:rPr>
                    <w:t>0.9</w:t>
                  </w:r>
                </w:p>
              </w:tc>
              <w:tc>
                <w:tcPr>
                  <w:tcW w:w="713" w:type="pct"/>
                  <w:noWrap w:val="0"/>
                  <w:vAlign w:val="center"/>
                </w:tcPr>
                <w:p w14:paraId="08A3AFE2">
                  <w:pPr>
                    <w:snapToGrid w:val="0"/>
                    <w:spacing w:line="240" w:lineRule="auto"/>
                    <w:ind w:firstLine="0" w:firstLineChars="0"/>
                    <w:jc w:val="center"/>
                    <w:rPr>
                      <w:color w:val="auto"/>
                      <w:sz w:val="21"/>
                      <w:szCs w:val="21"/>
                    </w:rPr>
                  </w:pPr>
                  <w:r>
                    <w:rPr>
                      <w:color w:val="auto"/>
                      <w:sz w:val="21"/>
                      <w:szCs w:val="21"/>
                    </w:rPr>
                    <w:t>173</w:t>
                  </w:r>
                </w:p>
              </w:tc>
            </w:tr>
            <w:tr w14:paraId="67AC9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469B31B0">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-6</w:t>
                  </w:r>
                </w:p>
              </w:tc>
              <w:tc>
                <w:tcPr>
                  <w:tcW w:w="715" w:type="pct"/>
                  <w:noWrap w:val="0"/>
                  <w:vAlign w:val="center"/>
                </w:tcPr>
                <w:p w14:paraId="30BE486F">
                  <w:pPr>
                    <w:snapToGrid w:val="0"/>
                    <w:spacing w:line="240" w:lineRule="auto"/>
                    <w:ind w:firstLine="0" w:firstLineChars="0"/>
                    <w:jc w:val="center"/>
                    <w:rPr>
                      <w:color w:val="auto"/>
                      <w:sz w:val="21"/>
                      <w:szCs w:val="21"/>
                    </w:rPr>
                  </w:pPr>
                  <w:r>
                    <w:rPr>
                      <w:color w:val="auto"/>
                      <w:sz w:val="21"/>
                      <w:szCs w:val="21"/>
                    </w:rPr>
                    <w:t>7</w:t>
                  </w:r>
                </w:p>
              </w:tc>
              <w:tc>
                <w:tcPr>
                  <w:tcW w:w="715" w:type="pct"/>
                  <w:noWrap w:val="0"/>
                  <w:vAlign w:val="center"/>
                </w:tcPr>
                <w:p w14:paraId="4E5FD5B7">
                  <w:pPr>
                    <w:snapToGrid w:val="0"/>
                    <w:spacing w:line="240" w:lineRule="auto"/>
                    <w:ind w:firstLine="0" w:firstLineChars="0"/>
                    <w:jc w:val="center"/>
                    <w:rPr>
                      <w:color w:val="auto"/>
                      <w:sz w:val="21"/>
                      <w:szCs w:val="21"/>
                    </w:rPr>
                  </w:pPr>
                  <w:r>
                    <w:rPr>
                      <w:color w:val="auto"/>
                      <w:sz w:val="21"/>
                      <w:szCs w:val="21"/>
                    </w:rPr>
                    <w:t>18</w:t>
                  </w:r>
                </w:p>
              </w:tc>
              <w:tc>
                <w:tcPr>
                  <w:tcW w:w="715" w:type="pct"/>
                  <w:noWrap w:val="0"/>
                  <w:vAlign w:val="center"/>
                </w:tcPr>
                <w:p w14:paraId="67B435F0">
                  <w:pPr>
                    <w:snapToGrid w:val="0"/>
                    <w:spacing w:line="240" w:lineRule="auto"/>
                    <w:ind w:firstLine="0" w:firstLineChars="0"/>
                    <w:jc w:val="center"/>
                    <w:rPr>
                      <w:color w:val="auto"/>
                      <w:sz w:val="21"/>
                      <w:szCs w:val="21"/>
                    </w:rPr>
                  </w:pPr>
                  <w:r>
                    <w:rPr>
                      <w:color w:val="auto"/>
                      <w:sz w:val="21"/>
                      <w:szCs w:val="21"/>
                    </w:rPr>
                    <w:t>62</w:t>
                  </w:r>
                </w:p>
              </w:tc>
              <w:tc>
                <w:tcPr>
                  <w:tcW w:w="717" w:type="pct"/>
                  <w:noWrap w:val="0"/>
                  <w:vAlign w:val="center"/>
                </w:tcPr>
                <w:p w14:paraId="0336D1A1">
                  <w:pPr>
                    <w:snapToGrid w:val="0"/>
                    <w:spacing w:line="240" w:lineRule="auto"/>
                    <w:ind w:firstLine="0" w:firstLineChars="0"/>
                    <w:jc w:val="center"/>
                    <w:rPr>
                      <w:color w:val="auto"/>
                      <w:sz w:val="21"/>
                      <w:szCs w:val="21"/>
                    </w:rPr>
                  </w:pPr>
                  <w:r>
                    <w:rPr>
                      <w:color w:val="auto"/>
                      <w:sz w:val="21"/>
                      <w:szCs w:val="21"/>
                    </w:rPr>
                    <w:t>28</w:t>
                  </w:r>
                </w:p>
              </w:tc>
              <w:tc>
                <w:tcPr>
                  <w:tcW w:w="716" w:type="pct"/>
                  <w:noWrap w:val="0"/>
                  <w:vAlign w:val="center"/>
                </w:tcPr>
                <w:p w14:paraId="00CC1E93">
                  <w:pPr>
                    <w:snapToGrid w:val="0"/>
                    <w:spacing w:line="240" w:lineRule="auto"/>
                    <w:ind w:firstLine="0" w:firstLineChars="0"/>
                    <w:jc w:val="center"/>
                    <w:rPr>
                      <w:color w:val="auto"/>
                      <w:sz w:val="21"/>
                      <w:szCs w:val="21"/>
                    </w:rPr>
                  </w:pPr>
                  <w:r>
                    <w:rPr>
                      <w:color w:val="auto"/>
                      <w:sz w:val="21"/>
                      <w:szCs w:val="21"/>
                    </w:rPr>
                    <w:t>0.8</w:t>
                  </w:r>
                </w:p>
              </w:tc>
              <w:tc>
                <w:tcPr>
                  <w:tcW w:w="713" w:type="pct"/>
                  <w:noWrap w:val="0"/>
                  <w:vAlign w:val="center"/>
                </w:tcPr>
                <w:p w14:paraId="2916F30C">
                  <w:pPr>
                    <w:snapToGrid w:val="0"/>
                    <w:spacing w:line="240" w:lineRule="auto"/>
                    <w:ind w:firstLine="0" w:firstLineChars="0"/>
                    <w:jc w:val="center"/>
                    <w:rPr>
                      <w:color w:val="auto"/>
                      <w:sz w:val="21"/>
                      <w:szCs w:val="21"/>
                    </w:rPr>
                  </w:pPr>
                  <w:r>
                    <w:rPr>
                      <w:color w:val="auto"/>
                      <w:sz w:val="21"/>
                      <w:szCs w:val="21"/>
                    </w:rPr>
                    <w:t>237</w:t>
                  </w:r>
                </w:p>
              </w:tc>
            </w:tr>
            <w:tr w14:paraId="40A3A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376D4AD0">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7</w:t>
                  </w:r>
                </w:p>
              </w:tc>
              <w:tc>
                <w:tcPr>
                  <w:tcW w:w="715" w:type="pct"/>
                  <w:noWrap w:val="0"/>
                  <w:vAlign w:val="center"/>
                </w:tcPr>
                <w:p w14:paraId="242D9017">
                  <w:pPr>
                    <w:snapToGrid w:val="0"/>
                    <w:spacing w:line="240" w:lineRule="auto"/>
                    <w:ind w:firstLine="0" w:firstLineChars="0"/>
                    <w:jc w:val="center"/>
                    <w:rPr>
                      <w:color w:val="auto"/>
                      <w:sz w:val="21"/>
                      <w:szCs w:val="21"/>
                    </w:rPr>
                  </w:pPr>
                  <w:r>
                    <w:rPr>
                      <w:color w:val="auto"/>
                      <w:sz w:val="21"/>
                      <w:szCs w:val="21"/>
                    </w:rPr>
                    <w:t>6</w:t>
                  </w:r>
                </w:p>
              </w:tc>
              <w:tc>
                <w:tcPr>
                  <w:tcW w:w="715" w:type="pct"/>
                  <w:noWrap w:val="0"/>
                  <w:vAlign w:val="center"/>
                </w:tcPr>
                <w:p w14:paraId="670F9CC8">
                  <w:pPr>
                    <w:snapToGrid w:val="0"/>
                    <w:spacing w:line="240" w:lineRule="auto"/>
                    <w:ind w:firstLine="0" w:firstLineChars="0"/>
                    <w:jc w:val="center"/>
                    <w:rPr>
                      <w:color w:val="auto"/>
                      <w:sz w:val="21"/>
                      <w:szCs w:val="21"/>
                    </w:rPr>
                  </w:pPr>
                  <w:r>
                    <w:rPr>
                      <w:color w:val="auto"/>
                      <w:sz w:val="21"/>
                      <w:szCs w:val="21"/>
                    </w:rPr>
                    <w:t>15</w:t>
                  </w:r>
                </w:p>
              </w:tc>
              <w:tc>
                <w:tcPr>
                  <w:tcW w:w="715" w:type="pct"/>
                  <w:noWrap w:val="0"/>
                  <w:vAlign w:val="center"/>
                </w:tcPr>
                <w:p w14:paraId="095323B6">
                  <w:pPr>
                    <w:snapToGrid w:val="0"/>
                    <w:spacing w:line="240" w:lineRule="auto"/>
                    <w:ind w:firstLine="0" w:firstLineChars="0"/>
                    <w:jc w:val="center"/>
                    <w:rPr>
                      <w:color w:val="auto"/>
                      <w:sz w:val="21"/>
                      <w:szCs w:val="21"/>
                    </w:rPr>
                  </w:pPr>
                  <w:r>
                    <w:rPr>
                      <w:color w:val="auto"/>
                      <w:sz w:val="21"/>
                      <w:szCs w:val="21"/>
                    </w:rPr>
                    <w:t>40</w:t>
                  </w:r>
                </w:p>
              </w:tc>
              <w:tc>
                <w:tcPr>
                  <w:tcW w:w="717" w:type="pct"/>
                  <w:noWrap w:val="0"/>
                  <w:vAlign w:val="center"/>
                </w:tcPr>
                <w:p w14:paraId="3E5D86FC">
                  <w:pPr>
                    <w:snapToGrid w:val="0"/>
                    <w:spacing w:line="240" w:lineRule="auto"/>
                    <w:ind w:firstLine="0" w:firstLineChars="0"/>
                    <w:jc w:val="center"/>
                    <w:rPr>
                      <w:color w:val="auto"/>
                      <w:sz w:val="21"/>
                      <w:szCs w:val="21"/>
                    </w:rPr>
                  </w:pPr>
                  <w:r>
                    <w:rPr>
                      <w:color w:val="auto"/>
                      <w:sz w:val="21"/>
                      <w:szCs w:val="21"/>
                    </w:rPr>
                    <w:t>24</w:t>
                  </w:r>
                </w:p>
              </w:tc>
              <w:tc>
                <w:tcPr>
                  <w:tcW w:w="716" w:type="pct"/>
                  <w:noWrap w:val="0"/>
                  <w:vAlign w:val="center"/>
                </w:tcPr>
                <w:p w14:paraId="75B8B8B2">
                  <w:pPr>
                    <w:snapToGrid w:val="0"/>
                    <w:spacing w:line="240" w:lineRule="auto"/>
                    <w:ind w:firstLine="0" w:firstLineChars="0"/>
                    <w:jc w:val="center"/>
                    <w:rPr>
                      <w:color w:val="auto"/>
                      <w:sz w:val="21"/>
                      <w:szCs w:val="21"/>
                    </w:rPr>
                  </w:pPr>
                  <w:r>
                    <w:rPr>
                      <w:color w:val="auto"/>
                      <w:sz w:val="21"/>
                      <w:szCs w:val="21"/>
                    </w:rPr>
                    <w:t>1</w:t>
                  </w:r>
                </w:p>
              </w:tc>
              <w:tc>
                <w:tcPr>
                  <w:tcW w:w="713" w:type="pct"/>
                  <w:noWrap w:val="0"/>
                  <w:vAlign w:val="center"/>
                </w:tcPr>
                <w:p w14:paraId="293403BD">
                  <w:pPr>
                    <w:snapToGrid w:val="0"/>
                    <w:spacing w:line="240" w:lineRule="auto"/>
                    <w:ind w:firstLine="0" w:firstLineChars="0"/>
                    <w:jc w:val="center"/>
                    <w:rPr>
                      <w:color w:val="auto"/>
                      <w:sz w:val="21"/>
                      <w:szCs w:val="21"/>
                    </w:rPr>
                  </w:pPr>
                  <w:r>
                    <w:rPr>
                      <w:color w:val="auto"/>
                      <w:sz w:val="21"/>
                      <w:szCs w:val="21"/>
                    </w:rPr>
                    <w:t>160</w:t>
                  </w:r>
                </w:p>
              </w:tc>
            </w:tr>
            <w:tr w14:paraId="10F63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57949BCF">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-8</w:t>
                  </w:r>
                </w:p>
              </w:tc>
              <w:tc>
                <w:tcPr>
                  <w:tcW w:w="715" w:type="pct"/>
                  <w:noWrap w:val="0"/>
                  <w:vAlign w:val="center"/>
                </w:tcPr>
                <w:p w14:paraId="7F2C6DB1">
                  <w:pPr>
                    <w:snapToGrid w:val="0"/>
                    <w:spacing w:line="240" w:lineRule="auto"/>
                    <w:ind w:firstLine="0" w:firstLineChars="0"/>
                    <w:jc w:val="center"/>
                    <w:rPr>
                      <w:color w:val="auto"/>
                      <w:sz w:val="21"/>
                      <w:szCs w:val="21"/>
                    </w:rPr>
                  </w:pPr>
                  <w:r>
                    <w:rPr>
                      <w:color w:val="auto"/>
                      <w:sz w:val="21"/>
                      <w:szCs w:val="21"/>
                    </w:rPr>
                    <w:t>7</w:t>
                  </w:r>
                </w:p>
              </w:tc>
              <w:tc>
                <w:tcPr>
                  <w:tcW w:w="715" w:type="pct"/>
                  <w:noWrap w:val="0"/>
                  <w:vAlign w:val="center"/>
                </w:tcPr>
                <w:p w14:paraId="59906D99">
                  <w:pPr>
                    <w:snapToGrid w:val="0"/>
                    <w:spacing w:line="240" w:lineRule="auto"/>
                    <w:ind w:firstLine="0" w:firstLineChars="0"/>
                    <w:jc w:val="center"/>
                    <w:rPr>
                      <w:color w:val="auto"/>
                      <w:sz w:val="21"/>
                      <w:szCs w:val="21"/>
                    </w:rPr>
                  </w:pPr>
                  <w:r>
                    <w:rPr>
                      <w:color w:val="auto"/>
                      <w:sz w:val="21"/>
                      <w:szCs w:val="21"/>
                    </w:rPr>
                    <w:t>15</w:t>
                  </w:r>
                </w:p>
              </w:tc>
              <w:tc>
                <w:tcPr>
                  <w:tcW w:w="715" w:type="pct"/>
                  <w:noWrap w:val="0"/>
                  <w:vAlign w:val="center"/>
                </w:tcPr>
                <w:p w14:paraId="70395697">
                  <w:pPr>
                    <w:snapToGrid w:val="0"/>
                    <w:spacing w:line="240" w:lineRule="auto"/>
                    <w:ind w:firstLine="0" w:firstLineChars="0"/>
                    <w:jc w:val="center"/>
                    <w:rPr>
                      <w:color w:val="auto"/>
                      <w:sz w:val="21"/>
                      <w:szCs w:val="21"/>
                    </w:rPr>
                  </w:pPr>
                  <w:r>
                    <w:rPr>
                      <w:color w:val="auto"/>
                      <w:sz w:val="21"/>
                      <w:szCs w:val="21"/>
                    </w:rPr>
                    <w:t>40</w:t>
                  </w:r>
                </w:p>
              </w:tc>
              <w:tc>
                <w:tcPr>
                  <w:tcW w:w="717" w:type="pct"/>
                  <w:noWrap w:val="0"/>
                  <w:vAlign w:val="center"/>
                </w:tcPr>
                <w:p w14:paraId="7A168EA2">
                  <w:pPr>
                    <w:snapToGrid w:val="0"/>
                    <w:spacing w:line="240" w:lineRule="auto"/>
                    <w:ind w:firstLine="0" w:firstLineChars="0"/>
                    <w:jc w:val="center"/>
                    <w:rPr>
                      <w:color w:val="auto"/>
                      <w:sz w:val="21"/>
                      <w:szCs w:val="21"/>
                    </w:rPr>
                  </w:pPr>
                  <w:r>
                    <w:rPr>
                      <w:color w:val="auto"/>
                      <w:sz w:val="21"/>
                      <w:szCs w:val="21"/>
                    </w:rPr>
                    <w:t>22</w:t>
                  </w:r>
                </w:p>
              </w:tc>
              <w:tc>
                <w:tcPr>
                  <w:tcW w:w="716" w:type="pct"/>
                  <w:noWrap w:val="0"/>
                  <w:vAlign w:val="center"/>
                </w:tcPr>
                <w:p w14:paraId="2C2FA8C2">
                  <w:pPr>
                    <w:snapToGrid w:val="0"/>
                    <w:spacing w:line="240" w:lineRule="auto"/>
                    <w:ind w:firstLine="0" w:firstLineChars="0"/>
                    <w:jc w:val="center"/>
                    <w:rPr>
                      <w:color w:val="auto"/>
                      <w:sz w:val="21"/>
                      <w:szCs w:val="21"/>
                    </w:rPr>
                  </w:pPr>
                  <w:r>
                    <w:rPr>
                      <w:color w:val="auto"/>
                      <w:sz w:val="21"/>
                      <w:szCs w:val="21"/>
                    </w:rPr>
                    <w:t>1</w:t>
                  </w:r>
                </w:p>
              </w:tc>
              <w:tc>
                <w:tcPr>
                  <w:tcW w:w="713" w:type="pct"/>
                  <w:noWrap w:val="0"/>
                  <w:vAlign w:val="center"/>
                </w:tcPr>
                <w:p w14:paraId="6C0DBDB8">
                  <w:pPr>
                    <w:snapToGrid w:val="0"/>
                    <w:spacing w:line="240" w:lineRule="auto"/>
                    <w:ind w:firstLine="0" w:firstLineChars="0"/>
                    <w:jc w:val="center"/>
                    <w:rPr>
                      <w:color w:val="auto"/>
                      <w:sz w:val="21"/>
                      <w:szCs w:val="21"/>
                    </w:rPr>
                  </w:pPr>
                  <w:r>
                    <w:rPr>
                      <w:color w:val="auto"/>
                      <w:sz w:val="21"/>
                      <w:szCs w:val="21"/>
                    </w:rPr>
                    <w:t>157</w:t>
                  </w:r>
                </w:p>
              </w:tc>
            </w:tr>
            <w:tr w14:paraId="5F664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5BA4B8ED">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-9</w:t>
                  </w:r>
                </w:p>
              </w:tc>
              <w:tc>
                <w:tcPr>
                  <w:tcW w:w="715" w:type="pct"/>
                  <w:noWrap w:val="0"/>
                  <w:vAlign w:val="center"/>
                </w:tcPr>
                <w:p w14:paraId="31A44D74">
                  <w:pPr>
                    <w:snapToGrid w:val="0"/>
                    <w:spacing w:line="240" w:lineRule="auto"/>
                    <w:ind w:firstLine="0" w:firstLineChars="0"/>
                    <w:jc w:val="center"/>
                    <w:rPr>
                      <w:color w:val="auto"/>
                      <w:sz w:val="21"/>
                      <w:szCs w:val="21"/>
                    </w:rPr>
                  </w:pPr>
                  <w:r>
                    <w:rPr>
                      <w:color w:val="auto"/>
                      <w:sz w:val="21"/>
                      <w:szCs w:val="21"/>
                    </w:rPr>
                    <w:t>13</w:t>
                  </w:r>
                </w:p>
              </w:tc>
              <w:tc>
                <w:tcPr>
                  <w:tcW w:w="715" w:type="pct"/>
                  <w:noWrap w:val="0"/>
                  <w:vAlign w:val="center"/>
                </w:tcPr>
                <w:p w14:paraId="6CF08757">
                  <w:pPr>
                    <w:snapToGrid w:val="0"/>
                    <w:spacing w:line="240" w:lineRule="auto"/>
                    <w:ind w:firstLine="0" w:firstLineChars="0"/>
                    <w:jc w:val="center"/>
                    <w:rPr>
                      <w:color w:val="auto"/>
                      <w:sz w:val="21"/>
                      <w:szCs w:val="21"/>
                    </w:rPr>
                  </w:pPr>
                  <w:r>
                    <w:rPr>
                      <w:color w:val="auto"/>
                      <w:sz w:val="21"/>
                      <w:szCs w:val="21"/>
                    </w:rPr>
                    <w:t>22</w:t>
                  </w:r>
                </w:p>
              </w:tc>
              <w:tc>
                <w:tcPr>
                  <w:tcW w:w="715" w:type="pct"/>
                  <w:noWrap w:val="0"/>
                  <w:vAlign w:val="center"/>
                </w:tcPr>
                <w:p w14:paraId="7B188BD1">
                  <w:pPr>
                    <w:snapToGrid w:val="0"/>
                    <w:spacing w:line="240" w:lineRule="auto"/>
                    <w:ind w:firstLine="0" w:firstLineChars="0"/>
                    <w:jc w:val="center"/>
                    <w:rPr>
                      <w:color w:val="auto"/>
                      <w:sz w:val="21"/>
                      <w:szCs w:val="21"/>
                    </w:rPr>
                  </w:pPr>
                  <w:r>
                    <w:rPr>
                      <w:color w:val="auto"/>
                      <w:sz w:val="21"/>
                      <w:szCs w:val="21"/>
                    </w:rPr>
                    <w:t>66</w:t>
                  </w:r>
                </w:p>
              </w:tc>
              <w:tc>
                <w:tcPr>
                  <w:tcW w:w="717" w:type="pct"/>
                  <w:noWrap w:val="0"/>
                  <w:vAlign w:val="center"/>
                </w:tcPr>
                <w:p w14:paraId="04D2ED06">
                  <w:pPr>
                    <w:snapToGrid w:val="0"/>
                    <w:spacing w:line="240" w:lineRule="auto"/>
                    <w:ind w:firstLine="0" w:firstLineChars="0"/>
                    <w:jc w:val="center"/>
                    <w:rPr>
                      <w:color w:val="auto"/>
                      <w:sz w:val="21"/>
                      <w:szCs w:val="21"/>
                    </w:rPr>
                  </w:pPr>
                  <w:r>
                    <w:rPr>
                      <w:color w:val="auto"/>
                      <w:sz w:val="21"/>
                      <w:szCs w:val="21"/>
                    </w:rPr>
                    <w:t>34</w:t>
                  </w:r>
                </w:p>
              </w:tc>
              <w:tc>
                <w:tcPr>
                  <w:tcW w:w="716" w:type="pct"/>
                  <w:noWrap w:val="0"/>
                  <w:vAlign w:val="center"/>
                </w:tcPr>
                <w:p w14:paraId="1D53CB8B">
                  <w:pPr>
                    <w:snapToGrid w:val="0"/>
                    <w:spacing w:line="240" w:lineRule="auto"/>
                    <w:ind w:firstLine="0" w:firstLineChars="0"/>
                    <w:jc w:val="center"/>
                    <w:rPr>
                      <w:color w:val="auto"/>
                      <w:sz w:val="21"/>
                      <w:szCs w:val="21"/>
                    </w:rPr>
                  </w:pPr>
                  <w:r>
                    <w:rPr>
                      <w:color w:val="auto"/>
                      <w:sz w:val="21"/>
                      <w:szCs w:val="21"/>
                    </w:rPr>
                    <w:t>1</w:t>
                  </w:r>
                </w:p>
              </w:tc>
              <w:tc>
                <w:tcPr>
                  <w:tcW w:w="713" w:type="pct"/>
                  <w:noWrap w:val="0"/>
                  <w:vAlign w:val="center"/>
                </w:tcPr>
                <w:p w14:paraId="7621DB5C">
                  <w:pPr>
                    <w:snapToGrid w:val="0"/>
                    <w:spacing w:line="240" w:lineRule="auto"/>
                    <w:ind w:firstLine="0" w:firstLineChars="0"/>
                    <w:jc w:val="center"/>
                    <w:rPr>
                      <w:color w:val="auto"/>
                      <w:sz w:val="21"/>
                      <w:szCs w:val="21"/>
                    </w:rPr>
                  </w:pPr>
                  <w:r>
                    <w:rPr>
                      <w:color w:val="auto"/>
                      <w:sz w:val="21"/>
                      <w:szCs w:val="21"/>
                    </w:rPr>
                    <w:t>182</w:t>
                  </w:r>
                </w:p>
              </w:tc>
            </w:tr>
            <w:tr w14:paraId="7DB1C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260A5354">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-10</w:t>
                  </w:r>
                </w:p>
              </w:tc>
              <w:tc>
                <w:tcPr>
                  <w:tcW w:w="715" w:type="pct"/>
                  <w:noWrap w:val="0"/>
                  <w:vAlign w:val="center"/>
                </w:tcPr>
                <w:p w14:paraId="4EAD9A56">
                  <w:pPr>
                    <w:snapToGrid w:val="0"/>
                    <w:spacing w:line="240" w:lineRule="auto"/>
                    <w:ind w:firstLine="0" w:firstLineChars="0"/>
                    <w:jc w:val="center"/>
                    <w:rPr>
                      <w:color w:val="auto"/>
                      <w:sz w:val="21"/>
                      <w:szCs w:val="21"/>
                    </w:rPr>
                  </w:pPr>
                  <w:r>
                    <w:rPr>
                      <w:color w:val="auto"/>
                      <w:sz w:val="21"/>
                      <w:szCs w:val="21"/>
                    </w:rPr>
                    <w:t>12</w:t>
                  </w:r>
                </w:p>
              </w:tc>
              <w:tc>
                <w:tcPr>
                  <w:tcW w:w="715" w:type="pct"/>
                  <w:noWrap w:val="0"/>
                  <w:vAlign w:val="center"/>
                </w:tcPr>
                <w:p w14:paraId="4E137C5F">
                  <w:pPr>
                    <w:snapToGrid w:val="0"/>
                    <w:spacing w:line="240" w:lineRule="auto"/>
                    <w:ind w:firstLine="0" w:firstLineChars="0"/>
                    <w:jc w:val="center"/>
                    <w:rPr>
                      <w:color w:val="auto"/>
                      <w:sz w:val="21"/>
                      <w:szCs w:val="21"/>
                    </w:rPr>
                  </w:pPr>
                  <w:r>
                    <w:rPr>
                      <w:color w:val="auto"/>
                      <w:sz w:val="21"/>
                      <w:szCs w:val="21"/>
                    </w:rPr>
                    <w:t>31</w:t>
                  </w:r>
                </w:p>
              </w:tc>
              <w:tc>
                <w:tcPr>
                  <w:tcW w:w="715" w:type="pct"/>
                  <w:noWrap w:val="0"/>
                  <w:vAlign w:val="center"/>
                </w:tcPr>
                <w:p w14:paraId="5889283E">
                  <w:pPr>
                    <w:snapToGrid w:val="0"/>
                    <w:spacing w:line="240" w:lineRule="auto"/>
                    <w:ind w:firstLine="0" w:firstLineChars="0"/>
                    <w:jc w:val="center"/>
                    <w:rPr>
                      <w:color w:val="auto"/>
                      <w:sz w:val="21"/>
                      <w:szCs w:val="21"/>
                    </w:rPr>
                  </w:pPr>
                  <w:r>
                    <w:rPr>
                      <w:color w:val="auto"/>
                      <w:sz w:val="21"/>
                      <w:szCs w:val="21"/>
                    </w:rPr>
                    <w:t>74</w:t>
                  </w:r>
                </w:p>
              </w:tc>
              <w:tc>
                <w:tcPr>
                  <w:tcW w:w="717" w:type="pct"/>
                  <w:noWrap w:val="0"/>
                  <w:vAlign w:val="center"/>
                </w:tcPr>
                <w:p w14:paraId="67A8F5FD">
                  <w:pPr>
                    <w:snapToGrid w:val="0"/>
                    <w:spacing w:line="240" w:lineRule="auto"/>
                    <w:ind w:firstLine="0" w:firstLineChars="0"/>
                    <w:jc w:val="center"/>
                    <w:rPr>
                      <w:color w:val="auto"/>
                      <w:sz w:val="21"/>
                      <w:szCs w:val="21"/>
                    </w:rPr>
                  </w:pPr>
                  <w:r>
                    <w:rPr>
                      <w:color w:val="auto"/>
                      <w:sz w:val="21"/>
                      <w:szCs w:val="21"/>
                    </w:rPr>
                    <w:t>42</w:t>
                  </w:r>
                </w:p>
              </w:tc>
              <w:tc>
                <w:tcPr>
                  <w:tcW w:w="716" w:type="pct"/>
                  <w:noWrap w:val="0"/>
                  <w:vAlign w:val="center"/>
                </w:tcPr>
                <w:p w14:paraId="4A5EBB4A">
                  <w:pPr>
                    <w:snapToGrid w:val="0"/>
                    <w:spacing w:line="240" w:lineRule="auto"/>
                    <w:ind w:firstLine="0" w:firstLineChars="0"/>
                    <w:jc w:val="center"/>
                    <w:rPr>
                      <w:color w:val="auto"/>
                      <w:sz w:val="21"/>
                      <w:szCs w:val="21"/>
                    </w:rPr>
                  </w:pPr>
                  <w:r>
                    <w:rPr>
                      <w:color w:val="auto"/>
                      <w:sz w:val="21"/>
                      <w:szCs w:val="21"/>
                    </w:rPr>
                    <w:t>1.2</w:t>
                  </w:r>
                </w:p>
              </w:tc>
              <w:tc>
                <w:tcPr>
                  <w:tcW w:w="713" w:type="pct"/>
                  <w:noWrap w:val="0"/>
                  <w:vAlign w:val="center"/>
                </w:tcPr>
                <w:p w14:paraId="1D0825CC">
                  <w:pPr>
                    <w:snapToGrid w:val="0"/>
                    <w:spacing w:line="240" w:lineRule="auto"/>
                    <w:ind w:firstLine="0" w:firstLineChars="0"/>
                    <w:jc w:val="center"/>
                    <w:rPr>
                      <w:color w:val="auto"/>
                      <w:sz w:val="21"/>
                      <w:szCs w:val="21"/>
                    </w:rPr>
                  </w:pPr>
                  <w:r>
                    <w:rPr>
                      <w:color w:val="auto"/>
                      <w:sz w:val="21"/>
                      <w:szCs w:val="21"/>
                    </w:rPr>
                    <w:t>142</w:t>
                  </w:r>
                </w:p>
              </w:tc>
            </w:tr>
            <w:tr w14:paraId="49CB5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295ACE07">
                  <w:pPr>
                    <w:widowControl/>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kern w:val="0"/>
                      <w:sz w:val="21"/>
                      <w:szCs w:val="21"/>
                    </w:rPr>
                    <w:t>-11</w:t>
                  </w:r>
                </w:p>
              </w:tc>
              <w:tc>
                <w:tcPr>
                  <w:tcW w:w="715" w:type="pct"/>
                  <w:noWrap w:val="0"/>
                  <w:vAlign w:val="center"/>
                </w:tcPr>
                <w:p w14:paraId="3F504C4B">
                  <w:pPr>
                    <w:snapToGrid w:val="0"/>
                    <w:spacing w:line="240" w:lineRule="auto"/>
                    <w:ind w:firstLine="0" w:firstLineChars="0"/>
                    <w:jc w:val="center"/>
                    <w:rPr>
                      <w:color w:val="auto"/>
                      <w:sz w:val="21"/>
                      <w:szCs w:val="21"/>
                    </w:rPr>
                  </w:pPr>
                  <w:r>
                    <w:rPr>
                      <w:color w:val="auto"/>
                      <w:sz w:val="21"/>
                      <w:szCs w:val="21"/>
                    </w:rPr>
                    <w:t>12</w:t>
                  </w:r>
                </w:p>
              </w:tc>
              <w:tc>
                <w:tcPr>
                  <w:tcW w:w="715" w:type="pct"/>
                  <w:noWrap w:val="0"/>
                  <w:vAlign w:val="center"/>
                </w:tcPr>
                <w:p w14:paraId="040E3510">
                  <w:pPr>
                    <w:snapToGrid w:val="0"/>
                    <w:spacing w:line="240" w:lineRule="auto"/>
                    <w:ind w:firstLine="0" w:firstLineChars="0"/>
                    <w:jc w:val="center"/>
                    <w:rPr>
                      <w:color w:val="auto"/>
                      <w:sz w:val="21"/>
                      <w:szCs w:val="21"/>
                    </w:rPr>
                  </w:pPr>
                  <w:r>
                    <w:rPr>
                      <w:color w:val="auto"/>
                      <w:sz w:val="21"/>
                      <w:szCs w:val="21"/>
                    </w:rPr>
                    <w:t>33</w:t>
                  </w:r>
                </w:p>
              </w:tc>
              <w:tc>
                <w:tcPr>
                  <w:tcW w:w="715" w:type="pct"/>
                  <w:noWrap w:val="0"/>
                  <w:vAlign w:val="center"/>
                </w:tcPr>
                <w:p w14:paraId="6DC310E3">
                  <w:pPr>
                    <w:snapToGrid w:val="0"/>
                    <w:spacing w:line="240" w:lineRule="auto"/>
                    <w:ind w:firstLine="0" w:firstLineChars="0"/>
                    <w:jc w:val="center"/>
                    <w:rPr>
                      <w:color w:val="auto"/>
                      <w:sz w:val="21"/>
                      <w:szCs w:val="21"/>
                    </w:rPr>
                  </w:pPr>
                  <w:r>
                    <w:rPr>
                      <w:color w:val="auto"/>
                      <w:sz w:val="21"/>
                      <w:szCs w:val="21"/>
                    </w:rPr>
                    <w:t>74</w:t>
                  </w:r>
                </w:p>
              </w:tc>
              <w:tc>
                <w:tcPr>
                  <w:tcW w:w="717" w:type="pct"/>
                  <w:noWrap w:val="0"/>
                  <w:vAlign w:val="center"/>
                </w:tcPr>
                <w:p w14:paraId="46C80734">
                  <w:pPr>
                    <w:snapToGrid w:val="0"/>
                    <w:spacing w:line="240" w:lineRule="auto"/>
                    <w:ind w:firstLine="0" w:firstLineChars="0"/>
                    <w:jc w:val="center"/>
                    <w:rPr>
                      <w:color w:val="auto"/>
                      <w:sz w:val="21"/>
                      <w:szCs w:val="21"/>
                    </w:rPr>
                  </w:pPr>
                  <w:r>
                    <w:rPr>
                      <w:color w:val="auto"/>
                      <w:sz w:val="21"/>
                      <w:szCs w:val="21"/>
                    </w:rPr>
                    <w:t>49</w:t>
                  </w:r>
                </w:p>
              </w:tc>
              <w:tc>
                <w:tcPr>
                  <w:tcW w:w="716" w:type="pct"/>
                  <w:noWrap w:val="0"/>
                  <w:vAlign w:val="center"/>
                </w:tcPr>
                <w:p w14:paraId="1D5D8DED">
                  <w:pPr>
                    <w:snapToGrid w:val="0"/>
                    <w:spacing w:line="240" w:lineRule="auto"/>
                    <w:ind w:firstLine="0" w:firstLineChars="0"/>
                    <w:jc w:val="center"/>
                    <w:rPr>
                      <w:color w:val="auto"/>
                      <w:sz w:val="21"/>
                      <w:szCs w:val="21"/>
                    </w:rPr>
                  </w:pPr>
                  <w:r>
                    <w:rPr>
                      <w:color w:val="auto"/>
                      <w:sz w:val="21"/>
                      <w:szCs w:val="21"/>
                    </w:rPr>
                    <w:t>1.4</w:t>
                  </w:r>
                </w:p>
              </w:tc>
              <w:tc>
                <w:tcPr>
                  <w:tcW w:w="713" w:type="pct"/>
                  <w:noWrap w:val="0"/>
                  <w:vAlign w:val="center"/>
                </w:tcPr>
                <w:p w14:paraId="3A7975D6">
                  <w:pPr>
                    <w:snapToGrid w:val="0"/>
                    <w:spacing w:line="240" w:lineRule="auto"/>
                    <w:ind w:firstLine="0" w:firstLineChars="0"/>
                    <w:jc w:val="center"/>
                    <w:rPr>
                      <w:color w:val="auto"/>
                      <w:sz w:val="21"/>
                      <w:szCs w:val="21"/>
                    </w:rPr>
                  </w:pPr>
                  <w:r>
                    <w:rPr>
                      <w:color w:val="auto"/>
                      <w:sz w:val="21"/>
                      <w:szCs w:val="21"/>
                    </w:rPr>
                    <w:t>112</w:t>
                  </w:r>
                </w:p>
              </w:tc>
            </w:tr>
            <w:tr w14:paraId="4D64A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20E92D0B">
                  <w:pPr>
                    <w:snapToGrid w:val="0"/>
                    <w:spacing w:line="240" w:lineRule="auto"/>
                    <w:ind w:firstLine="0" w:firstLineChars="0"/>
                    <w:jc w:val="center"/>
                    <w:rPr>
                      <w:color w:val="auto"/>
                      <w:sz w:val="21"/>
                      <w:szCs w:val="21"/>
                    </w:rPr>
                  </w:pPr>
                  <w:r>
                    <w:rPr>
                      <w:color w:val="auto"/>
                      <w:sz w:val="21"/>
                      <w:szCs w:val="21"/>
                    </w:rPr>
                    <w:t>202</w:t>
                  </w:r>
                  <w:r>
                    <w:rPr>
                      <w:rFonts w:hint="eastAsia"/>
                      <w:color w:val="auto"/>
                      <w:sz w:val="21"/>
                      <w:szCs w:val="21"/>
                    </w:rPr>
                    <w:t>2</w:t>
                  </w:r>
                  <w:r>
                    <w:rPr>
                      <w:color w:val="auto"/>
                      <w:sz w:val="21"/>
                      <w:szCs w:val="21"/>
                    </w:rPr>
                    <w:t>-12</w:t>
                  </w:r>
                </w:p>
              </w:tc>
              <w:tc>
                <w:tcPr>
                  <w:tcW w:w="715" w:type="pct"/>
                  <w:noWrap w:val="0"/>
                  <w:vAlign w:val="center"/>
                </w:tcPr>
                <w:p w14:paraId="65BF433F">
                  <w:pPr>
                    <w:snapToGrid w:val="0"/>
                    <w:spacing w:line="240" w:lineRule="auto"/>
                    <w:ind w:firstLine="0" w:firstLineChars="0"/>
                    <w:jc w:val="center"/>
                    <w:rPr>
                      <w:color w:val="auto"/>
                      <w:sz w:val="21"/>
                      <w:szCs w:val="21"/>
                    </w:rPr>
                  </w:pPr>
                  <w:r>
                    <w:rPr>
                      <w:color w:val="auto"/>
                      <w:sz w:val="21"/>
                      <w:szCs w:val="21"/>
                    </w:rPr>
                    <w:t>16</w:t>
                  </w:r>
                </w:p>
              </w:tc>
              <w:tc>
                <w:tcPr>
                  <w:tcW w:w="715" w:type="pct"/>
                  <w:noWrap w:val="0"/>
                  <w:vAlign w:val="center"/>
                </w:tcPr>
                <w:p w14:paraId="707BAB5C">
                  <w:pPr>
                    <w:snapToGrid w:val="0"/>
                    <w:spacing w:line="240" w:lineRule="auto"/>
                    <w:ind w:firstLine="0" w:firstLineChars="0"/>
                    <w:jc w:val="center"/>
                    <w:rPr>
                      <w:color w:val="auto"/>
                      <w:sz w:val="21"/>
                      <w:szCs w:val="21"/>
                    </w:rPr>
                  </w:pPr>
                  <w:r>
                    <w:rPr>
                      <w:color w:val="auto"/>
                      <w:sz w:val="21"/>
                      <w:szCs w:val="21"/>
                    </w:rPr>
                    <w:t>42</w:t>
                  </w:r>
                </w:p>
              </w:tc>
              <w:tc>
                <w:tcPr>
                  <w:tcW w:w="715" w:type="pct"/>
                  <w:noWrap w:val="0"/>
                  <w:vAlign w:val="center"/>
                </w:tcPr>
                <w:p w14:paraId="688CC5CE">
                  <w:pPr>
                    <w:snapToGrid w:val="0"/>
                    <w:spacing w:line="240" w:lineRule="auto"/>
                    <w:ind w:firstLine="0" w:firstLineChars="0"/>
                    <w:jc w:val="center"/>
                    <w:rPr>
                      <w:color w:val="auto"/>
                      <w:sz w:val="21"/>
                      <w:szCs w:val="21"/>
                    </w:rPr>
                  </w:pPr>
                  <w:r>
                    <w:rPr>
                      <w:color w:val="auto"/>
                      <w:sz w:val="21"/>
                      <w:szCs w:val="21"/>
                    </w:rPr>
                    <w:t>111</w:t>
                  </w:r>
                </w:p>
              </w:tc>
              <w:tc>
                <w:tcPr>
                  <w:tcW w:w="717" w:type="pct"/>
                  <w:noWrap w:val="0"/>
                  <w:vAlign w:val="center"/>
                </w:tcPr>
                <w:p w14:paraId="317DA909">
                  <w:pPr>
                    <w:snapToGrid w:val="0"/>
                    <w:spacing w:line="240" w:lineRule="auto"/>
                    <w:ind w:firstLine="0" w:firstLineChars="0"/>
                    <w:jc w:val="center"/>
                    <w:rPr>
                      <w:color w:val="auto"/>
                      <w:sz w:val="21"/>
                      <w:szCs w:val="21"/>
                    </w:rPr>
                  </w:pPr>
                  <w:r>
                    <w:rPr>
                      <w:color w:val="auto"/>
                      <w:sz w:val="21"/>
                      <w:szCs w:val="21"/>
                    </w:rPr>
                    <w:t>73</w:t>
                  </w:r>
                </w:p>
              </w:tc>
              <w:tc>
                <w:tcPr>
                  <w:tcW w:w="716" w:type="pct"/>
                  <w:noWrap w:val="0"/>
                  <w:vAlign w:val="center"/>
                </w:tcPr>
                <w:p w14:paraId="585EDD21">
                  <w:pPr>
                    <w:snapToGrid w:val="0"/>
                    <w:spacing w:line="240" w:lineRule="auto"/>
                    <w:ind w:firstLine="0" w:firstLineChars="0"/>
                    <w:jc w:val="center"/>
                    <w:rPr>
                      <w:color w:val="auto"/>
                      <w:sz w:val="21"/>
                      <w:szCs w:val="21"/>
                    </w:rPr>
                  </w:pPr>
                  <w:r>
                    <w:rPr>
                      <w:color w:val="auto"/>
                      <w:sz w:val="21"/>
                      <w:szCs w:val="21"/>
                    </w:rPr>
                    <w:t>1.6</w:t>
                  </w:r>
                </w:p>
              </w:tc>
              <w:tc>
                <w:tcPr>
                  <w:tcW w:w="713" w:type="pct"/>
                  <w:noWrap w:val="0"/>
                  <w:vAlign w:val="center"/>
                </w:tcPr>
                <w:p w14:paraId="100DEF39">
                  <w:pPr>
                    <w:snapToGrid w:val="0"/>
                    <w:spacing w:line="240" w:lineRule="auto"/>
                    <w:ind w:firstLine="0" w:firstLineChars="0"/>
                    <w:jc w:val="center"/>
                    <w:rPr>
                      <w:color w:val="auto"/>
                      <w:sz w:val="21"/>
                      <w:szCs w:val="21"/>
                    </w:rPr>
                  </w:pPr>
                  <w:r>
                    <w:rPr>
                      <w:color w:val="auto"/>
                      <w:sz w:val="21"/>
                      <w:szCs w:val="21"/>
                    </w:rPr>
                    <w:t>65</w:t>
                  </w:r>
                </w:p>
              </w:tc>
            </w:tr>
            <w:tr w14:paraId="0F72A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706" w:type="pct"/>
                  <w:noWrap w:val="0"/>
                  <w:vAlign w:val="center"/>
                </w:tcPr>
                <w:p w14:paraId="0919A72F">
                  <w:pPr>
                    <w:snapToGrid w:val="0"/>
                    <w:spacing w:line="240" w:lineRule="auto"/>
                    <w:ind w:firstLine="0" w:firstLineChars="0"/>
                    <w:jc w:val="center"/>
                    <w:rPr>
                      <w:color w:val="auto"/>
                      <w:sz w:val="21"/>
                      <w:szCs w:val="21"/>
                    </w:rPr>
                  </w:pPr>
                  <w:r>
                    <w:rPr>
                      <w:color w:val="auto"/>
                      <w:sz w:val="21"/>
                      <w:szCs w:val="21"/>
                    </w:rPr>
                    <w:t>年均值</w:t>
                  </w:r>
                </w:p>
              </w:tc>
              <w:tc>
                <w:tcPr>
                  <w:tcW w:w="715" w:type="pct"/>
                  <w:noWrap w:val="0"/>
                  <w:vAlign w:val="center"/>
                </w:tcPr>
                <w:p w14:paraId="589377B0">
                  <w:pPr>
                    <w:snapToGrid w:val="0"/>
                    <w:spacing w:line="240" w:lineRule="auto"/>
                    <w:ind w:firstLine="0" w:firstLineChars="0"/>
                    <w:jc w:val="center"/>
                    <w:rPr>
                      <w:color w:val="auto"/>
                      <w:sz w:val="21"/>
                      <w:szCs w:val="21"/>
                    </w:rPr>
                  </w:pPr>
                  <w:r>
                    <w:rPr>
                      <w:rFonts w:hint="eastAsia"/>
                      <w:color w:val="auto"/>
                      <w:sz w:val="21"/>
                      <w:szCs w:val="21"/>
                    </w:rPr>
                    <w:t>11</w:t>
                  </w:r>
                </w:p>
              </w:tc>
              <w:tc>
                <w:tcPr>
                  <w:tcW w:w="715" w:type="pct"/>
                  <w:noWrap w:val="0"/>
                  <w:vAlign w:val="center"/>
                </w:tcPr>
                <w:p w14:paraId="2796B93F">
                  <w:pPr>
                    <w:snapToGrid w:val="0"/>
                    <w:spacing w:line="240" w:lineRule="auto"/>
                    <w:ind w:firstLine="0" w:firstLineChars="0"/>
                    <w:jc w:val="center"/>
                    <w:rPr>
                      <w:color w:val="auto"/>
                      <w:sz w:val="21"/>
                      <w:szCs w:val="21"/>
                    </w:rPr>
                  </w:pPr>
                  <w:r>
                    <w:rPr>
                      <w:rFonts w:hint="eastAsia"/>
                      <w:color w:val="auto"/>
                      <w:sz w:val="21"/>
                      <w:szCs w:val="21"/>
                    </w:rPr>
                    <w:t>25</w:t>
                  </w:r>
                </w:p>
              </w:tc>
              <w:tc>
                <w:tcPr>
                  <w:tcW w:w="715" w:type="pct"/>
                  <w:noWrap w:val="0"/>
                  <w:vAlign w:val="center"/>
                </w:tcPr>
                <w:p w14:paraId="287E4750">
                  <w:pPr>
                    <w:snapToGrid w:val="0"/>
                    <w:spacing w:line="240" w:lineRule="auto"/>
                    <w:ind w:firstLine="0" w:firstLineChars="0"/>
                    <w:jc w:val="center"/>
                    <w:rPr>
                      <w:color w:val="auto"/>
                      <w:sz w:val="21"/>
                      <w:szCs w:val="21"/>
                    </w:rPr>
                  </w:pPr>
                  <w:r>
                    <w:rPr>
                      <w:rFonts w:hint="eastAsia"/>
                      <w:color w:val="auto"/>
                      <w:sz w:val="21"/>
                      <w:szCs w:val="21"/>
                    </w:rPr>
                    <w:t>77</w:t>
                  </w:r>
                </w:p>
              </w:tc>
              <w:tc>
                <w:tcPr>
                  <w:tcW w:w="717" w:type="pct"/>
                  <w:noWrap w:val="0"/>
                  <w:vAlign w:val="center"/>
                </w:tcPr>
                <w:p w14:paraId="68B7F5BA">
                  <w:pPr>
                    <w:snapToGrid w:val="0"/>
                    <w:spacing w:line="240" w:lineRule="auto"/>
                    <w:ind w:firstLine="0" w:firstLineChars="0"/>
                    <w:jc w:val="center"/>
                    <w:rPr>
                      <w:color w:val="auto"/>
                      <w:sz w:val="21"/>
                      <w:szCs w:val="21"/>
                    </w:rPr>
                  </w:pPr>
                  <w:r>
                    <w:rPr>
                      <w:rFonts w:hint="eastAsia"/>
                      <w:color w:val="auto"/>
                      <w:sz w:val="21"/>
                      <w:szCs w:val="21"/>
                    </w:rPr>
                    <w:t>46</w:t>
                  </w:r>
                </w:p>
              </w:tc>
              <w:tc>
                <w:tcPr>
                  <w:tcW w:w="716" w:type="pct"/>
                  <w:noWrap w:val="0"/>
                  <w:vAlign w:val="center"/>
                </w:tcPr>
                <w:p w14:paraId="6B70FBAC">
                  <w:pPr>
                    <w:snapToGrid w:val="0"/>
                    <w:spacing w:line="240" w:lineRule="auto"/>
                    <w:ind w:firstLine="0" w:firstLineChars="0"/>
                    <w:jc w:val="center"/>
                    <w:rPr>
                      <w:color w:val="auto"/>
                      <w:sz w:val="21"/>
                      <w:szCs w:val="21"/>
                    </w:rPr>
                  </w:pPr>
                  <w:r>
                    <w:rPr>
                      <w:rFonts w:hint="eastAsia"/>
                      <w:color w:val="auto"/>
                      <w:sz w:val="21"/>
                      <w:szCs w:val="21"/>
                    </w:rPr>
                    <w:t>1.2</w:t>
                  </w:r>
                </w:p>
              </w:tc>
              <w:tc>
                <w:tcPr>
                  <w:tcW w:w="713" w:type="pct"/>
                  <w:noWrap w:val="0"/>
                  <w:vAlign w:val="center"/>
                </w:tcPr>
                <w:p w14:paraId="2A07E708">
                  <w:pPr>
                    <w:snapToGrid w:val="0"/>
                    <w:spacing w:line="240" w:lineRule="auto"/>
                    <w:ind w:firstLine="0" w:firstLineChars="0"/>
                    <w:jc w:val="center"/>
                    <w:rPr>
                      <w:color w:val="auto"/>
                      <w:sz w:val="21"/>
                      <w:szCs w:val="21"/>
                    </w:rPr>
                  </w:pPr>
                  <w:r>
                    <w:rPr>
                      <w:rFonts w:hint="eastAsia"/>
                      <w:color w:val="auto"/>
                      <w:sz w:val="21"/>
                      <w:szCs w:val="21"/>
                    </w:rPr>
                    <w:t>141</w:t>
                  </w:r>
                </w:p>
              </w:tc>
            </w:tr>
          </w:tbl>
          <w:p w14:paraId="676EC229">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aps w:val="0"/>
                <w:color w:val="auto"/>
                <w:spacing w:val="0"/>
                <w:kern w:val="0"/>
                <w:position w:val="0"/>
                <w:sz w:val="24"/>
                <w:szCs w:val="24"/>
                <w:highlight w:val="none"/>
                <w:lang w:val="en-US" w:eastAsia="zh-CN"/>
              </w:rPr>
            </w:pPr>
            <w:r>
              <w:rPr>
                <w:rFonts w:hint="eastAsia" w:ascii="Times New Roman" w:hAnsi="Times New Roman" w:eastAsia="宋体" w:cs="Times New Roman"/>
                <w:b/>
                <w:caps w:val="0"/>
                <w:color w:val="auto"/>
                <w:spacing w:val="0"/>
                <w:kern w:val="0"/>
                <w:position w:val="0"/>
                <w:sz w:val="24"/>
                <w:szCs w:val="24"/>
                <w:highlight w:val="none"/>
                <w:lang w:val="en-US" w:eastAsia="zh-CN"/>
              </w:rPr>
              <w:t>嘉祥县</w:t>
            </w:r>
            <w:r>
              <w:rPr>
                <w:rFonts w:hint="default" w:ascii="Times New Roman" w:hAnsi="Times New Roman" w:eastAsia="宋体" w:cs="Times New Roman"/>
                <w:b/>
                <w:caps w:val="0"/>
                <w:color w:val="auto"/>
                <w:spacing w:val="0"/>
                <w:kern w:val="0"/>
                <w:position w:val="0"/>
                <w:sz w:val="24"/>
                <w:szCs w:val="24"/>
                <w:highlight w:val="none"/>
                <w:lang w:val="en-US" w:eastAsia="zh-CN"/>
              </w:rPr>
              <w:t>202</w:t>
            </w:r>
            <w:r>
              <w:rPr>
                <w:rFonts w:hint="eastAsia" w:ascii="Times New Roman" w:hAnsi="Times New Roman" w:eastAsia="宋体" w:cs="Times New Roman"/>
                <w:b/>
                <w:caps w:val="0"/>
                <w:color w:val="auto"/>
                <w:spacing w:val="0"/>
                <w:kern w:val="0"/>
                <w:position w:val="0"/>
                <w:sz w:val="24"/>
                <w:szCs w:val="24"/>
                <w:highlight w:val="none"/>
                <w:lang w:val="en-US" w:eastAsia="zh-CN"/>
              </w:rPr>
              <w:t>2</w:t>
            </w:r>
            <w:r>
              <w:rPr>
                <w:rFonts w:hint="default" w:ascii="Times New Roman" w:hAnsi="Times New Roman" w:eastAsia="宋体" w:cs="Times New Roman"/>
                <w:b/>
                <w:caps w:val="0"/>
                <w:color w:val="auto"/>
                <w:spacing w:val="0"/>
                <w:kern w:val="0"/>
                <w:position w:val="0"/>
                <w:sz w:val="24"/>
                <w:szCs w:val="24"/>
                <w:highlight w:val="none"/>
                <w:lang w:val="en-US" w:eastAsia="zh-CN"/>
              </w:rPr>
              <w:t>年</w:t>
            </w:r>
            <w:r>
              <w:rPr>
                <w:rFonts w:hint="eastAsia" w:ascii="Times New Roman" w:hAnsi="Times New Roman" w:eastAsia="宋体" w:cs="Times New Roman"/>
                <w:b/>
                <w:caps w:val="0"/>
                <w:color w:val="auto"/>
                <w:spacing w:val="0"/>
                <w:kern w:val="0"/>
                <w:position w:val="0"/>
                <w:sz w:val="24"/>
                <w:szCs w:val="24"/>
                <w:highlight w:val="none"/>
                <w:lang w:val="en-US" w:eastAsia="zh-CN"/>
              </w:rPr>
              <w:t>度环境空气质量现状评价表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18"/>
              <w:gridCol w:w="1318"/>
              <w:gridCol w:w="1318"/>
              <w:gridCol w:w="1318"/>
              <w:gridCol w:w="1315"/>
            </w:tblGrid>
            <w:tr w14:paraId="5C65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27FB0D22">
                  <w:pPr>
                    <w:snapToGrid w:val="0"/>
                    <w:spacing w:line="240" w:lineRule="auto"/>
                    <w:ind w:firstLine="0" w:firstLineChars="0"/>
                    <w:jc w:val="center"/>
                    <w:rPr>
                      <w:color w:val="auto"/>
                      <w:sz w:val="21"/>
                      <w:szCs w:val="21"/>
                    </w:rPr>
                  </w:pPr>
                  <w:r>
                    <w:rPr>
                      <w:rFonts w:hint="eastAsia"/>
                      <w:color w:val="auto"/>
                      <w:sz w:val="21"/>
                      <w:szCs w:val="21"/>
                    </w:rPr>
                    <w:t>污染物</w:t>
                  </w:r>
                </w:p>
              </w:tc>
              <w:tc>
                <w:tcPr>
                  <w:tcW w:w="833" w:type="pct"/>
                  <w:noWrap w:val="0"/>
                  <w:vAlign w:val="center"/>
                </w:tcPr>
                <w:p w14:paraId="43B9EF42">
                  <w:pPr>
                    <w:snapToGrid w:val="0"/>
                    <w:spacing w:line="240" w:lineRule="auto"/>
                    <w:ind w:firstLine="0" w:firstLineChars="0"/>
                    <w:jc w:val="center"/>
                    <w:rPr>
                      <w:color w:val="auto"/>
                      <w:sz w:val="21"/>
                      <w:szCs w:val="21"/>
                    </w:rPr>
                  </w:pPr>
                  <w:r>
                    <w:rPr>
                      <w:rFonts w:hint="eastAsia"/>
                      <w:color w:val="auto"/>
                      <w:sz w:val="21"/>
                      <w:szCs w:val="21"/>
                    </w:rPr>
                    <w:t>单位</w:t>
                  </w:r>
                </w:p>
              </w:tc>
              <w:tc>
                <w:tcPr>
                  <w:tcW w:w="833" w:type="pct"/>
                  <w:noWrap w:val="0"/>
                  <w:vAlign w:val="center"/>
                </w:tcPr>
                <w:p w14:paraId="3E8FBA7C">
                  <w:pPr>
                    <w:snapToGrid w:val="0"/>
                    <w:spacing w:line="240" w:lineRule="auto"/>
                    <w:ind w:firstLine="0" w:firstLineChars="0"/>
                    <w:jc w:val="center"/>
                    <w:rPr>
                      <w:color w:val="auto"/>
                      <w:sz w:val="21"/>
                      <w:szCs w:val="21"/>
                    </w:rPr>
                  </w:pPr>
                  <w:r>
                    <w:rPr>
                      <w:rFonts w:hint="eastAsia"/>
                      <w:color w:val="auto"/>
                      <w:sz w:val="21"/>
                      <w:szCs w:val="21"/>
                    </w:rPr>
                    <w:t>现状浓度</w:t>
                  </w:r>
                </w:p>
              </w:tc>
              <w:tc>
                <w:tcPr>
                  <w:tcW w:w="833" w:type="pct"/>
                  <w:noWrap w:val="0"/>
                  <w:vAlign w:val="center"/>
                </w:tcPr>
                <w:p w14:paraId="089D1570">
                  <w:pPr>
                    <w:snapToGrid w:val="0"/>
                    <w:spacing w:line="240" w:lineRule="auto"/>
                    <w:ind w:firstLine="0" w:firstLineChars="0"/>
                    <w:jc w:val="center"/>
                    <w:rPr>
                      <w:color w:val="auto"/>
                      <w:sz w:val="21"/>
                      <w:szCs w:val="21"/>
                    </w:rPr>
                  </w:pPr>
                  <w:r>
                    <w:rPr>
                      <w:rFonts w:hint="eastAsia"/>
                      <w:color w:val="auto"/>
                      <w:sz w:val="21"/>
                      <w:szCs w:val="21"/>
                    </w:rPr>
                    <w:t>标准值</w:t>
                  </w:r>
                </w:p>
              </w:tc>
              <w:tc>
                <w:tcPr>
                  <w:tcW w:w="833" w:type="pct"/>
                  <w:noWrap w:val="0"/>
                  <w:vAlign w:val="center"/>
                </w:tcPr>
                <w:p w14:paraId="4C09AA0B">
                  <w:pPr>
                    <w:snapToGrid w:val="0"/>
                    <w:spacing w:line="240" w:lineRule="auto"/>
                    <w:ind w:firstLine="0" w:firstLineChars="0"/>
                    <w:jc w:val="center"/>
                    <w:rPr>
                      <w:color w:val="auto"/>
                      <w:sz w:val="21"/>
                      <w:szCs w:val="21"/>
                    </w:rPr>
                  </w:pPr>
                  <w:r>
                    <w:rPr>
                      <w:rFonts w:hint="eastAsia"/>
                      <w:color w:val="auto"/>
                      <w:sz w:val="21"/>
                      <w:szCs w:val="21"/>
                    </w:rPr>
                    <w:t>占标率%</w:t>
                  </w:r>
                </w:p>
              </w:tc>
              <w:tc>
                <w:tcPr>
                  <w:tcW w:w="831" w:type="pct"/>
                  <w:noWrap w:val="0"/>
                  <w:vAlign w:val="center"/>
                </w:tcPr>
                <w:p w14:paraId="21DA19E9">
                  <w:pPr>
                    <w:snapToGrid w:val="0"/>
                    <w:spacing w:line="240" w:lineRule="auto"/>
                    <w:ind w:firstLine="0" w:firstLineChars="0"/>
                    <w:jc w:val="center"/>
                    <w:rPr>
                      <w:color w:val="auto"/>
                      <w:sz w:val="21"/>
                      <w:szCs w:val="21"/>
                    </w:rPr>
                  </w:pPr>
                  <w:r>
                    <w:rPr>
                      <w:rFonts w:hint="eastAsia"/>
                      <w:color w:val="auto"/>
                      <w:sz w:val="21"/>
                      <w:szCs w:val="21"/>
                    </w:rPr>
                    <w:t>达标情况</w:t>
                  </w:r>
                </w:p>
              </w:tc>
            </w:tr>
            <w:tr w14:paraId="4E9F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320AA78B">
                  <w:pPr>
                    <w:snapToGrid w:val="0"/>
                    <w:spacing w:line="240" w:lineRule="auto"/>
                    <w:ind w:firstLine="0" w:firstLineChars="0"/>
                    <w:jc w:val="center"/>
                    <w:rPr>
                      <w:rFonts w:hint="eastAsia"/>
                      <w:color w:val="auto"/>
                      <w:sz w:val="21"/>
                      <w:szCs w:val="21"/>
                    </w:rPr>
                  </w:pPr>
                  <w:r>
                    <w:rPr>
                      <w:color w:val="auto"/>
                      <w:sz w:val="21"/>
                      <w:szCs w:val="21"/>
                    </w:rPr>
                    <w:t>SO</w:t>
                  </w:r>
                  <w:r>
                    <w:rPr>
                      <w:color w:val="auto"/>
                      <w:sz w:val="21"/>
                      <w:szCs w:val="21"/>
                      <w:vertAlign w:val="subscript"/>
                    </w:rPr>
                    <w:t>2</w:t>
                  </w:r>
                </w:p>
              </w:tc>
              <w:tc>
                <w:tcPr>
                  <w:tcW w:w="833" w:type="pct"/>
                  <w:noWrap w:val="0"/>
                  <w:vAlign w:val="center"/>
                </w:tcPr>
                <w:p w14:paraId="33FB8479">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833" w:type="pct"/>
                  <w:noWrap w:val="0"/>
                  <w:vAlign w:val="center"/>
                </w:tcPr>
                <w:p w14:paraId="16331A0A">
                  <w:pPr>
                    <w:snapToGrid w:val="0"/>
                    <w:spacing w:line="240" w:lineRule="auto"/>
                    <w:ind w:firstLine="0" w:firstLineChars="0"/>
                    <w:jc w:val="center"/>
                    <w:rPr>
                      <w:color w:val="auto"/>
                      <w:sz w:val="21"/>
                      <w:szCs w:val="21"/>
                    </w:rPr>
                  </w:pPr>
                  <w:r>
                    <w:rPr>
                      <w:rFonts w:hint="eastAsia"/>
                      <w:color w:val="auto"/>
                      <w:sz w:val="21"/>
                      <w:szCs w:val="21"/>
                    </w:rPr>
                    <w:t>11</w:t>
                  </w:r>
                </w:p>
              </w:tc>
              <w:tc>
                <w:tcPr>
                  <w:tcW w:w="833" w:type="pct"/>
                  <w:noWrap w:val="0"/>
                  <w:vAlign w:val="center"/>
                </w:tcPr>
                <w:p w14:paraId="09A92A20">
                  <w:pPr>
                    <w:snapToGrid w:val="0"/>
                    <w:spacing w:line="240" w:lineRule="auto"/>
                    <w:ind w:firstLine="0" w:firstLineChars="0"/>
                    <w:jc w:val="center"/>
                    <w:rPr>
                      <w:color w:val="auto"/>
                      <w:sz w:val="21"/>
                      <w:szCs w:val="21"/>
                    </w:rPr>
                  </w:pPr>
                  <w:r>
                    <w:rPr>
                      <w:rFonts w:hint="eastAsia"/>
                      <w:color w:val="auto"/>
                      <w:sz w:val="21"/>
                      <w:szCs w:val="21"/>
                    </w:rPr>
                    <w:t>60</w:t>
                  </w:r>
                </w:p>
              </w:tc>
              <w:tc>
                <w:tcPr>
                  <w:tcW w:w="833" w:type="pct"/>
                  <w:noWrap w:val="0"/>
                  <w:vAlign w:val="center"/>
                </w:tcPr>
                <w:p w14:paraId="6051B830">
                  <w:pPr>
                    <w:snapToGrid w:val="0"/>
                    <w:spacing w:line="240" w:lineRule="auto"/>
                    <w:ind w:firstLine="0" w:firstLineChars="0"/>
                    <w:jc w:val="center"/>
                    <w:rPr>
                      <w:color w:val="auto"/>
                      <w:sz w:val="21"/>
                      <w:szCs w:val="21"/>
                    </w:rPr>
                  </w:pPr>
                  <w:r>
                    <w:rPr>
                      <w:rFonts w:hint="eastAsia"/>
                      <w:color w:val="auto"/>
                      <w:sz w:val="21"/>
                      <w:szCs w:val="21"/>
                    </w:rPr>
                    <w:t>18.33</w:t>
                  </w:r>
                </w:p>
              </w:tc>
              <w:tc>
                <w:tcPr>
                  <w:tcW w:w="831" w:type="pct"/>
                  <w:noWrap w:val="0"/>
                  <w:vAlign w:val="center"/>
                </w:tcPr>
                <w:p w14:paraId="4DAF844B">
                  <w:pPr>
                    <w:snapToGrid w:val="0"/>
                    <w:spacing w:line="240" w:lineRule="auto"/>
                    <w:ind w:firstLine="0" w:firstLineChars="0"/>
                    <w:jc w:val="center"/>
                    <w:rPr>
                      <w:color w:val="auto"/>
                      <w:sz w:val="21"/>
                      <w:szCs w:val="21"/>
                    </w:rPr>
                  </w:pPr>
                  <w:r>
                    <w:rPr>
                      <w:rFonts w:hint="eastAsia"/>
                      <w:color w:val="auto"/>
                      <w:sz w:val="21"/>
                      <w:szCs w:val="21"/>
                    </w:rPr>
                    <w:t>达标</w:t>
                  </w:r>
                </w:p>
              </w:tc>
            </w:tr>
            <w:tr w14:paraId="3D9A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2F6DDC46">
                  <w:pPr>
                    <w:snapToGrid w:val="0"/>
                    <w:spacing w:line="240" w:lineRule="auto"/>
                    <w:ind w:firstLine="0" w:firstLineChars="0"/>
                    <w:jc w:val="center"/>
                    <w:rPr>
                      <w:rFonts w:hint="eastAsia"/>
                      <w:color w:val="auto"/>
                      <w:sz w:val="21"/>
                      <w:szCs w:val="21"/>
                    </w:rPr>
                  </w:pPr>
                  <w:r>
                    <w:rPr>
                      <w:color w:val="auto"/>
                      <w:sz w:val="21"/>
                      <w:szCs w:val="21"/>
                    </w:rPr>
                    <w:t>NO</w:t>
                  </w:r>
                  <w:r>
                    <w:rPr>
                      <w:color w:val="auto"/>
                      <w:sz w:val="21"/>
                      <w:szCs w:val="21"/>
                      <w:vertAlign w:val="subscript"/>
                    </w:rPr>
                    <w:t>2</w:t>
                  </w:r>
                </w:p>
              </w:tc>
              <w:tc>
                <w:tcPr>
                  <w:tcW w:w="833" w:type="pct"/>
                  <w:noWrap w:val="0"/>
                  <w:vAlign w:val="center"/>
                </w:tcPr>
                <w:p w14:paraId="0AE48AF4">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833" w:type="pct"/>
                  <w:noWrap w:val="0"/>
                  <w:vAlign w:val="center"/>
                </w:tcPr>
                <w:p w14:paraId="47C2EBDD">
                  <w:pPr>
                    <w:snapToGrid w:val="0"/>
                    <w:spacing w:line="240" w:lineRule="auto"/>
                    <w:ind w:firstLine="0" w:firstLineChars="0"/>
                    <w:jc w:val="center"/>
                    <w:rPr>
                      <w:color w:val="auto"/>
                      <w:sz w:val="21"/>
                      <w:szCs w:val="21"/>
                    </w:rPr>
                  </w:pPr>
                  <w:r>
                    <w:rPr>
                      <w:color w:val="auto"/>
                      <w:sz w:val="21"/>
                      <w:szCs w:val="21"/>
                    </w:rPr>
                    <w:t>25</w:t>
                  </w:r>
                </w:p>
              </w:tc>
              <w:tc>
                <w:tcPr>
                  <w:tcW w:w="833" w:type="pct"/>
                  <w:noWrap w:val="0"/>
                  <w:vAlign w:val="center"/>
                </w:tcPr>
                <w:p w14:paraId="0154E4D7">
                  <w:pPr>
                    <w:snapToGrid w:val="0"/>
                    <w:spacing w:line="240" w:lineRule="auto"/>
                    <w:ind w:firstLine="0" w:firstLineChars="0"/>
                    <w:jc w:val="center"/>
                    <w:rPr>
                      <w:color w:val="auto"/>
                      <w:sz w:val="21"/>
                      <w:szCs w:val="21"/>
                    </w:rPr>
                  </w:pPr>
                  <w:r>
                    <w:rPr>
                      <w:rFonts w:hint="eastAsia"/>
                      <w:color w:val="auto"/>
                      <w:sz w:val="21"/>
                      <w:szCs w:val="21"/>
                    </w:rPr>
                    <w:t>40</w:t>
                  </w:r>
                </w:p>
              </w:tc>
              <w:tc>
                <w:tcPr>
                  <w:tcW w:w="833" w:type="pct"/>
                  <w:noWrap w:val="0"/>
                  <w:vAlign w:val="center"/>
                </w:tcPr>
                <w:p w14:paraId="4DD0C749">
                  <w:pPr>
                    <w:snapToGrid w:val="0"/>
                    <w:spacing w:line="240" w:lineRule="auto"/>
                    <w:ind w:firstLine="0" w:firstLineChars="0"/>
                    <w:jc w:val="center"/>
                    <w:rPr>
                      <w:color w:val="auto"/>
                      <w:sz w:val="21"/>
                      <w:szCs w:val="21"/>
                    </w:rPr>
                  </w:pPr>
                  <w:r>
                    <w:rPr>
                      <w:rFonts w:hint="eastAsia"/>
                      <w:color w:val="auto"/>
                      <w:sz w:val="21"/>
                      <w:szCs w:val="21"/>
                    </w:rPr>
                    <w:t>62.50</w:t>
                  </w:r>
                </w:p>
              </w:tc>
              <w:tc>
                <w:tcPr>
                  <w:tcW w:w="831" w:type="pct"/>
                  <w:noWrap w:val="0"/>
                  <w:vAlign w:val="center"/>
                </w:tcPr>
                <w:p w14:paraId="6F5EE9E7">
                  <w:pPr>
                    <w:snapToGrid w:val="0"/>
                    <w:spacing w:line="240" w:lineRule="auto"/>
                    <w:ind w:firstLine="0" w:firstLineChars="0"/>
                    <w:jc w:val="center"/>
                    <w:rPr>
                      <w:rFonts w:hint="eastAsia"/>
                      <w:color w:val="auto"/>
                      <w:sz w:val="21"/>
                      <w:szCs w:val="21"/>
                    </w:rPr>
                  </w:pPr>
                  <w:r>
                    <w:rPr>
                      <w:rFonts w:hint="eastAsia"/>
                      <w:color w:val="auto"/>
                      <w:sz w:val="21"/>
                      <w:szCs w:val="21"/>
                    </w:rPr>
                    <w:t>达标</w:t>
                  </w:r>
                </w:p>
              </w:tc>
            </w:tr>
            <w:tr w14:paraId="1B2D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11E6F99A">
                  <w:pPr>
                    <w:snapToGrid w:val="0"/>
                    <w:spacing w:line="240" w:lineRule="auto"/>
                    <w:ind w:firstLine="0" w:firstLineChars="0"/>
                    <w:jc w:val="center"/>
                    <w:rPr>
                      <w:rFonts w:hint="eastAsia"/>
                      <w:color w:val="auto"/>
                      <w:sz w:val="21"/>
                      <w:szCs w:val="21"/>
                    </w:rPr>
                  </w:pPr>
                  <w:r>
                    <w:rPr>
                      <w:color w:val="auto"/>
                      <w:sz w:val="21"/>
                      <w:szCs w:val="21"/>
                    </w:rPr>
                    <w:t>PM</w:t>
                  </w:r>
                  <w:r>
                    <w:rPr>
                      <w:color w:val="auto"/>
                      <w:sz w:val="21"/>
                      <w:szCs w:val="21"/>
                      <w:vertAlign w:val="subscript"/>
                    </w:rPr>
                    <w:t>10</w:t>
                  </w:r>
                </w:p>
              </w:tc>
              <w:tc>
                <w:tcPr>
                  <w:tcW w:w="833" w:type="pct"/>
                  <w:noWrap w:val="0"/>
                  <w:vAlign w:val="center"/>
                </w:tcPr>
                <w:p w14:paraId="77D78425">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833" w:type="pct"/>
                  <w:noWrap w:val="0"/>
                  <w:vAlign w:val="center"/>
                </w:tcPr>
                <w:p w14:paraId="4C0DABFF">
                  <w:pPr>
                    <w:snapToGrid w:val="0"/>
                    <w:spacing w:line="240" w:lineRule="auto"/>
                    <w:ind w:firstLine="0" w:firstLineChars="0"/>
                    <w:jc w:val="center"/>
                    <w:rPr>
                      <w:color w:val="auto"/>
                      <w:sz w:val="21"/>
                      <w:szCs w:val="21"/>
                    </w:rPr>
                  </w:pPr>
                  <w:r>
                    <w:rPr>
                      <w:color w:val="auto"/>
                      <w:sz w:val="21"/>
                      <w:szCs w:val="21"/>
                    </w:rPr>
                    <w:t>77</w:t>
                  </w:r>
                </w:p>
              </w:tc>
              <w:tc>
                <w:tcPr>
                  <w:tcW w:w="833" w:type="pct"/>
                  <w:noWrap w:val="0"/>
                  <w:vAlign w:val="center"/>
                </w:tcPr>
                <w:p w14:paraId="0CE90ADE">
                  <w:pPr>
                    <w:snapToGrid w:val="0"/>
                    <w:spacing w:line="240" w:lineRule="auto"/>
                    <w:ind w:firstLine="0" w:firstLineChars="0"/>
                    <w:jc w:val="center"/>
                    <w:rPr>
                      <w:color w:val="auto"/>
                      <w:sz w:val="21"/>
                      <w:szCs w:val="21"/>
                    </w:rPr>
                  </w:pPr>
                  <w:r>
                    <w:rPr>
                      <w:rFonts w:hint="eastAsia"/>
                      <w:color w:val="auto"/>
                      <w:sz w:val="21"/>
                      <w:szCs w:val="21"/>
                    </w:rPr>
                    <w:t>70</w:t>
                  </w:r>
                </w:p>
              </w:tc>
              <w:tc>
                <w:tcPr>
                  <w:tcW w:w="833" w:type="pct"/>
                  <w:noWrap w:val="0"/>
                  <w:vAlign w:val="center"/>
                </w:tcPr>
                <w:p w14:paraId="3E4B0CD9">
                  <w:pPr>
                    <w:snapToGrid w:val="0"/>
                    <w:spacing w:line="240" w:lineRule="auto"/>
                    <w:ind w:firstLine="0" w:firstLineChars="0"/>
                    <w:jc w:val="center"/>
                    <w:rPr>
                      <w:color w:val="auto"/>
                      <w:sz w:val="21"/>
                      <w:szCs w:val="21"/>
                    </w:rPr>
                  </w:pPr>
                  <w:r>
                    <w:rPr>
                      <w:rFonts w:hint="eastAsia"/>
                      <w:color w:val="auto"/>
                      <w:sz w:val="21"/>
                      <w:szCs w:val="21"/>
                    </w:rPr>
                    <w:t>110.00</w:t>
                  </w:r>
                </w:p>
              </w:tc>
              <w:tc>
                <w:tcPr>
                  <w:tcW w:w="831" w:type="pct"/>
                  <w:noWrap w:val="0"/>
                  <w:vAlign w:val="center"/>
                </w:tcPr>
                <w:p w14:paraId="0DE5FBF8">
                  <w:pPr>
                    <w:snapToGrid w:val="0"/>
                    <w:spacing w:line="240" w:lineRule="auto"/>
                    <w:ind w:firstLine="0" w:firstLineChars="0"/>
                    <w:jc w:val="center"/>
                    <w:rPr>
                      <w:rFonts w:hint="eastAsia"/>
                      <w:color w:val="auto"/>
                      <w:sz w:val="21"/>
                      <w:szCs w:val="21"/>
                    </w:rPr>
                  </w:pPr>
                  <w:r>
                    <w:rPr>
                      <w:rFonts w:hint="eastAsia"/>
                      <w:color w:val="auto"/>
                      <w:sz w:val="21"/>
                      <w:szCs w:val="21"/>
                    </w:rPr>
                    <w:t>不达标</w:t>
                  </w:r>
                </w:p>
              </w:tc>
            </w:tr>
            <w:tr w14:paraId="74D7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22104533">
                  <w:pPr>
                    <w:snapToGrid w:val="0"/>
                    <w:spacing w:line="240" w:lineRule="auto"/>
                    <w:ind w:firstLine="0" w:firstLineChars="0"/>
                    <w:jc w:val="center"/>
                    <w:rPr>
                      <w:rFonts w:hint="eastAsia"/>
                      <w:color w:val="auto"/>
                      <w:sz w:val="21"/>
                      <w:szCs w:val="21"/>
                    </w:rPr>
                  </w:pPr>
                  <w:r>
                    <w:rPr>
                      <w:color w:val="auto"/>
                      <w:sz w:val="21"/>
                      <w:szCs w:val="21"/>
                    </w:rPr>
                    <w:t>PM</w:t>
                  </w:r>
                  <w:r>
                    <w:rPr>
                      <w:color w:val="auto"/>
                      <w:sz w:val="21"/>
                      <w:szCs w:val="21"/>
                      <w:vertAlign w:val="subscript"/>
                    </w:rPr>
                    <w:t>2.5</w:t>
                  </w:r>
                </w:p>
              </w:tc>
              <w:tc>
                <w:tcPr>
                  <w:tcW w:w="833" w:type="pct"/>
                  <w:noWrap w:val="0"/>
                  <w:vAlign w:val="center"/>
                </w:tcPr>
                <w:p w14:paraId="0E27AC02">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833" w:type="pct"/>
                  <w:noWrap w:val="0"/>
                  <w:vAlign w:val="center"/>
                </w:tcPr>
                <w:p w14:paraId="3F5765E3">
                  <w:pPr>
                    <w:snapToGrid w:val="0"/>
                    <w:spacing w:line="240" w:lineRule="auto"/>
                    <w:ind w:firstLine="0" w:firstLineChars="0"/>
                    <w:jc w:val="center"/>
                    <w:rPr>
                      <w:color w:val="auto"/>
                      <w:sz w:val="21"/>
                      <w:szCs w:val="21"/>
                    </w:rPr>
                  </w:pPr>
                  <w:r>
                    <w:rPr>
                      <w:color w:val="auto"/>
                      <w:sz w:val="21"/>
                      <w:szCs w:val="21"/>
                    </w:rPr>
                    <w:t>46</w:t>
                  </w:r>
                </w:p>
              </w:tc>
              <w:tc>
                <w:tcPr>
                  <w:tcW w:w="833" w:type="pct"/>
                  <w:noWrap w:val="0"/>
                  <w:vAlign w:val="center"/>
                </w:tcPr>
                <w:p w14:paraId="7E599C28">
                  <w:pPr>
                    <w:snapToGrid w:val="0"/>
                    <w:spacing w:line="240" w:lineRule="auto"/>
                    <w:ind w:firstLine="0" w:firstLineChars="0"/>
                    <w:jc w:val="center"/>
                    <w:rPr>
                      <w:color w:val="auto"/>
                      <w:sz w:val="21"/>
                      <w:szCs w:val="21"/>
                    </w:rPr>
                  </w:pPr>
                  <w:r>
                    <w:rPr>
                      <w:rFonts w:hint="eastAsia"/>
                      <w:color w:val="auto"/>
                      <w:sz w:val="21"/>
                      <w:szCs w:val="21"/>
                    </w:rPr>
                    <w:t>35</w:t>
                  </w:r>
                </w:p>
              </w:tc>
              <w:tc>
                <w:tcPr>
                  <w:tcW w:w="833" w:type="pct"/>
                  <w:noWrap w:val="0"/>
                  <w:vAlign w:val="center"/>
                </w:tcPr>
                <w:p w14:paraId="5A05A4B4">
                  <w:pPr>
                    <w:snapToGrid w:val="0"/>
                    <w:spacing w:line="240" w:lineRule="auto"/>
                    <w:ind w:firstLine="0" w:firstLineChars="0"/>
                    <w:jc w:val="center"/>
                    <w:rPr>
                      <w:color w:val="auto"/>
                      <w:sz w:val="21"/>
                      <w:szCs w:val="21"/>
                    </w:rPr>
                  </w:pPr>
                  <w:r>
                    <w:rPr>
                      <w:rFonts w:hint="eastAsia"/>
                      <w:color w:val="auto"/>
                      <w:sz w:val="21"/>
                      <w:szCs w:val="21"/>
                    </w:rPr>
                    <w:t>131.43</w:t>
                  </w:r>
                </w:p>
              </w:tc>
              <w:tc>
                <w:tcPr>
                  <w:tcW w:w="831" w:type="pct"/>
                  <w:noWrap w:val="0"/>
                  <w:vAlign w:val="center"/>
                </w:tcPr>
                <w:p w14:paraId="2EB1E82F">
                  <w:pPr>
                    <w:snapToGrid w:val="0"/>
                    <w:spacing w:line="240" w:lineRule="auto"/>
                    <w:ind w:firstLine="0" w:firstLineChars="0"/>
                    <w:jc w:val="center"/>
                    <w:rPr>
                      <w:rFonts w:hint="eastAsia"/>
                      <w:color w:val="auto"/>
                      <w:sz w:val="21"/>
                      <w:szCs w:val="21"/>
                    </w:rPr>
                  </w:pPr>
                  <w:r>
                    <w:rPr>
                      <w:rFonts w:hint="eastAsia"/>
                      <w:color w:val="auto"/>
                      <w:sz w:val="21"/>
                      <w:szCs w:val="21"/>
                    </w:rPr>
                    <w:t>不达标</w:t>
                  </w:r>
                </w:p>
              </w:tc>
            </w:tr>
            <w:tr w14:paraId="4ED2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6C51B8C1">
                  <w:pPr>
                    <w:snapToGrid w:val="0"/>
                    <w:spacing w:line="240" w:lineRule="auto"/>
                    <w:ind w:firstLine="0" w:firstLineChars="0"/>
                    <w:jc w:val="center"/>
                    <w:rPr>
                      <w:color w:val="auto"/>
                      <w:sz w:val="21"/>
                      <w:szCs w:val="21"/>
                    </w:rPr>
                  </w:pPr>
                  <w:r>
                    <w:rPr>
                      <w:rFonts w:hint="eastAsia"/>
                      <w:color w:val="auto"/>
                      <w:sz w:val="21"/>
                      <w:szCs w:val="21"/>
                    </w:rPr>
                    <w:t>O</w:t>
                  </w:r>
                  <w:r>
                    <w:rPr>
                      <w:rFonts w:hint="eastAsia"/>
                      <w:color w:val="auto"/>
                      <w:sz w:val="21"/>
                      <w:szCs w:val="21"/>
                      <w:vertAlign w:val="subscript"/>
                    </w:rPr>
                    <w:t>3</w:t>
                  </w:r>
                  <w:r>
                    <w:rPr>
                      <w:rFonts w:hint="eastAsia"/>
                      <w:color w:val="auto"/>
                      <w:sz w:val="21"/>
                      <w:szCs w:val="21"/>
                    </w:rPr>
                    <w:t>-8H-90per</w:t>
                  </w:r>
                </w:p>
              </w:tc>
              <w:tc>
                <w:tcPr>
                  <w:tcW w:w="833" w:type="pct"/>
                  <w:noWrap w:val="0"/>
                  <w:vAlign w:val="center"/>
                </w:tcPr>
                <w:p w14:paraId="4E750DA1">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833" w:type="pct"/>
                  <w:noWrap w:val="0"/>
                  <w:vAlign w:val="center"/>
                </w:tcPr>
                <w:p w14:paraId="5B694133">
                  <w:pPr>
                    <w:snapToGrid w:val="0"/>
                    <w:spacing w:line="240" w:lineRule="auto"/>
                    <w:ind w:firstLine="0" w:firstLineChars="0"/>
                    <w:jc w:val="center"/>
                    <w:rPr>
                      <w:color w:val="auto"/>
                      <w:sz w:val="21"/>
                      <w:szCs w:val="21"/>
                    </w:rPr>
                  </w:pPr>
                  <w:r>
                    <w:rPr>
                      <w:rFonts w:hint="eastAsia"/>
                      <w:color w:val="auto"/>
                      <w:sz w:val="21"/>
                      <w:szCs w:val="21"/>
                    </w:rPr>
                    <w:t>1</w:t>
                  </w:r>
                  <w:r>
                    <w:rPr>
                      <w:color w:val="auto"/>
                      <w:sz w:val="21"/>
                      <w:szCs w:val="21"/>
                    </w:rPr>
                    <w:t>41</w:t>
                  </w:r>
                </w:p>
              </w:tc>
              <w:tc>
                <w:tcPr>
                  <w:tcW w:w="833" w:type="pct"/>
                  <w:noWrap w:val="0"/>
                  <w:vAlign w:val="center"/>
                </w:tcPr>
                <w:p w14:paraId="77813456">
                  <w:pPr>
                    <w:snapToGrid w:val="0"/>
                    <w:spacing w:line="240" w:lineRule="auto"/>
                    <w:ind w:firstLine="0" w:firstLineChars="0"/>
                    <w:jc w:val="center"/>
                    <w:rPr>
                      <w:color w:val="auto"/>
                      <w:sz w:val="21"/>
                      <w:szCs w:val="21"/>
                    </w:rPr>
                  </w:pPr>
                  <w:r>
                    <w:rPr>
                      <w:rFonts w:hint="eastAsia"/>
                      <w:color w:val="auto"/>
                      <w:sz w:val="21"/>
                      <w:szCs w:val="21"/>
                    </w:rPr>
                    <w:t>160</w:t>
                  </w:r>
                </w:p>
              </w:tc>
              <w:tc>
                <w:tcPr>
                  <w:tcW w:w="833" w:type="pct"/>
                  <w:noWrap w:val="0"/>
                  <w:vAlign w:val="center"/>
                </w:tcPr>
                <w:p w14:paraId="540933D6">
                  <w:pPr>
                    <w:snapToGrid w:val="0"/>
                    <w:spacing w:line="240" w:lineRule="auto"/>
                    <w:ind w:firstLine="0" w:firstLineChars="0"/>
                    <w:jc w:val="center"/>
                    <w:rPr>
                      <w:color w:val="auto"/>
                      <w:sz w:val="21"/>
                      <w:szCs w:val="21"/>
                    </w:rPr>
                  </w:pPr>
                  <w:r>
                    <w:rPr>
                      <w:rFonts w:hint="eastAsia"/>
                      <w:color w:val="auto"/>
                      <w:sz w:val="21"/>
                      <w:szCs w:val="21"/>
                    </w:rPr>
                    <w:t>88.13</w:t>
                  </w:r>
                </w:p>
              </w:tc>
              <w:tc>
                <w:tcPr>
                  <w:tcW w:w="831" w:type="pct"/>
                  <w:noWrap w:val="0"/>
                  <w:vAlign w:val="center"/>
                </w:tcPr>
                <w:p w14:paraId="069592B4">
                  <w:pPr>
                    <w:snapToGrid w:val="0"/>
                    <w:spacing w:line="240" w:lineRule="auto"/>
                    <w:ind w:firstLine="0" w:firstLineChars="0"/>
                    <w:jc w:val="center"/>
                    <w:rPr>
                      <w:rFonts w:hint="eastAsia"/>
                      <w:color w:val="auto"/>
                      <w:sz w:val="21"/>
                      <w:szCs w:val="21"/>
                    </w:rPr>
                  </w:pPr>
                  <w:r>
                    <w:rPr>
                      <w:rFonts w:hint="eastAsia"/>
                      <w:color w:val="auto"/>
                      <w:sz w:val="21"/>
                      <w:szCs w:val="21"/>
                    </w:rPr>
                    <w:t>达标</w:t>
                  </w:r>
                </w:p>
              </w:tc>
            </w:tr>
            <w:tr w14:paraId="284A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noWrap w:val="0"/>
                  <w:vAlign w:val="center"/>
                </w:tcPr>
                <w:p w14:paraId="3F222313">
                  <w:pPr>
                    <w:snapToGrid w:val="0"/>
                    <w:spacing w:line="240" w:lineRule="auto"/>
                    <w:ind w:firstLine="0" w:firstLineChars="0"/>
                    <w:jc w:val="center"/>
                    <w:rPr>
                      <w:color w:val="auto"/>
                      <w:sz w:val="21"/>
                      <w:szCs w:val="21"/>
                    </w:rPr>
                  </w:pPr>
                  <w:r>
                    <w:rPr>
                      <w:rFonts w:hint="eastAsia"/>
                      <w:color w:val="auto"/>
                      <w:sz w:val="21"/>
                      <w:szCs w:val="21"/>
                    </w:rPr>
                    <w:t>CO-95per</w:t>
                  </w:r>
                </w:p>
              </w:tc>
              <w:tc>
                <w:tcPr>
                  <w:tcW w:w="833" w:type="pct"/>
                  <w:noWrap w:val="0"/>
                  <w:vAlign w:val="center"/>
                </w:tcPr>
                <w:p w14:paraId="483F48D0">
                  <w:pPr>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833" w:type="pct"/>
                  <w:noWrap w:val="0"/>
                  <w:vAlign w:val="center"/>
                </w:tcPr>
                <w:p w14:paraId="7042B419">
                  <w:pPr>
                    <w:snapToGrid w:val="0"/>
                    <w:spacing w:line="240" w:lineRule="auto"/>
                    <w:ind w:firstLine="0" w:firstLineChars="0"/>
                    <w:jc w:val="center"/>
                    <w:rPr>
                      <w:color w:val="auto"/>
                      <w:sz w:val="21"/>
                      <w:szCs w:val="21"/>
                    </w:rPr>
                  </w:pPr>
                  <w:r>
                    <w:rPr>
                      <w:rFonts w:hint="eastAsia"/>
                      <w:color w:val="auto"/>
                      <w:sz w:val="21"/>
                      <w:szCs w:val="21"/>
                    </w:rPr>
                    <w:t>1.</w:t>
                  </w:r>
                  <w:r>
                    <w:rPr>
                      <w:color w:val="auto"/>
                      <w:sz w:val="21"/>
                      <w:szCs w:val="21"/>
                    </w:rPr>
                    <w:t>2</w:t>
                  </w:r>
                </w:p>
              </w:tc>
              <w:tc>
                <w:tcPr>
                  <w:tcW w:w="833" w:type="pct"/>
                  <w:noWrap w:val="0"/>
                  <w:vAlign w:val="center"/>
                </w:tcPr>
                <w:p w14:paraId="5EB446DF">
                  <w:pPr>
                    <w:snapToGrid w:val="0"/>
                    <w:spacing w:line="240" w:lineRule="auto"/>
                    <w:ind w:firstLine="0" w:firstLineChars="0"/>
                    <w:jc w:val="center"/>
                    <w:rPr>
                      <w:color w:val="auto"/>
                      <w:sz w:val="21"/>
                      <w:szCs w:val="21"/>
                    </w:rPr>
                  </w:pPr>
                  <w:r>
                    <w:rPr>
                      <w:rFonts w:hint="eastAsia"/>
                      <w:color w:val="auto"/>
                      <w:sz w:val="21"/>
                      <w:szCs w:val="21"/>
                    </w:rPr>
                    <w:t>4</w:t>
                  </w:r>
                </w:p>
              </w:tc>
              <w:tc>
                <w:tcPr>
                  <w:tcW w:w="833" w:type="pct"/>
                  <w:noWrap w:val="0"/>
                  <w:vAlign w:val="center"/>
                </w:tcPr>
                <w:p w14:paraId="78AC2D55">
                  <w:pPr>
                    <w:snapToGrid w:val="0"/>
                    <w:spacing w:line="240" w:lineRule="auto"/>
                    <w:ind w:firstLine="0" w:firstLineChars="0"/>
                    <w:jc w:val="center"/>
                    <w:rPr>
                      <w:color w:val="auto"/>
                      <w:sz w:val="21"/>
                      <w:szCs w:val="21"/>
                    </w:rPr>
                  </w:pPr>
                  <w:r>
                    <w:rPr>
                      <w:rFonts w:hint="eastAsia"/>
                      <w:color w:val="auto"/>
                      <w:sz w:val="21"/>
                      <w:szCs w:val="21"/>
                    </w:rPr>
                    <w:t>30.00</w:t>
                  </w:r>
                </w:p>
              </w:tc>
              <w:tc>
                <w:tcPr>
                  <w:tcW w:w="831" w:type="pct"/>
                  <w:noWrap w:val="0"/>
                  <w:vAlign w:val="center"/>
                </w:tcPr>
                <w:p w14:paraId="1D3FD9C9">
                  <w:pPr>
                    <w:snapToGrid w:val="0"/>
                    <w:spacing w:line="240" w:lineRule="auto"/>
                    <w:ind w:firstLine="0" w:firstLineChars="0"/>
                    <w:jc w:val="center"/>
                    <w:rPr>
                      <w:rFonts w:hint="eastAsia"/>
                      <w:color w:val="auto"/>
                      <w:sz w:val="21"/>
                      <w:szCs w:val="21"/>
                    </w:rPr>
                  </w:pPr>
                  <w:r>
                    <w:rPr>
                      <w:rFonts w:hint="eastAsia"/>
                      <w:color w:val="auto"/>
                      <w:sz w:val="21"/>
                      <w:szCs w:val="21"/>
                    </w:rPr>
                    <w:t>达标</w:t>
                  </w:r>
                </w:p>
              </w:tc>
            </w:tr>
          </w:tbl>
          <w:p w14:paraId="7D833333">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嘉祥县</w:t>
            </w:r>
            <w:r>
              <w:rPr>
                <w:color w:val="auto"/>
                <w:sz w:val="24"/>
                <w:szCs w:val="24"/>
              </w:rPr>
              <w:t>2022年</w:t>
            </w:r>
            <w:r>
              <w:rPr>
                <w:rFonts w:hint="eastAsia"/>
                <w:color w:val="auto"/>
                <w:sz w:val="24"/>
                <w:szCs w:val="24"/>
              </w:rPr>
              <w:t>度</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年均浓度和CO 24小时平均值第95百分位数</w:t>
            </w:r>
            <w:r>
              <w:rPr>
                <w:color w:val="auto"/>
                <w:sz w:val="24"/>
                <w:szCs w:val="24"/>
                <w:shd w:val="clear" w:color="auto" w:fill="FFFFFF"/>
              </w:rPr>
              <w:t>浓度</w:t>
            </w:r>
            <w:r>
              <w:rPr>
                <w:rFonts w:hint="eastAsia"/>
                <w:color w:val="auto"/>
                <w:sz w:val="24"/>
                <w:szCs w:val="24"/>
                <w:shd w:val="clear" w:color="auto" w:fill="FFFFFF"/>
              </w:rPr>
              <w:t>、</w:t>
            </w:r>
            <w:r>
              <w:rPr>
                <w:color w:val="auto"/>
                <w:sz w:val="24"/>
                <w:szCs w:val="24"/>
              </w:rPr>
              <w:t>O</w:t>
            </w:r>
            <w:r>
              <w:rPr>
                <w:color w:val="auto"/>
                <w:sz w:val="24"/>
                <w:szCs w:val="24"/>
                <w:vertAlign w:val="subscript"/>
              </w:rPr>
              <w:t>3</w:t>
            </w:r>
            <w:r>
              <w:rPr>
                <w:color w:val="auto"/>
                <w:sz w:val="24"/>
                <w:szCs w:val="24"/>
                <w:shd w:val="clear" w:color="auto" w:fill="FFFFFF"/>
              </w:rPr>
              <w:t>日最大8小时第90百分位浓度均</w:t>
            </w:r>
            <w:r>
              <w:rPr>
                <w:color w:val="auto"/>
                <w:sz w:val="24"/>
                <w:szCs w:val="24"/>
              </w:rPr>
              <w:t>符合《环境空气质量标准》（GB3095-2012）中二级标准要求，PM</w:t>
            </w:r>
            <w:r>
              <w:rPr>
                <w:color w:val="auto"/>
                <w:sz w:val="24"/>
                <w:szCs w:val="24"/>
                <w:vertAlign w:val="subscript"/>
              </w:rPr>
              <w:t>10</w:t>
            </w:r>
            <w:r>
              <w:rPr>
                <w:color w:val="auto"/>
                <w:sz w:val="24"/>
                <w:szCs w:val="24"/>
              </w:rPr>
              <w:t>、PM</w:t>
            </w:r>
            <w:r>
              <w:rPr>
                <w:color w:val="auto"/>
                <w:sz w:val="24"/>
                <w:szCs w:val="24"/>
                <w:vertAlign w:val="subscript"/>
              </w:rPr>
              <w:t>2.5</w:t>
            </w:r>
            <w:r>
              <w:rPr>
                <w:color w:val="auto"/>
                <w:sz w:val="24"/>
                <w:szCs w:val="24"/>
              </w:rPr>
              <w:t>年均浓度超标，</w:t>
            </w:r>
            <w:r>
              <w:rPr>
                <w:rFonts w:hint="eastAsia"/>
                <w:color w:val="auto"/>
                <w:sz w:val="24"/>
                <w:szCs w:val="24"/>
              </w:rPr>
              <w:t>因此嘉祥县</w:t>
            </w:r>
            <w:r>
              <w:rPr>
                <w:color w:val="auto"/>
                <w:sz w:val="24"/>
                <w:szCs w:val="24"/>
              </w:rPr>
              <w:t>属于不达标区。</w:t>
            </w:r>
          </w:p>
          <w:p w14:paraId="6901AE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嘉祥县人民政府正积极落实《山东省深入打好蓝天保卫战行动计划》(2021-2025年)，通过优化产业结构与布局，减少煤炭消费，推进工业污染源提标改造，强化工业企业无组织排放控制管理，加强颗粒物专项整治，控制机动车污染，实施秋冬季重点行业错峰生产等方面的行动，加快以细颗粒物为重点的大气污染治理，项目所在区域环境空气质量将会逐步得到改善。</w:t>
            </w:r>
          </w:p>
          <w:p w14:paraId="6F5A7764">
            <w:pPr>
              <w:spacing w:line="360" w:lineRule="auto"/>
              <w:ind w:firstLine="480" w:firstLineChars="200"/>
              <w:rPr>
                <w:color w:val="auto"/>
                <w:sz w:val="24"/>
                <w:szCs w:val="24"/>
                <w:highlight w:val="none"/>
              </w:rPr>
            </w:pPr>
            <w:r>
              <w:rPr>
                <w:color w:val="auto"/>
                <w:sz w:val="24"/>
                <w:szCs w:val="24"/>
                <w:highlight w:val="none"/>
              </w:rPr>
              <w:t>2、地表水环境</w:t>
            </w:r>
          </w:p>
          <w:p w14:paraId="418D9F39">
            <w:pPr>
              <w:spacing w:line="360" w:lineRule="auto"/>
              <w:ind w:firstLine="480" w:firstLineChars="200"/>
              <w:rPr>
                <w:color w:val="auto"/>
                <w:sz w:val="24"/>
                <w:szCs w:val="24"/>
                <w:highlight w:val="none"/>
              </w:rPr>
            </w:pPr>
            <w:r>
              <w:rPr>
                <w:rFonts w:hint="eastAsia"/>
                <w:color w:val="auto"/>
                <w:sz w:val="24"/>
                <w:szCs w:val="24"/>
                <w:highlight w:val="none"/>
                <w:lang w:val="en-US" w:eastAsia="zh-CN"/>
              </w:rPr>
              <w:t>本</w:t>
            </w:r>
            <w:r>
              <w:rPr>
                <w:color w:val="auto"/>
                <w:sz w:val="24"/>
                <w:szCs w:val="24"/>
                <w:highlight w:val="none"/>
              </w:rPr>
              <w:t>项目所在地表水环境质量功能区属Ⅲ类区，执行《地表水环境质量标准》（GB3838-2002）Ⅲ类标准。依据山东省省控地表水水质状况发布的“省控地表水水质状况”（</w:t>
            </w:r>
            <w:r>
              <w:rPr>
                <w:rFonts w:hint="eastAsia"/>
                <w:color w:val="auto"/>
                <w:sz w:val="24"/>
                <w:szCs w:val="24"/>
                <w:highlight w:val="none"/>
              </w:rPr>
              <w:t>202</w:t>
            </w:r>
            <w:r>
              <w:rPr>
                <w:rFonts w:hint="eastAsia"/>
                <w:color w:val="auto"/>
                <w:sz w:val="24"/>
                <w:szCs w:val="24"/>
                <w:highlight w:val="none"/>
                <w:lang w:val="en-US" w:eastAsia="zh-CN"/>
              </w:rPr>
              <w:t>4</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eastAsia="zh-CN"/>
              </w:rPr>
              <w:t>，</w:t>
            </w:r>
            <w:r>
              <w:rPr>
                <w:color w:val="auto"/>
                <w:sz w:val="24"/>
                <w:szCs w:val="24"/>
                <w:highlight w:val="none"/>
              </w:rPr>
              <w:t>http://dbsfb.sdem.org.cn:8003/waterpublic/），洙水河</w:t>
            </w:r>
            <w:r>
              <w:rPr>
                <w:rFonts w:hint="eastAsia"/>
                <w:color w:val="auto"/>
                <w:sz w:val="24"/>
                <w:szCs w:val="24"/>
                <w:highlight w:val="none"/>
              </w:rPr>
              <w:t>105公路桥</w:t>
            </w:r>
            <w:r>
              <w:rPr>
                <w:rFonts w:hint="eastAsia"/>
                <w:color w:val="auto"/>
                <w:sz w:val="24"/>
                <w:szCs w:val="24"/>
                <w:highlight w:val="none"/>
                <w:lang w:val="en-US" w:eastAsia="zh-CN"/>
              </w:rPr>
              <w:t>断面</w:t>
            </w:r>
            <w:r>
              <w:rPr>
                <w:color w:val="auto"/>
                <w:sz w:val="24"/>
                <w:szCs w:val="24"/>
                <w:highlight w:val="none"/>
              </w:rPr>
              <w:t>水质现状为Ⅲ类，</w:t>
            </w:r>
            <w:r>
              <w:rPr>
                <w:rFonts w:hint="eastAsia"/>
                <w:color w:val="auto"/>
                <w:sz w:val="24"/>
                <w:szCs w:val="24"/>
                <w:highlight w:val="none"/>
              </w:rPr>
              <w:t>北徐桥</w:t>
            </w:r>
            <w:r>
              <w:rPr>
                <w:rFonts w:hint="eastAsia"/>
                <w:color w:val="auto"/>
                <w:sz w:val="24"/>
                <w:szCs w:val="24"/>
                <w:highlight w:val="none"/>
                <w:lang w:val="en-US" w:eastAsia="zh-CN"/>
              </w:rPr>
              <w:t>断面</w:t>
            </w:r>
            <w:r>
              <w:rPr>
                <w:color w:val="auto"/>
                <w:sz w:val="24"/>
                <w:szCs w:val="24"/>
                <w:highlight w:val="none"/>
              </w:rPr>
              <w:t>水质现状为</w:t>
            </w:r>
            <w:r>
              <w:rPr>
                <w:rFonts w:hint="eastAsia"/>
                <w:color w:val="auto"/>
                <w:sz w:val="24"/>
                <w:szCs w:val="24"/>
                <w:highlight w:val="none"/>
                <w:lang w:val="en-US" w:eastAsia="zh-CN"/>
              </w:rPr>
              <w:t>Ⅱ</w:t>
            </w:r>
            <w:r>
              <w:rPr>
                <w:color w:val="auto"/>
                <w:sz w:val="24"/>
                <w:szCs w:val="24"/>
                <w:highlight w:val="none"/>
              </w:rPr>
              <w:t>类</w:t>
            </w:r>
            <w:r>
              <w:rPr>
                <w:rFonts w:hint="eastAsia"/>
                <w:color w:val="auto"/>
                <w:sz w:val="24"/>
                <w:szCs w:val="24"/>
                <w:highlight w:val="none"/>
                <w:lang w:eastAsia="zh-CN"/>
              </w:rPr>
              <w:t>，</w:t>
            </w:r>
            <w:r>
              <w:rPr>
                <w:color w:val="auto"/>
                <w:sz w:val="24"/>
                <w:szCs w:val="24"/>
                <w:highlight w:val="none"/>
              </w:rPr>
              <w:t>满足《地表水环境质量标准》（GB3838-2002）中Ⅲ类标准。</w:t>
            </w:r>
          </w:p>
          <w:p w14:paraId="46CF06C4">
            <w:pPr>
              <w:adjustRightInd w:val="0"/>
              <w:snapToGrid w:val="0"/>
              <w:jc w:val="center"/>
              <w:rPr>
                <w:color w:val="auto"/>
                <w:sz w:val="24"/>
                <w:szCs w:val="24"/>
                <w:highlight w:val="none"/>
              </w:rPr>
            </w:pPr>
            <w:r>
              <w:rPr>
                <w:color w:val="auto"/>
                <w:sz w:val="24"/>
                <w:szCs w:val="24"/>
              </w:rPr>
              <w:drawing>
                <wp:inline distT="0" distB="0" distL="114300" distR="114300">
                  <wp:extent cx="4925060" cy="1294130"/>
                  <wp:effectExtent l="0" t="0" r="12700" b="12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7"/>
                          <a:stretch>
                            <a:fillRect/>
                          </a:stretch>
                        </pic:blipFill>
                        <pic:spPr>
                          <a:xfrm>
                            <a:off x="0" y="0"/>
                            <a:ext cx="4925060" cy="1294130"/>
                          </a:xfrm>
                          <a:prstGeom prst="rect">
                            <a:avLst/>
                          </a:prstGeom>
                          <a:noFill/>
                          <a:ln>
                            <a:noFill/>
                          </a:ln>
                        </pic:spPr>
                      </pic:pic>
                    </a:graphicData>
                  </a:graphic>
                </wp:inline>
              </w:drawing>
            </w:r>
          </w:p>
          <w:p w14:paraId="1D8AD75C">
            <w:pPr>
              <w:spacing w:line="360" w:lineRule="auto"/>
              <w:ind w:firstLine="480" w:firstLineChars="200"/>
              <w:rPr>
                <w:color w:val="auto"/>
                <w:sz w:val="24"/>
                <w:szCs w:val="24"/>
                <w:highlight w:val="none"/>
              </w:rPr>
            </w:pPr>
            <w:r>
              <w:rPr>
                <w:color w:val="auto"/>
                <w:sz w:val="24"/>
                <w:szCs w:val="24"/>
                <w:highlight w:val="none"/>
              </w:rPr>
              <w:t>3、声环境</w:t>
            </w:r>
          </w:p>
          <w:p w14:paraId="4B77FFB3">
            <w:pPr>
              <w:spacing w:line="360" w:lineRule="auto"/>
              <w:ind w:firstLine="480" w:firstLineChars="200"/>
              <w:rPr>
                <w:color w:val="auto"/>
                <w:sz w:val="24"/>
                <w:szCs w:val="24"/>
                <w:highlight w:val="none"/>
              </w:rPr>
            </w:pPr>
            <w:r>
              <w:rPr>
                <w:color w:val="auto"/>
                <w:sz w:val="24"/>
                <w:szCs w:val="24"/>
                <w:highlight w:val="none"/>
              </w:rPr>
              <w:t>本项目厂界外50m范围内无声环境保护目标，不进行现状</w:t>
            </w:r>
            <w:r>
              <w:rPr>
                <w:rFonts w:hint="eastAsia"/>
                <w:color w:val="auto"/>
                <w:sz w:val="24"/>
                <w:szCs w:val="24"/>
                <w:highlight w:val="none"/>
                <w:lang w:val="en-US" w:eastAsia="zh-CN"/>
              </w:rPr>
              <w:t>监测</w:t>
            </w:r>
            <w:r>
              <w:rPr>
                <w:color w:val="auto"/>
                <w:sz w:val="24"/>
                <w:szCs w:val="24"/>
                <w:highlight w:val="none"/>
              </w:rPr>
              <w:t>。</w:t>
            </w:r>
          </w:p>
          <w:p w14:paraId="3DFFD648">
            <w:pPr>
              <w:spacing w:line="360" w:lineRule="auto"/>
              <w:ind w:firstLine="480" w:firstLineChars="200"/>
              <w:rPr>
                <w:color w:val="auto"/>
                <w:sz w:val="24"/>
                <w:szCs w:val="24"/>
                <w:highlight w:val="none"/>
              </w:rPr>
            </w:pPr>
            <w:r>
              <w:rPr>
                <w:color w:val="auto"/>
                <w:sz w:val="24"/>
                <w:szCs w:val="24"/>
                <w:highlight w:val="none"/>
              </w:rPr>
              <w:t>4、生态环境</w:t>
            </w:r>
          </w:p>
          <w:p w14:paraId="14414D7C">
            <w:pPr>
              <w:spacing w:line="360" w:lineRule="auto"/>
              <w:ind w:firstLine="480" w:firstLineChars="200"/>
              <w:rPr>
                <w:color w:val="auto"/>
                <w:sz w:val="24"/>
                <w:szCs w:val="24"/>
                <w:highlight w:val="none"/>
              </w:rPr>
            </w:pPr>
            <w:r>
              <w:rPr>
                <w:color w:val="auto"/>
                <w:sz w:val="24"/>
                <w:szCs w:val="24"/>
                <w:highlight w:val="none"/>
              </w:rPr>
              <w:t>本项目用地范围内无生态环境保护目标，不进行现状调查。</w:t>
            </w:r>
          </w:p>
          <w:p w14:paraId="59509BEE">
            <w:pPr>
              <w:spacing w:line="360" w:lineRule="auto"/>
              <w:ind w:firstLine="480" w:firstLineChars="200"/>
              <w:rPr>
                <w:color w:val="auto"/>
                <w:sz w:val="24"/>
                <w:szCs w:val="24"/>
                <w:highlight w:val="none"/>
              </w:rPr>
            </w:pPr>
            <w:r>
              <w:rPr>
                <w:color w:val="auto"/>
                <w:sz w:val="24"/>
                <w:szCs w:val="24"/>
                <w:highlight w:val="none"/>
              </w:rPr>
              <w:t>5、电磁辐射</w:t>
            </w:r>
          </w:p>
          <w:p w14:paraId="262EE671">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本项目不涉及。</w:t>
            </w:r>
          </w:p>
          <w:p w14:paraId="1038DA18">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6、地下水、土壤环境</w:t>
            </w:r>
          </w:p>
          <w:p w14:paraId="6C99D45E">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highlight w:val="none"/>
              </w:rPr>
              <w:t>本项目采取严格的分区防渗措施，无地下水和土壤污染途径，不进行地下水、土壤环境质量现状调查</w:t>
            </w:r>
            <w:r>
              <w:rPr>
                <w:rFonts w:ascii="Times New Roman" w:hAnsi="Times New Roman" w:eastAsia="宋体" w:cs="Times New Roman"/>
                <w:color w:val="auto"/>
                <w:sz w:val="24"/>
                <w:szCs w:val="24"/>
                <w:highlight w:val="none"/>
              </w:rPr>
              <w:t>。</w:t>
            </w:r>
          </w:p>
        </w:tc>
      </w:tr>
      <w:tr w14:paraId="19F7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noWrap w:val="0"/>
            <w:vAlign w:val="center"/>
          </w:tcPr>
          <w:p w14:paraId="49654337">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4BD6C5DC">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14:paraId="47E738F4">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目标</w:t>
            </w:r>
          </w:p>
        </w:tc>
        <w:tc>
          <w:tcPr>
            <w:tcW w:w="4770" w:type="pct"/>
            <w:noWrap w:val="0"/>
            <w:vAlign w:val="center"/>
          </w:tcPr>
          <w:p w14:paraId="1AAEDEE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aps w:val="0"/>
                <w:color w:val="auto"/>
                <w:spacing w:val="0"/>
                <w:kern w:val="0"/>
                <w:position w:val="0"/>
                <w:sz w:val="24"/>
                <w:szCs w:val="24"/>
                <w:highlight w:val="none"/>
              </w:rPr>
            </w:pPr>
            <w:r>
              <w:rPr>
                <w:rFonts w:hint="default" w:ascii="Times New Roman" w:hAnsi="Times New Roman" w:eastAsia="宋体" w:cs="Times New Roman"/>
                <w:caps w:val="0"/>
                <w:color w:val="auto"/>
                <w:spacing w:val="0"/>
                <w:kern w:val="0"/>
                <w:position w:val="0"/>
                <w:sz w:val="24"/>
                <w:szCs w:val="24"/>
                <w:highlight w:val="none"/>
              </w:rPr>
              <w:t>1、</w:t>
            </w:r>
            <w:r>
              <w:rPr>
                <w:rFonts w:hint="default" w:ascii="Times New Roman" w:hAnsi="Times New Roman" w:eastAsia="宋体" w:cs="Times New Roman"/>
                <w:caps w:val="0"/>
                <w:color w:val="auto"/>
                <w:spacing w:val="0"/>
                <w:kern w:val="0"/>
                <w:position w:val="0"/>
                <w:sz w:val="24"/>
                <w:szCs w:val="24"/>
                <w:highlight w:val="none"/>
                <w:lang w:val="en-US" w:eastAsia="zh-CN"/>
              </w:rPr>
              <w:t>大气环境</w:t>
            </w:r>
            <w:r>
              <w:rPr>
                <w:rFonts w:hint="default" w:ascii="Times New Roman" w:hAnsi="Times New Roman" w:eastAsia="宋体" w:cs="Times New Roman"/>
                <w:caps w:val="0"/>
                <w:color w:val="auto"/>
                <w:spacing w:val="0"/>
                <w:kern w:val="0"/>
                <w:position w:val="0"/>
                <w:sz w:val="24"/>
                <w:szCs w:val="24"/>
                <w:highlight w:val="none"/>
              </w:rPr>
              <w:t>：</w:t>
            </w:r>
            <w:r>
              <w:rPr>
                <w:rFonts w:hint="default" w:ascii="Times New Roman" w:hAnsi="Times New Roman" w:eastAsia="宋体" w:cs="Times New Roman"/>
                <w:caps w:val="0"/>
                <w:color w:val="auto"/>
                <w:spacing w:val="0"/>
                <w:kern w:val="0"/>
                <w:position w:val="0"/>
                <w:sz w:val="24"/>
                <w:szCs w:val="24"/>
                <w:highlight w:val="none"/>
                <w:lang w:val="en-US" w:eastAsia="zh-CN"/>
              </w:rPr>
              <w:t>厂界外500</w:t>
            </w:r>
            <w:r>
              <w:rPr>
                <w:rFonts w:hint="eastAsia" w:eastAsia="宋体" w:cs="Times New Roman"/>
                <w:caps w:val="0"/>
                <w:color w:val="auto"/>
                <w:spacing w:val="0"/>
                <w:kern w:val="0"/>
                <w:position w:val="0"/>
                <w:sz w:val="24"/>
                <w:szCs w:val="24"/>
                <w:highlight w:val="none"/>
                <w:lang w:val="en-US" w:eastAsia="zh-CN"/>
              </w:rPr>
              <w:t>m</w:t>
            </w:r>
            <w:r>
              <w:rPr>
                <w:rFonts w:hint="default" w:ascii="Times New Roman" w:hAnsi="Times New Roman" w:eastAsia="宋体" w:cs="Times New Roman"/>
                <w:caps w:val="0"/>
                <w:color w:val="auto"/>
                <w:spacing w:val="0"/>
                <w:kern w:val="0"/>
                <w:position w:val="0"/>
                <w:sz w:val="24"/>
                <w:szCs w:val="24"/>
                <w:highlight w:val="none"/>
                <w:lang w:val="en-US" w:eastAsia="zh-CN"/>
              </w:rPr>
              <w:t>范围内的自然保护区、风景名胜区、居住区、文化区和农村地区中人群较集中的区域等保护目标</w:t>
            </w:r>
            <w:r>
              <w:rPr>
                <w:rFonts w:hint="default" w:ascii="Times New Roman" w:hAnsi="Times New Roman" w:eastAsia="宋体" w:cs="Times New Roman"/>
                <w:caps w:val="0"/>
                <w:color w:val="auto"/>
                <w:spacing w:val="0"/>
                <w:kern w:val="0"/>
                <w:position w:val="0"/>
                <w:sz w:val="24"/>
                <w:szCs w:val="24"/>
                <w:highlight w:val="none"/>
              </w:rPr>
              <w:t>。</w:t>
            </w:r>
          </w:p>
          <w:p w14:paraId="0032507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aps w:val="0"/>
                <w:color w:val="auto"/>
                <w:spacing w:val="0"/>
                <w:kern w:val="0"/>
                <w:position w:val="0"/>
                <w:sz w:val="24"/>
                <w:szCs w:val="24"/>
                <w:highlight w:val="none"/>
              </w:rPr>
            </w:pPr>
            <w:r>
              <w:rPr>
                <w:rFonts w:hint="default" w:ascii="Times New Roman" w:hAnsi="Times New Roman" w:eastAsia="宋体" w:cs="Times New Roman"/>
                <w:caps w:val="0"/>
                <w:color w:val="auto"/>
                <w:spacing w:val="0"/>
                <w:kern w:val="0"/>
                <w:position w:val="0"/>
                <w:sz w:val="24"/>
                <w:szCs w:val="24"/>
                <w:highlight w:val="none"/>
                <w:lang w:val="en-US" w:eastAsia="zh-CN"/>
              </w:rPr>
              <w:t>2、声环境</w:t>
            </w:r>
            <w:r>
              <w:rPr>
                <w:rFonts w:hint="default" w:ascii="Times New Roman" w:hAnsi="Times New Roman" w:eastAsia="宋体" w:cs="Times New Roman"/>
                <w:caps w:val="0"/>
                <w:color w:val="auto"/>
                <w:spacing w:val="0"/>
                <w:kern w:val="0"/>
                <w:position w:val="0"/>
                <w:sz w:val="24"/>
                <w:szCs w:val="24"/>
                <w:highlight w:val="none"/>
              </w:rPr>
              <w:t>：</w:t>
            </w:r>
            <w:r>
              <w:rPr>
                <w:rFonts w:hint="default" w:ascii="Times New Roman" w:hAnsi="Times New Roman" w:eastAsia="宋体" w:cs="Times New Roman"/>
                <w:caps w:val="0"/>
                <w:color w:val="auto"/>
                <w:spacing w:val="0"/>
                <w:kern w:val="0"/>
                <w:position w:val="0"/>
                <w:sz w:val="24"/>
                <w:szCs w:val="24"/>
                <w:highlight w:val="none"/>
                <w:lang w:val="en-US" w:eastAsia="zh-CN"/>
              </w:rPr>
              <w:t>厂界外50m范围内</w:t>
            </w:r>
            <w:r>
              <w:rPr>
                <w:rFonts w:hint="default" w:ascii="Times New Roman" w:hAnsi="Times New Roman" w:eastAsia="宋体" w:cs="Times New Roman"/>
                <w:caps w:val="0"/>
                <w:color w:val="auto"/>
                <w:spacing w:val="0"/>
                <w:kern w:val="0"/>
                <w:position w:val="0"/>
                <w:sz w:val="24"/>
                <w:szCs w:val="24"/>
                <w:highlight w:val="none"/>
              </w:rPr>
              <w:t>。</w:t>
            </w:r>
          </w:p>
          <w:p w14:paraId="08A6A69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aps w:val="0"/>
                <w:color w:val="auto"/>
                <w:spacing w:val="0"/>
                <w:kern w:val="0"/>
                <w:position w:val="0"/>
                <w:sz w:val="24"/>
                <w:szCs w:val="24"/>
                <w:highlight w:val="none"/>
              </w:rPr>
            </w:pPr>
            <w:r>
              <w:rPr>
                <w:rFonts w:hint="default" w:ascii="Times New Roman" w:hAnsi="Times New Roman" w:eastAsia="宋体" w:cs="Times New Roman"/>
                <w:caps w:val="0"/>
                <w:color w:val="auto"/>
                <w:spacing w:val="0"/>
                <w:kern w:val="0"/>
                <w:position w:val="0"/>
                <w:sz w:val="24"/>
                <w:szCs w:val="24"/>
                <w:highlight w:val="none"/>
              </w:rPr>
              <w:t>3、地下水</w:t>
            </w:r>
            <w:r>
              <w:rPr>
                <w:rFonts w:hint="default" w:ascii="Times New Roman" w:hAnsi="Times New Roman" w:eastAsia="宋体" w:cs="Times New Roman"/>
                <w:caps w:val="0"/>
                <w:color w:val="auto"/>
                <w:spacing w:val="0"/>
                <w:kern w:val="0"/>
                <w:position w:val="0"/>
                <w:sz w:val="24"/>
                <w:szCs w:val="24"/>
                <w:highlight w:val="none"/>
                <w:lang w:val="en-US" w:eastAsia="zh-CN"/>
              </w:rPr>
              <w:t>环境</w:t>
            </w:r>
            <w:r>
              <w:rPr>
                <w:rFonts w:hint="default" w:ascii="Times New Roman" w:hAnsi="Times New Roman" w:eastAsia="宋体" w:cs="Times New Roman"/>
                <w:caps w:val="0"/>
                <w:color w:val="auto"/>
                <w:spacing w:val="0"/>
                <w:kern w:val="0"/>
                <w:position w:val="0"/>
                <w:sz w:val="24"/>
                <w:szCs w:val="24"/>
                <w:highlight w:val="none"/>
              </w:rPr>
              <w:t>：</w:t>
            </w:r>
            <w:r>
              <w:rPr>
                <w:rFonts w:hint="default" w:ascii="Times New Roman" w:hAnsi="Times New Roman" w:eastAsia="宋体" w:cs="Times New Roman"/>
                <w:caps w:val="0"/>
                <w:color w:val="auto"/>
                <w:spacing w:val="0"/>
                <w:kern w:val="0"/>
                <w:position w:val="0"/>
                <w:sz w:val="24"/>
                <w:szCs w:val="24"/>
                <w:highlight w:val="none"/>
                <w:lang w:val="en-US" w:eastAsia="zh-CN"/>
              </w:rPr>
              <w:t>厂界外500</w:t>
            </w:r>
            <w:r>
              <w:rPr>
                <w:rFonts w:hint="eastAsia" w:eastAsia="宋体" w:cs="Times New Roman"/>
                <w:caps w:val="0"/>
                <w:color w:val="auto"/>
                <w:spacing w:val="0"/>
                <w:kern w:val="0"/>
                <w:position w:val="0"/>
                <w:sz w:val="24"/>
                <w:szCs w:val="24"/>
                <w:highlight w:val="none"/>
                <w:lang w:val="en-US" w:eastAsia="zh-CN"/>
              </w:rPr>
              <w:t>m</w:t>
            </w:r>
            <w:r>
              <w:rPr>
                <w:rFonts w:hint="default" w:ascii="Times New Roman" w:hAnsi="Times New Roman" w:eastAsia="宋体" w:cs="Times New Roman"/>
                <w:caps w:val="0"/>
                <w:color w:val="auto"/>
                <w:spacing w:val="0"/>
                <w:kern w:val="0"/>
                <w:position w:val="0"/>
                <w:sz w:val="24"/>
                <w:szCs w:val="24"/>
                <w:highlight w:val="none"/>
                <w:lang w:val="en-US" w:eastAsia="zh-CN"/>
              </w:rPr>
              <w:t>范围内的地下水集中式饮用水水源和热水、矿泉水、温泉等特殊地下水资源</w:t>
            </w:r>
            <w:r>
              <w:rPr>
                <w:rFonts w:hint="default" w:ascii="Times New Roman" w:hAnsi="Times New Roman" w:eastAsia="宋体" w:cs="Times New Roman"/>
                <w:caps w:val="0"/>
                <w:color w:val="auto"/>
                <w:spacing w:val="0"/>
                <w:kern w:val="0"/>
                <w:position w:val="0"/>
                <w:sz w:val="24"/>
                <w:szCs w:val="24"/>
                <w:highlight w:val="none"/>
              </w:rPr>
              <w:t>。</w:t>
            </w:r>
          </w:p>
          <w:p w14:paraId="38EBD95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aps w:val="0"/>
                <w:color w:val="auto"/>
                <w:spacing w:val="0"/>
                <w:kern w:val="0"/>
                <w:position w:val="0"/>
                <w:sz w:val="24"/>
                <w:szCs w:val="24"/>
                <w:highlight w:val="none"/>
                <w:lang w:val="en-US" w:eastAsia="zh-CN"/>
              </w:rPr>
            </w:pPr>
            <w:r>
              <w:rPr>
                <w:rFonts w:hint="default" w:ascii="Times New Roman" w:hAnsi="Times New Roman" w:eastAsia="宋体" w:cs="Times New Roman"/>
                <w:caps w:val="0"/>
                <w:color w:val="auto"/>
                <w:spacing w:val="0"/>
                <w:kern w:val="0"/>
                <w:position w:val="0"/>
                <w:sz w:val="24"/>
                <w:szCs w:val="24"/>
                <w:highlight w:val="none"/>
              </w:rPr>
              <w:t>4、</w:t>
            </w:r>
            <w:r>
              <w:rPr>
                <w:rFonts w:hint="default" w:ascii="Times New Roman" w:hAnsi="Times New Roman" w:eastAsia="宋体" w:cs="Times New Roman"/>
                <w:caps w:val="0"/>
                <w:color w:val="auto"/>
                <w:spacing w:val="0"/>
                <w:kern w:val="0"/>
                <w:position w:val="0"/>
                <w:sz w:val="24"/>
                <w:szCs w:val="24"/>
                <w:highlight w:val="none"/>
                <w:lang w:val="en-US" w:eastAsia="zh-CN"/>
              </w:rPr>
              <w:t>生态环境</w:t>
            </w:r>
            <w:r>
              <w:rPr>
                <w:rFonts w:hint="default" w:ascii="Times New Roman" w:hAnsi="Times New Roman" w:eastAsia="宋体" w:cs="Times New Roman"/>
                <w:caps w:val="0"/>
                <w:color w:val="auto"/>
                <w:spacing w:val="0"/>
                <w:kern w:val="0"/>
                <w:position w:val="0"/>
                <w:sz w:val="24"/>
                <w:szCs w:val="24"/>
                <w:highlight w:val="none"/>
              </w:rPr>
              <w:t>：</w:t>
            </w:r>
            <w:r>
              <w:rPr>
                <w:rFonts w:hint="default" w:ascii="Times New Roman" w:hAnsi="Times New Roman" w:eastAsia="宋体" w:cs="Times New Roman"/>
                <w:caps w:val="0"/>
                <w:color w:val="auto"/>
                <w:spacing w:val="0"/>
                <w:kern w:val="0"/>
                <w:position w:val="0"/>
                <w:sz w:val="24"/>
                <w:szCs w:val="24"/>
                <w:highlight w:val="none"/>
                <w:lang w:val="en-US" w:eastAsia="zh-CN"/>
              </w:rPr>
              <w:t>用地范围内的生态环境保护目标。</w:t>
            </w:r>
          </w:p>
          <w:p w14:paraId="4314F8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aps w:val="0"/>
                <w:color w:val="auto"/>
                <w:spacing w:val="0"/>
                <w:kern w:val="0"/>
                <w:position w:val="0"/>
                <w:sz w:val="24"/>
                <w:szCs w:val="24"/>
                <w:highlight w:val="none"/>
                <w:lang w:val="en-US" w:eastAsia="zh-CN"/>
              </w:rPr>
            </w:pPr>
            <w:r>
              <w:rPr>
                <w:rFonts w:hint="default" w:ascii="Times New Roman" w:hAnsi="Times New Roman" w:eastAsia="宋体" w:cs="Times New Roman"/>
                <w:caps w:val="0"/>
                <w:color w:val="auto"/>
                <w:spacing w:val="0"/>
                <w:kern w:val="0"/>
                <w:position w:val="0"/>
                <w:sz w:val="24"/>
                <w:szCs w:val="24"/>
                <w:highlight w:val="none"/>
                <w:lang w:val="en-US" w:eastAsia="zh-CN"/>
              </w:rPr>
              <w:t>本项目主要环境保护目标见下表及附图3。</w:t>
            </w:r>
          </w:p>
          <w:p w14:paraId="193FB109">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157"/>
              <w:gridCol w:w="1693"/>
              <w:gridCol w:w="1222"/>
              <w:gridCol w:w="2633"/>
            </w:tblGrid>
            <w:tr w14:paraId="7742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nil"/>
                    <w:tr2bl w:val="nil"/>
                  </w:tcBorders>
                  <w:noWrap w:val="0"/>
                  <w:vAlign w:val="center"/>
                </w:tcPr>
                <w:p w14:paraId="4C2F6344">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类别</w:t>
                  </w:r>
                </w:p>
              </w:tc>
              <w:tc>
                <w:tcPr>
                  <w:tcW w:w="732" w:type="pct"/>
                  <w:tcBorders>
                    <w:tl2br w:val="nil"/>
                    <w:tr2bl w:val="nil"/>
                  </w:tcBorders>
                  <w:noWrap w:val="0"/>
                  <w:vAlign w:val="center"/>
                </w:tcPr>
                <w:p w14:paraId="3AC8F2BA">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lang w:eastAsia="zh-CN"/>
                    </w:rPr>
                  </w:pPr>
                  <w:r>
                    <w:rPr>
                      <w:rFonts w:hint="default" w:ascii="Times New Roman" w:hAnsi="Times New Roman" w:eastAsia="宋体" w:cs="Times New Roman"/>
                      <w:caps w:val="0"/>
                      <w:color w:val="auto"/>
                      <w:spacing w:val="0"/>
                      <w:kern w:val="0"/>
                      <w:position w:val="0"/>
                      <w:sz w:val="21"/>
                      <w:szCs w:val="21"/>
                      <w:highlight w:val="none"/>
                      <w:lang w:eastAsia="zh-CN"/>
                    </w:rPr>
                    <w:t>名称</w:t>
                  </w:r>
                </w:p>
              </w:tc>
              <w:tc>
                <w:tcPr>
                  <w:tcW w:w="1071" w:type="pct"/>
                  <w:tcBorders>
                    <w:tl2br w:val="nil"/>
                    <w:tr2bl w:val="nil"/>
                  </w:tcBorders>
                  <w:noWrap w:val="0"/>
                  <w:vAlign w:val="center"/>
                </w:tcPr>
                <w:p w14:paraId="3DB36F3E">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与厂址距离m</w:t>
                  </w:r>
                </w:p>
              </w:tc>
              <w:tc>
                <w:tcPr>
                  <w:tcW w:w="773" w:type="pct"/>
                  <w:tcBorders>
                    <w:tl2br w:val="nil"/>
                    <w:tr2bl w:val="nil"/>
                  </w:tcBorders>
                  <w:noWrap w:val="0"/>
                  <w:vAlign w:val="center"/>
                </w:tcPr>
                <w:p w14:paraId="6F730100">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相对方位</w:t>
                  </w:r>
                </w:p>
              </w:tc>
              <w:tc>
                <w:tcPr>
                  <w:tcW w:w="1665" w:type="pct"/>
                  <w:tcBorders>
                    <w:tl2br w:val="nil"/>
                    <w:tr2bl w:val="nil"/>
                  </w:tcBorders>
                  <w:noWrap w:val="0"/>
                  <w:vAlign w:val="center"/>
                </w:tcPr>
                <w:p w14:paraId="1793875C">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级别</w:t>
                  </w:r>
                </w:p>
              </w:tc>
            </w:tr>
            <w:tr w14:paraId="1E17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nil"/>
                    <w:tr2bl w:val="nil"/>
                  </w:tcBorders>
                  <w:noWrap w:val="0"/>
                  <w:vAlign w:val="center"/>
                </w:tcPr>
                <w:p w14:paraId="7D3C8F8D">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lang w:val="en-US" w:eastAsia="zh-CN"/>
                    </w:rPr>
                    <w:t>大气</w:t>
                  </w:r>
                  <w:r>
                    <w:rPr>
                      <w:rFonts w:hint="default" w:ascii="Times New Roman" w:hAnsi="Times New Roman" w:eastAsia="宋体" w:cs="Times New Roman"/>
                      <w:caps w:val="0"/>
                      <w:color w:val="auto"/>
                      <w:spacing w:val="0"/>
                      <w:kern w:val="0"/>
                      <w:position w:val="0"/>
                      <w:sz w:val="21"/>
                      <w:szCs w:val="21"/>
                      <w:highlight w:val="none"/>
                    </w:rPr>
                    <w:t>环境</w:t>
                  </w:r>
                </w:p>
              </w:tc>
              <w:tc>
                <w:tcPr>
                  <w:tcW w:w="4242" w:type="pct"/>
                  <w:gridSpan w:val="4"/>
                  <w:tcBorders>
                    <w:tl2br w:val="nil"/>
                    <w:tr2bl w:val="nil"/>
                  </w:tcBorders>
                  <w:noWrap w:val="0"/>
                  <w:vAlign w:val="center"/>
                </w:tcPr>
                <w:p w14:paraId="42F1DB0C">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厂界外500</w:t>
                  </w:r>
                  <w:r>
                    <w:rPr>
                      <w:rFonts w:hint="eastAsia" w:ascii="Times New Roman" w:hAnsi="Times New Roman" w:cs="Times New Roman"/>
                      <w:caps w:val="0"/>
                      <w:color w:val="auto"/>
                      <w:spacing w:val="0"/>
                      <w:kern w:val="0"/>
                      <w:position w:val="0"/>
                      <w:sz w:val="21"/>
                      <w:szCs w:val="21"/>
                      <w:highlight w:val="none"/>
                      <w:lang w:val="en-US" w:eastAsia="zh-CN"/>
                    </w:rPr>
                    <w:t>m</w:t>
                  </w:r>
                  <w:r>
                    <w:rPr>
                      <w:rFonts w:hint="default" w:ascii="Times New Roman" w:hAnsi="Times New Roman" w:eastAsia="宋体" w:cs="Times New Roman"/>
                      <w:caps w:val="0"/>
                      <w:color w:val="auto"/>
                      <w:spacing w:val="0"/>
                      <w:kern w:val="0"/>
                      <w:position w:val="0"/>
                      <w:sz w:val="21"/>
                      <w:szCs w:val="21"/>
                      <w:highlight w:val="none"/>
                    </w:rPr>
                    <w:t>范围内</w:t>
                  </w:r>
                  <w:r>
                    <w:rPr>
                      <w:rFonts w:hint="eastAsia" w:ascii="Times New Roman" w:hAnsi="Times New Roman" w:cs="Times New Roman"/>
                      <w:caps w:val="0"/>
                      <w:color w:val="auto"/>
                      <w:spacing w:val="0"/>
                      <w:kern w:val="0"/>
                      <w:position w:val="0"/>
                      <w:sz w:val="21"/>
                      <w:szCs w:val="21"/>
                      <w:highlight w:val="none"/>
                      <w:lang w:val="en-US" w:eastAsia="zh-CN"/>
                    </w:rPr>
                    <w:t>无</w:t>
                  </w:r>
                  <w:r>
                    <w:rPr>
                      <w:rFonts w:hint="default" w:ascii="Times New Roman" w:hAnsi="Times New Roman" w:eastAsia="宋体" w:cs="Times New Roman"/>
                      <w:caps w:val="0"/>
                      <w:color w:val="auto"/>
                      <w:spacing w:val="0"/>
                      <w:kern w:val="0"/>
                      <w:position w:val="0"/>
                      <w:sz w:val="21"/>
                      <w:szCs w:val="21"/>
                      <w:highlight w:val="none"/>
                    </w:rPr>
                    <w:t>自然保护区、风景名胜区、居住区、文化区和农村地区中人群较集中的区域等保护目标</w:t>
                  </w:r>
                </w:p>
              </w:tc>
            </w:tr>
            <w:tr w14:paraId="03D6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nil"/>
                    <w:tr2bl w:val="nil"/>
                  </w:tcBorders>
                  <w:noWrap w:val="0"/>
                  <w:vAlign w:val="center"/>
                </w:tcPr>
                <w:p w14:paraId="07123BCF">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声环境</w:t>
                  </w:r>
                </w:p>
              </w:tc>
              <w:tc>
                <w:tcPr>
                  <w:tcW w:w="4242" w:type="pct"/>
                  <w:gridSpan w:val="4"/>
                  <w:tcBorders>
                    <w:tl2br w:val="nil"/>
                    <w:tr2bl w:val="nil"/>
                  </w:tcBorders>
                  <w:noWrap w:val="0"/>
                  <w:vAlign w:val="center"/>
                </w:tcPr>
                <w:p w14:paraId="3506EB60">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厂界外50</w:t>
                  </w:r>
                  <w:r>
                    <w:rPr>
                      <w:rFonts w:hint="eastAsia" w:ascii="Times New Roman" w:hAnsi="Times New Roman" w:cs="Times New Roman"/>
                      <w:caps w:val="0"/>
                      <w:color w:val="auto"/>
                      <w:spacing w:val="0"/>
                      <w:kern w:val="0"/>
                      <w:position w:val="0"/>
                      <w:sz w:val="21"/>
                      <w:szCs w:val="21"/>
                      <w:highlight w:val="none"/>
                      <w:lang w:val="en-US" w:eastAsia="zh-CN"/>
                    </w:rPr>
                    <w:t>m</w:t>
                  </w:r>
                  <w:r>
                    <w:rPr>
                      <w:rFonts w:hint="default" w:ascii="Times New Roman" w:hAnsi="Times New Roman" w:eastAsia="宋体" w:cs="Times New Roman"/>
                      <w:caps w:val="0"/>
                      <w:color w:val="auto"/>
                      <w:spacing w:val="0"/>
                      <w:kern w:val="0"/>
                      <w:position w:val="0"/>
                      <w:sz w:val="21"/>
                      <w:szCs w:val="21"/>
                      <w:highlight w:val="none"/>
                    </w:rPr>
                    <w:t>范围内无声环境保护目标</w:t>
                  </w:r>
                </w:p>
              </w:tc>
            </w:tr>
            <w:tr w14:paraId="3C86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nil"/>
                    <w:tr2bl w:val="nil"/>
                  </w:tcBorders>
                  <w:noWrap w:val="0"/>
                  <w:vAlign w:val="center"/>
                </w:tcPr>
                <w:p w14:paraId="161E4F72">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rPr>
                    <w:t>地下水</w:t>
                  </w:r>
                  <w:r>
                    <w:rPr>
                      <w:rFonts w:hint="default" w:ascii="Times New Roman" w:hAnsi="Times New Roman" w:eastAsia="宋体" w:cs="Times New Roman"/>
                      <w:caps w:val="0"/>
                      <w:color w:val="auto"/>
                      <w:spacing w:val="0"/>
                      <w:kern w:val="0"/>
                      <w:position w:val="0"/>
                      <w:sz w:val="21"/>
                      <w:szCs w:val="21"/>
                      <w:highlight w:val="none"/>
                      <w:lang w:val="en-US" w:eastAsia="zh-CN"/>
                    </w:rPr>
                    <w:t>环境</w:t>
                  </w:r>
                </w:p>
              </w:tc>
              <w:tc>
                <w:tcPr>
                  <w:tcW w:w="4242" w:type="pct"/>
                  <w:gridSpan w:val="4"/>
                  <w:tcBorders>
                    <w:tl2br w:val="nil"/>
                    <w:tr2bl w:val="nil"/>
                  </w:tcBorders>
                  <w:noWrap w:val="0"/>
                  <w:vAlign w:val="center"/>
                </w:tcPr>
                <w:p w14:paraId="5CD9E3AC">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lang w:val="en-US" w:eastAsia="zh-CN"/>
                    </w:rPr>
                    <w:t>厂界外500</w:t>
                  </w:r>
                  <w:r>
                    <w:rPr>
                      <w:rFonts w:hint="eastAsia" w:ascii="Times New Roman" w:hAnsi="Times New Roman" w:cs="Times New Roman"/>
                      <w:caps w:val="0"/>
                      <w:color w:val="auto"/>
                      <w:spacing w:val="0"/>
                      <w:kern w:val="0"/>
                      <w:position w:val="0"/>
                      <w:sz w:val="21"/>
                      <w:szCs w:val="21"/>
                      <w:highlight w:val="none"/>
                      <w:lang w:val="en-US" w:eastAsia="zh-CN"/>
                    </w:rPr>
                    <w:t>m</w:t>
                  </w:r>
                  <w:r>
                    <w:rPr>
                      <w:rFonts w:hint="default" w:ascii="Times New Roman" w:hAnsi="Times New Roman" w:eastAsia="宋体" w:cs="Times New Roman"/>
                      <w:caps w:val="0"/>
                      <w:color w:val="auto"/>
                      <w:spacing w:val="0"/>
                      <w:kern w:val="0"/>
                      <w:position w:val="0"/>
                      <w:sz w:val="21"/>
                      <w:szCs w:val="21"/>
                      <w:highlight w:val="none"/>
                      <w:lang w:val="en-US" w:eastAsia="zh-CN"/>
                    </w:rPr>
                    <w:t>范围内无地下水集中式饮用水水源和热水、矿泉水、温泉等特殊地下水资源</w:t>
                  </w:r>
                </w:p>
              </w:tc>
            </w:tr>
            <w:tr w14:paraId="0F1A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tcBorders>
                    <w:tl2br w:val="nil"/>
                    <w:tr2bl w:val="nil"/>
                  </w:tcBorders>
                  <w:noWrap w:val="0"/>
                  <w:vAlign w:val="center"/>
                </w:tcPr>
                <w:p w14:paraId="23C32EFD">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rPr>
                    <w:t>生态环境</w:t>
                  </w:r>
                </w:p>
              </w:tc>
              <w:tc>
                <w:tcPr>
                  <w:tcW w:w="4242" w:type="pct"/>
                  <w:gridSpan w:val="4"/>
                  <w:tcBorders>
                    <w:tl2br w:val="nil"/>
                    <w:tr2bl w:val="nil"/>
                  </w:tcBorders>
                  <w:noWrap w:val="0"/>
                  <w:vAlign w:val="center"/>
                </w:tcPr>
                <w:p w14:paraId="138AFB7C">
                  <w:pPr>
                    <w:pStyle w:val="14"/>
                    <w:keepNext w:val="0"/>
                    <w:keepLines w:val="0"/>
                    <w:pageBreakBefore w:val="0"/>
                    <w:widowControl w:val="0"/>
                    <w:kinsoku/>
                    <w:wordWrap/>
                    <w:overflowPunct/>
                    <w:topLinePunct w:val="0"/>
                    <w:autoSpaceDE/>
                    <w:autoSpaceDN/>
                    <w:bidi w:val="0"/>
                    <w:adjustRightInd w:val="0"/>
                    <w:snapToGrid w:val="0"/>
                    <w:ind w:left="0"/>
                    <w:jc w:val="center"/>
                    <w:textAlignment w:val="auto"/>
                    <w:rPr>
                      <w:rFonts w:hint="default" w:ascii="Times New Roman" w:hAnsi="Times New Roman" w:eastAsia="宋体" w:cs="Times New Roman"/>
                      <w:caps w:val="0"/>
                      <w:color w:val="auto"/>
                      <w:spacing w:val="0"/>
                      <w:kern w:val="0"/>
                      <w:position w:val="0"/>
                      <w:sz w:val="21"/>
                      <w:szCs w:val="21"/>
                      <w:highlight w:val="none"/>
                    </w:rPr>
                  </w:pPr>
                  <w:r>
                    <w:rPr>
                      <w:rFonts w:hint="default" w:ascii="Times New Roman" w:hAnsi="Times New Roman" w:eastAsia="宋体" w:cs="Times New Roman"/>
                      <w:caps w:val="0"/>
                      <w:color w:val="auto"/>
                      <w:spacing w:val="0"/>
                      <w:kern w:val="0"/>
                      <w:position w:val="0"/>
                      <w:sz w:val="21"/>
                      <w:szCs w:val="21"/>
                      <w:highlight w:val="none"/>
                      <w:lang w:val="en-US" w:eastAsia="zh-CN"/>
                    </w:rPr>
                    <w:t>占地范围</w:t>
                  </w:r>
                  <w:r>
                    <w:rPr>
                      <w:rFonts w:hint="default" w:ascii="Times New Roman" w:hAnsi="Times New Roman" w:eastAsia="宋体" w:cs="Times New Roman"/>
                      <w:caps w:val="0"/>
                      <w:color w:val="auto"/>
                      <w:spacing w:val="0"/>
                      <w:kern w:val="0"/>
                      <w:position w:val="0"/>
                      <w:sz w:val="21"/>
                      <w:szCs w:val="21"/>
                      <w:highlight w:val="none"/>
                    </w:rPr>
                    <w:t>内无生态环境保护目标</w:t>
                  </w:r>
                </w:p>
              </w:tc>
            </w:tr>
          </w:tbl>
          <w:p w14:paraId="0571BDBA">
            <w:pPr>
              <w:adjustRightInd w:val="0"/>
              <w:snapToGrid w:val="0"/>
              <w:jc w:val="center"/>
              <w:rPr>
                <w:rFonts w:hint="default" w:ascii="Times New Roman" w:hAnsi="Times New Roman" w:eastAsia="宋体" w:cs="Times New Roman"/>
                <w:color w:val="auto"/>
                <w:kern w:val="0"/>
                <w:sz w:val="24"/>
                <w:szCs w:val="24"/>
                <w:lang w:val="en-US" w:eastAsia="zh-CN"/>
              </w:rPr>
            </w:pPr>
          </w:p>
        </w:tc>
      </w:tr>
      <w:tr w14:paraId="424A1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 w:type="pct"/>
            <w:noWrap w:val="0"/>
            <w:tcMar>
              <w:left w:w="28" w:type="dxa"/>
              <w:right w:w="28" w:type="dxa"/>
            </w:tcMar>
            <w:vAlign w:val="center"/>
          </w:tcPr>
          <w:p w14:paraId="458D9E10">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14:paraId="45215D1D">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14:paraId="7E026049">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14:paraId="3069CA11">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14:paraId="0BB36AF1">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准</w:t>
            </w:r>
          </w:p>
        </w:tc>
        <w:tc>
          <w:tcPr>
            <w:tcW w:w="4770" w:type="pct"/>
            <w:noWrap w:val="0"/>
            <w:vAlign w:val="center"/>
          </w:tcPr>
          <w:p w14:paraId="2036832D">
            <w:pPr>
              <w:pStyle w:val="40"/>
              <w:numPr>
                <w:ilvl w:val="0"/>
                <w:numId w:val="12"/>
              </w:numPr>
              <w:ind w:left="0" w:firstLine="422"/>
              <w:rPr>
                <w:rFonts w:hint="default" w:ascii="Times New Roman" w:hAnsi="Times New Roman" w:eastAsia="宋体" w:cs="Times New Roman"/>
                <w:b w:val="0"/>
                <w:bCs/>
                <w:color w:val="auto"/>
                <w:sz w:val="24"/>
                <w:szCs w:val="24"/>
              </w:rPr>
            </w:pPr>
            <w:r>
              <w:rPr>
                <w:rFonts w:hint="default" w:ascii="Times New Roman" w:hAnsi="Times New Roman" w:eastAsia="宋体" w:cs="Times New Roman"/>
                <w:color w:val="auto"/>
                <w:sz w:val="24"/>
                <w:szCs w:val="24"/>
              </w:rPr>
              <w:t>废</w:t>
            </w:r>
            <w:r>
              <w:rPr>
                <w:rFonts w:hint="default" w:ascii="Times New Roman" w:hAnsi="Times New Roman" w:eastAsia="宋体" w:cs="Times New Roman"/>
                <w:color w:val="auto"/>
                <w:sz w:val="24"/>
                <w:szCs w:val="24"/>
                <w:lang w:eastAsia="zh-CN"/>
              </w:rPr>
              <w:t>水</w:t>
            </w:r>
          </w:p>
          <w:p w14:paraId="77D45798">
            <w:pPr>
              <w:numPr>
                <w:ilvl w:val="0"/>
                <w:numId w:val="0"/>
              </w:numPr>
              <w:spacing w:line="360" w:lineRule="auto"/>
              <w:ind w:firstLine="480" w:firstLineChars="200"/>
              <w:rPr>
                <w:rFonts w:hint="default" w:ascii="Times New Roman" w:hAnsi="Times New Roman" w:eastAsia="宋体" w:cs="Times New Roman"/>
                <w:color w:val="auto"/>
                <w:kern w:val="0"/>
                <w:sz w:val="24"/>
                <w:szCs w:val="24"/>
                <w:lang w:eastAsia="zh-CN" w:bidi="ar"/>
              </w:rPr>
            </w:pPr>
            <w:r>
              <w:rPr>
                <w:rFonts w:hint="eastAsia" w:cs="Times New Roman"/>
                <w:color w:val="auto"/>
                <w:kern w:val="0"/>
                <w:sz w:val="24"/>
                <w:szCs w:val="24"/>
                <w:lang w:val="en-US" w:eastAsia="zh-CN" w:bidi="ar"/>
              </w:rPr>
              <w:t>本项目无生产废水外排，职工生活污水排放</w:t>
            </w:r>
            <w:r>
              <w:rPr>
                <w:rFonts w:hint="eastAsia" w:ascii="Times New Roman" w:hAnsi="Times New Roman" w:eastAsia="宋体" w:cs="Times New Roman"/>
                <w:color w:val="auto"/>
                <w:kern w:val="0"/>
                <w:sz w:val="24"/>
                <w:szCs w:val="24"/>
                <w:lang w:val="en-US" w:eastAsia="zh-CN" w:bidi="ar"/>
              </w:rPr>
              <w:t>执行</w:t>
            </w:r>
            <w:r>
              <w:rPr>
                <w:rFonts w:hint="default" w:ascii="Times New Roman" w:hAnsi="Times New Roman" w:eastAsia="宋体" w:cs="Times New Roman"/>
                <w:color w:val="auto"/>
                <w:kern w:val="0"/>
                <w:sz w:val="24"/>
                <w:szCs w:val="24"/>
                <w:lang w:eastAsia="zh-CN" w:bidi="ar"/>
              </w:rPr>
              <w:t>《污水综合排放标准》（GB8978-1996）表4三级标准</w:t>
            </w:r>
            <w:r>
              <w:rPr>
                <w:rFonts w:hint="eastAsia"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eastAsia="zh-CN" w:bidi="ar"/>
              </w:rPr>
              <w:t>同时满足</w:t>
            </w:r>
            <w:r>
              <w:rPr>
                <w:rFonts w:hint="eastAsia" w:cs="Times New Roman"/>
                <w:color w:val="auto"/>
                <w:kern w:val="0"/>
                <w:sz w:val="24"/>
                <w:szCs w:val="24"/>
                <w:lang w:val="en-US" w:eastAsia="zh-CN" w:bidi="ar"/>
              </w:rPr>
              <w:t>嘉祥公用水务有限公司</w:t>
            </w:r>
            <w:r>
              <w:rPr>
                <w:rFonts w:hint="default" w:ascii="Times New Roman" w:hAnsi="Times New Roman" w:eastAsia="宋体" w:cs="Times New Roman"/>
                <w:color w:val="auto"/>
                <w:kern w:val="0"/>
                <w:sz w:val="24"/>
                <w:szCs w:val="24"/>
                <w:lang w:eastAsia="zh-CN" w:bidi="ar"/>
              </w:rPr>
              <w:t>进水指标</w:t>
            </w:r>
            <w:r>
              <w:rPr>
                <w:rFonts w:hint="eastAsia" w:cs="Times New Roman"/>
                <w:color w:val="auto"/>
                <w:kern w:val="0"/>
                <w:sz w:val="24"/>
                <w:szCs w:val="24"/>
                <w:lang w:val="en-US" w:eastAsia="zh-CN" w:bidi="ar"/>
              </w:rPr>
              <w:t>要求</w:t>
            </w:r>
            <w:r>
              <w:rPr>
                <w:rFonts w:hint="default" w:ascii="Times New Roman" w:hAnsi="Times New Roman" w:eastAsia="宋体" w:cs="Times New Roman"/>
                <w:color w:val="auto"/>
                <w:kern w:val="0"/>
                <w:sz w:val="24"/>
                <w:szCs w:val="24"/>
                <w:lang w:eastAsia="zh-CN" w:bidi="ar"/>
              </w:rPr>
              <w:t>。</w:t>
            </w:r>
          </w:p>
          <w:p w14:paraId="7588ED17">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rPr>
            </w:pPr>
            <w:r>
              <w:rPr>
                <w:rFonts w:hint="default" w:ascii="Times New Roman" w:hAnsi="Times New Roman" w:eastAsia="宋体" w:cs="Times New Roman"/>
                <w:b/>
                <w:caps w:val="0"/>
                <w:color w:val="auto"/>
                <w:spacing w:val="0"/>
                <w:kern w:val="0"/>
                <w:position w:val="0"/>
                <w:sz w:val="24"/>
                <w:szCs w:val="24"/>
                <w:highlight w:val="none"/>
              </w:rPr>
              <w:t>废水执行标准</w:t>
            </w:r>
            <w:r>
              <w:rPr>
                <w:rFonts w:hint="default" w:ascii="Times New Roman" w:hAnsi="Times New Roman" w:eastAsia="宋体" w:cs="Times New Roman"/>
                <w:b/>
                <w:caps w:val="0"/>
                <w:color w:val="auto"/>
                <w:spacing w:val="0"/>
                <w:kern w:val="0"/>
                <w:position w:val="0"/>
                <w:sz w:val="24"/>
                <w:szCs w:val="24"/>
                <w:highlight w:val="none"/>
                <w:lang w:eastAsia="zh-CN"/>
              </w:rPr>
              <w:t>，</w:t>
            </w:r>
            <w:r>
              <w:rPr>
                <w:rFonts w:hint="default" w:ascii="Times New Roman" w:hAnsi="Times New Roman" w:eastAsia="宋体" w:cs="Times New Roman"/>
                <w:b/>
                <w:caps w:val="0"/>
                <w:color w:val="auto"/>
                <w:spacing w:val="0"/>
                <w:kern w:val="0"/>
                <w:position w:val="0"/>
                <w:sz w:val="24"/>
                <w:szCs w:val="24"/>
                <w:highlight w:val="none"/>
              </w:rPr>
              <w:t>单位：mg/L</w:t>
            </w:r>
          </w:p>
          <w:tbl>
            <w:tblPr>
              <w:tblStyle w:val="24"/>
              <w:tblW w:w="79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1"/>
              <w:gridCol w:w="909"/>
              <w:gridCol w:w="858"/>
              <w:gridCol w:w="988"/>
              <w:gridCol w:w="928"/>
              <w:gridCol w:w="596"/>
              <w:gridCol w:w="705"/>
              <w:gridCol w:w="643"/>
            </w:tblGrid>
            <w:tr w14:paraId="06E65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42" w:type="pct"/>
                  <w:tcBorders>
                    <w:top w:val="single" w:color="000000" w:sz="8" w:space="0"/>
                    <w:left w:val="single" w:color="000000" w:sz="8" w:space="0"/>
                    <w:bottom w:val="single" w:color="000000" w:sz="8" w:space="0"/>
                    <w:right w:val="single" w:color="000000" w:sz="8" w:space="0"/>
                  </w:tcBorders>
                  <w:noWrap w:val="0"/>
                  <w:vAlign w:val="center"/>
                </w:tcPr>
                <w:p w14:paraId="20268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名称</w:t>
                  </w:r>
                </w:p>
              </w:tc>
              <w:tc>
                <w:tcPr>
                  <w:tcW w:w="574" w:type="pct"/>
                  <w:tcBorders>
                    <w:top w:val="single" w:color="000000" w:sz="8" w:space="0"/>
                    <w:left w:val="single" w:color="000000" w:sz="8" w:space="0"/>
                    <w:bottom w:val="single" w:color="000000" w:sz="8" w:space="0"/>
                    <w:right w:val="single" w:color="000000" w:sz="8" w:space="0"/>
                  </w:tcBorders>
                  <w:noWrap w:val="0"/>
                  <w:vAlign w:val="center"/>
                </w:tcPr>
                <w:p w14:paraId="27D68A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pH</w:t>
                  </w:r>
                </w:p>
              </w:tc>
              <w:tc>
                <w:tcPr>
                  <w:tcW w:w="542" w:type="pct"/>
                  <w:tcBorders>
                    <w:top w:val="single" w:color="000000" w:sz="8" w:space="0"/>
                    <w:left w:val="single" w:color="000000" w:sz="8" w:space="0"/>
                    <w:bottom w:val="single" w:color="000000" w:sz="8" w:space="0"/>
                    <w:right w:val="single" w:color="000000" w:sz="8" w:space="0"/>
                  </w:tcBorders>
                  <w:noWrap w:val="0"/>
                  <w:vAlign w:val="center"/>
                </w:tcPr>
                <w:p w14:paraId="1B2CF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CODcr</w:t>
                  </w:r>
                </w:p>
              </w:tc>
              <w:tc>
                <w:tcPr>
                  <w:tcW w:w="624" w:type="pct"/>
                  <w:tcBorders>
                    <w:top w:val="single" w:color="000000" w:sz="8" w:space="0"/>
                    <w:left w:val="single" w:color="000000" w:sz="8" w:space="0"/>
                    <w:bottom w:val="single" w:color="000000" w:sz="8" w:space="0"/>
                    <w:right w:val="single" w:color="000000" w:sz="8" w:space="0"/>
                  </w:tcBorders>
                  <w:noWrap w:val="0"/>
                  <w:vAlign w:val="center"/>
                </w:tcPr>
                <w:p w14:paraId="5CE2B6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BOD</w:t>
                  </w:r>
                  <w:r>
                    <w:rPr>
                      <w:rStyle w:val="60"/>
                      <w:rFonts w:hint="default" w:ascii="Times New Roman" w:hAnsi="Times New Roman" w:eastAsia="宋体" w:cs="Times New Roman"/>
                      <w:caps w:val="0"/>
                      <w:color w:val="auto"/>
                      <w:spacing w:val="0"/>
                      <w:kern w:val="0"/>
                      <w:position w:val="0"/>
                      <w:sz w:val="21"/>
                      <w:szCs w:val="21"/>
                      <w:highlight w:val="none"/>
                      <w:vertAlign w:val="subscript"/>
                      <w:lang w:val="en-US" w:eastAsia="zh-CN" w:bidi="ar"/>
                    </w:rPr>
                    <w:t>5</w:t>
                  </w:r>
                </w:p>
              </w:tc>
              <w:tc>
                <w:tcPr>
                  <w:tcW w:w="586" w:type="pct"/>
                  <w:tcBorders>
                    <w:top w:val="single" w:color="000000" w:sz="8" w:space="0"/>
                    <w:left w:val="single" w:color="000000" w:sz="8" w:space="0"/>
                    <w:bottom w:val="single" w:color="000000" w:sz="8" w:space="0"/>
                    <w:right w:val="single" w:color="000000" w:sz="8" w:space="0"/>
                  </w:tcBorders>
                  <w:noWrap w:val="0"/>
                  <w:vAlign w:val="center"/>
                </w:tcPr>
                <w:p w14:paraId="4BF96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NH</w:t>
                  </w:r>
                  <w:r>
                    <w:rPr>
                      <w:rStyle w:val="60"/>
                      <w:rFonts w:hint="default" w:ascii="Times New Roman" w:hAnsi="Times New Roman" w:eastAsia="宋体" w:cs="Times New Roman"/>
                      <w:caps w:val="0"/>
                      <w:color w:val="auto"/>
                      <w:spacing w:val="0"/>
                      <w:kern w:val="0"/>
                      <w:position w:val="0"/>
                      <w:sz w:val="21"/>
                      <w:szCs w:val="21"/>
                      <w:highlight w:val="none"/>
                      <w:vertAlign w:val="subscript"/>
                      <w:lang w:val="en-US" w:eastAsia="zh-CN" w:bidi="ar"/>
                    </w:rPr>
                    <w:t>3</w:t>
                  </w: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-N</w:t>
                  </w:r>
                </w:p>
              </w:tc>
              <w:tc>
                <w:tcPr>
                  <w:tcW w:w="376" w:type="pct"/>
                  <w:tcBorders>
                    <w:top w:val="single" w:color="000000" w:sz="8" w:space="0"/>
                    <w:left w:val="single" w:color="000000" w:sz="8" w:space="0"/>
                    <w:bottom w:val="single" w:color="000000" w:sz="8" w:space="0"/>
                    <w:right w:val="single" w:color="000000" w:sz="8" w:space="0"/>
                  </w:tcBorders>
                  <w:noWrap w:val="0"/>
                  <w:vAlign w:val="center"/>
                </w:tcPr>
                <w:p w14:paraId="53E905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lang w:val="en-US"/>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SS</w:t>
                  </w:r>
                </w:p>
              </w:tc>
              <w:tc>
                <w:tcPr>
                  <w:tcW w:w="445" w:type="pct"/>
                  <w:tcBorders>
                    <w:top w:val="single" w:color="000000" w:sz="8" w:space="0"/>
                    <w:left w:val="single" w:color="000000" w:sz="8" w:space="0"/>
                    <w:bottom w:val="single" w:color="000000" w:sz="8" w:space="0"/>
                    <w:right w:val="single" w:color="000000" w:sz="8" w:space="0"/>
                  </w:tcBorders>
                  <w:noWrap w:val="0"/>
                  <w:vAlign w:val="center"/>
                </w:tcPr>
                <w:p w14:paraId="76BCF7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总氮</w:t>
                  </w:r>
                </w:p>
              </w:tc>
              <w:tc>
                <w:tcPr>
                  <w:tcW w:w="406" w:type="pct"/>
                  <w:tcBorders>
                    <w:top w:val="single" w:color="000000" w:sz="8" w:space="0"/>
                    <w:left w:val="single" w:color="000000" w:sz="8" w:space="0"/>
                    <w:bottom w:val="single" w:color="000000" w:sz="8" w:space="0"/>
                    <w:right w:val="single" w:color="000000" w:sz="8" w:space="0"/>
                  </w:tcBorders>
                  <w:noWrap w:val="0"/>
                  <w:vAlign w:val="center"/>
                </w:tcPr>
                <w:p w14:paraId="0EE5DB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总磷</w:t>
                  </w:r>
                </w:p>
              </w:tc>
            </w:tr>
            <w:tr w14:paraId="17A48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42" w:type="pct"/>
                  <w:tcBorders>
                    <w:top w:val="nil"/>
                    <w:left w:val="single" w:color="000000" w:sz="8" w:space="0"/>
                    <w:bottom w:val="single" w:color="000000" w:sz="8" w:space="0"/>
                    <w:right w:val="single" w:color="000000" w:sz="8" w:space="0"/>
                  </w:tcBorders>
                  <w:noWrap w:val="0"/>
                  <w:vAlign w:val="center"/>
                </w:tcPr>
                <w:p w14:paraId="68FF3F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《污水综合排放标准》（GB8978-1996）表4</w:t>
                  </w:r>
                </w:p>
              </w:tc>
              <w:tc>
                <w:tcPr>
                  <w:tcW w:w="574" w:type="pct"/>
                  <w:tcBorders>
                    <w:top w:val="nil"/>
                    <w:left w:val="single" w:color="000000" w:sz="8" w:space="0"/>
                    <w:bottom w:val="single" w:color="000000" w:sz="8" w:space="0"/>
                    <w:right w:val="single" w:color="000000" w:sz="8" w:space="0"/>
                  </w:tcBorders>
                  <w:noWrap w:val="0"/>
                  <w:vAlign w:val="center"/>
                </w:tcPr>
                <w:p w14:paraId="7DFC49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lang w:val="en-US"/>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6-9</w:t>
                  </w:r>
                </w:p>
              </w:tc>
              <w:tc>
                <w:tcPr>
                  <w:tcW w:w="542" w:type="pct"/>
                  <w:tcBorders>
                    <w:top w:val="nil"/>
                    <w:left w:val="single" w:color="000000" w:sz="8" w:space="0"/>
                    <w:bottom w:val="single" w:color="000000" w:sz="8" w:space="0"/>
                    <w:right w:val="single" w:color="000000" w:sz="8" w:space="0"/>
                  </w:tcBorders>
                  <w:noWrap w:val="0"/>
                  <w:vAlign w:val="center"/>
                </w:tcPr>
                <w:p w14:paraId="05D32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500</w:t>
                  </w:r>
                </w:p>
              </w:tc>
              <w:tc>
                <w:tcPr>
                  <w:tcW w:w="624" w:type="pct"/>
                  <w:tcBorders>
                    <w:top w:val="nil"/>
                    <w:left w:val="single" w:color="000000" w:sz="8" w:space="0"/>
                    <w:bottom w:val="single" w:color="000000" w:sz="8" w:space="0"/>
                    <w:right w:val="single" w:color="000000" w:sz="8" w:space="0"/>
                  </w:tcBorders>
                  <w:noWrap w:val="0"/>
                  <w:vAlign w:val="center"/>
                </w:tcPr>
                <w:p w14:paraId="16B6BD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300</w:t>
                  </w:r>
                </w:p>
              </w:tc>
              <w:tc>
                <w:tcPr>
                  <w:tcW w:w="586" w:type="pct"/>
                  <w:tcBorders>
                    <w:top w:val="nil"/>
                    <w:left w:val="single" w:color="000000" w:sz="8" w:space="0"/>
                    <w:bottom w:val="single" w:color="000000" w:sz="8" w:space="0"/>
                    <w:right w:val="single" w:color="000000" w:sz="8" w:space="0"/>
                  </w:tcBorders>
                  <w:noWrap w:val="0"/>
                  <w:vAlign w:val="center"/>
                </w:tcPr>
                <w:p w14:paraId="70887F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eastAsia" w:cs="Times New Roman"/>
                      <w:i w:val="0"/>
                      <w:iCs w:val="0"/>
                      <w:caps w:val="0"/>
                      <w:color w:val="auto"/>
                      <w:spacing w:val="0"/>
                      <w:kern w:val="0"/>
                      <w:position w:val="0"/>
                      <w:sz w:val="21"/>
                      <w:szCs w:val="21"/>
                      <w:highlight w:val="none"/>
                      <w:u w:val="none"/>
                      <w:lang w:val="en-US" w:eastAsia="zh-CN" w:bidi="ar"/>
                    </w:rPr>
                    <w:t>/</w:t>
                  </w:r>
                </w:p>
              </w:tc>
              <w:tc>
                <w:tcPr>
                  <w:tcW w:w="376" w:type="pct"/>
                  <w:tcBorders>
                    <w:top w:val="nil"/>
                    <w:left w:val="single" w:color="000000" w:sz="8" w:space="0"/>
                    <w:bottom w:val="single" w:color="000000" w:sz="8" w:space="0"/>
                    <w:right w:val="single" w:color="000000" w:sz="8" w:space="0"/>
                  </w:tcBorders>
                  <w:noWrap w:val="0"/>
                  <w:vAlign w:val="center"/>
                </w:tcPr>
                <w:p w14:paraId="4589F9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400</w:t>
                  </w:r>
                </w:p>
              </w:tc>
              <w:tc>
                <w:tcPr>
                  <w:tcW w:w="445" w:type="pct"/>
                  <w:tcBorders>
                    <w:top w:val="nil"/>
                    <w:left w:val="single" w:color="000000" w:sz="8" w:space="0"/>
                    <w:bottom w:val="single" w:color="000000" w:sz="8" w:space="0"/>
                    <w:right w:val="single" w:color="000000" w:sz="8" w:space="0"/>
                  </w:tcBorders>
                  <w:noWrap w:val="0"/>
                  <w:vAlign w:val="center"/>
                </w:tcPr>
                <w:p w14:paraId="7644A3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eastAsia" w:cs="Times New Roman"/>
                      <w:i w:val="0"/>
                      <w:iCs w:val="0"/>
                      <w:caps w:val="0"/>
                      <w:color w:val="auto"/>
                      <w:spacing w:val="0"/>
                      <w:kern w:val="0"/>
                      <w:position w:val="0"/>
                      <w:sz w:val="21"/>
                      <w:szCs w:val="21"/>
                      <w:highlight w:val="none"/>
                      <w:u w:val="none"/>
                      <w:lang w:val="en-US" w:eastAsia="zh-CN" w:bidi="ar"/>
                    </w:rPr>
                    <w:t>/</w:t>
                  </w:r>
                </w:p>
              </w:tc>
              <w:tc>
                <w:tcPr>
                  <w:tcW w:w="406" w:type="pct"/>
                  <w:tcBorders>
                    <w:top w:val="nil"/>
                    <w:left w:val="single" w:color="000000" w:sz="8" w:space="0"/>
                    <w:bottom w:val="single" w:color="000000" w:sz="8" w:space="0"/>
                    <w:right w:val="single" w:color="000000" w:sz="8" w:space="0"/>
                  </w:tcBorders>
                  <w:noWrap w:val="0"/>
                  <w:vAlign w:val="center"/>
                </w:tcPr>
                <w:p w14:paraId="2CC672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eastAsia" w:cs="Times New Roman"/>
                      <w:i w:val="0"/>
                      <w:iCs w:val="0"/>
                      <w:caps w:val="0"/>
                      <w:color w:val="auto"/>
                      <w:spacing w:val="0"/>
                      <w:kern w:val="0"/>
                      <w:position w:val="0"/>
                      <w:sz w:val="21"/>
                      <w:szCs w:val="21"/>
                      <w:highlight w:val="none"/>
                      <w:u w:val="none"/>
                      <w:lang w:val="en-US" w:eastAsia="zh-CN" w:bidi="ar"/>
                    </w:rPr>
                    <w:t>/</w:t>
                  </w:r>
                </w:p>
              </w:tc>
            </w:tr>
            <w:tr w14:paraId="4D8F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42" w:type="pct"/>
                  <w:tcBorders>
                    <w:top w:val="nil"/>
                    <w:left w:val="single" w:color="000000" w:sz="8" w:space="0"/>
                    <w:bottom w:val="single" w:color="000000" w:sz="8" w:space="0"/>
                    <w:right w:val="single" w:color="000000" w:sz="8" w:space="0"/>
                  </w:tcBorders>
                  <w:noWrap w:val="0"/>
                  <w:vAlign w:val="center"/>
                </w:tcPr>
                <w:p w14:paraId="10F559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eastAsia" w:cs="Times New Roman"/>
                      <w:i w:val="0"/>
                      <w:iCs w:val="0"/>
                      <w:caps w:val="0"/>
                      <w:color w:val="auto"/>
                      <w:spacing w:val="0"/>
                      <w:kern w:val="0"/>
                      <w:position w:val="0"/>
                      <w:sz w:val="21"/>
                      <w:szCs w:val="21"/>
                      <w:highlight w:val="none"/>
                      <w:u w:val="none"/>
                      <w:lang w:val="en-US" w:eastAsia="zh-CN" w:bidi="ar"/>
                    </w:rPr>
                    <w:t>嘉祥公用水务有限公司</w:t>
                  </w: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纳管标准</w:t>
                  </w:r>
                </w:p>
              </w:tc>
              <w:tc>
                <w:tcPr>
                  <w:tcW w:w="574" w:type="pct"/>
                  <w:tcBorders>
                    <w:top w:val="nil"/>
                    <w:left w:val="single" w:color="000000" w:sz="8" w:space="0"/>
                    <w:bottom w:val="single" w:color="000000" w:sz="8" w:space="0"/>
                    <w:right w:val="single" w:color="000000" w:sz="8" w:space="0"/>
                  </w:tcBorders>
                  <w:noWrap w:val="0"/>
                  <w:vAlign w:val="center"/>
                </w:tcPr>
                <w:p w14:paraId="6800FB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lang w:val="en-US"/>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rPr>
                    <w:t>6.5~9.5</w:t>
                  </w:r>
                </w:p>
              </w:tc>
              <w:tc>
                <w:tcPr>
                  <w:tcW w:w="542" w:type="pct"/>
                  <w:tcBorders>
                    <w:top w:val="nil"/>
                    <w:left w:val="single" w:color="000000" w:sz="8" w:space="0"/>
                    <w:bottom w:val="single" w:color="000000" w:sz="8" w:space="0"/>
                    <w:right w:val="single" w:color="000000" w:sz="8" w:space="0"/>
                  </w:tcBorders>
                  <w:noWrap w:val="0"/>
                  <w:vAlign w:val="center"/>
                </w:tcPr>
                <w:p w14:paraId="20C63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500</w:t>
                  </w:r>
                </w:p>
              </w:tc>
              <w:tc>
                <w:tcPr>
                  <w:tcW w:w="624" w:type="pct"/>
                  <w:tcBorders>
                    <w:top w:val="nil"/>
                    <w:left w:val="single" w:color="000000" w:sz="8" w:space="0"/>
                    <w:bottom w:val="single" w:color="000000" w:sz="8" w:space="0"/>
                    <w:right w:val="single" w:color="000000" w:sz="8" w:space="0"/>
                  </w:tcBorders>
                  <w:noWrap w:val="0"/>
                  <w:vAlign w:val="center"/>
                </w:tcPr>
                <w:p w14:paraId="294186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350</w:t>
                  </w:r>
                </w:p>
              </w:tc>
              <w:tc>
                <w:tcPr>
                  <w:tcW w:w="586" w:type="pct"/>
                  <w:tcBorders>
                    <w:top w:val="nil"/>
                    <w:left w:val="single" w:color="000000" w:sz="8" w:space="0"/>
                    <w:bottom w:val="single" w:color="000000" w:sz="8" w:space="0"/>
                    <w:right w:val="single" w:color="000000" w:sz="8" w:space="0"/>
                  </w:tcBorders>
                  <w:noWrap w:val="0"/>
                  <w:vAlign w:val="center"/>
                </w:tcPr>
                <w:p w14:paraId="63420F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45</w:t>
                  </w:r>
                </w:p>
              </w:tc>
              <w:tc>
                <w:tcPr>
                  <w:tcW w:w="376" w:type="pct"/>
                  <w:tcBorders>
                    <w:top w:val="nil"/>
                    <w:left w:val="single" w:color="000000" w:sz="8" w:space="0"/>
                    <w:bottom w:val="single" w:color="000000" w:sz="8" w:space="0"/>
                    <w:right w:val="single" w:color="000000" w:sz="8" w:space="0"/>
                  </w:tcBorders>
                  <w:noWrap w:val="0"/>
                  <w:vAlign w:val="center"/>
                </w:tcPr>
                <w:p w14:paraId="19736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400</w:t>
                  </w:r>
                </w:p>
              </w:tc>
              <w:tc>
                <w:tcPr>
                  <w:tcW w:w="445" w:type="pct"/>
                  <w:tcBorders>
                    <w:top w:val="nil"/>
                    <w:left w:val="single" w:color="000000" w:sz="8" w:space="0"/>
                    <w:bottom w:val="single" w:color="000000" w:sz="8" w:space="0"/>
                    <w:right w:val="single" w:color="000000" w:sz="8" w:space="0"/>
                  </w:tcBorders>
                  <w:noWrap w:val="0"/>
                  <w:vAlign w:val="center"/>
                </w:tcPr>
                <w:p w14:paraId="55FEC2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70</w:t>
                  </w:r>
                </w:p>
              </w:tc>
              <w:tc>
                <w:tcPr>
                  <w:tcW w:w="406" w:type="pct"/>
                  <w:tcBorders>
                    <w:top w:val="nil"/>
                    <w:left w:val="single" w:color="000000" w:sz="8" w:space="0"/>
                    <w:bottom w:val="single" w:color="000000" w:sz="8" w:space="0"/>
                    <w:right w:val="single" w:color="000000" w:sz="8" w:space="0"/>
                  </w:tcBorders>
                  <w:noWrap w:val="0"/>
                  <w:vAlign w:val="center"/>
                </w:tcPr>
                <w:p w14:paraId="2C17E7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8</w:t>
                  </w:r>
                </w:p>
              </w:tc>
            </w:tr>
            <w:tr w14:paraId="013C5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42" w:type="pct"/>
                  <w:tcBorders>
                    <w:top w:val="nil"/>
                    <w:left w:val="single" w:color="000000" w:sz="8" w:space="0"/>
                    <w:bottom w:val="single" w:color="000000" w:sz="8" w:space="0"/>
                    <w:right w:val="single" w:color="000000" w:sz="8" w:space="0"/>
                  </w:tcBorders>
                  <w:noWrap w:val="0"/>
                  <w:vAlign w:val="center"/>
                </w:tcPr>
                <w:p w14:paraId="71C96F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执行标准</w:t>
                  </w:r>
                </w:p>
              </w:tc>
              <w:tc>
                <w:tcPr>
                  <w:tcW w:w="574" w:type="pct"/>
                  <w:tcBorders>
                    <w:top w:val="nil"/>
                    <w:left w:val="single" w:color="000000" w:sz="8" w:space="0"/>
                    <w:bottom w:val="single" w:color="000000" w:sz="8" w:space="0"/>
                    <w:right w:val="single" w:color="000000" w:sz="8" w:space="0"/>
                  </w:tcBorders>
                  <w:noWrap w:val="0"/>
                  <w:vAlign w:val="center"/>
                </w:tcPr>
                <w:p w14:paraId="18266C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lang w:val="en-US"/>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6.5-9</w:t>
                  </w:r>
                </w:p>
              </w:tc>
              <w:tc>
                <w:tcPr>
                  <w:tcW w:w="542" w:type="pct"/>
                  <w:tcBorders>
                    <w:top w:val="nil"/>
                    <w:left w:val="single" w:color="000000" w:sz="8" w:space="0"/>
                    <w:bottom w:val="single" w:color="000000" w:sz="8" w:space="0"/>
                    <w:right w:val="single" w:color="000000" w:sz="8" w:space="0"/>
                  </w:tcBorders>
                  <w:noWrap w:val="0"/>
                  <w:vAlign w:val="center"/>
                </w:tcPr>
                <w:p w14:paraId="00D9FF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500</w:t>
                  </w:r>
                </w:p>
              </w:tc>
              <w:tc>
                <w:tcPr>
                  <w:tcW w:w="624" w:type="pct"/>
                  <w:tcBorders>
                    <w:top w:val="nil"/>
                    <w:left w:val="single" w:color="000000" w:sz="8" w:space="0"/>
                    <w:bottom w:val="single" w:color="000000" w:sz="8" w:space="0"/>
                    <w:right w:val="single" w:color="000000" w:sz="8" w:space="0"/>
                  </w:tcBorders>
                  <w:noWrap w:val="0"/>
                  <w:vAlign w:val="center"/>
                </w:tcPr>
                <w:p w14:paraId="71F069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300</w:t>
                  </w:r>
                </w:p>
              </w:tc>
              <w:tc>
                <w:tcPr>
                  <w:tcW w:w="586" w:type="pct"/>
                  <w:tcBorders>
                    <w:top w:val="nil"/>
                    <w:left w:val="single" w:color="000000" w:sz="8" w:space="0"/>
                    <w:bottom w:val="single" w:color="000000" w:sz="8" w:space="0"/>
                    <w:right w:val="single" w:color="000000" w:sz="8" w:space="0"/>
                  </w:tcBorders>
                  <w:noWrap w:val="0"/>
                  <w:vAlign w:val="center"/>
                </w:tcPr>
                <w:p w14:paraId="7BD7A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45</w:t>
                  </w:r>
                </w:p>
              </w:tc>
              <w:tc>
                <w:tcPr>
                  <w:tcW w:w="376" w:type="pct"/>
                  <w:tcBorders>
                    <w:top w:val="nil"/>
                    <w:left w:val="single" w:color="000000" w:sz="8" w:space="0"/>
                    <w:bottom w:val="single" w:color="000000" w:sz="8" w:space="0"/>
                    <w:right w:val="single" w:color="000000" w:sz="8" w:space="0"/>
                  </w:tcBorders>
                  <w:noWrap w:val="0"/>
                  <w:vAlign w:val="center"/>
                </w:tcPr>
                <w:p w14:paraId="284B2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400</w:t>
                  </w:r>
                </w:p>
              </w:tc>
              <w:tc>
                <w:tcPr>
                  <w:tcW w:w="445" w:type="pct"/>
                  <w:tcBorders>
                    <w:top w:val="nil"/>
                    <w:left w:val="single" w:color="000000" w:sz="8" w:space="0"/>
                    <w:bottom w:val="single" w:color="000000" w:sz="8" w:space="0"/>
                    <w:right w:val="single" w:color="000000" w:sz="8" w:space="0"/>
                  </w:tcBorders>
                  <w:noWrap w:val="0"/>
                  <w:vAlign w:val="center"/>
                </w:tcPr>
                <w:p w14:paraId="2CCE8D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70</w:t>
                  </w:r>
                </w:p>
              </w:tc>
              <w:tc>
                <w:tcPr>
                  <w:tcW w:w="406" w:type="pct"/>
                  <w:tcBorders>
                    <w:top w:val="nil"/>
                    <w:left w:val="single" w:color="000000" w:sz="8" w:space="0"/>
                    <w:bottom w:val="single" w:color="000000" w:sz="8" w:space="0"/>
                    <w:right w:val="single" w:color="000000" w:sz="8" w:space="0"/>
                  </w:tcBorders>
                  <w:noWrap w:val="0"/>
                  <w:vAlign w:val="center"/>
                </w:tcPr>
                <w:p w14:paraId="6EFACF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aps w:val="0"/>
                      <w:color w:val="auto"/>
                      <w:spacing w:val="0"/>
                      <w:kern w:val="0"/>
                      <w:position w:val="0"/>
                      <w:sz w:val="21"/>
                      <w:szCs w:val="21"/>
                      <w:highlight w:val="none"/>
                      <w:u w:val="none"/>
                    </w:rPr>
                  </w:pPr>
                  <w:r>
                    <w:rPr>
                      <w:rFonts w:hint="default" w:ascii="Times New Roman" w:hAnsi="Times New Roman" w:eastAsia="宋体" w:cs="Times New Roman"/>
                      <w:i w:val="0"/>
                      <w:iCs w:val="0"/>
                      <w:caps w:val="0"/>
                      <w:color w:val="auto"/>
                      <w:spacing w:val="0"/>
                      <w:kern w:val="0"/>
                      <w:position w:val="0"/>
                      <w:sz w:val="21"/>
                      <w:szCs w:val="21"/>
                      <w:highlight w:val="none"/>
                      <w:u w:val="none"/>
                      <w:lang w:val="en-US" w:eastAsia="zh-CN" w:bidi="ar"/>
                    </w:rPr>
                    <w:t>8</w:t>
                  </w:r>
                </w:p>
              </w:tc>
            </w:tr>
          </w:tbl>
          <w:p w14:paraId="61E916D3">
            <w:pPr>
              <w:numPr>
                <w:ilvl w:val="0"/>
                <w:numId w:val="12"/>
              </w:numPr>
              <w:spacing w:line="360" w:lineRule="auto"/>
              <w:ind w:left="0" w:leftChars="0"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噪声</w:t>
            </w:r>
          </w:p>
          <w:p w14:paraId="6B36D497">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eastAsia="zh-CN"/>
              </w:rPr>
              <w:t>厂界噪声执行标准</w:t>
            </w:r>
          </w:p>
          <w:tbl>
            <w:tblPr>
              <w:tblStyle w:val="24"/>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81"/>
              <w:gridCol w:w="1527"/>
              <w:gridCol w:w="812"/>
              <w:gridCol w:w="979"/>
              <w:gridCol w:w="1092"/>
              <w:gridCol w:w="1502"/>
            </w:tblGrid>
            <w:tr w14:paraId="755C4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4" w:type="pct"/>
                  <w:noWrap w:val="0"/>
                  <w:vAlign w:val="center"/>
                </w:tcPr>
                <w:p w14:paraId="03981BF0">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967" w:type="pct"/>
                  <w:noWrap w:val="0"/>
                  <w:vAlign w:val="center"/>
                </w:tcPr>
                <w:p w14:paraId="4870EC7E">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标准文号</w:t>
                  </w:r>
                </w:p>
              </w:tc>
              <w:tc>
                <w:tcPr>
                  <w:tcW w:w="514" w:type="pct"/>
                  <w:noWrap w:val="0"/>
                  <w:vAlign w:val="center"/>
                </w:tcPr>
                <w:p w14:paraId="32473AF1">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620" w:type="pct"/>
                  <w:noWrap w:val="0"/>
                  <w:vAlign w:val="center"/>
                </w:tcPr>
                <w:p w14:paraId="702A3A94">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级别</w:t>
                  </w:r>
                </w:p>
              </w:tc>
              <w:tc>
                <w:tcPr>
                  <w:tcW w:w="1642" w:type="pct"/>
                  <w:gridSpan w:val="2"/>
                  <w:noWrap w:val="0"/>
                  <w:vAlign w:val="center"/>
                </w:tcPr>
                <w:p w14:paraId="71BE5C22">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标准要求</w:t>
                  </w:r>
                </w:p>
              </w:tc>
            </w:tr>
            <w:tr w14:paraId="71E88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4" w:type="pct"/>
                  <w:vMerge w:val="restart"/>
                  <w:noWrap w:val="0"/>
                  <w:vAlign w:val="center"/>
                </w:tcPr>
                <w:p w14:paraId="52FADD44">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工业企业厂界环境噪声排放标准</w:t>
                  </w:r>
                </w:p>
              </w:tc>
              <w:tc>
                <w:tcPr>
                  <w:tcW w:w="967" w:type="pct"/>
                  <w:vMerge w:val="restart"/>
                  <w:noWrap w:val="0"/>
                  <w:vAlign w:val="center"/>
                </w:tcPr>
                <w:p w14:paraId="1226E2CD">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GB12348-2008</w:t>
                  </w:r>
                </w:p>
              </w:tc>
              <w:tc>
                <w:tcPr>
                  <w:tcW w:w="514" w:type="pct"/>
                  <w:vMerge w:val="restart"/>
                  <w:noWrap w:val="0"/>
                  <w:vAlign w:val="center"/>
                </w:tcPr>
                <w:p w14:paraId="656998D0">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dB(A)</w:t>
                  </w:r>
                </w:p>
              </w:tc>
              <w:tc>
                <w:tcPr>
                  <w:tcW w:w="620" w:type="pct"/>
                  <w:vMerge w:val="restart"/>
                  <w:noWrap w:val="0"/>
                  <w:vAlign w:val="center"/>
                </w:tcPr>
                <w:p w14:paraId="4BAD1713">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2类</w:t>
                  </w:r>
                </w:p>
              </w:tc>
              <w:tc>
                <w:tcPr>
                  <w:tcW w:w="691" w:type="pct"/>
                  <w:tcBorders>
                    <w:right w:val="single" w:color="auto" w:sz="4" w:space="0"/>
                  </w:tcBorders>
                  <w:noWrap w:val="0"/>
                  <w:vAlign w:val="center"/>
                </w:tcPr>
                <w:p w14:paraId="1D68892F">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昼间</w:t>
                  </w:r>
                </w:p>
              </w:tc>
              <w:tc>
                <w:tcPr>
                  <w:tcW w:w="950" w:type="pct"/>
                  <w:tcBorders>
                    <w:left w:val="single" w:color="auto" w:sz="4" w:space="0"/>
                  </w:tcBorders>
                  <w:noWrap w:val="0"/>
                  <w:vAlign w:val="center"/>
                </w:tcPr>
                <w:p w14:paraId="64DA9173">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夜间</w:t>
                  </w:r>
                </w:p>
              </w:tc>
            </w:tr>
            <w:tr w14:paraId="19D45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4" w:type="pct"/>
                  <w:vMerge w:val="continue"/>
                  <w:noWrap w:val="0"/>
                  <w:vAlign w:val="center"/>
                </w:tcPr>
                <w:p w14:paraId="4136DAB4">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p>
              </w:tc>
              <w:tc>
                <w:tcPr>
                  <w:tcW w:w="967" w:type="pct"/>
                  <w:vMerge w:val="continue"/>
                  <w:noWrap w:val="0"/>
                  <w:vAlign w:val="center"/>
                </w:tcPr>
                <w:p w14:paraId="465E8815">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p>
              </w:tc>
              <w:tc>
                <w:tcPr>
                  <w:tcW w:w="514" w:type="pct"/>
                  <w:vMerge w:val="continue"/>
                  <w:noWrap w:val="0"/>
                  <w:vAlign w:val="center"/>
                </w:tcPr>
                <w:p w14:paraId="0F7FD870">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p>
              </w:tc>
              <w:tc>
                <w:tcPr>
                  <w:tcW w:w="620" w:type="pct"/>
                  <w:vMerge w:val="continue"/>
                  <w:noWrap w:val="0"/>
                  <w:vAlign w:val="center"/>
                </w:tcPr>
                <w:p w14:paraId="00B9E549">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p>
              </w:tc>
              <w:tc>
                <w:tcPr>
                  <w:tcW w:w="691" w:type="pct"/>
                  <w:noWrap w:val="0"/>
                  <w:vAlign w:val="center"/>
                </w:tcPr>
                <w:p w14:paraId="2797971D">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w:t>
                  </w:r>
                </w:p>
              </w:tc>
              <w:tc>
                <w:tcPr>
                  <w:tcW w:w="950" w:type="pct"/>
                  <w:noWrap w:val="0"/>
                  <w:vAlign w:val="center"/>
                </w:tcPr>
                <w:p w14:paraId="45852D90">
                  <w:pPr>
                    <w:pStyle w:val="14"/>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w:t>
                  </w:r>
                </w:p>
              </w:tc>
            </w:tr>
          </w:tbl>
          <w:p w14:paraId="5CA1A0BF">
            <w:pPr>
              <w:pStyle w:val="40"/>
              <w:keepNext w:val="0"/>
              <w:keepLines w:val="0"/>
              <w:pageBreakBefore w:val="0"/>
              <w:numPr>
                <w:ilvl w:val="0"/>
                <w:numId w:val="12"/>
              </w:numPr>
              <w:kinsoku/>
              <w:wordWrap/>
              <w:overflowPunct/>
              <w:topLinePunct w:val="0"/>
              <w:bidi w:val="0"/>
              <w:adjustRightInd/>
              <w:snapToGrid/>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w:t>
            </w:r>
          </w:p>
          <w:p w14:paraId="33731D1F">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（1）有组织废气：天然气</w:t>
            </w:r>
            <w:r>
              <w:rPr>
                <w:rFonts w:hint="default" w:ascii="Times New Roman" w:hAnsi="Times New Roman" w:eastAsia="宋体" w:cs="Times New Roman"/>
                <w:color w:val="auto"/>
                <w:sz w:val="24"/>
                <w:szCs w:val="24"/>
                <w:lang w:val="en-US" w:eastAsia="zh-CN"/>
              </w:rPr>
              <w:t>导热油炉废气</w:t>
            </w:r>
            <w:r>
              <w:rPr>
                <w:rFonts w:hint="eastAsia" w:cs="Times New Roman"/>
                <w:color w:val="auto"/>
                <w:sz w:val="24"/>
                <w:szCs w:val="24"/>
                <w:lang w:val="en-US" w:eastAsia="zh-CN"/>
              </w:rPr>
              <w:t>执行</w:t>
            </w:r>
            <w:r>
              <w:rPr>
                <w:rFonts w:hint="default" w:ascii="Times New Roman" w:hAnsi="Times New Roman" w:eastAsia="宋体" w:cs="Times New Roman"/>
                <w:color w:val="auto"/>
                <w:sz w:val="24"/>
                <w:szCs w:val="24"/>
                <w:lang w:val="en-US" w:eastAsia="zh-CN"/>
              </w:rPr>
              <w:t>《锅炉大气污染物排放标准》（DB37/2374-2018）表2重点</w:t>
            </w:r>
            <w:r>
              <w:rPr>
                <w:rFonts w:hint="default" w:ascii="Times New Roman" w:hAnsi="Times New Roman" w:eastAsia="宋体" w:cs="Times New Roman"/>
                <w:color w:val="auto"/>
                <w:kern w:val="0"/>
                <w:sz w:val="24"/>
                <w:szCs w:val="24"/>
                <w:lang w:val="en-US" w:eastAsia="zh-CN" w:bidi="ar"/>
              </w:rPr>
              <w:t>控制区</w:t>
            </w:r>
            <w:r>
              <w:rPr>
                <w:rFonts w:hint="default" w:ascii="Times New Roman" w:hAnsi="Times New Roman" w:eastAsia="宋体" w:cs="Times New Roman"/>
                <w:color w:val="auto"/>
                <w:sz w:val="24"/>
                <w:szCs w:val="24"/>
                <w:lang w:val="en-US" w:eastAsia="zh-CN"/>
              </w:rPr>
              <w:t>标准要求，同时氮氧化物满足《关于印发济宁市2018年大气污染防治工作方案的通知》</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济气综治办发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43号）要求</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沥青烟和</w:t>
            </w:r>
            <w:r>
              <w:rPr>
                <w:rFonts w:hint="eastAsia" w:ascii="Times New Roman" w:hAnsi="Times New Roman" w:eastAsia="宋体" w:cs="Times New Roman"/>
                <w:snapToGrid/>
                <w:color w:val="auto"/>
                <w:sz w:val="24"/>
                <w:szCs w:val="24"/>
                <w:highlight w:val="none"/>
                <w:lang w:val="en-US" w:eastAsia="zh-CN"/>
              </w:rPr>
              <w:t>苯并[a]芘</w:t>
            </w:r>
            <w:r>
              <w:rPr>
                <w:rFonts w:hint="eastAsia" w:cs="Times New Roman"/>
                <w:i w:val="0"/>
                <w:iCs w:val="0"/>
                <w:caps w:val="0"/>
                <w:color w:val="auto"/>
                <w:spacing w:val="0"/>
                <w:kern w:val="0"/>
                <w:sz w:val="24"/>
                <w:szCs w:val="24"/>
                <w:shd w:val="clear" w:color="auto" w:fill="FFFFFF"/>
                <w:lang w:val="en-US" w:eastAsia="zh-CN" w:bidi="ar"/>
              </w:rPr>
              <w:t>执行《大气污染物综合排放标准》（GB16297-1996）表2二级标准要求；VOCs执行《挥发性有机物排放标准第7部分：其他行业》（DB37/2801.7-2019）表1Ⅱ时段标准要求；臭气浓度执行《恶臭污染物排放标准》（GB14554-93）表2标准要求。</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上料、干燥</w:t>
            </w:r>
            <w:r>
              <w:rPr>
                <w:rFonts w:hint="eastAsia" w:cs="Times New Roman"/>
                <w:i w:val="0"/>
                <w:iCs w:val="0"/>
                <w:caps w:val="0"/>
                <w:color w:val="auto"/>
                <w:spacing w:val="0"/>
                <w:kern w:val="0"/>
                <w:sz w:val="24"/>
                <w:szCs w:val="24"/>
                <w:shd w:val="clear" w:color="auto" w:fill="FFFFFF"/>
                <w:lang w:val="en-US" w:eastAsia="zh-CN" w:bidi="ar"/>
              </w:rPr>
              <w:t>废气</w:t>
            </w:r>
            <w:r>
              <w:rPr>
                <w:rFonts w:hint="default" w:ascii="Times New Roman" w:hAnsi="Times New Roman" w:eastAsia="宋体" w:cs="Times New Roman"/>
                <w:color w:val="auto"/>
                <w:sz w:val="24"/>
                <w:szCs w:val="24"/>
                <w:lang w:val="en-US" w:eastAsia="zh-CN"/>
              </w:rPr>
              <w:t>执行</w:t>
            </w:r>
            <w:r>
              <w:rPr>
                <w:rFonts w:hint="default" w:ascii="Times New Roman" w:hAnsi="Times New Roman" w:eastAsia="宋体" w:cs="Times New Roman"/>
                <w:color w:val="auto"/>
                <w:sz w:val="24"/>
                <w:szCs w:val="24"/>
                <w:highlight w:val="none"/>
                <w:lang w:eastAsia="zh-CN"/>
              </w:rPr>
              <w:t>《区域性大气污染物综合排放标准》（DB37/2376-2019）表1</w:t>
            </w:r>
            <w:r>
              <w:rPr>
                <w:rFonts w:hint="eastAsia"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lang w:eastAsia="zh-CN"/>
              </w:rPr>
              <w:t>控制区</w:t>
            </w:r>
            <w:r>
              <w:rPr>
                <w:rFonts w:hint="eastAsia" w:cs="Times New Roman"/>
                <w:color w:val="auto"/>
                <w:sz w:val="24"/>
                <w:szCs w:val="24"/>
                <w:highlight w:val="none"/>
                <w:lang w:val="en-US" w:eastAsia="zh-CN"/>
              </w:rPr>
              <w:t>和</w:t>
            </w:r>
            <w:r>
              <w:rPr>
                <w:rFonts w:hint="default" w:ascii="Times New Roman" w:hAnsi="Times New Roman" w:eastAsia="宋体" w:cs="Times New Roman"/>
                <w:color w:val="auto"/>
                <w:sz w:val="24"/>
                <w:szCs w:val="24"/>
                <w:lang w:val="en-US" w:eastAsia="zh-CN"/>
              </w:rPr>
              <w:t>《大气污染物综合排放标准》（GB</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6297-1996）表2二级标准要求</w:t>
            </w:r>
            <w:r>
              <w:rPr>
                <w:rFonts w:hint="eastAsia" w:cs="Times New Roman"/>
                <w:color w:val="auto"/>
                <w:sz w:val="24"/>
                <w:szCs w:val="24"/>
                <w:lang w:val="en-US" w:eastAsia="zh-CN"/>
              </w:rPr>
              <w:t>。</w:t>
            </w:r>
          </w:p>
          <w:p w14:paraId="02698AE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（2）</w:t>
            </w:r>
            <w:r>
              <w:rPr>
                <w:rFonts w:hint="eastAsia" w:cs="Times New Roman"/>
                <w:i w:val="0"/>
                <w:iCs w:val="0"/>
                <w:caps w:val="0"/>
                <w:color w:val="auto"/>
                <w:spacing w:val="0"/>
                <w:kern w:val="0"/>
                <w:sz w:val="24"/>
                <w:szCs w:val="24"/>
                <w:shd w:val="clear" w:color="auto" w:fill="FFFFFF"/>
                <w:lang w:val="en-US" w:eastAsia="zh-CN" w:bidi="ar"/>
              </w:rPr>
              <w:t>无组织废气：厂界</w:t>
            </w:r>
            <w:r>
              <w:rPr>
                <w:rFonts w:hint="eastAsia" w:ascii="Times New Roman" w:hAnsi="Times New Roman" w:eastAsia="宋体" w:cs="Times New Roman"/>
                <w:color w:val="auto"/>
                <w:sz w:val="24"/>
                <w:szCs w:val="24"/>
                <w:highlight w:val="none"/>
                <w:lang w:eastAsia="zh-CN"/>
              </w:rPr>
              <w:t>无组织</w:t>
            </w:r>
            <w:r>
              <w:rPr>
                <w:rFonts w:hint="eastAsia" w:cs="Times New Roman"/>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eastAsia="zh-CN"/>
              </w:rPr>
              <w:t>浓度</w:t>
            </w:r>
            <w:r>
              <w:rPr>
                <w:rFonts w:hint="eastAsia" w:cs="Times New Roman"/>
                <w:color w:val="auto"/>
                <w:sz w:val="24"/>
                <w:szCs w:val="24"/>
                <w:highlight w:val="none"/>
                <w:lang w:val="en-US" w:eastAsia="zh-CN"/>
              </w:rPr>
              <w:t>执行</w:t>
            </w:r>
            <w:r>
              <w:rPr>
                <w:rFonts w:hint="eastAsia" w:ascii="Times New Roman" w:hAnsi="Times New Roman" w:eastAsia="宋体" w:cs="Times New Roman"/>
                <w:color w:val="auto"/>
                <w:sz w:val="24"/>
                <w:szCs w:val="24"/>
                <w:highlight w:val="none"/>
                <w:lang w:eastAsia="zh-CN"/>
              </w:rPr>
              <w:t>《建材工业大气污染物排放标准》（DB37/2373-2018）表</w:t>
            </w:r>
            <w:r>
              <w:rPr>
                <w:rFonts w:hint="eastAsia" w:cs="Times New Roman"/>
                <w:color w:val="auto"/>
                <w:sz w:val="24"/>
                <w:szCs w:val="24"/>
                <w:highlight w:val="none"/>
                <w:lang w:val="en-US" w:eastAsia="zh-CN"/>
              </w:rPr>
              <w:t>3标准</w:t>
            </w:r>
            <w:r>
              <w:rPr>
                <w:rFonts w:hint="eastAsia" w:ascii="Times New Roman" w:hAnsi="Times New Roman" w:eastAsia="宋体" w:cs="Times New Roman"/>
                <w:color w:val="auto"/>
                <w:sz w:val="24"/>
                <w:szCs w:val="24"/>
                <w:highlight w:val="none"/>
                <w:lang w:eastAsia="zh-CN"/>
              </w:rPr>
              <w:t>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因企业有水稳碎石生产线和水泥混凝土生产线，结合企业现有项目的排污许可证要求，确定厂界无组织颗粒物执行水泥行业标准，0.5mg/m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厂界</w:t>
            </w:r>
            <w:r>
              <w:rPr>
                <w:rFonts w:hint="eastAsia" w:ascii="Times New Roman" w:hAnsi="Times New Roman" w:eastAsia="宋体" w:cs="Times New Roman"/>
                <w:color w:val="auto"/>
                <w:sz w:val="24"/>
                <w:szCs w:val="24"/>
                <w:highlight w:val="none"/>
                <w:lang w:eastAsia="zh-CN"/>
              </w:rPr>
              <w:t>无组织</w:t>
            </w:r>
            <w:r>
              <w:rPr>
                <w:rFonts w:hint="eastAsia" w:cs="Times New Roman"/>
                <w:color w:val="auto"/>
                <w:sz w:val="24"/>
                <w:szCs w:val="24"/>
                <w:highlight w:val="none"/>
                <w:lang w:val="en-US" w:eastAsia="zh-CN"/>
              </w:rPr>
              <w:t>沥青烟和</w:t>
            </w:r>
            <w:r>
              <w:rPr>
                <w:rFonts w:hint="eastAsia" w:ascii="Times New Roman" w:hAnsi="Times New Roman" w:eastAsia="宋体" w:cs="Times New Roman"/>
                <w:snapToGrid/>
                <w:color w:val="auto"/>
                <w:sz w:val="24"/>
                <w:szCs w:val="24"/>
                <w:highlight w:val="none"/>
                <w:lang w:val="en-US" w:eastAsia="zh-CN"/>
              </w:rPr>
              <w:t>苯并[a]芘</w:t>
            </w:r>
            <w:r>
              <w:rPr>
                <w:rFonts w:hint="eastAsia" w:ascii="Times New Roman" w:hAnsi="Times New Roman" w:eastAsia="宋体" w:cs="Times New Roman"/>
                <w:color w:val="auto"/>
                <w:sz w:val="24"/>
                <w:szCs w:val="24"/>
                <w:highlight w:val="none"/>
                <w:lang w:eastAsia="zh-CN"/>
              </w:rPr>
              <w:t>浓度</w:t>
            </w:r>
            <w:r>
              <w:rPr>
                <w:rFonts w:hint="eastAsia" w:cs="Times New Roman"/>
                <w:color w:val="auto"/>
                <w:sz w:val="24"/>
                <w:szCs w:val="24"/>
                <w:highlight w:val="none"/>
                <w:lang w:val="en-US" w:eastAsia="zh-CN"/>
              </w:rPr>
              <w:t>执行</w:t>
            </w:r>
            <w:r>
              <w:rPr>
                <w:rFonts w:hint="eastAsia" w:ascii="Times New Roman" w:hAnsi="Times New Roman" w:eastAsia="宋体" w:cs="Times New Roman"/>
                <w:color w:val="auto"/>
                <w:sz w:val="24"/>
                <w:szCs w:val="24"/>
                <w:highlight w:val="none"/>
                <w:lang w:eastAsia="zh-CN"/>
              </w:rPr>
              <w:t>《大气污染物综合排放标准》（GB16297-1996）表</w:t>
            </w:r>
            <w:r>
              <w:rPr>
                <w:rFonts w:hint="eastAsia" w:cs="Times New Roman"/>
                <w:color w:val="auto"/>
                <w:sz w:val="24"/>
                <w:szCs w:val="24"/>
                <w:highlight w:val="none"/>
                <w:lang w:val="en-US" w:eastAsia="zh-CN"/>
              </w:rPr>
              <w:t>2标准</w:t>
            </w:r>
            <w:r>
              <w:rPr>
                <w:rFonts w:hint="eastAsia" w:ascii="Times New Roman" w:hAnsi="Times New Roman" w:eastAsia="宋体" w:cs="Times New Roman"/>
                <w:color w:val="auto"/>
                <w:sz w:val="24"/>
                <w:szCs w:val="24"/>
                <w:highlight w:val="none"/>
                <w:lang w:eastAsia="zh-CN"/>
              </w:rPr>
              <w:t>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厂界VOCs浓度和臭气浓度执行</w:t>
            </w:r>
            <w:r>
              <w:rPr>
                <w:rFonts w:hint="eastAsia" w:cs="Times New Roman"/>
                <w:i w:val="0"/>
                <w:iCs w:val="0"/>
                <w:caps w:val="0"/>
                <w:color w:val="auto"/>
                <w:spacing w:val="0"/>
                <w:kern w:val="0"/>
                <w:sz w:val="24"/>
                <w:szCs w:val="24"/>
                <w:shd w:val="clear" w:color="auto" w:fill="FFFFFF"/>
                <w:lang w:val="en-US" w:eastAsia="zh-CN" w:bidi="ar"/>
              </w:rPr>
              <w:t>《挥发性有机物排放标准第7部分：其他行业》（DB37/2801.7-2019）表2标准要求</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厂房外厂界内VOCs</w:t>
            </w:r>
            <w:r>
              <w:rPr>
                <w:rFonts w:hint="default" w:ascii="Times New Roman" w:hAnsi="Times New Roman" w:eastAsia="宋体" w:cs="Times New Roman"/>
                <w:color w:val="auto"/>
                <w:sz w:val="24"/>
                <w:szCs w:val="24"/>
                <w:highlight w:val="none"/>
                <w:lang w:val="en-US" w:eastAsia="zh-CN"/>
              </w:rPr>
              <w:t>浓度执行《挥发性有机物无组织排放控制标准》（GB37822-2019）表A.1特别排放限值。</w:t>
            </w:r>
          </w:p>
          <w:p w14:paraId="0FF43642">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color w:val="auto"/>
                <w:spacing w:val="0"/>
                <w:kern w:val="0"/>
                <w:position w:val="0"/>
                <w:sz w:val="24"/>
                <w:szCs w:val="24"/>
                <w:highlight w:val="none"/>
                <w:lang w:val="en-US" w:eastAsia="zh-CN"/>
              </w:rPr>
            </w:pPr>
            <w:r>
              <w:rPr>
                <w:rFonts w:hint="default" w:ascii="Times New Roman" w:hAnsi="Times New Roman" w:eastAsia="宋体" w:cs="Times New Roman"/>
                <w:b/>
                <w:caps w:val="0"/>
                <w:color w:val="auto"/>
                <w:spacing w:val="0"/>
                <w:kern w:val="0"/>
                <w:position w:val="0"/>
                <w:sz w:val="24"/>
                <w:szCs w:val="24"/>
                <w:highlight w:val="none"/>
                <w:lang w:val="en-US" w:eastAsia="zh-CN"/>
              </w:rPr>
              <w:t>大气污染物排放标准一览表</w:t>
            </w:r>
          </w:p>
          <w:tbl>
            <w:tblPr>
              <w:tblStyle w:val="4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148"/>
              <w:gridCol w:w="1081"/>
              <w:gridCol w:w="1336"/>
              <w:gridCol w:w="3522"/>
            </w:tblGrid>
            <w:tr w14:paraId="0001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5"/>
                  <w:tcBorders>
                    <w:tl2br w:val="nil"/>
                    <w:tr2bl w:val="nil"/>
                  </w:tcBorders>
                  <w:vAlign w:val="center"/>
                </w:tcPr>
                <w:p w14:paraId="6F90E854">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有组织废气</w:t>
                  </w:r>
                </w:p>
              </w:tc>
            </w:tr>
            <w:tr w14:paraId="2E4FC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tcBorders>
                    <w:tl2br w:val="nil"/>
                    <w:tr2bl w:val="nil"/>
                  </w:tcBorders>
                  <w:vAlign w:val="center"/>
                </w:tcPr>
                <w:p w14:paraId="518C76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排放源</w:t>
                  </w:r>
                </w:p>
              </w:tc>
              <w:tc>
                <w:tcPr>
                  <w:tcW w:w="726" w:type="pct"/>
                  <w:tcBorders>
                    <w:tl2br w:val="nil"/>
                    <w:tr2bl w:val="nil"/>
                  </w:tcBorders>
                  <w:vAlign w:val="center"/>
                </w:tcPr>
                <w:p w14:paraId="75B3B7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污染物</w:t>
                  </w:r>
                </w:p>
              </w:tc>
              <w:tc>
                <w:tcPr>
                  <w:tcW w:w="683" w:type="pct"/>
                  <w:tcBorders>
                    <w:tl2br w:val="nil"/>
                    <w:tr2bl w:val="nil"/>
                  </w:tcBorders>
                  <w:vAlign w:val="center"/>
                </w:tcPr>
                <w:p w14:paraId="2D97FC5A">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浓度</w:t>
                  </w:r>
                </w:p>
                <w:p w14:paraId="61F591B8">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w:t>
                  </w:r>
                  <w:r>
                    <w:rPr>
                      <w:rFonts w:hint="default" w:ascii="Times New Roman" w:hAnsi="Times New Roman" w:eastAsia="宋体" w:cs="Times New Roman"/>
                      <w:b/>
                      <w:bCs/>
                      <w:color w:val="auto"/>
                      <w:sz w:val="21"/>
                      <w:szCs w:val="21"/>
                    </w:rPr>
                    <w:t>mg</w:t>
                  </w:r>
                  <w:r>
                    <w:rPr>
                      <w:rFonts w:hint="default" w:ascii="Times New Roman" w:hAnsi="Times New Roman" w:eastAsia="宋体" w:cs="Times New Roman"/>
                      <w:b/>
                      <w:bCs/>
                      <w:color w:val="auto"/>
                      <w:spacing w:val="4"/>
                      <w:sz w:val="21"/>
                      <w:szCs w:val="21"/>
                    </w:rPr>
                    <w:t>/</w:t>
                  </w:r>
                  <w:r>
                    <w:rPr>
                      <w:rFonts w:hint="default" w:ascii="Times New Roman" w:hAnsi="Times New Roman" w:eastAsia="宋体" w:cs="Times New Roman"/>
                      <w:b/>
                      <w:bCs/>
                      <w:color w:val="auto"/>
                      <w:spacing w:val="2"/>
                      <w:sz w:val="21"/>
                      <w:szCs w:val="21"/>
                    </w:rPr>
                    <w:t>m³</w:t>
                  </w:r>
                  <w:r>
                    <w:rPr>
                      <w:rFonts w:hint="eastAsia" w:ascii="Times New Roman" w:hAnsi="Times New Roman" w:eastAsia="宋体" w:cs="Times New Roman"/>
                      <w:b/>
                      <w:bCs/>
                      <w:color w:val="auto"/>
                      <w:spacing w:val="2"/>
                      <w:sz w:val="21"/>
                      <w:szCs w:val="21"/>
                      <w:lang w:eastAsia="zh-CN"/>
                    </w:rPr>
                    <w:t>）</w:t>
                  </w:r>
                </w:p>
              </w:tc>
              <w:tc>
                <w:tcPr>
                  <w:tcW w:w="845" w:type="pct"/>
                  <w:tcBorders>
                    <w:tl2br w:val="nil"/>
                    <w:tr2bl w:val="nil"/>
                  </w:tcBorders>
                  <w:vAlign w:val="center"/>
                </w:tcPr>
                <w:p w14:paraId="72B84605">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3"/>
                      <w:sz w:val="21"/>
                      <w:szCs w:val="21"/>
                    </w:rPr>
                  </w:pPr>
                  <w:r>
                    <w:rPr>
                      <w:rFonts w:hint="default" w:ascii="Times New Roman" w:hAnsi="Times New Roman" w:eastAsia="宋体" w:cs="Times New Roman"/>
                      <w:b/>
                      <w:bCs/>
                      <w:color w:val="auto"/>
                      <w:spacing w:val="3"/>
                      <w:sz w:val="21"/>
                      <w:szCs w:val="21"/>
                    </w:rPr>
                    <w:t>速率</w:t>
                  </w:r>
                </w:p>
                <w:p w14:paraId="70B5926B">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w:t>
                  </w:r>
                  <w:r>
                    <w:rPr>
                      <w:rFonts w:hint="default" w:ascii="Times New Roman" w:hAnsi="Times New Roman" w:eastAsia="宋体" w:cs="Times New Roman"/>
                      <w:b/>
                      <w:bCs/>
                      <w:color w:val="auto"/>
                      <w:sz w:val="21"/>
                      <w:szCs w:val="21"/>
                    </w:rPr>
                    <w:t>kg</w:t>
                  </w:r>
                  <w:r>
                    <w:rPr>
                      <w:rFonts w:hint="default" w:ascii="Times New Roman" w:hAnsi="Times New Roman" w:eastAsia="宋体" w:cs="Times New Roman"/>
                      <w:b/>
                      <w:bCs/>
                      <w:color w:val="auto"/>
                      <w:spacing w:val="3"/>
                      <w:sz w:val="21"/>
                      <w:szCs w:val="21"/>
                    </w:rPr>
                    <w:t>/h</w:t>
                  </w:r>
                  <w:r>
                    <w:rPr>
                      <w:rFonts w:hint="eastAsia" w:ascii="Times New Roman" w:hAnsi="Times New Roman" w:eastAsia="宋体" w:cs="Times New Roman"/>
                      <w:b/>
                      <w:bCs/>
                      <w:color w:val="auto"/>
                      <w:spacing w:val="3"/>
                      <w:sz w:val="21"/>
                      <w:szCs w:val="21"/>
                      <w:lang w:eastAsia="zh-CN"/>
                    </w:rPr>
                    <w:t>）</w:t>
                  </w:r>
                </w:p>
              </w:tc>
              <w:tc>
                <w:tcPr>
                  <w:tcW w:w="2227" w:type="pct"/>
                  <w:tcBorders>
                    <w:tl2br w:val="nil"/>
                    <w:tr2bl w:val="nil"/>
                  </w:tcBorders>
                  <w:vAlign w:val="center"/>
                </w:tcPr>
                <w:p w14:paraId="392009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6"/>
                      <w:sz w:val="21"/>
                      <w:szCs w:val="21"/>
                    </w:rPr>
                    <w:t>执行标准</w:t>
                  </w:r>
                </w:p>
              </w:tc>
            </w:tr>
            <w:tr w14:paraId="68D44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restart"/>
                  <w:tcBorders>
                    <w:tl2br w:val="nil"/>
                    <w:tr2bl w:val="nil"/>
                  </w:tcBorders>
                  <w:vAlign w:val="center"/>
                </w:tcPr>
                <w:p w14:paraId="270D819B">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z w:val="21"/>
                      <w:szCs w:val="21"/>
                    </w:rPr>
                    <w:t>DA</w:t>
                  </w:r>
                  <w:r>
                    <w:rPr>
                      <w:rFonts w:hint="default" w:ascii="Times New Roman" w:hAnsi="Times New Roman" w:eastAsia="宋体" w:cs="Times New Roman"/>
                      <w:color w:val="auto"/>
                      <w:spacing w:val="8"/>
                      <w:sz w:val="21"/>
                      <w:szCs w:val="21"/>
                    </w:rPr>
                    <w:t>001</w:t>
                  </w:r>
                </w:p>
              </w:tc>
              <w:tc>
                <w:tcPr>
                  <w:tcW w:w="726" w:type="pct"/>
                  <w:tcBorders>
                    <w:tl2br w:val="nil"/>
                    <w:tr2bl w:val="nil"/>
                  </w:tcBorders>
                  <w:vAlign w:val="center"/>
                </w:tcPr>
                <w:p w14:paraId="46F3FFE9">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颗粒物</w:t>
                  </w:r>
                </w:p>
              </w:tc>
              <w:tc>
                <w:tcPr>
                  <w:tcW w:w="683" w:type="pct"/>
                  <w:tcBorders>
                    <w:tl2br w:val="nil"/>
                    <w:tr2bl w:val="nil"/>
                  </w:tcBorders>
                  <w:vAlign w:val="center"/>
                </w:tcPr>
                <w:p w14:paraId="3A3B4B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宋体" w:cs="Times New Roman"/>
                      <w:color w:val="auto"/>
                      <w:spacing w:val="-2"/>
                      <w:sz w:val="21"/>
                      <w:szCs w:val="21"/>
                    </w:rPr>
                    <w:t>0</w:t>
                  </w:r>
                </w:p>
              </w:tc>
              <w:tc>
                <w:tcPr>
                  <w:tcW w:w="845" w:type="pct"/>
                  <w:tcBorders>
                    <w:tl2br w:val="nil"/>
                    <w:tr2bl w:val="nil"/>
                  </w:tcBorders>
                  <w:vAlign w:val="center"/>
                </w:tcPr>
                <w:p w14:paraId="565CFE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227" w:type="pct"/>
                  <w:vMerge w:val="restart"/>
                  <w:tcBorders>
                    <w:tl2br w:val="nil"/>
                    <w:tr2bl w:val="nil"/>
                  </w:tcBorders>
                  <w:vAlign w:val="center"/>
                </w:tcPr>
                <w:p w14:paraId="0FFEA3C6">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《区域性大气污染物综合排放标准》</w:t>
                  </w:r>
                  <w:r>
                    <w:rPr>
                      <w:rFonts w:hint="default" w:ascii="Times New Roman" w:hAnsi="Times New Roman" w:eastAsia="宋体" w:cs="Times New Roman"/>
                      <w:color w:val="auto"/>
                      <w:spacing w:val="6"/>
                      <w:position w:val="1"/>
                      <w:sz w:val="21"/>
                      <w:szCs w:val="21"/>
                    </w:rPr>
                    <w:t>（</w:t>
                  </w:r>
                  <w:r>
                    <w:rPr>
                      <w:rFonts w:hint="default" w:ascii="Times New Roman" w:hAnsi="Times New Roman" w:eastAsia="宋体" w:cs="Times New Roman"/>
                      <w:color w:val="auto"/>
                      <w:position w:val="1"/>
                      <w:sz w:val="21"/>
                      <w:szCs w:val="21"/>
                    </w:rPr>
                    <w:t>DB</w:t>
                  </w:r>
                  <w:r>
                    <w:rPr>
                      <w:rFonts w:hint="default" w:ascii="Times New Roman" w:hAnsi="Times New Roman" w:eastAsia="宋体" w:cs="Times New Roman"/>
                      <w:color w:val="auto"/>
                      <w:spacing w:val="6"/>
                      <w:position w:val="1"/>
                      <w:sz w:val="21"/>
                      <w:szCs w:val="21"/>
                    </w:rPr>
                    <w:t>37/2376-2019）表1</w:t>
                  </w:r>
                  <w:r>
                    <w:rPr>
                      <w:rFonts w:hint="eastAsia" w:ascii="Times New Roman" w:hAnsi="Times New Roman" w:cs="Times New Roman"/>
                      <w:color w:val="auto"/>
                      <w:spacing w:val="6"/>
                      <w:position w:val="1"/>
                      <w:sz w:val="21"/>
                      <w:szCs w:val="21"/>
                      <w:lang w:val="en-US" w:eastAsia="zh-CN"/>
                    </w:rPr>
                    <w:t>重点控制区</w:t>
                  </w:r>
                  <w:r>
                    <w:rPr>
                      <w:rFonts w:hint="default" w:ascii="Times New Roman" w:hAnsi="Times New Roman" w:eastAsia="宋体" w:cs="Times New Roman"/>
                      <w:color w:val="auto"/>
                      <w:spacing w:val="6"/>
                      <w:sz w:val="21"/>
                      <w:szCs w:val="21"/>
                    </w:rPr>
                    <w:t>；《大气污染物综合排放标准》（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6"/>
                      <w:sz w:val="21"/>
                      <w:szCs w:val="21"/>
                    </w:rPr>
                    <w:t>16297-1996）表2标准</w:t>
                  </w:r>
                </w:p>
              </w:tc>
            </w:tr>
            <w:tr w14:paraId="74E85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40E2436C">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rPr>
                  </w:pPr>
                </w:p>
              </w:tc>
              <w:tc>
                <w:tcPr>
                  <w:tcW w:w="726" w:type="pct"/>
                  <w:tcBorders>
                    <w:tl2br w:val="nil"/>
                    <w:tr2bl w:val="nil"/>
                  </w:tcBorders>
                  <w:vAlign w:val="center"/>
                </w:tcPr>
                <w:p w14:paraId="46E28F3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683" w:type="pct"/>
                  <w:tcBorders>
                    <w:tl2br w:val="nil"/>
                    <w:tr2bl w:val="nil"/>
                  </w:tcBorders>
                  <w:vAlign w:val="center"/>
                </w:tcPr>
                <w:p w14:paraId="540D98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pacing w:val="-2"/>
                      <w:sz w:val="21"/>
                      <w:szCs w:val="21"/>
                      <w:lang w:val="en-US" w:eastAsia="zh-CN"/>
                    </w:rPr>
                    <w:t>50</w:t>
                  </w:r>
                </w:p>
              </w:tc>
              <w:tc>
                <w:tcPr>
                  <w:tcW w:w="845" w:type="pct"/>
                  <w:tcBorders>
                    <w:tl2br w:val="nil"/>
                    <w:tr2bl w:val="nil"/>
                  </w:tcBorders>
                  <w:vAlign w:val="center"/>
                </w:tcPr>
                <w:p w14:paraId="7194CE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2.6</w:t>
                  </w:r>
                </w:p>
              </w:tc>
              <w:tc>
                <w:tcPr>
                  <w:tcW w:w="2227" w:type="pct"/>
                  <w:vMerge w:val="continue"/>
                  <w:tcBorders>
                    <w:tl2br w:val="nil"/>
                    <w:tr2bl w:val="nil"/>
                  </w:tcBorders>
                  <w:vAlign w:val="center"/>
                </w:tcPr>
                <w:p w14:paraId="562FAB64">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45303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0F2D58AB">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6"/>
                      <w:sz w:val="21"/>
                      <w:szCs w:val="21"/>
                    </w:rPr>
                  </w:pPr>
                </w:p>
              </w:tc>
              <w:tc>
                <w:tcPr>
                  <w:tcW w:w="726" w:type="pct"/>
                  <w:tcBorders>
                    <w:tl2br w:val="nil"/>
                    <w:tr2bl w:val="nil"/>
                  </w:tcBorders>
                  <w:vAlign w:val="center"/>
                </w:tcPr>
                <w:p w14:paraId="2EE989F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NOx</w:t>
                  </w:r>
                </w:p>
              </w:tc>
              <w:tc>
                <w:tcPr>
                  <w:tcW w:w="683" w:type="pct"/>
                  <w:tcBorders>
                    <w:tl2br w:val="nil"/>
                    <w:tr2bl w:val="nil"/>
                  </w:tcBorders>
                  <w:vAlign w:val="center"/>
                </w:tcPr>
                <w:p w14:paraId="6F2602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pacing w:val="1"/>
                      <w:sz w:val="21"/>
                      <w:szCs w:val="21"/>
                      <w:lang w:val="en-US" w:eastAsia="zh-CN"/>
                    </w:rPr>
                    <w:t>5</w:t>
                  </w:r>
                  <w:r>
                    <w:rPr>
                      <w:rFonts w:hint="default" w:ascii="Times New Roman" w:hAnsi="Times New Roman" w:eastAsia="宋体" w:cs="Times New Roman"/>
                      <w:color w:val="auto"/>
                      <w:spacing w:val="1"/>
                      <w:sz w:val="21"/>
                      <w:szCs w:val="21"/>
                    </w:rPr>
                    <w:t>0</w:t>
                  </w:r>
                </w:p>
              </w:tc>
              <w:tc>
                <w:tcPr>
                  <w:tcW w:w="845" w:type="pct"/>
                  <w:tcBorders>
                    <w:tl2br w:val="nil"/>
                    <w:tr2bl w:val="nil"/>
                  </w:tcBorders>
                  <w:vAlign w:val="center"/>
                </w:tcPr>
                <w:p w14:paraId="314E49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0.77</w:t>
                  </w:r>
                </w:p>
              </w:tc>
              <w:tc>
                <w:tcPr>
                  <w:tcW w:w="2227" w:type="pct"/>
                  <w:vMerge w:val="continue"/>
                  <w:tcBorders>
                    <w:tl2br w:val="nil"/>
                    <w:tr2bl w:val="nil"/>
                  </w:tcBorders>
                  <w:vAlign w:val="center"/>
                </w:tcPr>
                <w:p w14:paraId="28E227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4E23F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3F32D7BC">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6"/>
                      <w:sz w:val="21"/>
                      <w:szCs w:val="21"/>
                    </w:rPr>
                  </w:pPr>
                </w:p>
              </w:tc>
              <w:tc>
                <w:tcPr>
                  <w:tcW w:w="726" w:type="pct"/>
                  <w:tcBorders>
                    <w:tl2br w:val="nil"/>
                    <w:tr2bl w:val="nil"/>
                  </w:tcBorders>
                  <w:vAlign w:val="center"/>
                </w:tcPr>
                <w:p w14:paraId="23E0F8F9">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沥青烟</w:t>
                  </w:r>
                </w:p>
              </w:tc>
              <w:tc>
                <w:tcPr>
                  <w:tcW w:w="683" w:type="pct"/>
                  <w:tcBorders>
                    <w:tl2br w:val="nil"/>
                    <w:tr2bl w:val="nil"/>
                  </w:tcBorders>
                  <w:vAlign w:val="center"/>
                </w:tcPr>
                <w:p w14:paraId="002B20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eastAsia" w:cs="Times New Roman"/>
                      <w:color w:val="auto"/>
                      <w:spacing w:val="-1"/>
                      <w:sz w:val="21"/>
                      <w:szCs w:val="21"/>
                      <w:lang w:val="en-US" w:eastAsia="zh-CN"/>
                    </w:rPr>
                    <w:t>7</w:t>
                  </w:r>
                  <w:r>
                    <w:rPr>
                      <w:rFonts w:hint="default" w:ascii="Times New Roman" w:hAnsi="Times New Roman" w:eastAsia="宋体" w:cs="Times New Roman"/>
                      <w:color w:val="auto"/>
                      <w:spacing w:val="-1"/>
                      <w:sz w:val="21"/>
                      <w:szCs w:val="21"/>
                    </w:rPr>
                    <w:t>5</w:t>
                  </w:r>
                </w:p>
              </w:tc>
              <w:tc>
                <w:tcPr>
                  <w:tcW w:w="845" w:type="pct"/>
                  <w:tcBorders>
                    <w:tl2br w:val="nil"/>
                    <w:tr2bl w:val="nil"/>
                  </w:tcBorders>
                  <w:vAlign w:val="center"/>
                </w:tcPr>
                <w:p w14:paraId="70096B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rPr>
                    <w:t>0.18</w:t>
                  </w:r>
                </w:p>
              </w:tc>
              <w:tc>
                <w:tcPr>
                  <w:tcW w:w="2227" w:type="pct"/>
                  <w:vMerge w:val="restart"/>
                  <w:tcBorders>
                    <w:tl2br w:val="nil"/>
                    <w:tr2bl w:val="nil"/>
                  </w:tcBorders>
                  <w:vAlign w:val="center"/>
                </w:tcPr>
                <w:p w14:paraId="4B19391B">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《大气污染物综合排放标准》（GB16297-1996）表2二级标准</w:t>
                  </w:r>
                </w:p>
              </w:tc>
            </w:tr>
            <w:tr w14:paraId="1E3C6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4C2469B8">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4"/>
                      <w:position w:val="2"/>
                      <w:sz w:val="21"/>
                      <w:szCs w:val="21"/>
                    </w:rPr>
                  </w:pPr>
                </w:p>
              </w:tc>
              <w:tc>
                <w:tcPr>
                  <w:tcW w:w="726" w:type="pct"/>
                  <w:tcBorders>
                    <w:tl2br w:val="nil"/>
                    <w:tr2bl w:val="nil"/>
                  </w:tcBorders>
                  <w:vAlign w:val="center"/>
                </w:tcPr>
                <w:p w14:paraId="3E249BA0">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2"/>
                      <w:sz w:val="21"/>
                      <w:szCs w:val="21"/>
                    </w:rPr>
                    <w:t>苯并[a]芘</w:t>
                  </w:r>
                </w:p>
              </w:tc>
              <w:tc>
                <w:tcPr>
                  <w:tcW w:w="683" w:type="pct"/>
                  <w:tcBorders>
                    <w:tl2br w:val="nil"/>
                    <w:tr2bl w:val="nil"/>
                  </w:tcBorders>
                  <w:vAlign w:val="center"/>
                </w:tcPr>
                <w:p w14:paraId="00FD4F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845" w:type="pct"/>
                  <w:tcBorders>
                    <w:tl2br w:val="nil"/>
                    <w:tr2bl w:val="nil"/>
                  </w:tcBorders>
                  <w:vAlign w:val="center"/>
                </w:tcPr>
                <w:p w14:paraId="70D9A1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2227" w:type="pct"/>
                  <w:vMerge w:val="continue"/>
                  <w:tcBorders>
                    <w:tl2br w:val="nil"/>
                    <w:tr2bl w:val="nil"/>
                  </w:tcBorders>
                  <w:vAlign w:val="center"/>
                </w:tcPr>
                <w:p w14:paraId="53B6E3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22E5A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4A37D5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5"/>
                      <w:sz w:val="21"/>
                      <w:szCs w:val="21"/>
                    </w:rPr>
                  </w:pPr>
                </w:p>
              </w:tc>
              <w:tc>
                <w:tcPr>
                  <w:tcW w:w="726" w:type="pct"/>
                  <w:tcBorders>
                    <w:tl2br w:val="nil"/>
                    <w:tr2bl w:val="nil"/>
                  </w:tcBorders>
                  <w:vAlign w:val="center"/>
                </w:tcPr>
                <w:p w14:paraId="23DE20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VOCs</w:t>
                  </w:r>
                </w:p>
              </w:tc>
              <w:tc>
                <w:tcPr>
                  <w:tcW w:w="683" w:type="pct"/>
                  <w:tcBorders>
                    <w:tl2br w:val="nil"/>
                    <w:tr2bl w:val="nil"/>
                  </w:tcBorders>
                  <w:vAlign w:val="center"/>
                </w:tcPr>
                <w:p w14:paraId="0E23D2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845" w:type="pct"/>
                  <w:tcBorders>
                    <w:tl2br w:val="nil"/>
                    <w:tr2bl w:val="nil"/>
                  </w:tcBorders>
                  <w:vAlign w:val="center"/>
                </w:tcPr>
                <w:p w14:paraId="77EA6A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27" w:type="pct"/>
                  <w:tcBorders>
                    <w:tl2br w:val="nil"/>
                    <w:tr2bl w:val="nil"/>
                  </w:tcBorders>
                  <w:vAlign w:val="center"/>
                </w:tcPr>
                <w:p w14:paraId="2B542C84">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《挥发性有机物排放标准第7部分：</w:t>
                  </w:r>
                  <w:r>
                    <w:rPr>
                      <w:rFonts w:hint="default" w:ascii="Times New Roman" w:hAnsi="Times New Roman" w:eastAsia="宋体" w:cs="Times New Roman"/>
                      <w:color w:val="auto"/>
                      <w:spacing w:val="2"/>
                      <w:sz w:val="21"/>
                      <w:szCs w:val="21"/>
                    </w:rPr>
                    <w:t>其他行业》（</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pacing w:val="2"/>
                      <w:sz w:val="21"/>
                      <w:szCs w:val="21"/>
                    </w:rPr>
                    <w:t>37/2801.7-2019）表1</w:t>
                  </w:r>
                </w:p>
              </w:tc>
            </w:tr>
            <w:tr w14:paraId="492FC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55CDED95">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rPr>
                  </w:pPr>
                </w:p>
              </w:tc>
              <w:tc>
                <w:tcPr>
                  <w:tcW w:w="726" w:type="pct"/>
                  <w:tcBorders>
                    <w:tl2br w:val="nil"/>
                    <w:tr2bl w:val="nil"/>
                  </w:tcBorders>
                  <w:vAlign w:val="center"/>
                </w:tcPr>
                <w:p w14:paraId="44848676">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臭气浓度</w:t>
                  </w:r>
                </w:p>
              </w:tc>
              <w:tc>
                <w:tcPr>
                  <w:tcW w:w="683" w:type="pct"/>
                  <w:tcBorders>
                    <w:tl2br w:val="nil"/>
                    <w:tr2bl w:val="nil"/>
                  </w:tcBorders>
                  <w:vAlign w:val="center"/>
                </w:tcPr>
                <w:p w14:paraId="17CFDC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2000</w:t>
                  </w:r>
                </w:p>
                <w:p w14:paraId="04B6CE30">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（无量纲）</w:t>
                  </w:r>
                </w:p>
              </w:tc>
              <w:tc>
                <w:tcPr>
                  <w:tcW w:w="845" w:type="pct"/>
                  <w:tcBorders>
                    <w:tl2br w:val="nil"/>
                    <w:tr2bl w:val="nil"/>
                  </w:tcBorders>
                  <w:vAlign w:val="center"/>
                </w:tcPr>
                <w:p w14:paraId="66A54B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position w:val="2"/>
                      <w:sz w:val="21"/>
                      <w:szCs w:val="21"/>
                    </w:rPr>
                    <w:t>/</w:t>
                  </w:r>
                </w:p>
              </w:tc>
              <w:tc>
                <w:tcPr>
                  <w:tcW w:w="2227" w:type="pct"/>
                  <w:tcBorders>
                    <w:tl2br w:val="nil"/>
                    <w:tr2bl w:val="nil"/>
                  </w:tcBorders>
                  <w:vAlign w:val="center"/>
                </w:tcPr>
                <w:p w14:paraId="0F2ABEE7">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《恶臭污染物排放标准》（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7"/>
                      <w:sz w:val="21"/>
                      <w:szCs w:val="21"/>
                    </w:rPr>
                    <w:t>14554-93）表2</w:t>
                  </w:r>
                </w:p>
              </w:tc>
            </w:tr>
            <w:tr w14:paraId="6B60F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restart"/>
                  <w:tcBorders>
                    <w:tl2br w:val="nil"/>
                    <w:tr2bl w:val="nil"/>
                  </w:tcBorders>
                  <w:vAlign w:val="center"/>
                </w:tcPr>
                <w:p w14:paraId="3064C9E4">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DA002</w:t>
                  </w:r>
                </w:p>
              </w:tc>
              <w:tc>
                <w:tcPr>
                  <w:tcW w:w="726" w:type="pct"/>
                  <w:tcBorders>
                    <w:tl2br w:val="nil"/>
                    <w:tr2bl w:val="nil"/>
                  </w:tcBorders>
                  <w:vAlign w:val="center"/>
                </w:tcPr>
                <w:p w14:paraId="0642BC16">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颗粒物</w:t>
                  </w:r>
                </w:p>
              </w:tc>
              <w:tc>
                <w:tcPr>
                  <w:tcW w:w="683" w:type="pct"/>
                  <w:tcBorders>
                    <w:tl2br w:val="nil"/>
                    <w:tr2bl w:val="nil"/>
                  </w:tcBorders>
                  <w:vAlign w:val="center"/>
                </w:tcPr>
                <w:p w14:paraId="3B3023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10</w:t>
                  </w:r>
                </w:p>
              </w:tc>
              <w:tc>
                <w:tcPr>
                  <w:tcW w:w="845" w:type="pct"/>
                  <w:tcBorders>
                    <w:tl2br w:val="nil"/>
                    <w:tr2bl w:val="nil"/>
                  </w:tcBorders>
                  <w:vAlign w:val="center"/>
                </w:tcPr>
                <w:p w14:paraId="1FE974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227" w:type="pct"/>
                  <w:vMerge w:val="restart"/>
                  <w:tcBorders>
                    <w:tl2br w:val="nil"/>
                    <w:tr2bl w:val="nil"/>
                  </w:tcBorders>
                  <w:vAlign w:val="center"/>
                </w:tcPr>
                <w:p w14:paraId="4974A002">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《锅炉大气污染物排放标准》（DB37/</w:t>
                  </w:r>
                  <w:r>
                    <w:rPr>
                      <w:rFonts w:hint="default" w:ascii="Times New Roman" w:hAnsi="Times New Roman" w:eastAsia="宋体" w:cs="Times New Roman"/>
                      <w:color w:val="auto"/>
                      <w:spacing w:val="6"/>
                      <w:sz w:val="21"/>
                      <w:szCs w:val="21"/>
                    </w:rPr>
                    <w:t>2374-2018）表2</w:t>
                  </w:r>
                  <w:r>
                    <w:rPr>
                      <w:rFonts w:hint="eastAsia" w:ascii="Times New Roman" w:hAnsi="Times New Roman" w:eastAsia="宋体" w:cs="Times New Roman"/>
                      <w:color w:val="auto"/>
                      <w:spacing w:val="6"/>
                      <w:sz w:val="21"/>
                      <w:szCs w:val="21"/>
                      <w:lang w:val="en-US" w:eastAsia="zh-CN"/>
                    </w:rPr>
                    <w:t>重点</w:t>
                  </w:r>
                  <w:r>
                    <w:rPr>
                      <w:rFonts w:hint="default" w:ascii="Times New Roman" w:hAnsi="Times New Roman" w:eastAsia="宋体" w:cs="Times New Roman"/>
                      <w:color w:val="auto"/>
                      <w:spacing w:val="6"/>
                      <w:sz w:val="21"/>
                      <w:szCs w:val="21"/>
                    </w:rPr>
                    <w:t>控制区</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z w:val="21"/>
                      <w:szCs w:val="21"/>
                      <w:lang w:val="en-US" w:eastAsia="zh-CN"/>
                    </w:rPr>
                    <w:t>《关于印发济宁市2018年大气污染防治工作方案的通知》</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济气综治办发</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2018</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43号）</w:t>
                  </w:r>
                </w:p>
              </w:tc>
            </w:tr>
            <w:tr w14:paraId="5228C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3234560C">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6"/>
                      <w:sz w:val="21"/>
                      <w:szCs w:val="21"/>
                    </w:rPr>
                  </w:pPr>
                </w:p>
              </w:tc>
              <w:tc>
                <w:tcPr>
                  <w:tcW w:w="726" w:type="pct"/>
                  <w:tcBorders>
                    <w:tl2br w:val="nil"/>
                    <w:tr2bl w:val="nil"/>
                  </w:tcBorders>
                  <w:vAlign w:val="center"/>
                </w:tcPr>
                <w:p w14:paraId="60EF872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683" w:type="pct"/>
                  <w:tcBorders>
                    <w:tl2br w:val="nil"/>
                    <w:tr2bl w:val="nil"/>
                  </w:tcBorders>
                  <w:vAlign w:val="center"/>
                </w:tcPr>
                <w:p w14:paraId="74951F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50</w:t>
                  </w:r>
                </w:p>
              </w:tc>
              <w:tc>
                <w:tcPr>
                  <w:tcW w:w="845" w:type="pct"/>
                  <w:tcBorders>
                    <w:tl2br w:val="nil"/>
                    <w:tr2bl w:val="nil"/>
                  </w:tcBorders>
                  <w:vAlign w:val="center"/>
                </w:tcPr>
                <w:p w14:paraId="360275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2.6</w:t>
                  </w:r>
                </w:p>
              </w:tc>
              <w:tc>
                <w:tcPr>
                  <w:tcW w:w="2227" w:type="pct"/>
                  <w:vMerge w:val="continue"/>
                  <w:tcBorders>
                    <w:tl2br w:val="nil"/>
                    <w:tr2bl w:val="nil"/>
                  </w:tcBorders>
                  <w:vAlign w:val="center"/>
                </w:tcPr>
                <w:p w14:paraId="6126B7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50BCF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2D5238B5">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rPr>
                  </w:pPr>
                </w:p>
              </w:tc>
              <w:tc>
                <w:tcPr>
                  <w:tcW w:w="726" w:type="pct"/>
                  <w:tcBorders>
                    <w:tl2br w:val="nil"/>
                    <w:tr2bl w:val="nil"/>
                  </w:tcBorders>
                  <w:vAlign w:val="center"/>
                </w:tcPr>
                <w:p w14:paraId="252E2EF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NOx</w:t>
                  </w:r>
                </w:p>
              </w:tc>
              <w:tc>
                <w:tcPr>
                  <w:tcW w:w="683" w:type="pct"/>
                  <w:tcBorders>
                    <w:tl2br w:val="nil"/>
                    <w:tr2bl w:val="nil"/>
                  </w:tcBorders>
                  <w:vAlign w:val="center"/>
                </w:tcPr>
                <w:p w14:paraId="29F08D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50</w:t>
                  </w:r>
                </w:p>
              </w:tc>
              <w:tc>
                <w:tcPr>
                  <w:tcW w:w="845" w:type="pct"/>
                  <w:tcBorders>
                    <w:tl2br w:val="nil"/>
                    <w:tr2bl w:val="nil"/>
                  </w:tcBorders>
                  <w:vAlign w:val="center"/>
                </w:tcPr>
                <w:p w14:paraId="5B05EF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0.77</w:t>
                  </w:r>
                </w:p>
              </w:tc>
              <w:tc>
                <w:tcPr>
                  <w:tcW w:w="2227" w:type="pct"/>
                  <w:vMerge w:val="continue"/>
                  <w:tcBorders>
                    <w:tl2br w:val="nil"/>
                    <w:tr2bl w:val="nil"/>
                  </w:tcBorders>
                  <w:vAlign w:val="center"/>
                </w:tcPr>
                <w:p w14:paraId="114D7C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5D38B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24E46E33">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rPr>
                  </w:pPr>
                </w:p>
              </w:tc>
              <w:tc>
                <w:tcPr>
                  <w:tcW w:w="726" w:type="pct"/>
                  <w:tcBorders>
                    <w:tl2br w:val="nil"/>
                    <w:tr2bl w:val="nil"/>
                  </w:tcBorders>
                  <w:vAlign w:val="center"/>
                </w:tcPr>
                <w:p w14:paraId="0DFC3FD5">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林格曼黑度</w:t>
                  </w:r>
                </w:p>
              </w:tc>
              <w:tc>
                <w:tcPr>
                  <w:tcW w:w="683" w:type="pct"/>
                  <w:tcBorders>
                    <w:tl2br w:val="nil"/>
                    <w:tr2bl w:val="nil"/>
                  </w:tcBorders>
                  <w:vAlign w:val="center"/>
                </w:tcPr>
                <w:p w14:paraId="4A7AFC68">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1（级）</w:t>
                  </w:r>
                </w:p>
              </w:tc>
              <w:tc>
                <w:tcPr>
                  <w:tcW w:w="845" w:type="pct"/>
                  <w:tcBorders>
                    <w:tl2br w:val="nil"/>
                    <w:tr2bl w:val="nil"/>
                  </w:tcBorders>
                  <w:vAlign w:val="center"/>
                </w:tcPr>
                <w:p w14:paraId="7225BE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position w:val="2"/>
                      <w:sz w:val="21"/>
                      <w:szCs w:val="21"/>
                    </w:rPr>
                    <w:t>/</w:t>
                  </w:r>
                </w:p>
              </w:tc>
              <w:tc>
                <w:tcPr>
                  <w:tcW w:w="2227" w:type="pct"/>
                  <w:vMerge w:val="continue"/>
                  <w:tcBorders>
                    <w:tl2br w:val="nil"/>
                    <w:tr2bl w:val="nil"/>
                  </w:tcBorders>
                  <w:vAlign w:val="center"/>
                </w:tcPr>
                <w:p w14:paraId="61CA6C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2A7E6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5"/>
                  <w:tcBorders>
                    <w:tl2br w:val="nil"/>
                    <w:tr2bl w:val="nil"/>
                  </w:tcBorders>
                  <w:vAlign w:val="center"/>
                </w:tcPr>
                <w:p w14:paraId="26FD95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无组织废气</w:t>
                  </w:r>
                </w:p>
              </w:tc>
            </w:tr>
            <w:tr w14:paraId="01E4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tcBorders>
                    <w:tl2br w:val="nil"/>
                    <w:tr2bl w:val="nil"/>
                  </w:tcBorders>
                  <w:vAlign w:val="center"/>
                </w:tcPr>
                <w:p w14:paraId="7B37A3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排放源</w:t>
                  </w:r>
                </w:p>
              </w:tc>
              <w:tc>
                <w:tcPr>
                  <w:tcW w:w="726" w:type="pct"/>
                  <w:tcBorders>
                    <w:tl2br w:val="nil"/>
                    <w:tr2bl w:val="nil"/>
                  </w:tcBorders>
                  <w:vAlign w:val="center"/>
                </w:tcPr>
                <w:p w14:paraId="58D3FC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污染物</w:t>
                  </w:r>
                </w:p>
              </w:tc>
              <w:tc>
                <w:tcPr>
                  <w:tcW w:w="1528" w:type="pct"/>
                  <w:gridSpan w:val="2"/>
                  <w:tcBorders>
                    <w:tl2br w:val="nil"/>
                    <w:tr2bl w:val="nil"/>
                  </w:tcBorders>
                  <w:vAlign w:val="center"/>
                </w:tcPr>
                <w:p w14:paraId="4BA6B5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浓度（mg/m³</w:t>
                  </w:r>
                  <w:r>
                    <w:rPr>
                      <w:rFonts w:hint="eastAsia" w:ascii="Times New Roman" w:hAnsi="Times New Roman" w:eastAsia="宋体" w:cs="Times New Roman"/>
                      <w:b/>
                      <w:bCs/>
                      <w:color w:val="auto"/>
                      <w:sz w:val="21"/>
                      <w:szCs w:val="21"/>
                      <w:lang w:eastAsia="zh-CN"/>
                    </w:rPr>
                    <w:t>）</w:t>
                  </w:r>
                </w:p>
              </w:tc>
              <w:tc>
                <w:tcPr>
                  <w:tcW w:w="2227" w:type="pct"/>
                  <w:tcBorders>
                    <w:tl2br w:val="nil"/>
                    <w:tr2bl w:val="nil"/>
                  </w:tcBorders>
                  <w:vAlign w:val="center"/>
                </w:tcPr>
                <w:p w14:paraId="635A02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6BD8D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restart"/>
                  <w:tcBorders>
                    <w:tl2br w:val="nil"/>
                    <w:tr2bl w:val="nil"/>
                  </w:tcBorders>
                  <w:vAlign w:val="center"/>
                </w:tcPr>
                <w:p w14:paraId="58B3D403">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厂界</w:t>
                  </w:r>
                </w:p>
              </w:tc>
              <w:tc>
                <w:tcPr>
                  <w:tcW w:w="726" w:type="pct"/>
                  <w:tcBorders>
                    <w:tl2br w:val="nil"/>
                    <w:tr2bl w:val="nil"/>
                  </w:tcBorders>
                  <w:vAlign w:val="center"/>
                </w:tcPr>
                <w:p w14:paraId="4AE6E051">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颗粒物</w:t>
                  </w:r>
                </w:p>
              </w:tc>
              <w:tc>
                <w:tcPr>
                  <w:tcW w:w="1528" w:type="pct"/>
                  <w:gridSpan w:val="2"/>
                  <w:tcBorders>
                    <w:tl2br w:val="nil"/>
                    <w:tr2bl w:val="nil"/>
                  </w:tcBorders>
                  <w:vAlign w:val="center"/>
                </w:tcPr>
                <w:p w14:paraId="4AAA1610">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rPr>
                  </w:pPr>
                  <w:r>
                    <w:rPr>
                      <w:rFonts w:hint="eastAsia" w:ascii="Times New Roman" w:hAnsi="Times New Roman" w:eastAsia="宋体" w:cs="Times New Roman"/>
                      <w:color w:val="auto"/>
                      <w:spacing w:val="-1"/>
                      <w:sz w:val="21"/>
                      <w:szCs w:val="21"/>
                      <w:lang w:val="en-US" w:eastAsia="zh-CN"/>
                    </w:rPr>
                    <w:t>0.5</w:t>
                  </w:r>
                </w:p>
              </w:tc>
              <w:tc>
                <w:tcPr>
                  <w:tcW w:w="2227" w:type="pct"/>
                  <w:tcBorders>
                    <w:tl2br w:val="nil"/>
                    <w:tr2bl w:val="nil"/>
                  </w:tcBorders>
                  <w:vAlign w:val="center"/>
                </w:tcPr>
                <w:p w14:paraId="64BB0F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eastAsia="zh-CN"/>
                    </w:rPr>
                    <w:t>《建材工业大气污染物排放标准》（DB37/2373-2018）表</w:t>
                  </w:r>
                  <w:r>
                    <w:rPr>
                      <w:rFonts w:hint="eastAsia" w:cs="Times New Roman"/>
                      <w:color w:val="auto"/>
                      <w:sz w:val="21"/>
                      <w:szCs w:val="21"/>
                      <w:highlight w:val="none"/>
                      <w:lang w:val="en-US" w:eastAsia="zh-CN"/>
                    </w:rPr>
                    <w:t>3（水泥行业）</w:t>
                  </w:r>
                </w:p>
              </w:tc>
            </w:tr>
            <w:tr w14:paraId="185A5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50A08EBA">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p>
              </w:tc>
              <w:tc>
                <w:tcPr>
                  <w:tcW w:w="726" w:type="pct"/>
                  <w:tcBorders>
                    <w:tl2br w:val="nil"/>
                    <w:tr2bl w:val="nil"/>
                  </w:tcBorders>
                  <w:vAlign w:val="center"/>
                </w:tcPr>
                <w:p w14:paraId="5A717A33">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沥青烟</w:t>
                  </w:r>
                </w:p>
              </w:tc>
              <w:tc>
                <w:tcPr>
                  <w:tcW w:w="1528" w:type="pct"/>
                  <w:gridSpan w:val="2"/>
                  <w:tcBorders>
                    <w:tl2br w:val="nil"/>
                    <w:tr2bl w:val="nil"/>
                  </w:tcBorders>
                  <w:vAlign w:val="center"/>
                </w:tcPr>
                <w:p w14:paraId="308D20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1"/>
                      <w:sz w:val="21"/>
                      <w:szCs w:val="21"/>
                      <w:lang w:val="en-US" w:eastAsia="zh-CN"/>
                    </w:rPr>
                    <w:t>生产设备不得有明显的无组织排放存在</w:t>
                  </w:r>
                </w:p>
              </w:tc>
              <w:tc>
                <w:tcPr>
                  <w:tcW w:w="2227" w:type="pct"/>
                  <w:vMerge w:val="restart"/>
                  <w:tcBorders>
                    <w:tl2br w:val="nil"/>
                    <w:tr2bl w:val="nil"/>
                  </w:tcBorders>
                  <w:vAlign w:val="center"/>
                </w:tcPr>
                <w:p w14:paraId="6B93E0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《大气污染物综合排放标准》（GB16297-1996）表</w:t>
                  </w:r>
                  <w:r>
                    <w:rPr>
                      <w:rFonts w:hint="eastAsia" w:cs="Times New Roman"/>
                      <w:color w:val="auto"/>
                      <w:sz w:val="21"/>
                      <w:szCs w:val="21"/>
                      <w:highlight w:val="none"/>
                      <w:lang w:val="en-US" w:eastAsia="zh-CN"/>
                    </w:rPr>
                    <w:t>2</w:t>
                  </w:r>
                </w:p>
              </w:tc>
            </w:tr>
            <w:tr w14:paraId="789C8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5EE1A740">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p>
              </w:tc>
              <w:tc>
                <w:tcPr>
                  <w:tcW w:w="726" w:type="pct"/>
                  <w:tcBorders>
                    <w:tl2br w:val="nil"/>
                    <w:tr2bl w:val="nil"/>
                  </w:tcBorders>
                  <w:vAlign w:val="center"/>
                </w:tcPr>
                <w:p w14:paraId="6AB2CCCA">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苯并[a]芘</w:t>
                  </w:r>
                </w:p>
              </w:tc>
              <w:tc>
                <w:tcPr>
                  <w:tcW w:w="1528" w:type="pct"/>
                  <w:gridSpan w:val="2"/>
                  <w:tcBorders>
                    <w:tl2br w:val="nil"/>
                    <w:tr2bl w:val="nil"/>
                  </w:tcBorders>
                  <w:vAlign w:val="center"/>
                </w:tcPr>
                <w:p w14:paraId="1F6BEE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1"/>
                      <w:sz w:val="21"/>
                      <w:szCs w:val="21"/>
                      <w:lang w:val="en-US" w:eastAsia="zh-CN"/>
                    </w:rPr>
                    <w:t>0.000008</w:t>
                  </w:r>
                </w:p>
              </w:tc>
              <w:tc>
                <w:tcPr>
                  <w:tcW w:w="2227" w:type="pct"/>
                  <w:vMerge w:val="continue"/>
                  <w:tcBorders>
                    <w:tl2br w:val="nil"/>
                    <w:tr2bl w:val="nil"/>
                  </w:tcBorders>
                  <w:vAlign w:val="center"/>
                </w:tcPr>
                <w:p w14:paraId="17CC58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p>
              </w:tc>
            </w:tr>
            <w:tr w14:paraId="577A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4D59C2E8">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p>
              </w:tc>
              <w:tc>
                <w:tcPr>
                  <w:tcW w:w="726" w:type="pct"/>
                  <w:tcBorders>
                    <w:tl2br w:val="nil"/>
                    <w:tr2bl w:val="nil"/>
                  </w:tcBorders>
                  <w:vAlign w:val="center"/>
                </w:tcPr>
                <w:p w14:paraId="1CA68EDD">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VOCs</w:t>
                  </w:r>
                </w:p>
              </w:tc>
              <w:tc>
                <w:tcPr>
                  <w:tcW w:w="1528" w:type="pct"/>
                  <w:gridSpan w:val="2"/>
                  <w:tcBorders>
                    <w:tl2br w:val="nil"/>
                    <w:tr2bl w:val="nil"/>
                  </w:tcBorders>
                  <w:vAlign w:val="center"/>
                </w:tcPr>
                <w:p w14:paraId="100F37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1"/>
                      <w:sz w:val="21"/>
                      <w:szCs w:val="21"/>
                      <w:lang w:val="en-US" w:eastAsia="zh-CN"/>
                    </w:rPr>
                    <w:t>2</w:t>
                  </w:r>
                </w:p>
              </w:tc>
              <w:tc>
                <w:tcPr>
                  <w:tcW w:w="2227" w:type="pct"/>
                  <w:vMerge w:val="restart"/>
                  <w:tcBorders>
                    <w:tl2br w:val="nil"/>
                    <w:tr2bl w:val="nil"/>
                  </w:tcBorders>
                  <w:vAlign w:val="center"/>
                </w:tcPr>
                <w:p w14:paraId="3C8EBC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《挥发性有机物排放标准第7部分：其他行业》（DB37/2801.7-2019）表2</w:t>
                  </w:r>
                </w:p>
              </w:tc>
            </w:tr>
            <w:tr w14:paraId="7464B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53682BAC">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p>
              </w:tc>
              <w:tc>
                <w:tcPr>
                  <w:tcW w:w="726" w:type="pct"/>
                  <w:tcBorders>
                    <w:tl2br w:val="nil"/>
                    <w:tr2bl w:val="nil"/>
                  </w:tcBorders>
                  <w:vAlign w:val="center"/>
                </w:tcPr>
                <w:p w14:paraId="10E864E7">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臭气浓度</w:t>
                  </w:r>
                </w:p>
              </w:tc>
              <w:tc>
                <w:tcPr>
                  <w:tcW w:w="1528" w:type="pct"/>
                  <w:gridSpan w:val="2"/>
                  <w:tcBorders>
                    <w:tl2br w:val="nil"/>
                    <w:tr2bl w:val="nil"/>
                  </w:tcBorders>
                  <w:vAlign w:val="center"/>
                </w:tcPr>
                <w:p w14:paraId="6EA370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color w:val="auto"/>
                      <w:spacing w:val="-1"/>
                      <w:sz w:val="21"/>
                      <w:szCs w:val="21"/>
                      <w:lang w:val="en-US" w:eastAsia="zh-CN"/>
                    </w:rPr>
                    <w:t>16（无量纲）</w:t>
                  </w:r>
                </w:p>
              </w:tc>
              <w:tc>
                <w:tcPr>
                  <w:tcW w:w="2227" w:type="pct"/>
                  <w:vMerge w:val="continue"/>
                  <w:tcBorders>
                    <w:tl2br w:val="nil"/>
                    <w:tr2bl w:val="nil"/>
                  </w:tcBorders>
                  <w:vAlign w:val="center"/>
                </w:tcPr>
                <w:p w14:paraId="04BADE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p>
              </w:tc>
            </w:tr>
            <w:tr w14:paraId="5B98F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restart"/>
                  <w:tcBorders>
                    <w:tl2br w:val="nil"/>
                    <w:tr2bl w:val="nil"/>
                  </w:tcBorders>
                  <w:vAlign w:val="center"/>
                </w:tcPr>
                <w:p w14:paraId="5674717E">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厂房外厂界内</w:t>
                  </w:r>
                </w:p>
              </w:tc>
              <w:tc>
                <w:tcPr>
                  <w:tcW w:w="726" w:type="pct"/>
                  <w:vMerge w:val="restart"/>
                  <w:tcBorders>
                    <w:tl2br w:val="nil"/>
                    <w:tr2bl w:val="nil"/>
                  </w:tcBorders>
                  <w:vAlign w:val="center"/>
                </w:tcPr>
                <w:p w14:paraId="51682CD7">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VOCs</w:t>
                  </w:r>
                </w:p>
              </w:tc>
              <w:tc>
                <w:tcPr>
                  <w:tcW w:w="1528" w:type="pct"/>
                  <w:gridSpan w:val="2"/>
                  <w:tcBorders>
                    <w:tl2br w:val="nil"/>
                    <w:tr2bl w:val="nil"/>
                  </w:tcBorders>
                  <w:vAlign w:val="center"/>
                </w:tcPr>
                <w:p w14:paraId="2063D6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color w:val="auto"/>
                      <w:spacing w:val="-1"/>
                      <w:sz w:val="21"/>
                      <w:szCs w:val="21"/>
                      <w:lang w:val="en-US" w:eastAsia="zh-CN"/>
                    </w:rPr>
                    <w:t>6（监控点处1h平均浓度值）</w:t>
                  </w:r>
                </w:p>
              </w:tc>
              <w:tc>
                <w:tcPr>
                  <w:tcW w:w="2227" w:type="pct"/>
                  <w:vMerge w:val="restart"/>
                  <w:tcBorders>
                    <w:tl2br w:val="nil"/>
                    <w:tr2bl w:val="nil"/>
                  </w:tcBorders>
                  <w:vAlign w:val="center"/>
                </w:tcPr>
                <w:p w14:paraId="0DCC9E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《挥发性有机物无组织排放控制标准》（GB37822-2019）表A.1</w:t>
                  </w:r>
                </w:p>
              </w:tc>
            </w:tr>
            <w:tr w14:paraId="5962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6" w:type="pct"/>
                  <w:vMerge w:val="continue"/>
                  <w:tcBorders>
                    <w:tl2br w:val="nil"/>
                    <w:tr2bl w:val="nil"/>
                  </w:tcBorders>
                  <w:vAlign w:val="center"/>
                </w:tcPr>
                <w:p w14:paraId="17E13852">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7"/>
                      <w:sz w:val="21"/>
                      <w:szCs w:val="21"/>
                      <w:lang w:val="en-US" w:eastAsia="zh-CN"/>
                    </w:rPr>
                  </w:pPr>
                </w:p>
              </w:tc>
              <w:tc>
                <w:tcPr>
                  <w:tcW w:w="726" w:type="pct"/>
                  <w:vMerge w:val="continue"/>
                  <w:tcBorders>
                    <w:tl2br w:val="nil"/>
                    <w:tr2bl w:val="nil"/>
                  </w:tcBorders>
                  <w:vAlign w:val="center"/>
                </w:tcPr>
                <w:p w14:paraId="1D34BE38">
                  <w:pPr>
                    <w:pStyle w:val="5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7"/>
                      <w:sz w:val="21"/>
                      <w:szCs w:val="21"/>
                      <w:lang w:val="en-US" w:eastAsia="zh-CN"/>
                    </w:rPr>
                  </w:pPr>
                </w:p>
              </w:tc>
              <w:tc>
                <w:tcPr>
                  <w:tcW w:w="1528" w:type="pct"/>
                  <w:gridSpan w:val="2"/>
                  <w:tcBorders>
                    <w:tl2br w:val="nil"/>
                    <w:tr2bl w:val="nil"/>
                  </w:tcBorders>
                  <w:vAlign w:val="center"/>
                </w:tcPr>
                <w:p w14:paraId="40D979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r>
                    <w:rPr>
                      <w:rFonts w:hint="eastAsia" w:ascii="Times New Roman" w:hAnsi="Times New Roman" w:eastAsia="宋体" w:cs="Times New Roman"/>
                      <w:color w:val="auto"/>
                      <w:spacing w:val="-1"/>
                      <w:sz w:val="21"/>
                      <w:szCs w:val="21"/>
                      <w:lang w:val="en-US" w:eastAsia="zh-CN"/>
                    </w:rPr>
                    <w:t>20（监控点处任意一次浓度值）</w:t>
                  </w:r>
                </w:p>
              </w:tc>
              <w:tc>
                <w:tcPr>
                  <w:tcW w:w="2227" w:type="pct"/>
                  <w:vMerge w:val="continue"/>
                  <w:tcBorders>
                    <w:tl2br w:val="nil"/>
                    <w:tr2bl w:val="nil"/>
                  </w:tcBorders>
                  <w:vAlign w:val="center"/>
                </w:tcPr>
                <w:p w14:paraId="073C66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i w:val="0"/>
                      <w:iCs w:val="0"/>
                      <w:caps w:val="0"/>
                      <w:color w:val="auto"/>
                      <w:spacing w:val="0"/>
                      <w:kern w:val="0"/>
                      <w:sz w:val="21"/>
                      <w:szCs w:val="21"/>
                      <w:shd w:val="clear" w:color="auto" w:fill="FFFFFF"/>
                      <w:lang w:val="en-US" w:eastAsia="zh-CN" w:bidi="ar"/>
                    </w:rPr>
                  </w:pPr>
                </w:p>
              </w:tc>
            </w:tr>
          </w:tbl>
          <w:p w14:paraId="4521DC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4、固废</w:t>
            </w:r>
          </w:p>
          <w:p w14:paraId="2C0DF2D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cs="Times New Roman"/>
                <w:i w:val="0"/>
                <w:iCs w:val="0"/>
                <w:caps w:val="0"/>
                <w:color w:val="auto"/>
                <w:spacing w:val="0"/>
                <w:kern w:val="0"/>
                <w:sz w:val="24"/>
                <w:szCs w:val="24"/>
                <w:shd w:val="clear" w:color="auto" w:fill="FFFFFF"/>
                <w:lang w:val="en-US" w:eastAsia="zh-CN" w:bidi="ar"/>
              </w:rPr>
              <w:t>一般工业固体废物参照执行《一般工业固体废物贮存和填埋污染控制标准》（GB18599-2020）</w:t>
            </w:r>
            <w:r>
              <w:rPr>
                <w:rFonts w:hint="eastAsia"/>
                <w:color w:val="auto"/>
                <w:sz w:val="24"/>
                <w:szCs w:val="24"/>
                <w:lang w:eastAsia="zh-CN"/>
              </w:rPr>
              <w:t>以及《中华人民共和国固体废物污染环境防治法》的相关要求</w:t>
            </w:r>
            <w:r>
              <w:rPr>
                <w:rFonts w:hint="eastAsia" w:cs="Times New Roman"/>
                <w:i w:val="0"/>
                <w:iCs w:val="0"/>
                <w:caps w:val="0"/>
                <w:color w:val="auto"/>
                <w:spacing w:val="0"/>
                <w:kern w:val="0"/>
                <w:sz w:val="24"/>
                <w:szCs w:val="24"/>
                <w:shd w:val="clear" w:color="auto" w:fill="FFFFFF"/>
                <w:lang w:val="en-US" w:eastAsia="zh-CN" w:bidi="ar"/>
              </w:rPr>
              <w:t>，</w:t>
            </w:r>
            <w:r>
              <w:rPr>
                <w:rFonts w:hint="default" w:cs="Times New Roman"/>
                <w:i w:val="0"/>
                <w:iCs w:val="0"/>
                <w:caps w:val="0"/>
                <w:color w:val="auto"/>
                <w:spacing w:val="0"/>
                <w:kern w:val="0"/>
                <w:sz w:val="24"/>
                <w:szCs w:val="24"/>
                <w:shd w:val="clear" w:color="auto" w:fill="FFFFFF"/>
                <w:lang w:val="en-US" w:eastAsia="zh-CN" w:bidi="ar"/>
              </w:rPr>
              <w:t>危险废物执行《危险废物贮存污染控制标准》（GB18597-2023）。</w:t>
            </w:r>
          </w:p>
        </w:tc>
      </w:tr>
      <w:tr w14:paraId="44C20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5" w:hRule="atLeast"/>
          <w:jc w:val="center"/>
        </w:trPr>
        <w:tc>
          <w:tcPr>
            <w:tcW w:w="229" w:type="pct"/>
            <w:noWrap w:val="0"/>
            <w:vAlign w:val="center"/>
          </w:tcPr>
          <w:p w14:paraId="2338F9D9">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14:paraId="76674B26">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14:paraId="5A135773">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指标</w:t>
            </w:r>
          </w:p>
        </w:tc>
        <w:tc>
          <w:tcPr>
            <w:tcW w:w="4770" w:type="pct"/>
            <w:noWrap w:val="0"/>
            <w:vAlign w:val="center"/>
          </w:tcPr>
          <w:p w14:paraId="4356C8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highlight w:val="none"/>
                <w:lang w:val="en-US" w:eastAsia="zh-CN"/>
              </w:rPr>
            </w:pPr>
            <w:r>
              <w:rPr>
                <w:rFonts w:hint="eastAsia"/>
                <w:color w:val="0000FF"/>
                <w:sz w:val="24"/>
                <w:szCs w:val="24"/>
                <w:highlight w:val="none"/>
                <w:lang w:val="en-US" w:eastAsia="zh-CN"/>
              </w:rPr>
              <w:t>本项目无生产废水外排，排入嘉祥公用水务有限公司的生活污水中，CODcr和氨氮分别为0.01t/a、0.001t/a，需要申请管理指标。生活污水经嘉祥公用水务有限公司处理后排入外环境的CODcr和氨氮分别为0.002t/a、0.0002t/a，</w:t>
            </w:r>
            <w:r>
              <w:rPr>
                <w:rFonts w:hint="eastAsia" w:ascii="Times New Roman" w:hAnsi="Times New Roman" w:eastAsia="宋体" w:cs="Times New Roman"/>
                <w:color w:val="0000FF"/>
                <w:sz w:val="24"/>
                <w:szCs w:val="24"/>
                <w:highlight w:val="none"/>
                <w:lang w:val="en-US" w:eastAsia="zh-CN"/>
              </w:rPr>
              <w:t>占用嘉祥公用水务有限公司总量指标。</w:t>
            </w:r>
          </w:p>
          <w:p w14:paraId="58CEB9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0000FF"/>
                <w:kern w:val="0"/>
                <w:sz w:val="24"/>
                <w:szCs w:val="24"/>
                <w:highlight w:val="none"/>
                <w:lang w:eastAsia="zh-CN" w:bidi="ar"/>
              </w:rPr>
              <w:t>本项目有组织排放的废气中，</w:t>
            </w:r>
            <w:r>
              <w:rPr>
                <w:rFonts w:hint="eastAsia" w:ascii="Times New Roman" w:hAnsi="Times New Roman" w:eastAsia="宋体" w:cs="Times New Roman"/>
                <w:color w:val="0000FF"/>
                <w:kern w:val="0"/>
                <w:sz w:val="24"/>
                <w:szCs w:val="24"/>
                <w:highlight w:val="none"/>
                <w:lang w:eastAsia="zh-CN" w:bidi="ar"/>
              </w:rPr>
              <w:t>颗粒物</w:t>
            </w:r>
            <w:r>
              <w:rPr>
                <w:rFonts w:hint="default" w:ascii="Times New Roman" w:hAnsi="Times New Roman" w:eastAsia="宋体" w:cs="Times New Roman"/>
                <w:color w:val="0000FF"/>
                <w:kern w:val="0"/>
                <w:sz w:val="24"/>
                <w:szCs w:val="24"/>
                <w:highlight w:val="none"/>
                <w:lang w:eastAsia="zh-CN" w:bidi="ar"/>
              </w:rPr>
              <w:t>为</w:t>
            </w:r>
            <w:r>
              <w:rPr>
                <w:rFonts w:hint="eastAsia" w:ascii="Times New Roman" w:hAnsi="Times New Roman" w:eastAsia="宋体" w:cs="Times New Roman"/>
                <w:color w:val="0000FF"/>
                <w:kern w:val="0"/>
                <w:sz w:val="24"/>
                <w:szCs w:val="24"/>
                <w:highlight w:val="none"/>
                <w:lang w:val="en-US" w:eastAsia="zh-CN" w:bidi="ar"/>
              </w:rPr>
              <w:t>0.</w:t>
            </w:r>
            <w:r>
              <w:rPr>
                <w:rFonts w:hint="eastAsia" w:cs="Times New Roman"/>
                <w:color w:val="0000FF"/>
                <w:kern w:val="0"/>
                <w:sz w:val="24"/>
                <w:szCs w:val="24"/>
                <w:highlight w:val="none"/>
                <w:lang w:val="en-US" w:eastAsia="zh-CN" w:bidi="ar"/>
              </w:rPr>
              <w:t>072</w:t>
            </w:r>
            <w:r>
              <w:rPr>
                <w:rFonts w:hint="default" w:ascii="Times New Roman" w:hAnsi="Times New Roman" w:eastAsia="宋体" w:cs="Times New Roman"/>
                <w:color w:val="0000FF"/>
                <w:kern w:val="0"/>
                <w:sz w:val="24"/>
                <w:szCs w:val="24"/>
                <w:highlight w:val="none"/>
                <w:lang w:eastAsia="zh-CN" w:bidi="ar"/>
              </w:rPr>
              <w:t>t/a、</w:t>
            </w:r>
            <w:r>
              <w:rPr>
                <w:rFonts w:hint="default" w:ascii="Times New Roman" w:hAnsi="Times New Roman" w:eastAsia="宋体" w:cs="Times New Roman"/>
                <w:color w:val="0000FF"/>
                <w:kern w:val="0"/>
                <w:sz w:val="24"/>
                <w:szCs w:val="24"/>
                <w:highlight w:val="none"/>
                <w:lang w:val="en-US" w:eastAsia="zh-CN" w:bidi="ar"/>
              </w:rPr>
              <w:t>SO</w:t>
            </w:r>
            <w:r>
              <w:rPr>
                <w:rFonts w:hint="default" w:ascii="Times New Roman" w:hAnsi="Times New Roman" w:eastAsia="宋体" w:cs="Times New Roman"/>
                <w:color w:val="0000FF"/>
                <w:kern w:val="0"/>
                <w:sz w:val="24"/>
                <w:szCs w:val="24"/>
                <w:highlight w:val="none"/>
                <w:vertAlign w:val="subscript"/>
                <w:lang w:val="en-US" w:eastAsia="zh-CN" w:bidi="ar"/>
              </w:rPr>
              <w:t>2</w:t>
            </w:r>
            <w:r>
              <w:rPr>
                <w:rFonts w:hint="default" w:ascii="Times New Roman" w:hAnsi="Times New Roman" w:eastAsia="宋体" w:cs="Times New Roman"/>
                <w:color w:val="0000FF"/>
                <w:kern w:val="0"/>
                <w:sz w:val="24"/>
                <w:szCs w:val="24"/>
                <w:highlight w:val="none"/>
                <w:lang w:eastAsia="zh-CN" w:bidi="ar"/>
              </w:rPr>
              <w:t>为</w:t>
            </w:r>
            <w:r>
              <w:rPr>
                <w:rFonts w:hint="eastAsia" w:ascii="Times New Roman" w:hAnsi="Times New Roman" w:eastAsia="宋体" w:cs="Times New Roman"/>
                <w:color w:val="0000FF"/>
                <w:kern w:val="0"/>
                <w:sz w:val="24"/>
                <w:szCs w:val="24"/>
                <w:highlight w:val="none"/>
                <w:lang w:val="en-US" w:eastAsia="zh-CN" w:bidi="ar"/>
              </w:rPr>
              <w:t>0.0</w:t>
            </w:r>
            <w:r>
              <w:rPr>
                <w:rFonts w:hint="eastAsia" w:cs="Times New Roman"/>
                <w:color w:val="0000FF"/>
                <w:kern w:val="0"/>
                <w:sz w:val="24"/>
                <w:szCs w:val="24"/>
                <w:highlight w:val="none"/>
                <w:lang w:val="en-US" w:eastAsia="zh-CN" w:bidi="ar"/>
              </w:rPr>
              <w:t>62</w:t>
            </w:r>
            <w:r>
              <w:rPr>
                <w:rFonts w:hint="default" w:ascii="Times New Roman" w:hAnsi="Times New Roman" w:eastAsia="宋体" w:cs="Times New Roman"/>
                <w:color w:val="0000FF"/>
                <w:kern w:val="0"/>
                <w:sz w:val="24"/>
                <w:szCs w:val="24"/>
                <w:highlight w:val="none"/>
                <w:lang w:eastAsia="zh-CN" w:bidi="ar"/>
              </w:rPr>
              <w:t>t/a、</w:t>
            </w:r>
            <w:r>
              <w:rPr>
                <w:rFonts w:hint="default" w:ascii="Times New Roman" w:hAnsi="Times New Roman" w:eastAsia="宋体" w:cs="Times New Roman"/>
                <w:color w:val="0000FF"/>
                <w:kern w:val="0"/>
                <w:sz w:val="24"/>
                <w:szCs w:val="24"/>
                <w:highlight w:val="none"/>
                <w:lang w:val="en-US" w:eastAsia="zh-CN" w:bidi="ar"/>
              </w:rPr>
              <w:t>NOx</w:t>
            </w:r>
            <w:r>
              <w:rPr>
                <w:rFonts w:hint="default" w:ascii="Times New Roman" w:hAnsi="Times New Roman" w:eastAsia="宋体" w:cs="Times New Roman"/>
                <w:color w:val="0000FF"/>
                <w:kern w:val="0"/>
                <w:sz w:val="24"/>
                <w:szCs w:val="24"/>
                <w:highlight w:val="none"/>
                <w:lang w:eastAsia="zh-CN" w:bidi="ar"/>
              </w:rPr>
              <w:t>为</w:t>
            </w:r>
            <w:r>
              <w:rPr>
                <w:rFonts w:hint="eastAsia" w:ascii="Times New Roman" w:hAnsi="Times New Roman" w:eastAsia="宋体" w:cs="Times New Roman"/>
                <w:color w:val="0000FF"/>
                <w:kern w:val="0"/>
                <w:sz w:val="24"/>
                <w:szCs w:val="24"/>
                <w:highlight w:val="none"/>
                <w:lang w:val="en-US" w:eastAsia="zh-CN" w:bidi="ar"/>
              </w:rPr>
              <w:t>0.0</w:t>
            </w:r>
            <w:r>
              <w:rPr>
                <w:rFonts w:hint="eastAsia" w:cs="Times New Roman"/>
                <w:color w:val="0000FF"/>
                <w:kern w:val="0"/>
                <w:sz w:val="24"/>
                <w:szCs w:val="24"/>
                <w:highlight w:val="none"/>
                <w:lang w:val="en-US" w:eastAsia="zh-CN" w:bidi="ar"/>
              </w:rPr>
              <w:t>94</w:t>
            </w:r>
            <w:r>
              <w:rPr>
                <w:rFonts w:hint="default" w:ascii="Times New Roman" w:hAnsi="Times New Roman" w:eastAsia="宋体" w:cs="Times New Roman"/>
                <w:color w:val="0000FF"/>
                <w:kern w:val="0"/>
                <w:sz w:val="24"/>
                <w:szCs w:val="24"/>
                <w:highlight w:val="none"/>
                <w:lang w:eastAsia="zh-CN" w:bidi="ar"/>
              </w:rPr>
              <w:t>t/a</w:t>
            </w:r>
            <w:r>
              <w:rPr>
                <w:rFonts w:hint="eastAsia" w:cs="Times New Roman"/>
                <w:color w:val="0000FF"/>
                <w:kern w:val="0"/>
                <w:sz w:val="24"/>
                <w:szCs w:val="24"/>
                <w:highlight w:val="none"/>
                <w:lang w:eastAsia="zh-CN" w:bidi="ar"/>
              </w:rPr>
              <w:t>，</w:t>
            </w:r>
            <w:r>
              <w:rPr>
                <w:rFonts w:hint="eastAsia" w:cs="Times New Roman"/>
                <w:color w:val="0000FF"/>
                <w:kern w:val="0"/>
                <w:sz w:val="24"/>
                <w:szCs w:val="24"/>
                <w:highlight w:val="none"/>
                <w:lang w:val="en-US" w:eastAsia="zh-CN" w:bidi="ar"/>
              </w:rPr>
              <w:t>VOCs为0.016t/a</w:t>
            </w:r>
            <w:r>
              <w:rPr>
                <w:rFonts w:hint="default" w:ascii="Times New Roman" w:hAnsi="Times New Roman" w:eastAsia="宋体" w:cs="Times New Roman"/>
                <w:color w:val="0000FF"/>
                <w:kern w:val="0"/>
                <w:sz w:val="24"/>
                <w:szCs w:val="24"/>
                <w:highlight w:val="none"/>
                <w:lang w:eastAsia="zh-CN" w:bidi="ar"/>
              </w:rPr>
              <w:t>。根据山东省生态环境厅关于印发《山东省建设项目主要大气污染物排放总量替代指标核算及管理办法》的通知（鲁环发</w:t>
            </w:r>
            <w:r>
              <w:rPr>
                <w:rFonts w:hint="eastAsia" w:ascii="Times New Roman" w:hAnsi="Times New Roman" w:eastAsia="宋体" w:cs="Times New Roman"/>
                <w:color w:val="0000FF"/>
                <w:kern w:val="0"/>
                <w:sz w:val="24"/>
                <w:szCs w:val="24"/>
                <w:highlight w:val="none"/>
                <w:lang w:eastAsia="zh-CN" w:bidi="ar"/>
              </w:rPr>
              <w:t>〔</w:t>
            </w:r>
            <w:r>
              <w:rPr>
                <w:rFonts w:hint="default" w:ascii="Times New Roman" w:hAnsi="Times New Roman" w:eastAsia="宋体" w:cs="Times New Roman"/>
                <w:color w:val="0000FF"/>
                <w:kern w:val="0"/>
                <w:sz w:val="24"/>
                <w:szCs w:val="24"/>
                <w:highlight w:val="none"/>
                <w:lang w:eastAsia="zh-CN" w:bidi="ar"/>
              </w:rPr>
              <w:t>2019</w:t>
            </w:r>
            <w:r>
              <w:rPr>
                <w:rFonts w:hint="eastAsia" w:ascii="Times New Roman" w:hAnsi="Times New Roman" w:eastAsia="宋体" w:cs="Times New Roman"/>
                <w:color w:val="0000FF"/>
                <w:kern w:val="0"/>
                <w:sz w:val="24"/>
                <w:szCs w:val="24"/>
                <w:highlight w:val="none"/>
                <w:lang w:eastAsia="zh-CN" w:bidi="ar"/>
              </w:rPr>
              <w:t>〕</w:t>
            </w:r>
            <w:r>
              <w:rPr>
                <w:rFonts w:hint="default" w:ascii="Times New Roman" w:hAnsi="Times New Roman" w:eastAsia="宋体" w:cs="Times New Roman"/>
                <w:color w:val="0000FF"/>
                <w:kern w:val="0"/>
                <w:sz w:val="24"/>
                <w:szCs w:val="24"/>
                <w:highlight w:val="none"/>
                <w:lang w:eastAsia="zh-CN" w:bidi="ar"/>
              </w:rPr>
              <w:t>132号）</w:t>
            </w:r>
            <w:r>
              <w:rPr>
                <w:rFonts w:hint="eastAsia" w:ascii="Times New Roman" w:hAnsi="Times New Roman" w:eastAsia="宋体" w:cs="Times New Roman"/>
                <w:color w:val="0000FF"/>
                <w:kern w:val="0"/>
                <w:sz w:val="24"/>
                <w:szCs w:val="24"/>
                <w:highlight w:val="none"/>
                <w:lang w:eastAsia="zh-CN" w:bidi="ar"/>
              </w:rPr>
              <w:t>的</w:t>
            </w:r>
            <w:r>
              <w:rPr>
                <w:rFonts w:hint="default" w:ascii="Times New Roman" w:hAnsi="Times New Roman" w:eastAsia="宋体" w:cs="Times New Roman"/>
                <w:color w:val="0000FF"/>
                <w:kern w:val="0"/>
                <w:sz w:val="24"/>
                <w:szCs w:val="24"/>
                <w:highlight w:val="none"/>
                <w:lang w:eastAsia="zh-CN" w:bidi="ar"/>
              </w:rPr>
              <w:t>要求，本项目位于不达标区，需2倍削减量替代，即</w:t>
            </w:r>
            <w:r>
              <w:rPr>
                <w:rFonts w:hint="eastAsia" w:ascii="Times New Roman" w:hAnsi="Times New Roman" w:eastAsia="宋体" w:cs="Times New Roman"/>
                <w:color w:val="0000FF"/>
                <w:kern w:val="0"/>
                <w:sz w:val="24"/>
                <w:szCs w:val="24"/>
                <w:highlight w:val="none"/>
                <w:lang w:eastAsia="zh-CN" w:bidi="ar"/>
              </w:rPr>
              <w:t>颗粒物</w:t>
            </w:r>
            <w:r>
              <w:rPr>
                <w:rFonts w:hint="default" w:ascii="Times New Roman" w:hAnsi="Times New Roman" w:eastAsia="宋体" w:cs="Times New Roman"/>
                <w:color w:val="0000FF"/>
                <w:kern w:val="0"/>
                <w:sz w:val="24"/>
                <w:szCs w:val="24"/>
                <w:highlight w:val="none"/>
                <w:lang w:eastAsia="zh-CN" w:bidi="ar"/>
              </w:rPr>
              <w:t>替代量为</w:t>
            </w:r>
            <w:r>
              <w:rPr>
                <w:rFonts w:hint="eastAsia" w:ascii="Times New Roman" w:hAnsi="Times New Roman" w:eastAsia="宋体" w:cs="Times New Roman"/>
                <w:color w:val="0000FF"/>
                <w:kern w:val="0"/>
                <w:sz w:val="24"/>
                <w:szCs w:val="24"/>
                <w:highlight w:val="none"/>
                <w:lang w:val="en-US" w:eastAsia="zh-CN" w:bidi="ar"/>
              </w:rPr>
              <w:t>0.</w:t>
            </w:r>
            <w:r>
              <w:rPr>
                <w:rFonts w:hint="eastAsia" w:cs="Times New Roman"/>
                <w:color w:val="0000FF"/>
                <w:kern w:val="0"/>
                <w:sz w:val="24"/>
                <w:szCs w:val="24"/>
                <w:highlight w:val="none"/>
                <w:lang w:val="en-US" w:eastAsia="zh-CN" w:bidi="ar"/>
              </w:rPr>
              <w:t>144</w:t>
            </w:r>
            <w:r>
              <w:rPr>
                <w:rFonts w:hint="default" w:ascii="Times New Roman" w:hAnsi="Times New Roman" w:eastAsia="宋体" w:cs="Times New Roman"/>
                <w:color w:val="0000FF"/>
                <w:kern w:val="0"/>
                <w:sz w:val="24"/>
                <w:szCs w:val="24"/>
                <w:highlight w:val="none"/>
                <w:lang w:eastAsia="zh-CN" w:bidi="ar"/>
              </w:rPr>
              <w:t>t/a、</w:t>
            </w:r>
            <w:r>
              <w:rPr>
                <w:rFonts w:hint="default" w:ascii="Times New Roman" w:hAnsi="Times New Roman" w:eastAsia="宋体" w:cs="Times New Roman"/>
                <w:color w:val="0000FF"/>
                <w:kern w:val="0"/>
                <w:sz w:val="24"/>
                <w:szCs w:val="24"/>
                <w:highlight w:val="none"/>
                <w:lang w:val="en-US" w:eastAsia="zh-CN" w:bidi="ar"/>
              </w:rPr>
              <w:t>SO</w:t>
            </w:r>
            <w:r>
              <w:rPr>
                <w:rFonts w:hint="default" w:ascii="Times New Roman" w:hAnsi="Times New Roman" w:eastAsia="宋体" w:cs="Times New Roman"/>
                <w:color w:val="0000FF"/>
                <w:kern w:val="0"/>
                <w:sz w:val="24"/>
                <w:szCs w:val="24"/>
                <w:highlight w:val="none"/>
                <w:vertAlign w:val="subscript"/>
                <w:lang w:val="en-US" w:eastAsia="zh-CN" w:bidi="ar"/>
              </w:rPr>
              <w:t>2</w:t>
            </w:r>
            <w:r>
              <w:rPr>
                <w:rFonts w:hint="default" w:ascii="Times New Roman" w:hAnsi="Times New Roman" w:eastAsia="宋体" w:cs="Times New Roman"/>
                <w:color w:val="0000FF"/>
                <w:kern w:val="0"/>
                <w:sz w:val="24"/>
                <w:szCs w:val="24"/>
                <w:highlight w:val="none"/>
                <w:lang w:eastAsia="zh-CN" w:bidi="ar"/>
              </w:rPr>
              <w:t>替代量为</w:t>
            </w:r>
            <w:r>
              <w:rPr>
                <w:rFonts w:hint="eastAsia" w:ascii="Times New Roman" w:hAnsi="Times New Roman" w:eastAsia="宋体" w:cs="Times New Roman"/>
                <w:color w:val="0000FF"/>
                <w:kern w:val="0"/>
                <w:sz w:val="24"/>
                <w:szCs w:val="24"/>
                <w:highlight w:val="none"/>
                <w:lang w:val="en-US" w:eastAsia="zh-CN" w:bidi="ar"/>
              </w:rPr>
              <w:t>0.</w:t>
            </w:r>
            <w:r>
              <w:rPr>
                <w:rFonts w:hint="eastAsia" w:cs="Times New Roman"/>
                <w:color w:val="0000FF"/>
                <w:kern w:val="0"/>
                <w:sz w:val="24"/>
                <w:szCs w:val="24"/>
                <w:highlight w:val="none"/>
                <w:lang w:val="en-US" w:eastAsia="zh-CN" w:bidi="ar"/>
              </w:rPr>
              <w:t>124</w:t>
            </w:r>
            <w:r>
              <w:rPr>
                <w:rFonts w:hint="default" w:ascii="Times New Roman" w:hAnsi="Times New Roman" w:eastAsia="宋体" w:cs="Times New Roman"/>
                <w:color w:val="0000FF"/>
                <w:kern w:val="0"/>
                <w:sz w:val="24"/>
                <w:szCs w:val="24"/>
                <w:highlight w:val="none"/>
                <w:lang w:eastAsia="zh-CN" w:bidi="ar"/>
              </w:rPr>
              <w:t>t/a、</w:t>
            </w:r>
            <w:r>
              <w:rPr>
                <w:rFonts w:hint="default" w:ascii="Times New Roman" w:hAnsi="Times New Roman" w:eastAsia="宋体" w:cs="Times New Roman"/>
                <w:color w:val="0000FF"/>
                <w:kern w:val="0"/>
                <w:sz w:val="24"/>
                <w:szCs w:val="24"/>
                <w:highlight w:val="none"/>
                <w:lang w:val="en-US" w:eastAsia="zh-CN" w:bidi="ar"/>
              </w:rPr>
              <w:t>NOx</w:t>
            </w:r>
            <w:r>
              <w:rPr>
                <w:rFonts w:hint="default" w:ascii="Times New Roman" w:hAnsi="Times New Roman" w:eastAsia="宋体" w:cs="Times New Roman"/>
                <w:color w:val="0000FF"/>
                <w:kern w:val="0"/>
                <w:sz w:val="24"/>
                <w:szCs w:val="24"/>
                <w:highlight w:val="none"/>
                <w:lang w:eastAsia="zh-CN" w:bidi="ar"/>
              </w:rPr>
              <w:t>替代量为</w:t>
            </w:r>
            <w:r>
              <w:rPr>
                <w:rFonts w:hint="eastAsia" w:ascii="Times New Roman" w:hAnsi="Times New Roman" w:eastAsia="宋体" w:cs="Times New Roman"/>
                <w:color w:val="0000FF"/>
                <w:kern w:val="0"/>
                <w:sz w:val="24"/>
                <w:szCs w:val="24"/>
                <w:highlight w:val="none"/>
                <w:lang w:val="en-US" w:eastAsia="zh-CN" w:bidi="ar"/>
              </w:rPr>
              <w:t>0.1</w:t>
            </w:r>
            <w:r>
              <w:rPr>
                <w:rFonts w:hint="eastAsia" w:cs="Times New Roman"/>
                <w:color w:val="0000FF"/>
                <w:kern w:val="0"/>
                <w:sz w:val="24"/>
                <w:szCs w:val="24"/>
                <w:highlight w:val="none"/>
                <w:lang w:val="en-US" w:eastAsia="zh-CN" w:bidi="ar"/>
              </w:rPr>
              <w:t>88</w:t>
            </w:r>
            <w:r>
              <w:rPr>
                <w:rFonts w:hint="default" w:ascii="Times New Roman" w:hAnsi="Times New Roman" w:eastAsia="宋体" w:cs="Times New Roman"/>
                <w:color w:val="0000FF"/>
                <w:kern w:val="0"/>
                <w:sz w:val="24"/>
                <w:szCs w:val="24"/>
                <w:highlight w:val="none"/>
                <w:lang w:eastAsia="zh-CN" w:bidi="ar"/>
              </w:rPr>
              <w:t>t/a</w:t>
            </w:r>
            <w:r>
              <w:rPr>
                <w:rFonts w:hint="eastAsia" w:cs="Times New Roman"/>
                <w:color w:val="0000FF"/>
                <w:kern w:val="0"/>
                <w:sz w:val="24"/>
                <w:szCs w:val="24"/>
                <w:highlight w:val="none"/>
                <w:lang w:eastAsia="zh-CN" w:bidi="ar"/>
              </w:rPr>
              <w:t>，</w:t>
            </w:r>
            <w:r>
              <w:rPr>
                <w:rFonts w:hint="eastAsia" w:cs="Times New Roman"/>
                <w:color w:val="0000FF"/>
                <w:kern w:val="0"/>
                <w:sz w:val="24"/>
                <w:szCs w:val="24"/>
                <w:highlight w:val="none"/>
                <w:lang w:val="en-US" w:eastAsia="zh-CN" w:bidi="ar"/>
              </w:rPr>
              <w:t>VOCs替代量为0.032t/a</w:t>
            </w:r>
            <w:r>
              <w:rPr>
                <w:rFonts w:hint="default" w:ascii="Times New Roman" w:hAnsi="Times New Roman" w:eastAsia="宋体" w:cs="Times New Roman"/>
                <w:color w:val="0000FF"/>
                <w:kern w:val="0"/>
                <w:sz w:val="24"/>
                <w:szCs w:val="24"/>
                <w:highlight w:val="none"/>
                <w:lang w:eastAsia="zh-CN" w:bidi="ar"/>
              </w:rPr>
              <w:t>。</w:t>
            </w:r>
          </w:p>
        </w:tc>
      </w:tr>
    </w:tbl>
    <w:p w14:paraId="228CDE9E">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snapToGrid w:val="0"/>
          <w:color w:val="auto"/>
          <w:sz w:val="30"/>
          <w:szCs w:val="30"/>
        </w:rPr>
        <w:t>四、主要环境影响和保护措施</w:t>
      </w:r>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8064"/>
      </w:tblGrid>
      <w:tr w14:paraId="17278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0" w:type="pct"/>
            <w:noWrap w:val="0"/>
            <w:tcMar>
              <w:left w:w="28" w:type="dxa"/>
              <w:right w:w="28" w:type="dxa"/>
            </w:tcMar>
            <w:vAlign w:val="center"/>
          </w:tcPr>
          <w:p w14:paraId="2D0E13E2">
            <w:pPr>
              <w:pStyle w:val="21"/>
              <w:adjustRightInd w:val="0"/>
              <w:snapToGrid w:val="0"/>
              <w:spacing w:before="0" w:beforeAutospacing="0" w:after="0" w:afterAutospacing="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施工</w:t>
            </w:r>
          </w:p>
          <w:p w14:paraId="184A21AE">
            <w:pPr>
              <w:pStyle w:val="21"/>
              <w:adjustRightInd w:val="0"/>
              <w:snapToGrid w:val="0"/>
              <w:spacing w:before="0" w:beforeAutospacing="0" w:after="0" w:afterAutospacing="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期环</w:t>
            </w:r>
          </w:p>
          <w:p w14:paraId="44AD2C17">
            <w:pPr>
              <w:pStyle w:val="21"/>
              <w:adjustRightInd w:val="0"/>
              <w:snapToGrid w:val="0"/>
              <w:spacing w:before="0" w:beforeAutospacing="0" w:after="0" w:afterAutospacing="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境保</w:t>
            </w:r>
          </w:p>
          <w:p w14:paraId="09F52665">
            <w:pPr>
              <w:pStyle w:val="21"/>
              <w:adjustRightInd w:val="0"/>
              <w:snapToGrid w:val="0"/>
              <w:spacing w:before="0" w:beforeAutospacing="0" w:after="0" w:afterAutospacing="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护措</w:t>
            </w:r>
          </w:p>
          <w:p w14:paraId="2D449E61">
            <w:pPr>
              <w:pStyle w:val="21"/>
              <w:adjustRightInd w:val="0"/>
              <w:snapToGrid w:val="0"/>
              <w:spacing w:before="0" w:beforeAutospacing="0" w:after="0" w:afterAutospacing="0"/>
              <w:jc w:val="center"/>
              <w:rPr>
                <w:rFonts w:hint="default" w:ascii="Times New Roman" w:hAnsi="Times New Roman" w:eastAsia="宋体" w:cs="Times New Roman"/>
                <w:bCs/>
                <w:color w:val="auto"/>
                <w:spacing w:val="0"/>
                <w:kern w:val="0"/>
                <w:sz w:val="24"/>
                <w:szCs w:val="24"/>
              </w:rPr>
            </w:pPr>
            <w:r>
              <w:rPr>
                <w:rFonts w:hint="default" w:ascii="Times New Roman" w:hAnsi="Times New Roman" w:eastAsia="宋体" w:cs="Times New Roman"/>
                <w:color w:val="auto"/>
                <w:spacing w:val="0"/>
                <w:kern w:val="0"/>
                <w:sz w:val="24"/>
                <w:szCs w:val="24"/>
              </w:rPr>
              <w:t>施</w:t>
            </w:r>
          </w:p>
        </w:tc>
        <w:tc>
          <w:tcPr>
            <w:tcW w:w="4779" w:type="pct"/>
            <w:noWrap w:val="0"/>
            <w:vAlign w:val="center"/>
          </w:tcPr>
          <w:p w14:paraId="6AC272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eastAsia="宋体" w:cs="Times New Roman"/>
                <w:color w:val="auto"/>
                <w:spacing w:val="0"/>
                <w:kern w:val="0"/>
                <w:sz w:val="24"/>
                <w:szCs w:val="24"/>
              </w:rPr>
              <w:t>本项目</w:t>
            </w:r>
            <w:r>
              <w:rPr>
                <w:rFonts w:hint="default" w:ascii="Times New Roman" w:hAnsi="Times New Roman" w:cs="Times New Roman"/>
                <w:color w:val="auto"/>
                <w:spacing w:val="0"/>
                <w:kern w:val="0"/>
                <w:sz w:val="24"/>
                <w:szCs w:val="24"/>
                <w:lang w:eastAsia="zh-CN"/>
              </w:rPr>
              <w:t>利用现有车间</w:t>
            </w:r>
            <w:r>
              <w:rPr>
                <w:rFonts w:hint="default" w:ascii="Times New Roman" w:hAnsi="Times New Roman" w:eastAsia="宋体" w:cs="Times New Roman"/>
                <w:color w:val="auto"/>
                <w:spacing w:val="0"/>
                <w:kern w:val="0"/>
                <w:sz w:val="24"/>
                <w:szCs w:val="24"/>
              </w:rPr>
              <w:t>，无土建施工，只进行设备安装调试，因此不再考虑施工期的影响分析。</w:t>
            </w:r>
          </w:p>
        </w:tc>
      </w:tr>
      <w:tr w14:paraId="3F227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0" w:type="pct"/>
            <w:noWrap w:val="0"/>
            <w:tcMar>
              <w:left w:w="28" w:type="dxa"/>
              <w:right w:w="28" w:type="dxa"/>
            </w:tcMar>
            <w:vAlign w:val="center"/>
          </w:tcPr>
          <w:p w14:paraId="564EC4B9">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50A0F59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6969D29B">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0662842B">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14E011CC">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030BEA9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4779" w:type="pct"/>
            <w:noWrap w:val="0"/>
            <w:vAlign w:val="center"/>
          </w:tcPr>
          <w:p w14:paraId="461E4B5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val="0"/>
                <w:color w:val="auto"/>
                <w:spacing w:val="0"/>
                <w:kern w:val="0"/>
                <w:sz w:val="24"/>
                <w:szCs w:val="24"/>
                <w:lang w:val="en-US" w:eastAsia="zh-CN"/>
              </w:rPr>
            </w:pPr>
            <w:r>
              <w:rPr>
                <w:rFonts w:hint="default" w:ascii="Times New Roman" w:hAnsi="Times New Roman" w:cs="Times New Roman"/>
                <w:b/>
                <w:bCs w:val="0"/>
                <w:color w:val="auto"/>
                <w:spacing w:val="0"/>
                <w:kern w:val="0"/>
                <w:sz w:val="24"/>
                <w:szCs w:val="24"/>
                <w:lang w:val="en-US" w:eastAsia="zh-CN"/>
              </w:rPr>
              <w:t>一</w:t>
            </w:r>
            <w:r>
              <w:rPr>
                <w:rFonts w:hint="default" w:ascii="Times New Roman" w:hAnsi="Times New Roman" w:eastAsia="宋体" w:cs="Times New Roman"/>
                <w:b/>
                <w:bCs w:val="0"/>
                <w:color w:val="auto"/>
                <w:spacing w:val="0"/>
                <w:kern w:val="0"/>
                <w:sz w:val="24"/>
                <w:szCs w:val="24"/>
                <w:lang w:val="en-US" w:eastAsia="zh-CN"/>
              </w:rPr>
              <w:t>、废气</w:t>
            </w:r>
          </w:p>
          <w:p w14:paraId="6F3988C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cs="Times New Roman"/>
                <w:b/>
                <w:bCs w:val="0"/>
                <w:color w:val="auto"/>
                <w:spacing w:val="0"/>
                <w:kern w:val="0"/>
                <w:sz w:val="24"/>
                <w:szCs w:val="24"/>
                <w:lang w:val="en-US" w:eastAsia="zh-CN"/>
              </w:rPr>
            </w:pPr>
            <w:r>
              <w:rPr>
                <w:rFonts w:hint="eastAsia" w:ascii="Times New Roman" w:hAnsi="Times New Roman" w:cs="Times New Roman"/>
                <w:b/>
                <w:bCs w:val="0"/>
                <w:color w:val="auto"/>
                <w:spacing w:val="0"/>
                <w:kern w:val="0"/>
                <w:sz w:val="24"/>
                <w:szCs w:val="24"/>
                <w:lang w:val="en-US" w:eastAsia="zh-CN"/>
              </w:rPr>
              <w:t>1、源强分析</w:t>
            </w:r>
          </w:p>
          <w:p w14:paraId="2189FF1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b w:val="0"/>
                <w:bCs w:val="0"/>
                <w:color w:val="0000FF"/>
                <w:sz w:val="24"/>
                <w:szCs w:val="24"/>
                <w:lang w:val="en-US" w:eastAsia="zh-CN"/>
              </w:rPr>
            </w:pPr>
            <w:r>
              <w:rPr>
                <w:rFonts w:hint="eastAsia" w:cs="Times New Roman"/>
                <w:bCs/>
                <w:color w:val="0000FF"/>
                <w:sz w:val="24"/>
                <w:szCs w:val="24"/>
                <w:lang w:val="en-US" w:eastAsia="zh-CN"/>
              </w:rPr>
              <w:t>本次改扩建后，现有工程的</w:t>
            </w:r>
            <w:r>
              <w:rPr>
                <w:rFonts w:hint="default" w:ascii="Times New Roman" w:hAnsi="Times New Roman" w:eastAsia="宋体" w:cs="Times New Roman"/>
                <w:bCs/>
                <w:color w:val="0000FF"/>
                <w:sz w:val="24"/>
                <w:szCs w:val="24"/>
                <w:lang w:val="en-US" w:eastAsia="zh-CN"/>
              </w:rPr>
              <w:t>沥青混凝土</w:t>
            </w:r>
            <w:r>
              <w:rPr>
                <w:rFonts w:hint="eastAsia" w:ascii="Times New Roman" w:hAnsi="Times New Roman" w:eastAsia="宋体" w:cs="Times New Roman"/>
                <w:bCs/>
                <w:color w:val="0000FF"/>
                <w:sz w:val="24"/>
                <w:szCs w:val="24"/>
                <w:lang w:val="en-US" w:eastAsia="zh-CN"/>
              </w:rPr>
              <w:t>生产线</w:t>
            </w:r>
            <w:r>
              <w:rPr>
                <w:rFonts w:hint="eastAsia" w:cs="Times New Roman"/>
                <w:bCs/>
                <w:color w:val="0000FF"/>
                <w:sz w:val="24"/>
                <w:szCs w:val="24"/>
                <w:lang w:val="en-US" w:eastAsia="zh-CN"/>
              </w:rPr>
              <w:t>完全更新为新的生产线。因此本次评价中，沥青混凝土的废气污染物产生及排放情况以本项目建成后的产能进行分析。</w:t>
            </w:r>
          </w:p>
          <w:p w14:paraId="79AD7C2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bCs/>
                <w:color w:val="auto"/>
                <w:spacing w:val="0"/>
                <w:kern w:val="0"/>
                <w:sz w:val="24"/>
                <w:szCs w:val="24"/>
                <w:lang w:val="en-US" w:eastAsia="zh-CN"/>
              </w:rPr>
            </w:pPr>
            <w:r>
              <w:rPr>
                <w:rFonts w:hint="default" w:ascii="Times New Roman" w:hAnsi="Times New Roman" w:cs="Times New Roman"/>
                <w:bCs/>
                <w:color w:val="auto"/>
                <w:spacing w:val="0"/>
                <w:kern w:val="0"/>
                <w:sz w:val="24"/>
                <w:szCs w:val="24"/>
                <w:lang w:val="en-US" w:eastAsia="zh-CN"/>
              </w:rPr>
              <w:t>根据生产工艺流程分析，本项目运营过程中废气主要为汽运粉尘，</w:t>
            </w:r>
            <w:r>
              <w:rPr>
                <w:rFonts w:hint="eastAsia" w:cs="Times New Roman"/>
                <w:bCs/>
                <w:color w:val="auto"/>
                <w:spacing w:val="0"/>
                <w:kern w:val="0"/>
                <w:sz w:val="24"/>
                <w:szCs w:val="24"/>
                <w:lang w:val="en-US" w:eastAsia="zh-CN"/>
              </w:rPr>
              <w:t>装卸</w:t>
            </w:r>
            <w:r>
              <w:rPr>
                <w:rFonts w:hint="eastAsia" w:ascii="Times New Roman" w:hAnsi="Times New Roman" w:cs="Times New Roman"/>
                <w:bCs/>
                <w:color w:val="auto"/>
                <w:spacing w:val="0"/>
                <w:kern w:val="0"/>
                <w:sz w:val="24"/>
                <w:szCs w:val="24"/>
                <w:lang w:val="en-US" w:eastAsia="zh-CN"/>
              </w:rPr>
              <w:t>粉尘，堆场粉尘，传输粉尘，</w:t>
            </w:r>
            <w:r>
              <w:rPr>
                <w:rFonts w:hint="default" w:ascii="Times New Roman" w:hAnsi="Times New Roman" w:cs="Times New Roman"/>
                <w:bCs/>
                <w:color w:val="auto"/>
                <w:spacing w:val="0"/>
                <w:kern w:val="0"/>
                <w:sz w:val="24"/>
                <w:szCs w:val="24"/>
                <w:lang w:val="en-US" w:eastAsia="zh-CN"/>
              </w:rPr>
              <w:t>沥青烟气（包括拌和站和乳化沥青生产线），上料和干燥废气，天然气导热油炉废气。本项目原料进厂后在封闭原料库内暂存，内部无风力扬尘，</w:t>
            </w:r>
            <w:r>
              <w:rPr>
                <w:rFonts w:hint="eastAsia" w:cs="Times New Roman"/>
                <w:bCs/>
                <w:color w:val="auto"/>
                <w:spacing w:val="0"/>
                <w:kern w:val="0"/>
                <w:sz w:val="24"/>
                <w:szCs w:val="24"/>
                <w:lang w:val="en-US" w:eastAsia="zh-CN"/>
              </w:rPr>
              <w:t>采用雾炮</w:t>
            </w:r>
            <w:r>
              <w:rPr>
                <w:rFonts w:hint="default" w:ascii="Times New Roman" w:hAnsi="Times New Roman" w:cs="Times New Roman"/>
                <w:bCs/>
                <w:color w:val="auto"/>
                <w:spacing w:val="0"/>
                <w:kern w:val="0"/>
                <w:sz w:val="24"/>
                <w:szCs w:val="24"/>
                <w:lang w:val="en-US" w:eastAsia="zh-CN"/>
              </w:rPr>
              <w:t>喷淋</w:t>
            </w:r>
            <w:r>
              <w:rPr>
                <w:rFonts w:hint="eastAsia" w:cs="Times New Roman"/>
                <w:bCs/>
                <w:color w:val="auto"/>
                <w:spacing w:val="0"/>
                <w:kern w:val="0"/>
                <w:sz w:val="24"/>
                <w:szCs w:val="24"/>
                <w:lang w:val="en-US" w:eastAsia="zh-CN"/>
              </w:rPr>
              <w:t>降尘</w:t>
            </w:r>
            <w:r>
              <w:rPr>
                <w:rFonts w:hint="default" w:ascii="Times New Roman" w:hAnsi="Times New Roman" w:cs="Times New Roman"/>
                <w:bCs/>
                <w:color w:val="auto"/>
                <w:spacing w:val="0"/>
                <w:kern w:val="0"/>
                <w:sz w:val="24"/>
                <w:szCs w:val="24"/>
                <w:lang w:val="en-US" w:eastAsia="zh-CN"/>
              </w:rPr>
              <w:t>，物料在生产过程</w:t>
            </w:r>
            <w:r>
              <w:rPr>
                <w:rFonts w:hint="eastAsia" w:cs="Times New Roman"/>
                <w:bCs/>
                <w:color w:val="auto"/>
                <w:spacing w:val="0"/>
                <w:kern w:val="0"/>
                <w:sz w:val="24"/>
                <w:szCs w:val="24"/>
                <w:lang w:val="en-US" w:eastAsia="zh-CN"/>
              </w:rPr>
              <w:t>中</w:t>
            </w:r>
            <w:r>
              <w:rPr>
                <w:rFonts w:hint="default" w:ascii="Times New Roman" w:hAnsi="Times New Roman" w:cs="Times New Roman"/>
                <w:bCs/>
                <w:color w:val="auto"/>
                <w:spacing w:val="0"/>
                <w:kern w:val="0"/>
                <w:sz w:val="24"/>
                <w:szCs w:val="24"/>
                <w:lang w:val="en-US" w:eastAsia="zh-CN"/>
              </w:rPr>
              <w:t>采用密闭传送带输送物料，故</w:t>
            </w:r>
            <w:r>
              <w:rPr>
                <w:rFonts w:hint="eastAsia" w:cs="Times New Roman"/>
                <w:bCs/>
                <w:color w:val="auto"/>
                <w:spacing w:val="0"/>
                <w:kern w:val="0"/>
                <w:sz w:val="24"/>
                <w:szCs w:val="24"/>
                <w:lang w:val="en-US" w:eastAsia="zh-CN"/>
              </w:rPr>
              <w:t>传输</w:t>
            </w:r>
            <w:r>
              <w:rPr>
                <w:rFonts w:hint="default" w:ascii="Times New Roman" w:hAnsi="Times New Roman" w:cs="Times New Roman"/>
                <w:bCs/>
                <w:color w:val="auto"/>
                <w:spacing w:val="0"/>
                <w:kern w:val="0"/>
                <w:sz w:val="24"/>
                <w:szCs w:val="24"/>
                <w:lang w:val="en-US" w:eastAsia="zh-CN"/>
              </w:rPr>
              <w:t>粉尘可忽略不计。</w:t>
            </w:r>
          </w:p>
          <w:p w14:paraId="13284466">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highlight w:val="none"/>
                <w:lang w:eastAsia="zh-CN"/>
              </w:rPr>
              <w:t>汽运粉尘</w:t>
            </w:r>
          </w:p>
          <w:p w14:paraId="4DD3679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车辆行驶中产生的扬尘，在道路完全干燥的情况下，可按下列经验公式计算：</w:t>
            </w:r>
          </w:p>
          <w:p w14:paraId="7005A5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9" o:spt="75" type="#_x0000_t75" style="height:31pt;width:145pt;" o:ole="t" filled="f" o:preferrelative="t" stroked="f" coordsize="21600,21600">
                  <v:path/>
                  <v:fill on="f" focussize="0,0"/>
                  <v:stroke on="f"/>
                  <v:imagedata r:id="rId18" o:title=""/>
                  <o:lock v:ext="edit" aspectratio="t"/>
                  <w10:wrap type="none"/>
                  <w10:anchorlock/>
                </v:shape>
                <o:OLEObject Type="Embed" ProgID="Equation.DSMT4" ShapeID="_x0000_i1029" DrawAspect="Content" ObjectID="_1468075729">
                  <o:LockedField>false</o:LockedField>
                </o:OLEObject>
              </w:object>
            </w:r>
          </w:p>
          <w:p w14:paraId="796522A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14:paraId="32D0B9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Q：汽车行驶时的扬尘，kg/km</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辆；</w:t>
            </w:r>
          </w:p>
          <w:p w14:paraId="18CBB9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V：汽车速度，km/h；</w:t>
            </w:r>
          </w:p>
          <w:p w14:paraId="33416F4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W：汽车载重量，t；</w:t>
            </w:r>
          </w:p>
          <w:p w14:paraId="74B13B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P：道路表面粉尘量，kg/m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599BDD2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cs="Times New Roman"/>
                <w:color w:val="auto"/>
                <w:sz w:val="24"/>
                <w:szCs w:val="24"/>
                <w:highlight w:val="none"/>
                <w:lang w:val="en-US" w:eastAsia="zh-CN"/>
              </w:rPr>
              <w:t>本项目车辆在厂区内行驶速度为5km/h。空车重约10t，满载车重约50t，本项目建成后沥青混凝土生产线和乳化沥青生产线的原料和产品共计约为100400t/a，则空车和满载车次各为2510车次/a。道路表面粉尘量以0.1kg/m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val="en-US" w:eastAsia="zh-CN"/>
              </w:rPr>
              <w:t>经计算，Q</w:t>
            </w:r>
            <w:r>
              <w:rPr>
                <w:rFonts w:hint="default" w:ascii="Times New Roman" w:hAnsi="Times New Roman" w:eastAsia="宋体" w:cs="Times New Roman"/>
                <w:color w:val="auto"/>
                <w:sz w:val="24"/>
                <w:szCs w:val="24"/>
                <w:highlight w:val="none"/>
                <w:vertAlign w:val="subscript"/>
                <w:lang w:val="en-US" w:eastAsia="zh-CN"/>
              </w:rPr>
              <w:t>空车</w:t>
            </w:r>
            <w:r>
              <w:rPr>
                <w:rFonts w:hint="default" w:ascii="Times New Roman" w:hAnsi="Times New Roman" w:eastAsia="宋体" w:cs="Times New Roman"/>
                <w:color w:val="auto"/>
                <w:sz w:val="24"/>
                <w:szCs w:val="24"/>
                <w:highlight w:val="none"/>
                <w:lang w:val="en-US" w:eastAsia="zh-CN"/>
              </w:rPr>
              <w:t>=0.05</w:t>
            </w:r>
            <w:r>
              <w:rPr>
                <w:rFonts w:hint="default" w:ascii="Times New Roman" w:hAnsi="Times New Roman" w:eastAsia="宋体" w:cs="Times New Roman"/>
                <w:color w:val="auto"/>
                <w:sz w:val="24"/>
                <w:szCs w:val="24"/>
                <w:highlight w:val="none"/>
              </w:rPr>
              <w:t>kg/km</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满载车</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kg/km</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厂区内行驶距离约为0.</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km，经计算，在道路完全干燥的情况，空车汽运粉尘产生量为0.025t/a，满载车汽运粉尘量产生量为0.1t/a，合计0.125t/a。</w:t>
            </w:r>
            <w:r>
              <w:rPr>
                <w:rFonts w:hint="default" w:ascii="Times New Roman" w:hAnsi="Times New Roman" w:eastAsia="宋体" w:cs="Times New Roman"/>
                <w:color w:val="auto"/>
                <w:sz w:val="24"/>
                <w:szCs w:val="24"/>
                <w:highlight w:val="none"/>
                <w:lang w:eastAsia="zh-CN"/>
              </w:rPr>
              <w:t>厂区进出口建设自动感应洗车台；进出厂的运输车辆采取密闭或全覆盖措施；厂区路面硬化；及时清扫，定时洒水。</w:t>
            </w:r>
            <w:r>
              <w:rPr>
                <w:rFonts w:hint="default" w:ascii="Times New Roman" w:hAnsi="Times New Roman" w:eastAsia="宋体" w:cs="Times New Roman"/>
                <w:color w:val="auto"/>
                <w:sz w:val="24"/>
                <w:szCs w:val="24"/>
                <w:highlight w:val="none"/>
                <w:lang w:val="en-US" w:eastAsia="zh-CN"/>
              </w:rPr>
              <w:t>采取以上措施后粉尘量可减少90%，</w:t>
            </w:r>
            <w:r>
              <w:rPr>
                <w:rFonts w:hint="eastAsia" w:ascii="Times New Roman" w:hAnsi="Times New Roman" w:cs="Times New Roman"/>
                <w:color w:val="auto"/>
                <w:sz w:val="24"/>
                <w:szCs w:val="24"/>
                <w:highlight w:val="none"/>
                <w:lang w:val="en-US" w:eastAsia="zh-CN"/>
              </w:rPr>
              <w:t>排放情况见下表。</w:t>
            </w:r>
          </w:p>
          <w:p w14:paraId="0B4F7235">
            <w:pPr>
              <w:numPr>
                <w:ilvl w:val="0"/>
                <w:numId w:val="13"/>
              </w:numPr>
              <w:tabs>
                <w:tab w:val="center" w:pos="0"/>
              </w:tabs>
              <w:ind w:left="420" w:leftChars="0" w:hanging="420" w:firstLineChars="0"/>
              <w:jc w:val="center"/>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cs="Times New Roman"/>
                <w:b/>
                <w:bCs/>
                <w:snapToGrid w:val="0"/>
                <w:color w:val="auto"/>
                <w:kern w:val="0"/>
                <w:sz w:val="24"/>
                <w:szCs w:val="24"/>
                <w:highlight w:val="none"/>
                <w:lang w:val="en-US" w:eastAsia="zh-CN" w:bidi="ar-SA"/>
              </w:rPr>
              <w:t>汽运粉尘排放情况</w:t>
            </w:r>
            <w:r>
              <w:rPr>
                <w:rFonts w:hint="default" w:ascii="Times New Roman" w:hAnsi="Times New Roman" w:eastAsia="宋体" w:cs="Times New Roman"/>
                <w:b/>
                <w:bCs/>
                <w:snapToGrid w:val="0"/>
                <w:color w:val="auto"/>
                <w:kern w:val="0"/>
                <w:sz w:val="24"/>
                <w:szCs w:val="24"/>
                <w:highlight w:val="none"/>
                <w:lang w:val="en-US" w:eastAsia="zh-CN" w:bidi="ar-SA"/>
              </w:rPr>
              <w:t>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1"/>
              <w:gridCol w:w="959"/>
              <w:gridCol w:w="1014"/>
              <w:gridCol w:w="1092"/>
              <w:gridCol w:w="981"/>
              <w:gridCol w:w="1089"/>
              <w:gridCol w:w="1089"/>
              <w:gridCol w:w="1097"/>
            </w:tblGrid>
            <w:tr w14:paraId="2E6F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6" w:type="pct"/>
                  <w:noWrap w:val="0"/>
                  <w:vAlign w:val="center"/>
                </w:tcPr>
                <w:p w14:paraId="57CECEC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名称</w:t>
                  </w:r>
                </w:p>
              </w:tc>
              <w:tc>
                <w:tcPr>
                  <w:tcW w:w="612" w:type="pct"/>
                  <w:noWrap w:val="0"/>
                  <w:vAlign w:val="center"/>
                </w:tcPr>
                <w:p w14:paraId="4558FD7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污染物</w:t>
                  </w:r>
                </w:p>
              </w:tc>
              <w:tc>
                <w:tcPr>
                  <w:tcW w:w="647" w:type="pct"/>
                  <w:noWrap w:val="0"/>
                  <w:vAlign w:val="center"/>
                </w:tcPr>
                <w:p w14:paraId="007E76CA">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产生量</w:t>
                  </w:r>
                </w:p>
                <w:p w14:paraId="1CE65AD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t/a</w:t>
                  </w:r>
                </w:p>
              </w:tc>
              <w:tc>
                <w:tcPr>
                  <w:tcW w:w="697" w:type="pct"/>
                  <w:noWrap w:val="0"/>
                  <w:vAlign w:val="center"/>
                </w:tcPr>
                <w:p w14:paraId="2BBDB3E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处理效率</w:t>
                  </w:r>
                </w:p>
              </w:tc>
              <w:tc>
                <w:tcPr>
                  <w:tcW w:w="626" w:type="pct"/>
                  <w:noWrap w:val="0"/>
                  <w:vAlign w:val="center"/>
                </w:tcPr>
                <w:p w14:paraId="378E911D">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排放量</w:t>
                  </w:r>
                </w:p>
                <w:p w14:paraId="498FB6EC">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t/a</w:t>
                  </w:r>
                </w:p>
              </w:tc>
              <w:tc>
                <w:tcPr>
                  <w:tcW w:w="695" w:type="pct"/>
                  <w:noWrap w:val="0"/>
                  <w:vAlign w:val="center"/>
                </w:tcPr>
                <w:p w14:paraId="1604DC35">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排放时间</w:t>
                  </w:r>
                </w:p>
                <w:p w14:paraId="67DD43AF">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h/a</w:t>
                  </w:r>
                </w:p>
              </w:tc>
              <w:tc>
                <w:tcPr>
                  <w:tcW w:w="695" w:type="pct"/>
                  <w:noWrap w:val="0"/>
                  <w:vAlign w:val="center"/>
                </w:tcPr>
                <w:p w14:paraId="7E2F446E">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排放速率</w:t>
                  </w:r>
                </w:p>
                <w:p w14:paraId="616120D2">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kg/h</w:t>
                  </w:r>
                </w:p>
              </w:tc>
              <w:tc>
                <w:tcPr>
                  <w:tcW w:w="699" w:type="pct"/>
                  <w:noWrap w:val="0"/>
                  <w:vAlign w:val="center"/>
                </w:tcPr>
                <w:p w14:paraId="471EA5D0">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排放形式</w:t>
                  </w:r>
                </w:p>
              </w:tc>
            </w:tr>
            <w:tr w14:paraId="3C2E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6" w:type="pct"/>
                  <w:noWrap w:val="0"/>
                  <w:vAlign w:val="center"/>
                </w:tcPr>
                <w:p w14:paraId="0365F50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汽运粉尘</w:t>
                  </w:r>
                </w:p>
              </w:tc>
              <w:tc>
                <w:tcPr>
                  <w:tcW w:w="612" w:type="pct"/>
                  <w:noWrap w:val="0"/>
                  <w:vAlign w:val="center"/>
                </w:tcPr>
                <w:p w14:paraId="6E2FCDE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647" w:type="pct"/>
                  <w:noWrap w:val="0"/>
                  <w:vAlign w:val="center"/>
                </w:tcPr>
                <w:p w14:paraId="1F7844E5">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0.125</w:t>
                  </w:r>
                </w:p>
              </w:tc>
              <w:tc>
                <w:tcPr>
                  <w:tcW w:w="697" w:type="pct"/>
                  <w:noWrap w:val="0"/>
                  <w:vAlign w:val="center"/>
                </w:tcPr>
                <w:p w14:paraId="45A2F71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626" w:type="pct"/>
                  <w:noWrap w:val="0"/>
                  <w:vAlign w:val="center"/>
                </w:tcPr>
                <w:p w14:paraId="2B1A6D3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1089" w:type="dxa"/>
                  <w:noWrap w:val="0"/>
                  <w:vAlign w:val="center"/>
                </w:tcPr>
                <w:p w14:paraId="7C046F8E">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1089" w:type="dxa"/>
                  <w:noWrap w:val="0"/>
                  <w:vAlign w:val="center"/>
                </w:tcPr>
                <w:p w14:paraId="2BBF24A5">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0.054</w:t>
                  </w:r>
                </w:p>
              </w:tc>
              <w:tc>
                <w:tcPr>
                  <w:tcW w:w="699" w:type="pct"/>
                  <w:noWrap w:val="0"/>
                  <w:vAlign w:val="center"/>
                </w:tcPr>
                <w:p w14:paraId="678A035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无组织</w:t>
                  </w:r>
                </w:p>
              </w:tc>
            </w:tr>
          </w:tbl>
          <w:p w14:paraId="3EACBD9E">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eastAsia" w:ascii="Times New Roman" w:hAnsi="Times New Roman" w:cs="Times New Roman"/>
                <w:b/>
                <w:bCs w:val="0"/>
                <w:color w:val="auto"/>
                <w:spacing w:val="0"/>
                <w:kern w:val="0"/>
                <w:sz w:val="24"/>
                <w:szCs w:val="24"/>
                <w:lang w:val="en-US" w:eastAsia="zh-CN"/>
              </w:rPr>
            </w:pPr>
            <w:r>
              <w:rPr>
                <w:rFonts w:hint="eastAsia" w:cs="Times New Roman"/>
                <w:b/>
                <w:bCs w:val="0"/>
                <w:color w:val="auto"/>
                <w:spacing w:val="0"/>
                <w:kern w:val="0"/>
                <w:sz w:val="24"/>
                <w:szCs w:val="24"/>
                <w:lang w:val="en-US" w:eastAsia="zh-CN"/>
              </w:rPr>
              <w:t>（2）装卸粉尘</w:t>
            </w:r>
          </w:p>
          <w:p w14:paraId="216A31F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cs="Times New Roman"/>
                <w:b w:val="0"/>
                <w:bCs/>
                <w:color w:val="auto"/>
                <w:spacing w:val="0"/>
                <w:kern w:val="0"/>
                <w:sz w:val="24"/>
                <w:szCs w:val="24"/>
                <w:lang w:val="en-US" w:eastAsia="zh-CN"/>
              </w:rPr>
            </w:pPr>
            <w:r>
              <w:rPr>
                <w:rFonts w:hint="eastAsia" w:ascii="Times New Roman" w:hAnsi="Times New Roman" w:cs="Times New Roman"/>
                <w:b w:val="0"/>
                <w:bCs/>
                <w:color w:val="auto"/>
                <w:spacing w:val="0"/>
                <w:kern w:val="0"/>
                <w:sz w:val="24"/>
                <w:szCs w:val="24"/>
                <w:lang w:val="en-US" w:eastAsia="zh-CN"/>
              </w:rPr>
              <w:t>《关于发布排放源统计调查产排污核算方法和系数手册的公告》（生态环境部，公告2021年第24号）中无该源强核算系数可参考，因此本次环评参考《逸散性工业粉尘控制技术》中</w:t>
            </w:r>
            <w:r>
              <w:rPr>
                <w:rFonts w:hint="eastAsia" w:cs="Times New Roman"/>
                <w:b w:val="0"/>
                <w:bCs/>
                <w:color w:val="auto"/>
                <w:spacing w:val="0"/>
                <w:kern w:val="0"/>
                <w:sz w:val="24"/>
                <w:szCs w:val="24"/>
                <w:lang w:val="en-US" w:eastAsia="zh-CN"/>
              </w:rPr>
              <w:t>的“表1-13”</w:t>
            </w:r>
            <w:r>
              <w:rPr>
                <w:rFonts w:hint="eastAsia" w:ascii="Times New Roman" w:hAnsi="Times New Roman" w:cs="Times New Roman"/>
                <w:b w:val="0"/>
                <w:bCs/>
                <w:color w:val="auto"/>
                <w:spacing w:val="0"/>
                <w:kern w:val="0"/>
                <w:sz w:val="24"/>
                <w:szCs w:val="24"/>
                <w:lang w:val="en-US" w:eastAsia="zh-CN"/>
              </w:rPr>
              <w:t>，</w:t>
            </w:r>
            <w:r>
              <w:rPr>
                <w:rFonts w:hint="eastAsia" w:cs="Times New Roman"/>
                <w:b w:val="0"/>
                <w:bCs/>
                <w:color w:val="auto"/>
                <w:spacing w:val="0"/>
                <w:kern w:val="0"/>
                <w:sz w:val="24"/>
                <w:szCs w:val="24"/>
                <w:lang w:val="en-US" w:eastAsia="zh-CN"/>
              </w:rPr>
              <w:t>装卸</w:t>
            </w:r>
            <w:r>
              <w:rPr>
                <w:rFonts w:hint="eastAsia" w:ascii="Times New Roman" w:hAnsi="Times New Roman" w:cs="Times New Roman"/>
                <w:b w:val="0"/>
                <w:bCs/>
                <w:color w:val="auto"/>
                <w:spacing w:val="0"/>
                <w:kern w:val="0"/>
                <w:sz w:val="24"/>
                <w:szCs w:val="24"/>
                <w:lang w:val="en-US" w:eastAsia="zh-CN"/>
              </w:rPr>
              <w:t>料产尘系数为0.</w:t>
            </w:r>
            <w:r>
              <w:rPr>
                <w:rFonts w:hint="eastAsia" w:cs="Times New Roman"/>
                <w:b w:val="0"/>
                <w:bCs/>
                <w:color w:val="auto"/>
                <w:spacing w:val="0"/>
                <w:kern w:val="0"/>
                <w:sz w:val="24"/>
                <w:szCs w:val="24"/>
                <w:lang w:val="en-US" w:eastAsia="zh-CN"/>
              </w:rPr>
              <w:t>15</w:t>
            </w:r>
            <w:r>
              <w:rPr>
                <w:rFonts w:hint="eastAsia" w:ascii="Times New Roman" w:hAnsi="Times New Roman" w:cs="Times New Roman"/>
                <w:b w:val="0"/>
                <w:bCs/>
                <w:color w:val="auto"/>
                <w:spacing w:val="0"/>
                <w:kern w:val="0"/>
                <w:sz w:val="24"/>
                <w:szCs w:val="24"/>
                <w:lang w:val="en-US" w:eastAsia="zh-CN"/>
              </w:rPr>
              <w:t>kg/t</w:t>
            </w:r>
            <w:r>
              <w:rPr>
                <w:rFonts w:hint="eastAsia" w:cs="Times New Roman"/>
                <w:b w:val="0"/>
                <w:bCs/>
                <w:color w:val="auto"/>
                <w:spacing w:val="0"/>
                <w:kern w:val="0"/>
                <w:sz w:val="24"/>
                <w:szCs w:val="24"/>
                <w:lang w:val="en-US" w:eastAsia="zh-CN"/>
              </w:rPr>
              <w:t>，</w:t>
            </w:r>
            <w:r>
              <w:rPr>
                <w:rFonts w:hint="eastAsia" w:ascii="Times New Roman" w:hAnsi="Times New Roman" w:cs="Times New Roman"/>
                <w:b w:val="0"/>
                <w:bCs/>
                <w:color w:val="auto"/>
                <w:spacing w:val="0"/>
                <w:kern w:val="0"/>
                <w:sz w:val="24"/>
                <w:szCs w:val="24"/>
                <w:lang w:val="en-US" w:eastAsia="zh-CN"/>
              </w:rPr>
              <w:t>本项目主要考虑机制砂、石子和石硝的产尘，以上原料用量为47500t/a，则</w:t>
            </w:r>
            <w:r>
              <w:rPr>
                <w:rFonts w:hint="eastAsia" w:cs="Times New Roman"/>
                <w:b w:val="0"/>
                <w:bCs/>
                <w:color w:val="auto"/>
                <w:spacing w:val="0"/>
                <w:kern w:val="0"/>
                <w:sz w:val="24"/>
                <w:szCs w:val="24"/>
                <w:lang w:val="en-US" w:eastAsia="zh-CN"/>
              </w:rPr>
              <w:t>装卸粉尘</w:t>
            </w:r>
            <w:r>
              <w:rPr>
                <w:rFonts w:hint="eastAsia" w:ascii="Times New Roman" w:hAnsi="Times New Roman" w:cs="Times New Roman"/>
                <w:b w:val="0"/>
                <w:bCs/>
                <w:color w:val="auto"/>
                <w:spacing w:val="0"/>
                <w:kern w:val="0"/>
                <w:sz w:val="24"/>
                <w:szCs w:val="24"/>
                <w:lang w:val="en-US" w:eastAsia="zh-CN"/>
              </w:rPr>
              <w:t>产生量为</w:t>
            </w:r>
            <w:r>
              <w:rPr>
                <w:rFonts w:hint="eastAsia" w:cs="Times New Roman"/>
                <w:b w:val="0"/>
                <w:bCs/>
                <w:color w:val="auto"/>
                <w:spacing w:val="0"/>
                <w:kern w:val="0"/>
                <w:sz w:val="24"/>
                <w:szCs w:val="24"/>
                <w:lang w:val="en-US" w:eastAsia="zh-CN"/>
              </w:rPr>
              <w:t>0.95</w:t>
            </w:r>
            <w:r>
              <w:rPr>
                <w:rFonts w:hint="eastAsia" w:ascii="Times New Roman" w:hAnsi="Times New Roman" w:cs="Times New Roman"/>
                <w:b w:val="0"/>
                <w:bCs/>
                <w:color w:val="auto"/>
                <w:spacing w:val="0"/>
                <w:kern w:val="0"/>
                <w:sz w:val="24"/>
                <w:szCs w:val="24"/>
                <w:lang w:val="en-US" w:eastAsia="zh-CN"/>
              </w:rPr>
              <w:t>t/a。</w:t>
            </w:r>
            <w:r>
              <w:rPr>
                <w:rFonts w:hint="eastAsia" w:cs="Times New Roman"/>
                <w:b w:val="0"/>
                <w:bCs/>
                <w:color w:val="auto"/>
                <w:spacing w:val="0"/>
                <w:kern w:val="0"/>
                <w:sz w:val="24"/>
                <w:szCs w:val="24"/>
                <w:lang w:val="en-US" w:eastAsia="zh-CN"/>
              </w:rPr>
              <w:t>装卸工序</w:t>
            </w:r>
            <w:r>
              <w:rPr>
                <w:rFonts w:hint="eastAsia" w:ascii="Times New Roman" w:hAnsi="Times New Roman" w:cs="Times New Roman"/>
                <w:b w:val="0"/>
                <w:bCs/>
                <w:color w:val="auto"/>
                <w:spacing w:val="0"/>
                <w:kern w:val="0"/>
                <w:sz w:val="24"/>
                <w:szCs w:val="24"/>
                <w:lang w:val="en-US" w:eastAsia="zh-CN"/>
              </w:rPr>
              <w:t>位于封闭车间内</w:t>
            </w:r>
            <w:r>
              <w:rPr>
                <w:rFonts w:hint="eastAsia" w:cs="Times New Roman"/>
                <w:b w:val="0"/>
                <w:bCs/>
                <w:color w:val="auto"/>
                <w:spacing w:val="0"/>
                <w:kern w:val="0"/>
                <w:sz w:val="24"/>
                <w:szCs w:val="24"/>
                <w:lang w:val="en-US" w:eastAsia="zh-CN"/>
              </w:rPr>
              <w:t>可减少90%的粉尘量</w:t>
            </w:r>
            <w:r>
              <w:rPr>
                <w:rFonts w:hint="eastAsia" w:ascii="Times New Roman" w:hAnsi="Times New Roman" w:cs="Times New Roman"/>
                <w:b w:val="0"/>
                <w:bCs/>
                <w:color w:val="auto"/>
                <w:spacing w:val="0"/>
                <w:kern w:val="0"/>
                <w:sz w:val="24"/>
                <w:szCs w:val="24"/>
                <w:lang w:val="en-US" w:eastAsia="zh-CN"/>
              </w:rPr>
              <w:t>，设置</w:t>
            </w:r>
            <w:r>
              <w:rPr>
                <w:rFonts w:hint="eastAsia" w:cs="Times New Roman"/>
                <w:b w:val="0"/>
                <w:bCs/>
                <w:color w:val="auto"/>
                <w:spacing w:val="0"/>
                <w:kern w:val="0"/>
                <w:sz w:val="24"/>
                <w:szCs w:val="24"/>
                <w:lang w:val="en-US" w:eastAsia="zh-CN"/>
              </w:rPr>
              <w:t>雾炮</w:t>
            </w:r>
            <w:r>
              <w:rPr>
                <w:rFonts w:hint="eastAsia" w:ascii="Times New Roman" w:hAnsi="Times New Roman" w:cs="Times New Roman"/>
                <w:b w:val="0"/>
                <w:bCs/>
                <w:color w:val="auto"/>
                <w:spacing w:val="0"/>
                <w:kern w:val="0"/>
                <w:sz w:val="24"/>
                <w:szCs w:val="24"/>
                <w:lang w:val="en-US" w:eastAsia="zh-CN"/>
              </w:rPr>
              <w:t>喷淋降尘</w:t>
            </w:r>
            <w:r>
              <w:rPr>
                <w:rFonts w:hint="eastAsia" w:cs="Times New Roman"/>
                <w:b w:val="0"/>
                <w:bCs/>
                <w:color w:val="auto"/>
                <w:spacing w:val="0"/>
                <w:kern w:val="0"/>
                <w:sz w:val="24"/>
                <w:szCs w:val="24"/>
                <w:lang w:val="en-US" w:eastAsia="zh-CN"/>
              </w:rPr>
              <w:t>可减少90%的粉尘量</w:t>
            </w:r>
            <w:r>
              <w:rPr>
                <w:rFonts w:hint="eastAsia" w:ascii="Times New Roman" w:hAnsi="Times New Roman" w:cs="Times New Roman"/>
                <w:b w:val="0"/>
                <w:bCs/>
                <w:color w:val="auto"/>
                <w:spacing w:val="0"/>
                <w:kern w:val="0"/>
                <w:sz w:val="24"/>
                <w:szCs w:val="24"/>
                <w:lang w:val="en-US" w:eastAsia="zh-CN"/>
              </w:rPr>
              <w:t>，</w:t>
            </w:r>
            <w:r>
              <w:rPr>
                <w:rFonts w:hint="eastAsia" w:cs="Times New Roman"/>
                <w:b w:val="0"/>
                <w:bCs/>
                <w:color w:val="auto"/>
                <w:spacing w:val="0"/>
                <w:kern w:val="0"/>
                <w:sz w:val="24"/>
                <w:szCs w:val="24"/>
                <w:lang w:val="en-US" w:eastAsia="zh-CN"/>
              </w:rPr>
              <w:t>同时注意</w:t>
            </w:r>
            <w:r>
              <w:rPr>
                <w:rFonts w:hint="eastAsia" w:ascii="Times New Roman" w:hAnsi="Times New Roman" w:cs="Times New Roman"/>
                <w:b w:val="0"/>
                <w:bCs/>
                <w:color w:val="auto"/>
                <w:spacing w:val="0"/>
                <w:kern w:val="0"/>
                <w:sz w:val="24"/>
                <w:szCs w:val="24"/>
                <w:lang w:val="en-US" w:eastAsia="zh-CN"/>
              </w:rPr>
              <w:t>降低装卸高度</w:t>
            </w:r>
            <w:r>
              <w:rPr>
                <w:rFonts w:hint="eastAsia" w:cs="Times New Roman"/>
                <w:b w:val="0"/>
                <w:bCs/>
                <w:color w:val="auto"/>
                <w:spacing w:val="0"/>
                <w:kern w:val="0"/>
                <w:sz w:val="24"/>
                <w:szCs w:val="24"/>
                <w:lang w:val="en-US" w:eastAsia="zh-CN"/>
              </w:rPr>
              <w:t>。</w:t>
            </w:r>
            <w:r>
              <w:rPr>
                <w:rFonts w:hint="eastAsia" w:ascii="Times New Roman" w:hAnsi="Times New Roman" w:cs="Times New Roman"/>
                <w:b w:val="0"/>
                <w:bCs/>
                <w:color w:val="auto"/>
                <w:spacing w:val="0"/>
                <w:kern w:val="0"/>
                <w:sz w:val="24"/>
                <w:szCs w:val="24"/>
                <w:lang w:val="en-US" w:eastAsia="zh-CN"/>
              </w:rPr>
              <w:t>采取以上措施后粉尘量可减少9</w:t>
            </w:r>
            <w:r>
              <w:rPr>
                <w:rFonts w:hint="eastAsia" w:cs="Times New Roman"/>
                <w:b w:val="0"/>
                <w:bCs/>
                <w:color w:val="auto"/>
                <w:spacing w:val="0"/>
                <w:kern w:val="0"/>
                <w:sz w:val="24"/>
                <w:szCs w:val="24"/>
                <w:lang w:val="en-US" w:eastAsia="zh-CN"/>
              </w:rPr>
              <w:t>9</w:t>
            </w:r>
            <w:r>
              <w:rPr>
                <w:rFonts w:hint="eastAsia" w:ascii="Times New Roman" w:hAnsi="Times New Roman" w:cs="Times New Roman"/>
                <w:b w:val="0"/>
                <w:bCs/>
                <w:color w:val="auto"/>
                <w:spacing w:val="0"/>
                <w:kern w:val="0"/>
                <w:sz w:val="24"/>
                <w:szCs w:val="24"/>
                <w:lang w:val="en-US" w:eastAsia="zh-CN"/>
              </w:rPr>
              <w:t>%，排放情况见下表。</w:t>
            </w:r>
          </w:p>
          <w:p w14:paraId="71A0EAC7">
            <w:pPr>
              <w:numPr>
                <w:ilvl w:val="0"/>
                <w:numId w:val="13"/>
              </w:numPr>
              <w:tabs>
                <w:tab w:val="center" w:pos="0"/>
              </w:tabs>
              <w:ind w:left="420" w:leftChars="0" w:hanging="420" w:firstLineChars="0"/>
              <w:jc w:val="center"/>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cs="Times New Roman"/>
                <w:b/>
                <w:bCs/>
                <w:snapToGrid w:val="0"/>
                <w:color w:val="auto"/>
                <w:kern w:val="0"/>
                <w:sz w:val="24"/>
                <w:szCs w:val="24"/>
                <w:highlight w:val="none"/>
                <w:lang w:val="en-US" w:eastAsia="zh-CN" w:bidi="ar-SA"/>
              </w:rPr>
              <w:t>装卸粉尘排放情况</w:t>
            </w:r>
            <w:r>
              <w:rPr>
                <w:rFonts w:hint="default" w:ascii="Times New Roman" w:hAnsi="Times New Roman" w:eastAsia="宋体" w:cs="Times New Roman"/>
                <w:b/>
                <w:bCs/>
                <w:snapToGrid w:val="0"/>
                <w:color w:val="auto"/>
                <w:kern w:val="0"/>
                <w:sz w:val="24"/>
                <w:szCs w:val="24"/>
                <w:highlight w:val="none"/>
                <w:lang w:val="en-US" w:eastAsia="zh-CN" w:bidi="ar-SA"/>
              </w:rPr>
              <w:t>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1"/>
              <w:gridCol w:w="959"/>
              <w:gridCol w:w="1014"/>
              <w:gridCol w:w="1092"/>
              <w:gridCol w:w="981"/>
              <w:gridCol w:w="1089"/>
              <w:gridCol w:w="1089"/>
              <w:gridCol w:w="1097"/>
            </w:tblGrid>
            <w:tr w14:paraId="3160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6" w:type="pct"/>
                  <w:noWrap w:val="0"/>
                  <w:vAlign w:val="center"/>
                </w:tcPr>
                <w:p w14:paraId="17D3E55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名称</w:t>
                  </w:r>
                </w:p>
              </w:tc>
              <w:tc>
                <w:tcPr>
                  <w:tcW w:w="612" w:type="pct"/>
                  <w:noWrap w:val="0"/>
                  <w:vAlign w:val="center"/>
                </w:tcPr>
                <w:p w14:paraId="6B1D2A2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污染物</w:t>
                  </w:r>
                </w:p>
              </w:tc>
              <w:tc>
                <w:tcPr>
                  <w:tcW w:w="647" w:type="pct"/>
                  <w:noWrap w:val="0"/>
                  <w:vAlign w:val="center"/>
                </w:tcPr>
                <w:p w14:paraId="4500D691">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产生量</w:t>
                  </w:r>
                </w:p>
                <w:p w14:paraId="2546D7A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t/a</w:t>
                  </w:r>
                </w:p>
              </w:tc>
              <w:tc>
                <w:tcPr>
                  <w:tcW w:w="697" w:type="pct"/>
                  <w:noWrap w:val="0"/>
                  <w:vAlign w:val="center"/>
                </w:tcPr>
                <w:p w14:paraId="10DAAAA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处理效率</w:t>
                  </w:r>
                </w:p>
              </w:tc>
              <w:tc>
                <w:tcPr>
                  <w:tcW w:w="626" w:type="pct"/>
                  <w:noWrap w:val="0"/>
                  <w:vAlign w:val="center"/>
                </w:tcPr>
                <w:p w14:paraId="6D01A5B2">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排放量</w:t>
                  </w:r>
                </w:p>
                <w:p w14:paraId="64ADA115">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t/a</w:t>
                  </w:r>
                </w:p>
              </w:tc>
              <w:tc>
                <w:tcPr>
                  <w:tcW w:w="695" w:type="pct"/>
                  <w:noWrap w:val="0"/>
                  <w:vAlign w:val="center"/>
                </w:tcPr>
                <w:p w14:paraId="61CCE6A8">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排放时间</w:t>
                  </w:r>
                </w:p>
                <w:p w14:paraId="71EED8A1">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h/a</w:t>
                  </w:r>
                </w:p>
              </w:tc>
              <w:tc>
                <w:tcPr>
                  <w:tcW w:w="695" w:type="pct"/>
                  <w:noWrap w:val="0"/>
                  <w:vAlign w:val="center"/>
                </w:tcPr>
                <w:p w14:paraId="3C90EE0E">
                  <w:pPr>
                    <w:pStyle w:val="47"/>
                    <w:keepNext w:val="0"/>
                    <w:keepLines w:val="0"/>
                    <w:pageBreakBefore w:val="0"/>
                    <w:widowControl w:val="0"/>
                    <w:kinsoku/>
                    <w:wordWrap/>
                    <w:overflowPunct/>
                    <w:topLinePunct w:val="0"/>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排放速率</w:t>
                  </w:r>
                </w:p>
                <w:p w14:paraId="394B307A">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kg/h</w:t>
                  </w:r>
                </w:p>
              </w:tc>
              <w:tc>
                <w:tcPr>
                  <w:tcW w:w="699" w:type="pct"/>
                  <w:noWrap w:val="0"/>
                  <w:vAlign w:val="center"/>
                </w:tcPr>
                <w:p w14:paraId="40609520">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排放形式</w:t>
                  </w:r>
                </w:p>
              </w:tc>
            </w:tr>
            <w:tr w14:paraId="1C63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6" w:type="pct"/>
                  <w:noWrap w:val="0"/>
                  <w:vAlign w:val="center"/>
                </w:tcPr>
                <w:p w14:paraId="1A510A5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装卸粉尘</w:t>
                  </w:r>
                </w:p>
              </w:tc>
              <w:tc>
                <w:tcPr>
                  <w:tcW w:w="612" w:type="pct"/>
                  <w:noWrap w:val="0"/>
                  <w:vAlign w:val="center"/>
                </w:tcPr>
                <w:p w14:paraId="5308AB8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014" w:type="dxa"/>
                  <w:noWrap w:val="0"/>
                  <w:vAlign w:val="center"/>
                </w:tcPr>
                <w:p w14:paraId="6E7C64B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7.125</w:t>
                  </w:r>
                </w:p>
              </w:tc>
              <w:tc>
                <w:tcPr>
                  <w:tcW w:w="1092" w:type="dxa"/>
                  <w:noWrap w:val="0"/>
                  <w:vAlign w:val="center"/>
                </w:tcPr>
                <w:p w14:paraId="70D39739">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99%</w:t>
                  </w:r>
                </w:p>
              </w:tc>
              <w:tc>
                <w:tcPr>
                  <w:tcW w:w="981" w:type="dxa"/>
                  <w:noWrap w:val="0"/>
                  <w:vAlign w:val="center"/>
                </w:tcPr>
                <w:p w14:paraId="367B039B">
                  <w:pPr>
                    <w:keepNext w:val="0"/>
                    <w:keepLines w:val="0"/>
                    <w:widowControl/>
                    <w:suppressLineNumbers w:val="0"/>
                    <w:jc w:val="center"/>
                    <w:textAlignment w:val="center"/>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0.071</w:t>
                  </w:r>
                </w:p>
              </w:tc>
              <w:tc>
                <w:tcPr>
                  <w:tcW w:w="1089" w:type="dxa"/>
                  <w:noWrap w:val="0"/>
                  <w:vAlign w:val="center"/>
                </w:tcPr>
                <w:p w14:paraId="3F0FBF39">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1089" w:type="dxa"/>
                  <w:noWrap w:val="0"/>
                  <w:vAlign w:val="center"/>
                </w:tcPr>
                <w:p w14:paraId="722A77C7">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0.296</w:t>
                  </w:r>
                </w:p>
              </w:tc>
              <w:tc>
                <w:tcPr>
                  <w:tcW w:w="699" w:type="pct"/>
                  <w:noWrap w:val="0"/>
                  <w:vAlign w:val="center"/>
                </w:tcPr>
                <w:p w14:paraId="1547512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无组织</w:t>
                  </w:r>
                </w:p>
              </w:tc>
            </w:tr>
          </w:tbl>
          <w:p w14:paraId="3FBEB542">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val="0"/>
                <w:color w:val="auto"/>
                <w:spacing w:val="0"/>
                <w:kern w:val="0"/>
                <w:sz w:val="24"/>
                <w:szCs w:val="24"/>
                <w:lang w:val="en-US" w:eastAsia="zh-CN"/>
              </w:rPr>
            </w:pPr>
            <w:r>
              <w:rPr>
                <w:rFonts w:hint="eastAsia" w:ascii="Times New Roman" w:hAnsi="Times New Roman" w:cs="Times New Roman"/>
                <w:b/>
                <w:bCs w:val="0"/>
                <w:color w:val="auto"/>
                <w:spacing w:val="0"/>
                <w:kern w:val="0"/>
                <w:sz w:val="24"/>
                <w:szCs w:val="24"/>
                <w:lang w:val="en-US" w:eastAsia="zh-CN"/>
              </w:rPr>
              <w:t>（</w:t>
            </w:r>
            <w:r>
              <w:rPr>
                <w:rFonts w:hint="eastAsia" w:cs="Times New Roman"/>
                <w:b/>
                <w:bCs w:val="0"/>
                <w:color w:val="auto"/>
                <w:spacing w:val="0"/>
                <w:kern w:val="0"/>
                <w:sz w:val="24"/>
                <w:szCs w:val="24"/>
                <w:lang w:val="en-US" w:eastAsia="zh-CN"/>
              </w:rPr>
              <w:t>3</w:t>
            </w:r>
            <w:r>
              <w:rPr>
                <w:rFonts w:hint="eastAsia" w:ascii="Times New Roman" w:hAnsi="Times New Roman" w:cs="Times New Roman"/>
                <w:b/>
                <w:bCs w:val="0"/>
                <w:color w:val="auto"/>
                <w:spacing w:val="0"/>
                <w:kern w:val="0"/>
                <w:sz w:val="24"/>
                <w:szCs w:val="24"/>
                <w:lang w:val="en-US" w:eastAsia="zh-CN"/>
              </w:rPr>
              <w:t>）</w:t>
            </w:r>
            <w:r>
              <w:rPr>
                <w:rFonts w:hint="default" w:ascii="Times New Roman" w:hAnsi="Times New Roman" w:eastAsia="宋体" w:cs="Times New Roman"/>
                <w:b/>
                <w:bCs/>
                <w:color w:val="auto"/>
                <w:sz w:val="24"/>
                <w:szCs w:val="24"/>
                <w:highlight w:val="none"/>
                <w:lang w:val="en-US" w:eastAsia="zh-CN"/>
              </w:rPr>
              <w:t>沥青</w:t>
            </w:r>
            <w:r>
              <w:rPr>
                <w:rFonts w:hint="default" w:ascii="Times New Roman" w:hAnsi="Times New Roman" w:cs="Times New Roman"/>
                <w:b/>
                <w:bCs w:val="0"/>
                <w:color w:val="auto"/>
                <w:spacing w:val="0"/>
                <w:kern w:val="0"/>
                <w:sz w:val="24"/>
                <w:szCs w:val="24"/>
                <w:lang w:val="en-US" w:eastAsia="zh-CN"/>
              </w:rPr>
              <w:t>烟气</w:t>
            </w:r>
          </w:p>
          <w:p w14:paraId="3C8E54E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cs="Times New Roman"/>
                <w:bCs/>
                <w:color w:val="auto"/>
                <w:spacing w:val="0"/>
                <w:kern w:val="0"/>
                <w:sz w:val="24"/>
                <w:szCs w:val="24"/>
                <w:lang w:val="en-US" w:eastAsia="zh-CN"/>
              </w:rPr>
              <w:t>包括</w:t>
            </w:r>
            <w:r>
              <w:rPr>
                <w:rFonts w:hint="eastAsia" w:cs="Times New Roman"/>
                <w:bCs/>
                <w:color w:val="auto"/>
                <w:spacing w:val="0"/>
                <w:kern w:val="0"/>
                <w:sz w:val="24"/>
                <w:szCs w:val="24"/>
                <w:lang w:val="en-US" w:eastAsia="zh-CN"/>
              </w:rPr>
              <w:t>生产过程中沥青加热产生的</w:t>
            </w:r>
            <w:r>
              <w:rPr>
                <w:rFonts w:hint="default" w:ascii="Times New Roman" w:hAnsi="Times New Roman" w:cs="Times New Roman"/>
                <w:bCs/>
                <w:color w:val="auto"/>
                <w:spacing w:val="0"/>
                <w:kern w:val="0"/>
                <w:sz w:val="24"/>
                <w:szCs w:val="24"/>
                <w:lang w:val="en-US" w:eastAsia="zh-CN"/>
              </w:rPr>
              <w:t>沥青烟气</w:t>
            </w:r>
            <w:r>
              <w:rPr>
                <w:rFonts w:hint="eastAsia" w:cs="Times New Roman"/>
                <w:bCs/>
                <w:color w:val="auto"/>
                <w:spacing w:val="0"/>
                <w:kern w:val="0"/>
                <w:sz w:val="24"/>
                <w:szCs w:val="24"/>
                <w:lang w:val="en-US" w:eastAsia="zh-CN"/>
              </w:rPr>
              <w:t>和沥青储罐的大小呼吸废气</w:t>
            </w:r>
            <w:r>
              <w:rPr>
                <w:rFonts w:hint="default" w:ascii="Times New Roman" w:hAnsi="Times New Roman" w:cs="Times New Roman"/>
                <w:bCs/>
                <w:color w:val="auto"/>
                <w:spacing w:val="0"/>
                <w:kern w:val="0"/>
                <w:sz w:val="24"/>
                <w:szCs w:val="24"/>
                <w:lang w:val="en-US" w:eastAsia="zh-CN"/>
              </w:rPr>
              <w:t>。</w:t>
            </w:r>
            <w:r>
              <w:rPr>
                <w:rFonts w:hint="default" w:ascii="Times New Roman" w:hAnsi="Times New Roman" w:eastAsia="宋体" w:cs="Times New Roman"/>
                <w:bCs/>
                <w:color w:val="auto"/>
                <w:spacing w:val="0"/>
                <w:kern w:val="0"/>
                <w:sz w:val="24"/>
                <w:szCs w:val="24"/>
                <w:lang w:val="en-US" w:eastAsia="zh-CN"/>
              </w:rPr>
              <w:t>沥青加热至80℃以上时将会产生异</w:t>
            </w:r>
            <w:bookmarkStart w:id="6" w:name="_GoBack"/>
            <w:bookmarkEnd w:id="6"/>
            <w:r>
              <w:rPr>
                <w:rFonts w:hint="default" w:ascii="Times New Roman" w:hAnsi="Times New Roman" w:eastAsia="宋体" w:cs="Times New Roman"/>
                <w:bCs/>
                <w:color w:val="auto"/>
                <w:spacing w:val="0"/>
                <w:kern w:val="0"/>
                <w:sz w:val="24"/>
                <w:szCs w:val="24"/>
                <w:lang w:val="en-US" w:eastAsia="zh-CN"/>
              </w:rPr>
              <w:t>味气体，本项目沥青加热温度达到150℃</w:t>
            </w:r>
            <w:r>
              <w:rPr>
                <w:rFonts w:hint="default" w:ascii="Times New Roman" w:hAnsi="Times New Roman" w:cs="Times New Roman"/>
                <w:bCs/>
                <w:color w:val="auto"/>
                <w:spacing w:val="0"/>
                <w:kern w:val="0"/>
                <w:sz w:val="24"/>
                <w:szCs w:val="24"/>
                <w:lang w:val="en-US" w:eastAsia="zh-CN"/>
              </w:rPr>
              <w:t>~</w:t>
            </w:r>
            <w:r>
              <w:rPr>
                <w:rFonts w:hint="default" w:ascii="Times New Roman" w:hAnsi="Times New Roman" w:eastAsia="宋体" w:cs="Times New Roman"/>
                <w:bCs/>
                <w:color w:val="auto"/>
                <w:spacing w:val="0"/>
                <w:kern w:val="0"/>
                <w:sz w:val="24"/>
                <w:szCs w:val="24"/>
                <w:lang w:val="en-US" w:eastAsia="zh-CN"/>
              </w:rPr>
              <w:t>170℃</w:t>
            </w:r>
            <w:r>
              <w:rPr>
                <w:rFonts w:hint="default" w:ascii="Times New Roman" w:hAnsi="Times New Roman" w:cs="Times New Roman"/>
                <w:bCs/>
                <w:color w:val="auto"/>
                <w:spacing w:val="0"/>
                <w:kern w:val="0"/>
                <w:sz w:val="24"/>
                <w:szCs w:val="24"/>
                <w:lang w:val="en-US" w:eastAsia="zh-CN"/>
              </w:rPr>
              <w:t>，</w:t>
            </w:r>
            <w:r>
              <w:rPr>
                <w:rFonts w:hint="default" w:ascii="Times New Roman" w:hAnsi="Times New Roman" w:eastAsia="宋体" w:cs="Times New Roman"/>
                <w:bCs/>
                <w:color w:val="auto"/>
                <w:spacing w:val="0"/>
                <w:kern w:val="0"/>
                <w:sz w:val="24"/>
                <w:szCs w:val="24"/>
                <w:lang w:val="en-US" w:eastAsia="zh-CN"/>
              </w:rPr>
              <w:t>因此</w:t>
            </w:r>
            <w:r>
              <w:rPr>
                <w:rFonts w:hint="default" w:ascii="Times New Roman" w:hAnsi="Times New Roman" w:cs="Times New Roman"/>
                <w:bCs/>
                <w:color w:val="auto"/>
                <w:spacing w:val="0"/>
                <w:kern w:val="0"/>
                <w:sz w:val="24"/>
                <w:szCs w:val="24"/>
                <w:lang w:val="en-US" w:eastAsia="zh-CN"/>
              </w:rPr>
              <w:t>沥青烟气伴随着</w:t>
            </w:r>
            <w:r>
              <w:rPr>
                <w:rFonts w:hint="default" w:ascii="Times New Roman" w:hAnsi="Times New Roman" w:eastAsia="宋体" w:cs="Times New Roman"/>
                <w:bCs/>
                <w:color w:val="auto"/>
                <w:spacing w:val="0"/>
                <w:kern w:val="0"/>
                <w:sz w:val="24"/>
                <w:szCs w:val="24"/>
                <w:lang w:val="en-US" w:eastAsia="zh-CN"/>
              </w:rPr>
              <w:t>恶臭</w:t>
            </w:r>
            <w:r>
              <w:rPr>
                <w:rFonts w:hint="default" w:ascii="Times New Roman" w:hAnsi="Times New Roman" w:cs="Times New Roman"/>
                <w:bCs/>
                <w:color w:val="auto"/>
                <w:spacing w:val="0"/>
                <w:kern w:val="0"/>
                <w:sz w:val="24"/>
                <w:szCs w:val="24"/>
                <w:lang w:val="en-US" w:eastAsia="zh-CN"/>
              </w:rPr>
              <w:t>气体，无相关源强数据，本次评价不再量化分析</w:t>
            </w:r>
            <w:r>
              <w:rPr>
                <w:rFonts w:hint="eastAsia"/>
                <w:color w:val="auto"/>
                <w:sz w:val="24"/>
                <w:szCs w:val="24"/>
                <w:lang w:eastAsia="zh-CN"/>
              </w:rPr>
              <w:t>沥青烟气伴随的恶臭气体</w:t>
            </w:r>
            <w:r>
              <w:rPr>
                <w:rFonts w:hint="default" w:ascii="Times New Roman" w:hAnsi="Times New Roman" w:eastAsia="宋体" w:cs="Times New Roman"/>
                <w:bCs/>
                <w:color w:val="auto"/>
                <w:spacing w:val="0"/>
                <w:kern w:val="0"/>
                <w:sz w:val="24"/>
                <w:szCs w:val="24"/>
                <w:lang w:val="en-US" w:eastAsia="zh-CN"/>
              </w:rPr>
              <w:t>。</w:t>
            </w:r>
          </w:p>
          <w:p w14:paraId="5F449BC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cs="Times New Roman"/>
                <w:b/>
                <w:bCs w:val="0"/>
                <w:color w:val="auto"/>
                <w:spacing w:val="0"/>
                <w:kern w:val="0"/>
                <w:sz w:val="24"/>
                <w:szCs w:val="24"/>
                <w:lang w:val="en-US" w:eastAsia="zh-CN"/>
              </w:rPr>
              <w:t>1）</w:t>
            </w:r>
            <w:r>
              <w:rPr>
                <w:rFonts w:hint="default" w:ascii="Times New Roman" w:hAnsi="Times New Roman" w:eastAsia="宋体" w:cs="Times New Roman"/>
                <w:b/>
                <w:bCs w:val="0"/>
                <w:color w:val="auto"/>
                <w:spacing w:val="0"/>
                <w:kern w:val="0"/>
                <w:sz w:val="24"/>
                <w:szCs w:val="24"/>
                <w:lang w:val="en-US" w:eastAsia="zh-CN"/>
              </w:rPr>
              <w:t>沥青</w:t>
            </w:r>
            <w:r>
              <w:rPr>
                <w:rFonts w:hint="eastAsia" w:cs="Times New Roman"/>
                <w:b/>
                <w:bCs w:val="0"/>
                <w:color w:val="auto"/>
                <w:spacing w:val="0"/>
                <w:kern w:val="0"/>
                <w:sz w:val="24"/>
                <w:szCs w:val="24"/>
                <w:lang w:val="en-US" w:eastAsia="zh-CN"/>
              </w:rPr>
              <w:t>加热</w:t>
            </w:r>
            <w:r>
              <w:rPr>
                <w:rFonts w:hint="default" w:ascii="Times New Roman" w:hAnsi="Times New Roman" w:eastAsia="宋体" w:cs="Times New Roman"/>
                <w:b/>
                <w:bCs w:val="0"/>
                <w:color w:val="auto"/>
                <w:spacing w:val="0"/>
                <w:kern w:val="0"/>
                <w:sz w:val="24"/>
                <w:szCs w:val="24"/>
                <w:lang w:val="en-US" w:eastAsia="zh-CN"/>
              </w:rPr>
              <w:t>废气</w:t>
            </w:r>
          </w:p>
          <w:p w14:paraId="064F263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eastAsia="宋体" w:cs="Times New Roman"/>
                <w:bCs/>
                <w:color w:val="auto"/>
                <w:spacing w:val="0"/>
                <w:kern w:val="0"/>
                <w:sz w:val="24"/>
                <w:szCs w:val="24"/>
                <w:lang w:val="en-US" w:eastAsia="zh-CN"/>
              </w:rPr>
              <w:t>参照前苏联拉扎列夫主编的《工业生产中的有害物质手册》第一卷（化学工业出版社，1987年12出版）及金相灿主编的《有机化合物污染化学》（清华大学出版社，1990年8月出版），每吨石油沥青在加热（150℃~170℃</w:t>
            </w:r>
            <w:r>
              <w:rPr>
                <w:rFonts w:hint="default" w:ascii="Times New Roman" w:hAnsi="Times New Roman" w:cs="Times New Roman"/>
                <w:bCs/>
                <w:color w:val="auto"/>
                <w:spacing w:val="0"/>
                <w:kern w:val="0"/>
                <w:sz w:val="24"/>
                <w:szCs w:val="24"/>
                <w:lang w:val="en-US" w:eastAsia="zh-CN"/>
              </w:rPr>
              <w:t>）</w:t>
            </w:r>
            <w:r>
              <w:rPr>
                <w:rFonts w:hint="default" w:ascii="Times New Roman" w:hAnsi="Times New Roman" w:eastAsia="宋体" w:cs="Times New Roman"/>
                <w:bCs/>
                <w:color w:val="auto"/>
                <w:spacing w:val="0"/>
                <w:kern w:val="0"/>
                <w:sz w:val="24"/>
                <w:szCs w:val="24"/>
                <w:lang w:val="en-US" w:eastAsia="zh-CN"/>
              </w:rPr>
              <w:t>过程中可产生沥青烟450g~675g，产生苯并[a]芘0.01-0.015g。本次评价取平均值，</w:t>
            </w:r>
            <w:r>
              <w:rPr>
                <w:rFonts w:hint="default" w:ascii="Times New Roman" w:hAnsi="Times New Roman" w:cs="Times New Roman"/>
                <w:bCs/>
                <w:color w:val="auto"/>
                <w:spacing w:val="0"/>
                <w:kern w:val="0"/>
                <w:sz w:val="24"/>
                <w:szCs w:val="24"/>
                <w:lang w:val="en-US" w:eastAsia="zh-CN"/>
              </w:rPr>
              <w:t>即</w:t>
            </w:r>
            <w:r>
              <w:rPr>
                <w:rFonts w:hint="default" w:ascii="Times New Roman" w:hAnsi="Times New Roman" w:eastAsia="宋体" w:cs="Times New Roman"/>
                <w:bCs/>
                <w:color w:val="auto"/>
                <w:spacing w:val="0"/>
                <w:kern w:val="0"/>
                <w:sz w:val="24"/>
                <w:szCs w:val="24"/>
                <w:lang w:val="en-US" w:eastAsia="zh-CN"/>
              </w:rPr>
              <w:t>沥青烟产污系数为562.5g/t-沥青；苯并[a]芘产污系数为0.012g/t-沥青。根据建设单位提供资料，</w:t>
            </w:r>
            <w:r>
              <w:rPr>
                <w:rFonts w:hint="default" w:ascii="Times New Roman" w:hAnsi="Times New Roman" w:cs="Times New Roman"/>
                <w:color w:val="auto"/>
                <w:sz w:val="24"/>
                <w:szCs w:val="24"/>
                <w:highlight w:val="none"/>
                <w:lang w:val="en-US" w:eastAsia="zh-CN"/>
              </w:rPr>
              <w:t>本项目建成后</w:t>
            </w:r>
            <w:r>
              <w:rPr>
                <w:rFonts w:hint="default" w:ascii="Times New Roman" w:hAnsi="Times New Roman" w:eastAsia="宋体" w:cs="Times New Roman"/>
                <w:bCs/>
                <w:color w:val="auto"/>
                <w:spacing w:val="0"/>
                <w:kern w:val="0"/>
                <w:sz w:val="24"/>
                <w:szCs w:val="24"/>
                <w:lang w:val="en-US" w:eastAsia="zh-CN"/>
              </w:rPr>
              <w:t>沥青总用量为</w:t>
            </w:r>
            <w:r>
              <w:rPr>
                <w:rFonts w:hint="default" w:ascii="Times New Roman" w:hAnsi="Times New Roman" w:cs="Times New Roman"/>
                <w:bCs/>
                <w:color w:val="auto"/>
                <w:spacing w:val="0"/>
                <w:kern w:val="0"/>
                <w:sz w:val="24"/>
                <w:szCs w:val="24"/>
                <w:lang w:val="en-US" w:eastAsia="zh-CN"/>
              </w:rPr>
              <w:t>2580</w:t>
            </w:r>
            <w:r>
              <w:rPr>
                <w:rFonts w:hint="default" w:ascii="Times New Roman" w:hAnsi="Times New Roman" w:eastAsia="宋体" w:cs="Times New Roman"/>
                <w:bCs/>
                <w:color w:val="auto"/>
                <w:spacing w:val="0"/>
                <w:kern w:val="0"/>
                <w:sz w:val="24"/>
                <w:szCs w:val="24"/>
                <w:lang w:val="en-US" w:eastAsia="zh-CN"/>
              </w:rPr>
              <w:t>t/a，则沥青烟产生量为</w:t>
            </w:r>
            <w:r>
              <w:rPr>
                <w:rFonts w:hint="default" w:ascii="Times New Roman" w:hAnsi="Times New Roman" w:cs="Times New Roman"/>
                <w:bCs/>
                <w:color w:val="auto"/>
                <w:spacing w:val="0"/>
                <w:kern w:val="0"/>
                <w:sz w:val="24"/>
                <w:szCs w:val="24"/>
                <w:lang w:val="en-US" w:eastAsia="zh-CN"/>
              </w:rPr>
              <w:t>1.451</w:t>
            </w:r>
            <w:r>
              <w:rPr>
                <w:rFonts w:hint="default" w:ascii="Times New Roman" w:hAnsi="Times New Roman" w:eastAsia="宋体" w:cs="Times New Roman"/>
                <w:bCs/>
                <w:color w:val="auto"/>
                <w:spacing w:val="0"/>
                <w:kern w:val="0"/>
                <w:sz w:val="24"/>
                <w:szCs w:val="24"/>
                <w:lang w:val="en-US" w:eastAsia="zh-CN"/>
              </w:rPr>
              <w:t>t/a，苯并[a]芘产生量约为0.000</w:t>
            </w:r>
            <w:r>
              <w:rPr>
                <w:rFonts w:hint="default" w:ascii="Times New Roman" w:hAnsi="Times New Roman" w:cs="Times New Roman"/>
                <w:bCs/>
                <w:color w:val="auto"/>
                <w:spacing w:val="0"/>
                <w:kern w:val="0"/>
                <w:sz w:val="24"/>
                <w:szCs w:val="24"/>
                <w:lang w:val="en-US" w:eastAsia="zh-CN"/>
              </w:rPr>
              <w:t>03</w:t>
            </w:r>
            <w:r>
              <w:rPr>
                <w:rFonts w:hint="default" w:ascii="Times New Roman" w:hAnsi="Times New Roman" w:eastAsia="宋体" w:cs="Times New Roman"/>
                <w:bCs/>
                <w:color w:val="auto"/>
                <w:spacing w:val="0"/>
                <w:kern w:val="0"/>
                <w:sz w:val="24"/>
                <w:szCs w:val="24"/>
                <w:lang w:val="en-US" w:eastAsia="zh-CN"/>
              </w:rPr>
              <w:t>t/a。根据《沥青烟气净化研究》（李昌建等全国恶臭污染测试与控制研讨会，2005），沥青烟气中有机废气含量约占70%计，则沥青烟中</w:t>
            </w:r>
            <w:r>
              <w:rPr>
                <w:rFonts w:hint="default" w:ascii="Times New Roman" w:hAnsi="Times New Roman" w:cs="Times New Roman"/>
                <w:bCs/>
                <w:color w:val="auto"/>
                <w:spacing w:val="0"/>
                <w:kern w:val="0"/>
                <w:sz w:val="24"/>
                <w:szCs w:val="24"/>
                <w:lang w:val="en-US" w:eastAsia="zh-CN"/>
              </w:rPr>
              <w:t>的VOCs</w:t>
            </w:r>
            <w:r>
              <w:rPr>
                <w:rFonts w:hint="default" w:ascii="Times New Roman" w:hAnsi="Times New Roman" w:eastAsia="宋体" w:cs="Times New Roman"/>
                <w:bCs/>
                <w:color w:val="auto"/>
                <w:spacing w:val="0"/>
                <w:kern w:val="0"/>
                <w:sz w:val="24"/>
                <w:szCs w:val="24"/>
                <w:lang w:val="en-US" w:eastAsia="zh-CN"/>
              </w:rPr>
              <w:t>约为</w:t>
            </w:r>
            <w:r>
              <w:rPr>
                <w:rFonts w:hint="default" w:ascii="Times New Roman" w:hAnsi="Times New Roman" w:cs="Times New Roman"/>
                <w:bCs/>
                <w:color w:val="auto"/>
                <w:spacing w:val="0"/>
                <w:kern w:val="0"/>
                <w:sz w:val="24"/>
                <w:szCs w:val="24"/>
                <w:lang w:val="en-US" w:eastAsia="zh-CN"/>
              </w:rPr>
              <w:t>1.016</w:t>
            </w:r>
            <w:r>
              <w:rPr>
                <w:rFonts w:hint="default" w:ascii="Times New Roman" w:hAnsi="Times New Roman" w:eastAsia="宋体" w:cs="Times New Roman"/>
                <w:bCs/>
                <w:color w:val="auto"/>
                <w:spacing w:val="0"/>
                <w:kern w:val="0"/>
                <w:sz w:val="24"/>
                <w:szCs w:val="24"/>
                <w:lang w:val="en-US" w:eastAsia="zh-CN"/>
              </w:rPr>
              <w:t>t/a。</w:t>
            </w:r>
          </w:p>
          <w:p w14:paraId="22C5DDA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cs="Times New Roman"/>
                <w:b/>
                <w:bCs w:val="0"/>
                <w:color w:val="auto"/>
                <w:spacing w:val="0"/>
                <w:kern w:val="0"/>
                <w:sz w:val="24"/>
                <w:szCs w:val="24"/>
                <w:lang w:val="en-US" w:eastAsia="zh-CN"/>
              </w:rPr>
            </w:pPr>
            <w:r>
              <w:rPr>
                <w:rFonts w:hint="eastAsia" w:cs="Times New Roman"/>
                <w:b/>
                <w:bCs w:val="0"/>
                <w:color w:val="auto"/>
                <w:spacing w:val="0"/>
                <w:kern w:val="0"/>
                <w:sz w:val="24"/>
                <w:szCs w:val="24"/>
                <w:lang w:val="en-US" w:eastAsia="zh-CN"/>
              </w:rPr>
              <w:t>2）沥青储罐呼吸废气</w:t>
            </w:r>
          </w:p>
          <w:p w14:paraId="1F355B8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b w:val="0"/>
                <w:bCs/>
                <w:color w:val="auto"/>
                <w:spacing w:val="0"/>
                <w:kern w:val="0"/>
                <w:sz w:val="24"/>
                <w:szCs w:val="24"/>
                <w:lang w:val="en-US" w:eastAsia="zh-CN"/>
              </w:rPr>
            </w:pPr>
            <w:r>
              <w:rPr>
                <w:rFonts w:hint="default" w:ascii="Times New Roman" w:hAnsi="Times New Roman" w:cs="Times New Roman"/>
                <w:b w:val="0"/>
                <w:bCs/>
                <w:color w:val="auto"/>
                <w:spacing w:val="0"/>
                <w:kern w:val="0"/>
                <w:sz w:val="24"/>
                <w:szCs w:val="24"/>
                <w:lang w:val="en-US" w:eastAsia="zh-CN"/>
              </w:rPr>
              <w:t>沥青储罐因环境温度、大气压变化和物料装卸过程会产生一定的储罐呼吸废气。大呼吸是物料装卸时的呼吸废气，小呼吸是在没有装卸物料作业的情况下，随着外界气温、气压的变化，罐内的呼吸废气。本项目沥青储罐外壁设有隔热层，储罐内设置加热盘管，罐内装有温度计，沥青罐维持一定的温度，可最大程度减少“小呼吸”损耗，储罐小呼吸损耗可忽略不计。参照《散装液态石油产品损耗》(GB11085-1989)，石油产品中煤油、柴油、润滑油采用立式金属储罐储存时的损耗率为0.01%。根据石油产品的生产工艺可知，沥青是石油通过蒸馏依次分馏出汽油、煤油、柴油、润滑油、重质燃料油之后的残留物再经加工制成，因此，沥青比润滑油等其他石油产品具有更高的沸点、闪点，并更难挥发。本次</w:t>
            </w:r>
            <w:r>
              <w:rPr>
                <w:rFonts w:hint="eastAsia" w:cs="Times New Roman"/>
                <w:b w:val="0"/>
                <w:bCs/>
                <w:color w:val="auto"/>
                <w:spacing w:val="0"/>
                <w:kern w:val="0"/>
                <w:sz w:val="24"/>
                <w:szCs w:val="24"/>
                <w:lang w:val="en-US" w:eastAsia="zh-CN"/>
              </w:rPr>
              <w:t>评价</w:t>
            </w:r>
            <w:r>
              <w:rPr>
                <w:rFonts w:hint="default" w:ascii="Times New Roman" w:hAnsi="Times New Roman" w:cs="Times New Roman"/>
                <w:b w:val="0"/>
                <w:bCs/>
                <w:color w:val="auto"/>
                <w:spacing w:val="0"/>
                <w:kern w:val="0"/>
                <w:sz w:val="24"/>
                <w:szCs w:val="24"/>
                <w:lang w:val="en-US" w:eastAsia="zh-CN"/>
              </w:rPr>
              <w:t>按照0.001%考虑，沥青周转量</w:t>
            </w:r>
            <w:r>
              <w:rPr>
                <w:rFonts w:hint="eastAsia" w:cs="Times New Roman"/>
                <w:b w:val="0"/>
                <w:bCs/>
                <w:color w:val="auto"/>
                <w:spacing w:val="0"/>
                <w:kern w:val="0"/>
                <w:sz w:val="24"/>
                <w:szCs w:val="24"/>
                <w:lang w:val="en-US" w:eastAsia="zh-CN"/>
              </w:rPr>
              <w:t>为2580t/a</w:t>
            </w:r>
            <w:r>
              <w:rPr>
                <w:rFonts w:hint="default" w:ascii="Times New Roman" w:hAnsi="Times New Roman" w:cs="Times New Roman"/>
                <w:b w:val="0"/>
                <w:bCs/>
                <w:color w:val="auto"/>
                <w:spacing w:val="0"/>
                <w:kern w:val="0"/>
                <w:sz w:val="24"/>
                <w:szCs w:val="24"/>
                <w:lang w:val="en-US" w:eastAsia="zh-CN"/>
              </w:rPr>
              <w:t>，产生的沥青烟气量0.</w:t>
            </w:r>
            <w:r>
              <w:rPr>
                <w:rFonts w:hint="eastAsia" w:cs="Times New Roman"/>
                <w:b w:val="0"/>
                <w:bCs/>
                <w:color w:val="auto"/>
                <w:spacing w:val="0"/>
                <w:kern w:val="0"/>
                <w:sz w:val="24"/>
                <w:szCs w:val="24"/>
                <w:lang w:val="en-US" w:eastAsia="zh-CN"/>
              </w:rPr>
              <w:t>026</w:t>
            </w:r>
            <w:r>
              <w:rPr>
                <w:rFonts w:hint="default" w:ascii="Times New Roman" w:hAnsi="Times New Roman" w:cs="Times New Roman"/>
                <w:b w:val="0"/>
                <w:bCs/>
                <w:color w:val="auto"/>
                <w:spacing w:val="0"/>
                <w:kern w:val="0"/>
                <w:sz w:val="24"/>
                <w:szCs w:val="24"/>
                <w:lang w:val="en-US" w:eastAsia="zh-CN"/>
              </w:rPr>
              <w:t>t/a，类比沥青加热过程中沥青烟气中苯并[a]芘含量，沥青储罐大小呼吸中苯并[a]芘产生量约</w:t>
            </w:r>
            <w:r>
              <w:rPr>
                <w:rFonts w:hint="eastAsia" w:cs="Times New Roman"/>
                <w:b w:val="0"/>
                <w:bCs/>
                <w:color w:val="auto"/>
                <w:spacing w:val="0"/>
                <w:kern w:val="0"/>
                <w:sz w:val="24"/>
                <w:szCs w:val="24"/>
                <w:lang w:val="en-US" w:eastAsia="zh-CN"/>
              </w:rPr>
              <w:t>5.55</w:t>
            </w:r>
            <w:r>
              <w:rPr>
                <w:rFonts w:hint="default" w:ascii="Times New Roman" w:hAnsi="Times New Roman" w:cs="Times New Roman"/>
                <w:b w:val="0"/>
                <w:bCs/>
                <w:color w:val="auto"/>
                <w:spacing w:val="0"/>
                <w:kern w:val="0"/>
                <w:sz w:val="24"/>
                <w:szCs w:val="24"/>
                <w:lang w:val="en-US" w:eastAsia="zh-CN"/>
              </w:rPr>
              <w:t>×10</w:t>
            </w:r>
            <w:r>
              <w:rPr>
                <w:rFonts w:hint="default" w:ascii="Times New Roman" w:hAnsi="Times New Roman" w:cs="Times New Roman"/>
                <w:b w:val="0"/>
                <w:bCs/>
                <w:color w:val="auto"/>
                <w:spacing w:val="0"/>
                <w:kern w:val="0"/>
                <w:sz w:val="24"/>
                <w:szCs w:val="24"/>
                <w:vertAlign w:val="superscript"/>
                <w:lang w:val="en-US" w:eastAsia="zh-CN"/>
              </w:rPr>
              <w:t>-</w:t>
            </w:r>
            <w:r>
              <w:rPr>
                <w:rFonts w:hint="eastAsia" w:cs="Times New Roman"/>
                <w:b w:val="0"/>
                <w:bCs/>
                <w:color w:val="auto"/>
                <w:spacing w:val="0"/>
                <w:kern w:val="0"/>
                <w:sz w:val="24"/>
                <w:szCs w:val="24"/>
                <w:vertAlign w:val="superscript"/>
                <w:lang w:val="en-US" w:eastAsia="zh-CN"/>
              </w:rPr>
              <w:t>7</w:t>
            </w:r>
            <w:r>
              <w:rPr>
                <w:rFonts w:hint="default" w:ascii="Times New Roman" w:hAnsi="Times New Roman" w:cs="Times New Roman"/>
                <w:b w:val="0"/>
                <w:bCs/>
                <w:color w:val="auto"/>
                <w:spacing w:val="0"/>
                <w:kern w:val="0"/>
                <w:sz w:val="24"/>
                <w:szCs w:val="24"/>
                <w:lang w:val="en-US" w:eastAsia="zh-CN"/>
              </w:rPr>
              <w:t>t/a，VOCs产生量约为0.</w:t>
            </w:r>
            <w:r>
              <w:rPr>
                <w:rFonts w:hint="eastAsia" w:cs="Times New Roman"/>
                <w:b w:val="0"/>
                <w:bCs/>
                <w:color w:val="auto"/>
                <w:spacing w:val="0"/>
                <w:kern w:val="0"/>
                <w:sz w:val="24"/>
                <w:szCs w:val="24"/>
                <w:lang w:val="en-US" w:eastAsia="zh-CN"/>
              </w:rPr>
              <w:t>018</w:t>
            </w:r>
            <w:r>
              <w:rPr>
                <w:rFonts w:hint="default" w:ascii="Times New Roman" w:hAnsi="Times New Roman" w:cs="Times New Roman"/>
                <w:b w:val="0"/>
                <w:bCs/>
                <w:color w:val="auto"/>
                <w:spacing w:val="0"/>
                <w:kern w:val="0"/>
                <w:sz w:val="24"/>
                <w:szCs w:val="24"/>
                <w:lang w:val="en-US" w:eastAsia="zh-CN"/>
              </w:rPr>
              <w:t>t/a。</w:t>
            </w:r>
          </w:p>
          <w:p w14:paraId="16FF0EA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
                <w:bCs w:val="0"/>
                <w:color w:val="auto"/>
                <w:spacing w:val="0"/>
                <w:kern w:val="0"/>
                <w:sz w:val="24"/>
                <w:szCs w:val="24"/>
                <w:lang w:val="en-US" w:eastAsia="zh-CN"/>
              </w:rPr>
            </w:pPr>
            <w:r>
              <w:rPr>
                <w:rFonts w:hint="eastAsia" w:cs="Times New Roman"/>
                <w:b/>
                <w:bCs w:val="0"/>
                <w:color w:val="auto"/>
                <w:spacing w:val="0"/>
                <w:kern w:val="0"/>
                <w:sz w:val="24"/>
                <w:szCs w:val="24"/>
                <w:lang w:val="en-US" w:eastAsia="zh-CN"/>
              </w:rPr>
              <w:t>3</w:t>
            </w:r>
            <w:r>
              <w:rPr>
                <w:rFonts w:hint="default" w:ascii="Times New Roman" w:hAnsi="Times New Roman" w:cs="Times New Roman"/>
                <w:b/>
                <w:bCs w:val="0"/>
                <w:color w:val="auto"/>
                <w:spacing w:val="0"/>
                <w:kern w:val="0"/>
                <w:sz w:val="24"/>
                <w:szCs w:val="24"/>
                <w:lang w:val="en-US" w:eastAsia="zh-CN"/>
              </w:rPr>
              <w:t>）</w:t>
            </w:r>
            <w:r>
              <w:rPr>
                <w:rFonts w:hint="default" w:ascii="Times New Roman" w:hAnsi="Times New Roman" w:eastAsia="宋体" w:cs="Times New Roman"/>
                <w:b/>
                <w:bCs w:val="0"/>
                <w:color w:val="auto"/>
                <w:spacing w:val="0"/>
                <w:kern w:val="0"/>
                <w:sz w:val="24"/>
                <w:szCs w:val="24"/>
                <w:lang w:val="en-US" w:eastAsia="zh-CN"/>
              </w:rPr>
              <w:t>搅拌</w:t>
            </w:r>
            <w:r>
              <w:rPr>
                <w:rFonts w:hint="default" w:ascii="Times New Roman" w:hAnsi="Times New Roman" w:cs="Times New Roman"/>
                <w:b/>
                <w:bCs w:val="0"/>
                <w:color w:val="auto"/>
                <w:spacing w:val="0"/>
                <w:kern w:val="0"/>
                <w:sz w:val="24"/>
                <w:szCs w:val="24"/>
                <w:lang w:val="en-US" w:eastAsia="zh-CN"/>
              </w:rPr>
              <w:t>出料</w:t>
            </w:r>
            <w:r>
              <w:rPr>
                <w:rFonts w:hint="default" w:ascii="Times New Roman" w:hAnsi="Times New Roman" w:eastAsia="宋体" w:cs="Times New Roman"/>
                <w:b/>
                <w:bCs w:val="0"/>
                <w:color w:val="auto"/>
                <w:spacing w:val="0"/>
                <w:kern w:val="0"/>
                <w:sz w:val="24"/>
                <w:szCs w:val="24"/>
                <w:lang w:val="en-US" w:eastAsia="zh-CN"/>
              </w:rPr>
              <w:t>废气</w:t>
            </w:r>
          </w:p>
          <w:p w14:paraId="3563CDC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Cs/>
                <w:color w:val="auto"/>
                <w:spacing w:val="0"/>
                <w:kern w:val="0"/>
                <w:sz w:val="24"/>
                <w:szCs w:val="24"/>
                <w:lang w:val="en-US" w:eastAsia="zh-CN"/>
              </w:rPr>
            </w:pPr>
            <w:r>
              <w:rPr>
                <w:rFonts w:hint="default" w:ascii="Times New Roman" w:hAnsi="Times New Roman" w:eastAsia="宋体" w:cs="Times New Roman"/>
                <w:color w:val="auto"/>
                <w:kern w:val="0"/>
                <w:sz w:val="24"/>
                <w:szCs w:val="24"/>
                <w:highlight w:val="none"/>
                <w:lang w:val="en-US" w:eastAsia="zh-CN"/>
              </w:rPr>
              <w:t>拌和站搅拌过程中</w:t>
            </w:r>
            <w:r>
              <w:rPr>
                <w:rFonts w:hint="default" w:ascii="Times New Roman" w:hAnsi="Times New Roman" w:eastAsia="宋体" w:cs="Times New Roman"/>
                <w:color w:val="auto"/>
                <w:kern w:val="0"/>
                <w:sz w:val="24"/>
                <w:szCs w:val="24"/>
                <w:highlight w:val="none"/>
                <w:lang w:eastAsia="zh-CN"/>
              </w:rPr>
              <w:t>热沥青为流动液态，</w:t>
            </w:r>
            <w:r>
              <w:rPr>
                <w:rFonts w:hint="default" w:ascii="Times New Roman" w:hAnsi="Times New Roman" w:eastAsia="宋体" w:cs="Times New Roman"/>
                <w:color w:val="auto"/>
                <w:kern w:val="0"/>
                <w:sz w:val="24"/>
                <w:szCs w:val="24"/>
                <w:highlight w:val="none"/>
                <w:lang w:val="en-US" w:eastAsia="zh-CN"/>
              </w:rPr>
              <w:t>乳化沥青搅拌过程中原料为液态，因此</w:t>
            </w:r>
            <w:r>
              <w:rPr>
                <w:rFonts w:hint="default" w:ascii="Times New Roman" w:hAnsi="Times New Roman" w:eastAsia="宋体" w:cs="Times New Roman"/>
                <w:color w:val="auto"/>
                <w:kern w:val="0"/>
                <w:sz w:val="24"/>
                <w:szCs w:val="24"/>
                <w:highlight w:val="none"/>
                <w:lang w:eastAsia="zh-CN"/>
              </w:rPr>
              <w:t>搅拌过程中无粉尘产生</w:t>
            </w:r>
            <w:r>
              <w:rPr>
                <w:rFonts w:hint="default" w:ascii="Times New Roman" w:hAnsi="Times New Roman" w:eastAsia="宋体" w:cs="Times New Roman"/>
                <w:bCs/>
                <w:color w:val="auto"/>
                <w:spacing w:val="0"/>
                <w:kern w:val="0"/>
                <w:sz w:val="24"/>
                <w:szCs w:val="24"/>
                <w:lang w:val="en-US" w:eastAsia="zh-CN"/>
              </w:rPr>
              <w:t>，搅拌过程中主要污染物为沥青烟气。沥青烟释放量计算公式为：沥青烟释放量=1425.498A×0.9×10</w:t>
            </w:r>
            <w:r>
              <w:rPr>
                <w:rFonts w:hint="default" w:ascii="Times New Roman" w:hAnsi="Times New Roman" w:eastAsia="宋体" w:cs="Times New Roman"/>
                <w:bCs/>
                <w:color w:val="auto"/>
                <w:spacing w:val="0"/>
                <w:kern w:val="0"/>
                <w:sz w:val="24"/>
                <w:szCs w:val="24"/>
                <w:vertAlign w:val="superscript"/>
                <w:lang w:val="en-US" w:eastAsia="zh-CN"/>
              </w:rPr>
              <w:t>-6</w:t>
            </w:r>
            <w:r>
              <w:rPr>
                <w:rFonts w:hint="default" w:ascii="Times New Roman" w:hAnsi="Times New Roman" w:eastAsia="宋体" w:cs="Times New Roman"/>
                <w:bCs/>
                <w:color w:val="auto"/>
                <w:spacing w:val="0"/>
                <w:kern w:val="0"/>
                <w:sz w:val="24"/>
                <w:szCs w:val="24"/>
                <w:lang w:val="en-US" w:eastAsia="zh-CN"/>
              </w:rPr>
              <w:t>（kt）</w:t>
            </w:r>
            <w:r>
              <w:rPr>
                <w:rFonts w:hint="eastAsia"/>
                <w:color w:val="auto"/>
                <w:sz w:val="24"/>
                <w:szCs w:val="24"/>
              </w:rPr>
              <w:t>（李虎，王志超，张海洪，曹逸飞</w:t>
            </w:r>
            <w:r>
              <w:rPr>
                <w:rFonts w:hint="eastAsia"/>
                <w:color w:val="auto"/>
                <w:sz w:val="24"/>
                <w:szCs w:val="24"/>
                <w:lang w:eastAsia="zh-CN"/>
              </w:rPr>
              <w:t>。</w:t>
            </w:r>
            <w:r>
              <w:rPr>
                <w:rFonts w:hint="eastAsia"/>
                <w:color w:val="auto"/>
                <w:sz w:val="24"/>
                <w:szCs w:val="24"/>
              </w:rPr>
              <w:t>拌合过程中沥青烟释放量的考察研究【J】广东化工2013(15)），其中A为沥青的表现消费量，单位为kt（即一千吨</w:t>
            </w:r>
            <w:r>
              <w:rPr>
                <w:rFonts w:hint="default" w:ascii="Times New Roman" w:hAnsi="Times New Roman" w:cs="Times New Roman"/>
                <w:bCs/>
                <w:color w:val="auto"/>
                <w:spacing w:val="0"/>
                <w:kern w:val="0"/>
                <w:sz w:val="24"/>
                <w:szCs w:val="24"/>
                <w:lang w:val="en-US" w:eastAsia="zh-CN"/>
              </w:rPr>
              <w:t>。</w:t>
            </w:r>
            <w:r>
              <w:rPr>
                <w:rFonts w:hint="default" w:ascii="Times New Roman" w:hAnsi="Times New Roman" w:eastAsia="宋体" w:cs="Times New Roman"/>
                <w:bCs/>
                <w:color w:val="auto"/>
                <w:spacing w:val="0"/>
                <w:kern w:val="0"/>
                <w:sz w:val="24"/>
                <w:szCs w:val="24"/>
                <w:lang w:val="en-US" w:eastAsia="zh-CN"/>
              </w:rPr>
              <w:t>苯并[a]芘产污系数为0.012g/t-沥青。本项目沥青使用量为</w:t>
            </w:r>
            <w:r>
              <w:rPr>
                <w:rFonts w:hint="default" w:ascii="Times New Roman" w:hAnsi="Times New Roman" w:cs="Times New Roman"/>
                <w:bCs/>
                <w:color w:val="auto"/>
                <w:spacing w:val="0"/>
                <w:kern w:val="0"/>
                <w:sz w:val="24"/>
                <w:szCs w:val="24"/>
                <w:lang w:val="en-US" w:eastAsia="zh-CN"/>
              </w:rPr>
              <w:t>2580</w:t>
            </w:r>
            <w:r>
              <w:rPr>
                <w:rFonts w:hint="default" w:ascii="Times New Roman" w:hAnsi="Times New Roman" w:eastAsia="宋体" w:cs="Times New Roman"/>
                <w:bCs/>
                <w:color w:val="auto"/>
                <w:spacing w:val="0"/>
                <w:kern w:val="0"/>
                <w:sz w:val="24"/>
                <w:szCs w:val="24"/>
                <w:lang w:val="en-US" w:eastAsia="zh-CN"/>
              </w:rPr>
              <w:t>t/a，则沥青烟产生量为</w:t>
            </w:r>
            <w:r>
              <w:rPr>
                <w:rFonts w:hint="default" w:ascii="Times New Roman" w:hAnsi="Times New Roman" w:cs="Times New Roman"/>
                <w:bCs/>
                <w:color w:val="auto"/>
                <w:spacing w:val="0"/>
                <w:kern w:val="0"/>
                <w:sz w:val="24"/>
                <w:szCs w:val="24"/>
                <w:lang w:val="en-US" w:eastAsia="zh-CN"/>
              </w:rPr>
              <w:t>3.31</w:t>
            </w:r>
            <w:r>
              <w:rPr>
                <w:rFonts w:hint="default" w:ascii="Times New Roman" w:hAnsi="Times New Roman" w:eastAsia="宋体" w:cs="Times New Roman"/>
                <w:bCs/>
                <w:color w:val="auto"/>
                <w:spacing w:val="0"/>
                <w:kern w:val="0"/>
                <w:sz w:val="24"/>
                <w:szCs w:val="24"/>
                <w:lang w:val="en-US" w:eastAsia="zh-CN"/>
              </w:rPr>
              <w:t>t/a，苯并[a]芘产生量约为0.000</w:t>
            </w:r>
            <w:r>
              <w:rPr>
                <w:rFonts w:hint="default" w:ascii="Times New Roman" w:hAnsi="Times New Roman" w:cs="Times New Roman"/>
                <w:bCs/>
                <w:color w:val="auto"/>
                <w:spacing w:val="0"/>
                <w:kern w:val="0"/>
                <w:sz w:val="24"/>
                <w:szCs w:val="24"/>
                <w:lang w:val="en-US" w:eastAsia="zh-CN"/>
              </w:rPr>
              <w:t>03</w:t>
            </w:r>
            <w:r>
              <w:rPr>
                <w:rFonts w:hint="default" w:ascii="Times New Roman" w:hAnsi="Times New Roman" w:eastAsia="宋体" w:cs="Times New Roman"/>
                <w:bCs/>
                <w:color w:val="auto"/>
                <w:spacing w:val="0"/>
                <w:kern w:val="0"/>
                <w:sz w:val="24"/>
                <w:szCs w:val="24"/>
                <w:lang w:val="en-US" w:eastAsia="zh-CN"/>
              </w:rPr>
              <w:t>t/a。沥青烟气中有机废气含量约占70%计，则沥青烟中</w:t>
            </w:r>
            <w:r>
              <w:rPr>
                <w:rFonts w:hint="default" w:ascii="Times New Roman" w:hAnsi="Times New Roman" w:cs="Times New Roman"/>
                <w:bCs/>
                <w:color w:val="auto"/>
                <w:spacing w:val="0"/>
                <w:kern w:val="0"/>
                <w:sz w:val="24"/>
                <w:szCs w:val="24"/>
                <w:lang w:val="en-US" w:eastAsia="zh-CN"/>
              </w:rPr>
              <w:t>的VOCs</w:t>
            </w:r>
            <w:r>
              <w:rPr>
                <w:rFonts w:hint="default" w:ascii="Times New Roman" w:hAnsi="Times New Roman" w:eastAsia="宋体" w:cs="Times New Roman"/>
                <w:bCs/>
                <w:color w:val="auto"/>
                <w:spacing w:val="0"/>
                <w:kern w:val="0"/>
                <w:sz w:val="24"/>
                <w:szCs w:val="24"/>
                <w:lang w:val="en-US" w:eastAsia="zh-CN"/>
              </w:rPr>
              <w:t>约为</w:t>
            </w:r>
            <w:r>
              <w:rPr>
                <w:rFonts w:hint="default" w:ascii="Times New Roman" w:hAnsi="Times New Roman" w:cs="Times New Roman"/>
                <w:bCs/>
                <w:color w:val="auto"/>
                <w:spacing w:val="0"/>
                <w:kern w:val="0"/>
                <w:sz w:val="24"/>
                <w:szCs w:val="24"/>
                <w:lang w:val="en-US" w:eastAsia="zh-CN"/>
              </w:rPr>
              <w:t>2.317‬</w:t>
            </w:r>
            <w:r>
              <w:rPr>
                <w:rFonts w:hint="default" w:ascii="Times New Roman" w:hAnsi="Times New Roman" w:eastAsia="宋体" w:cs="Times New Roman"/>
                <w:bCs/>
                <w:color w:val="auto"/>
                <w:spacing w:val="0"/>
                <w:kern w:val="0"/>
                <w:sz w:val="24"/>
                <w:szCs w:val="24"/>
                <w:lang w:val="en-US" w:eastAsia="zh-CN"/>
              </w:rPr>
              <w:t>t/a</w:t>
            </w:r>
            <w:r>
              <w:rPr>
                <w:rFonts w:hint="default" w:ascii="Times New Roman" w:hAnsi="Times New Roman" w:cs="Times New Roman"/>
                <w:bCs/>
                <w:color w:val="auto"/>
                <w:spacing w:val="0"/>
                <w:kern w:val="0"/>
                <w:sz w:val="24"/>
                <w:szCs w:val="24"/>
                <w:lang w:val="en-US" w:eastAsia="zh-CN"/>
              </w:rPr>
              <w:t>。</w:t>
            </w:r>
          </w:p>
          <w:p w14:paraId="70D1932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cs="Times New Roman"/>
                <w:bCs/>
                <w:color w:val="auto"/>
                <w:spacing w:val="0"/>
                <w:kern w:val="0"/>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沥青储罐呼吸口设密封式集气装置，</w:t>
            </w:r>
            <w:r>
              <w:rPr>
                <w:rFonts w:hint="default" w:ascii="Times New Roman" w:hAnsi="Times New Roman" w:cs="Times New Roman"/>
                <w:i w:val="0"/>
                <w:iCs w:val="0"/>
                <w:caps w:val="0"/>
                <w:color w:val="auto"/>
                <w:spacing w:val="0"/>
                <w:kern w:val="0"/>
                <w:sz w:val="24"/>
                <w:szCs w:val="24"/>
                <w:shd w:val="clear" w:color="auto" w:fill="FFFFFF"/>
                <w:lang w:val="en-US" w:eastAsia="zh-CN" w:bidi="ar"/>
              </w:rPr>
              <w:t>出</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料口设集气装置，将沥青加热过程产生的沥青烟气收集后引入总集气管道，沥青储罐加热、搅拌过程密闭。废气采用水喷淋+电捕焦油器+二级活性炭吸附处理后通过15m排气筒</w:t>
            </w:r>
            <w:r>
              <w:rPr>
                <w:rFonts w:hint="default" w:ascii="Times New Roman" w:hAnsi="Times New Roman" w:cs="Times New Roman"/>
                <w:i w:val="0"/>
                <w:iCs w:val="0"/>
                <w:caps w:val="0"/>
                <w:color w:val="auto"/>
                <w:spacing w:val="0"/>
                <w:kern w:val="0"/>
                <w:sz w:val="24"/>
                <w:szCs w:val="24"/>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排放。</w:t>
            </w:r>
            <w:r>
              <w:rPr>
                <w:rFonts w:hint="default" w:ascii="Times New Roman" w:hAnsi="Times New Roman" w:eastAsia="宋体" w:cs="Times New Roman"/>
                <w:bCs/>
                <w:color w:val="auto"/>
                <w:spacing w:val="0"/>
                <w:kern w:val="0"/>
                <w:sz w:val="24"/>
                <w:szCs w:val="24"/>
                <w:lang w:val="en-US" w:eastAsia="zh-CN"/>
              </w:rPr>
              <w:t>沥青储罐废气收集效率按100%，搅拌</w:t>
            </w:r>
            <w:r>
              <w:rPr>
                <w:rFonts w:hint="default" w:ascii="Times New Roman" w:hAnsi="Times New Roman" w:cs="Times New Roman"/>
                <w:bCs/>
                <w:color w:val="auto"/>
                <w:spacing w:val="0"/>
                <w:kern w:val="0"/>
                <w:sz w:val="24"/>
                <w:szCs w:val="24"/>
                <w:lang w:val="en-US" w:eastAsia="zh-CN"/>
              </w:rPr>
              <w:t>出料</w:t>
            </w:r>
            <w:r>
              <w:rPr>
                <w:rFonts w:hint="default" w:ascii="Times New Roman" w:hAnsi="Times New Roman" w:eastAsia="宋体" w:cs="Times New Roman"/>
                <w:bCs/>
                <w:color w:val="auto"/>
                <w:spacing w:val="0"/>
                <w:kern w:val="0"/>
                <w:sz w:val="24"/>
                <w:szCs w:val="24"/>
                <w:lang w:val="en-US" w:eastAsia="zh-CN"/>
              </w:rPr>
              <w:t>废气收集效率按95%，配套风机风量为30000m</w:t>
            </w:r>
            <w:r>
              <w:rPr>
                <w:rFonts w:hint="default" w:ascii="Times New Roman" w:hAnsi="Times New Roman" w:eastAsia="宋体" w:cs="Times New Roman"/>
                <w:bCs/>
                <w:color w:val="auto"/>
                <w:spacing w:val="0"/>
                <w:kern w:val="0"/>
                <w:sz w:val="24"/>
                <w:szCs w:val="24"/>
                <w:vertAlign w:val="superscript"/>
                <w:lang w:val="en-US" w:eastAsia="zh-CN"/>
              </w:rPr>
              <w:t>3</w:t>
            </w:r>
            <w:r>
              <w:rPr>
                <w:rFonts w:hint="default" w:ascii="Times New Roman" w:hAnsi="Times New Roman" w:eastAsia="宋体" w:cs="Times New Roman"/>
                <w:bCs/>
                <w:color w:val="auto"/>
                <w:spacing w:val="0"/>
                <w:kern w:val="0"/>
                <w:sz w:val="24"/>
                <w:szCs w:val="24"/>
                <w:lang w:val="en-US" w:eastAsia="zh-CN"/>
              </w:rPr>
              <w:t>/h，工作时间为</w:t>
            </w:r>
            <w:r>
              <w:rPr>
                <w:rFonts w:hint="eastAsia" w:cs="Times New Roman"/>
                <w:bCs/>
                <w:color w:val="0000FF"/>
                <w:spacing w:val="0"/>
                <w:kern w:val="0"/>
                <w:sz w:val="24"/>
                <w:szCs w:val="24"/>
                <w:lang w:val="en-US" w:eastAsia="zh-CN"/>
              </w:rPr>
              <w:t>24</w:t>
            </w:r>
            <w:r>
              <w:rPr>
                <w:rFonts w:hint="default" w:ascii="Times New Roman" w:hAnsi="Times New Roman" w:eastAsia="宋体" w:cs="Times New Roman"/>
                <w:bCs/>
                <w:color w:val="0000FF"/>
                <w:spacing w:val="0"/>
                <w:kern w:val="0"/>
                <w:sz w:val="24"/>
                <w:szCs w:val="24"/>
                <w:lang w:val="en-US" w:eastAsia="zh-CN"/>
              </w:rPr>
              <w:t>0h/a</w:t>
            </w:r>
            <w:r>
              <w:rPr>
                <w:rFonts w:hint="default" w:ascii="Times New Roman" w:hAnsi="Times New Roman" w:eastAsia="宋体" w:cs="Times New Roman"/>
                <w:bCs/>
                <w:color w:val="auto"/>
                <w:spacing w:val="0"/>
                <w:kern w:val="0"/>
                <w:sz w:val="24"/>
                <w:szCs w:val="24"/>
                <w:lang w:val="en-US" w:eastAsia="zh-CN"/>
              </w:rPr>
              <w:t>，废气去除效率为9</w:t>
            </w:r>
            <w:r>
              <w:rPr>
                <w:rFonts w:hint="eastAsia" w:cs="Times New Roman"/>
                <w:bCs/>
                <w:color w:val="auto"/>
                <w:spacing w:val="0"/>
                <w:kern w:val="0"/>
                <w:sz w:val="24"/>
                <w:szCs w:val="24"/>
                <w:lang w:val="en-US" w:eastAsia="zh-CN"/>
              </w:rPr>
              <w:t>9.5</w:t>
            </w:r>
            <w:r>
              <w:rPr>
                <w:rFonts w:hint="default" w:ascii="Times New Roman" w:hAnsi="Times New Roman" w:eastAsia="宋体" w:cs="Times New Roman"/>
                <w:bCs/>
                <w:color w:val="auto"/>
                <w:spacing w:val="0"/>
                <w:kern w:val="0"/>
                <w:sz w:val="24"/>
                <w:szCs w:val="24"/>
                <w:lang w:val="en-US" w:eastAsia="zh-CN"/>
              </w:rPr>
              <w:t>%，则处理后</w:t>
            </w:r>
            <w:r>
              <w:rPr>
                <w:rFonts w:hint="eastAsia" w:ascii="Times New Roman" w:hAnsi="Times New Roman" w:cs="Times New Roman"/>
                <w:bCs/>
                <w:color w:val="auto"/>
                <w:spacing w:val="0"/>
                <w:kern w:val="0"/>
                <w:sz w:val="24"/>
                <w:szCs w:val="24"/>
                <w:lang w:val="en-US" w:eastAsia="zh-CN"/>
              </w:rPr>
              <w:t>废气</w:t>
            </w:r>
            <w:r>
              <w:rPr>
                <w:rFonts w:hint="default" w:ascii="Times New Roman" w:hAnsi="Times New Roman" w:eastAsia="宋体" w:cs="Times New Roman"/>
                <w:bCs/>
                <w:color w:val="auto"/>
                <w:spacing w:val="0"/>
                <w:kern w:val="0"/>
                <w:sz w:val="24"/>
                <w:szCs w:val="24"/>
                <w:lang w:val="en-US" w:eastAsia="zh-CN"/>
              </w:rPr>
              <w:t>排放情况</w:t>
            </w:r>
            <w:r>
              <w:rPr>
                <w:rFonts w:hint="eastAsia" w:ascii="Times New Roman" w:hAnsi="Times New Roman" w:cs="Times New Roman"/>
                <w:bCs/>
                <w:color w:val="auto"/>
                <w:spacing w:val="0"/>
                <w:kern w:val="0"/>
                <w:sz w:val="24"/>
                <w:szCs w:val="24"/>
                <w:lang w:val="en-US" w:eastAsia="zh-CN"/>
              </w:rPr>
              <w:t>见下表。</w:t>
            </w:r>
          </w:p>
          <w:p w14:paraId="02997BD9">
            <w:pPr>
              <w:numPr>
                <w:ilvl w:val="0"/>
                <w:numId w:val="13"/>
              </w:numPr>
              <w:tabs>
                <w:tab w:val="center" w:pos="0"/>
              </w:tabs>
              <w:ind w:left="420" w:leftChars="0" w:hanging="420" w:firstLineChars="0"/>
              <w:jc w:val="center"/>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cs="Times New Roman"/>
                <w:b/>
                <w:bCs/>
                <w:snapToGrid w:val="0"/>
                <w:color w:val="auto"/>
                <w:kern w:val="0"/>
                <w:sz w:val="24"/>
                <w:szCs w:val="24"/>
                <w:highlight w:val="none"/>
                <w:lang w:val="en-US" w:eastAsia="zh-CN" w:bidi="ar-SA"/>
              </w:rPr>
              <w:t>沥青烟气排放情况</w:t>
            </w:r>
            <w:r>
              <w:rPr>
                <w:rFonts w:hint="default" w:ascii="Times New Roman" w:hAnsi="Times New Roman" w:eastAsia="宋体" w:cs="Times New Roman"/>
                <w:b/>
                <w:bCs/>
                <w:snapToGrid w:val="0"/>
                <w:color w:val="auto"/>
                <w:kern w:val="0"/>
                <w:sz w:val="24"/>
                <w:szCs w:val="24"/>
                <w:highlight w:val="none"/>
                <w:lang w:val="en-US" w:eastAsia="zh-CN" w:bidi="ar-SA"/>
              </w:rPr>
              <w:t>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3"/>
              <w:gridCol w:w="692"/>
              <w:gridCol w:w="928"/>
              <w:gridCol w:w="997"/>
              <w:gridCol w:w="1013"/>
              <w:gridCol w:w="957"/>
              <w:gridCol w:w="957"/>
              <w:gridCol w:w="958"/>
              <w:gridCol w:w="958"/>
            </w:tblGrid>
            <w:tr w14:paraId="189A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noWrap w:val="0"/>
                  <w:vAlign w:val="center"/>
                </w:tcPr>
                <w:p w14:paraId="253C8EE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441" w:type="pct"/>
                  <w:noWrap w:val="0"/>
                  <w:vAlign w:val="center"/>
                </w:tcPr>
                <w:p w14:paraId="3D8C327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592" w:type="pct"/>
                  <w:noWrap w:val="0"/>
                  <w:vAlign w:val="center"/>
                </w:tcPr>
                <w:p w14:paraId="1D18875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w:t>
                  </w:r>
                </w:p>
                <w:p w14:paraId="285A076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36" w:type="pct"/>
                  <w:noWrap w:val="0"/>
                  <w:vAlign w:val="center"/>
                </w:tcPr>
                <w:p w14:paraId="2DCAE4A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处理效率</w:t>
                  </w:r>
                </w:p>
              </w:tc>
              <w:tc>
                <w:tcPr>
                  <w:tcW w:w="646" w:type="pct"/>
                  <w:noWrap w:val="0"/>
                  <w:vAlign w:val="center"/>
                </w:tcPr>
                <w:p w14:paraId="5EB32B9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w:t>
                  </w:r>
                </w:p>
                <w:p w14:paraId="1148891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t/a</w:t>
                  </w:r>
                </w:p>
              </w:tc>
              <w:tc>
                <w:tcPr>
                  <w:tcW w:w="610" w:type="pct"/>
                  <w:noWrap w:val="0"/>
                  <w:vAlign w:val="center"/>
                </w:tcPr>
                <w:p w14:paraId="3BC890E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排放时间</w:t>
                  </w:r>
                </w:p>
                <w:p w14:paraId="62C7392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h/a</w:t>
                  </w:r>
                </w:p>
              </w:tc>
              <w:tc>
                <w:tcPr>
                  <w:tcW w:w="610" w:type="pct"/>
                  <w:noWrap w:val="0"/>
                  <w:vAlign w:val="center"/>
                </w:tcPr>
                <w:p w14:paraId="4743644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14:paraId="2D9A30B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611" w:type="pct"/>
                  <w:noWrap w:val="0"/>
                  <w:vAlign w:val="center"/>
                </w:tcPr>
                <w:p w14:paraId="50994215">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p w14:paraId="2242DAC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611" w:type="pct"/>
                  <w:noWrap w:val="0"/>
                  <w:vAlign w:val="center"/>
                </w:tcPr>
                <w:p w14:paraId="0B8FAD1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排放形式</w:t>
                  </w:r>
                </w:p>
              </w:tc>
            </w:tr>
            <w:tr w14:paraId="2C59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restart"/>
                  <w:noWrap w:val="0"/>
                  <w:vAlign w:val="center"/>
                </w:tcPr>
                <w:p w14:paraId="402EFAD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沥青烟气</w:t>
                  </w:r>
                </w:p>
              </w:tc>
              <w:tc>
                <w:tcPr>
                  <w:tcW w:w="441" w:type="pct"/>
                  <w:noWrap w:val="0"/>
                  <w:vAlign w:val="center"/>
                </w:tcPr>
                <w:p w14:paraId="4759963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沥青烟</w:t>
                  </w:r>
                </w:p>
              </w:tc>
              <w:tc>
                <w:tcPr>
                  <w:tcW w:w="928" w:type="dxa"/>
                  <w:noWrap w:val="0"/>
                  <w:vAlign w:val="center"/>
                </w:tcPr>
                <w:p w14:paraId="6BE08CE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4.622</w:t>
                  </w:r>
                </w:p>
              </w:tc>
              <w:tc>
                <w:tcPr>
                  <w:tcW w:w="997" w:type="dxa"/>
                  <w:noWrap w:val="0"/>
                  <w:vAlign w:val="center"/>
                </w:tcPr>
                <w:p w14:paraId="342D167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99.5%</w:t>
                  </w:r>
                </w:p>
              </w:tc>
              <w:tc>
                <w:tcPr>
                  <w:tcW w:w="1013" w:type="dxa"/>
                  <w:noWrap w:val="0"/>
                  <w:vAlign w:val="center"/>
                </w:tcPr>
                <w:p w14:paraId="0C0F0EC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0.023</w:t>
                  </w:r>
                </w:p>
              </w:tc>
              <w:tc>
                <w:tcPr>
                  <w:tcW w:w="957" w:type="dxa"/>
                  <w:noWrap w:val="0"/>
                  <w:vAlign w:val="center"/>
                </w:tcPr>
                <w:p w14:paraId="5A31A92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499A6E0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0.096</w:t>
                  </w:r>
                </w:p>
              </w:tc>
              <w:tc>
                <w:tcPr>
                  <w:tcW w:w="958" w:type="dxa"/>
                  <w:noWrap w:val="0"/>
                  <w:vAlign w:val="center"/>
                </w:tcPr>
                <w:p w14:paraId="265DC6C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611" w:type="pct"/>
                  <w:vMerge w:val="restart"/>
                  <w:noWrap w:val="0"/>
                  <w:vAlign w:val="center"/>
                </w:tcPr>
                <w:p w14:paraId="51A0B42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r>
            <w:tr w14:paraId="12BB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3105F84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6F2C1B75">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pacing w:val="0"/>
                      <w:kern w:val="0"/>
                      <w:sz w:val="21"/>
                      <w:szCs w:val="21"/>
                      <w:lang w:val="en-US" w:eastAsia="zh-CN"/>
                    </w:rPr>
                    <w:t>苯并[a]芘</w:t>
                  </w:r>
                </w:p>
              </w:tc>
              <w:tc>
                <w:tcPr>
                  <w:tcW w:w="928" w:type="dxa"/>
                  <w:noWrap w:val="0"/>
                  <w:vAlign w:val="center"/>
                </w:tcPr>
                <w:p w14:paraId="39D8EBA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0.0000585</w:t>
                  </w:r>
                </w:p>
              </w:tc>
              <w:tc>
                <w:tcPr>
                  <w:tcW w:w="997" w:type="dxa"/>
                  <w:noWrap w:val="0"/>
                  <w:vAlign w:val="center"/>
                </w:tcPr>
                <w:p w14:paraId="07ABF41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99.5%</w:t>
                  </w:r>
                </w:p>
              </w:tc>
              <w:tc>
                <w:tcPr>
                  <w:tcW w:w="1013" w:type="dxa"/>
                  <w:noWrap w:val="0"/>
                  <w:vAlign w:val="center"/>
                </w:tcPr>
                <w:p w14:paraId="11F67B2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2.93E-07</w:t>
                  </w:r>
                </w:p>
              </w:tc>
              <w:tc>
                <w:tcPr>
                  <w:tcW w:w="957" w:type="dxa"/>
                  <w:noWrap w:val="0"/>
                  <w:vAlign w:val="center"/>
                </w:tcPr>
                <w:p w14:paraId="0BE7A69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79A4754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1.22E-06</w:t>
                  </w:r>
                </w:p>
              </w:tc>
              <w:tc>
                <w:tcPr>
                  <w:tcW w:w="958" w:type="dxa"/>
                  <w:noWrap w:val="0"/>
                  <w:vAlign w:val="center"/>
                </w:tcPr>
                <w:p w14:paraId="6B780BA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4.06E-05</w:t>
                  </w:r>
                </w:p>
              </w:tc>
              <w:tc>
                <w:tcPr>
                  <w:tcW w:w="611" w:type="pct"/>
                  <w:vMerge w:val="continue"/>
                  <w:noWrap w:val="0"/>
                  <w:vAlign w:val="center"/>
                </w:tcPr>
                <w:p w14:paraId="6C6293C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696A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38DAB2D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0881628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VOCs</w:t>
                  </w:r>
                </w:p>
              </w:tc>
              <w:tc>
                <w:tcPr>
                  <w:tcW w:w="928" w:type="dxa"/>
                  <w:noWrap w:val="0"/>
                  <w:vAlign w:val="center"/>
                </w:tcPr>
                <w:p w14:paraId="4D4D8FA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3.235</w:t>
                  </w:r>
                </w:p>
              </w:tc>
              <w:tc>
                <w:tcPr>
                  <w:tcW w:w="997" w:type="dxa"/>
                  <w:noWrap w:val="0"/>
                  <w:vAlign w:val="center"/>
                </w:tcPr>
                <w:p w14:paraId="61E76EF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99.5%</w:t>
                  </w:r>
                </w:p>
              </w:tc>
              <w:tc>
                <w:tcPr>
                  <w:tcW w:w="1013" w:type="dxa"/>
                  <w:noWrap w:val="0"/>
                  <w:vAlign w:val="center"/>
                </w:tcPr>
                <w:p w14:paraId="2A838A3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0.016</w:t>
                  </w:r>
                </w:p>
              </w:tc>
              <w:tc>
                <w:tcPr>
                  <w:tcW w:w="957" w:type="dxa"/>
                  <w:noWrap w:val="0"/>
                  <w:vAlign w:val="center"/>
                </w:tcPr>
                <w:p w14:paraId="6A77238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2463F2E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0.067</w:t>
                  </w:r>
                </w:p>
              </w:tc>
              <w:tc>
                <w:tcPr>
                  <w:tcW w:w="958" w:type="dxa"/>
                  <w:noWrap w:val="0"/>
                  <w:vAlign w:val="center"/>
                </w:tcPr>
                <w:p w14:paraId="64E9E87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2.23</w:t>
                  </w:r>
                </w:p>
              </w:tc>
              <w:tc>
                <w:tcPr>
                  <w:tcW w:w="611" w:type="pct"/>
                  <w:vMerge w:val="continue"/>
                  <w:noWrap w:val="0"/>
                  <w:vAlign w:val="center"/>
                </w:tcPr>
                <w:p w14:paraId="4E73CF3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3D32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7352115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79D2844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592" w:type="pct"/>
                  <w:noWrap w:val="0"/>
                  <w:vAlign w:val="center"/>
                </w:tcPr>
                <w:p w14:paraId="187240A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36" w:type="pct"/>
                  <w:noWrap w:val="0"/>
                  <w:vAlign w:val="center"/>
                </w:tcPr>
                <w:p w14:paraId="7A1CB16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646" w:type="pct"/>
                  <w:noWrap w:val="0"/>
                  <w:vAlign w:val="center"/>
                </w:tcPr>
                <w:p w14:paraId="1FB6A72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10" w:type="pct"/>
                  <w:noWrap w:val="0"/>
                  <w:vAlign w:val="center"/>
                </w:tcPr>
                <w:p w14:paraId="6E76A2C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p>
              </w:tc>
              <w:tc>
                <w:tcPr>
                  <w:tcW w:w="610" w:type="pct"/>
                  <w:noWrap w:val="0"/>
                  <w:vAlign w:val="center"/>
                </w:tcPr>
                <w:p w14:paraId="021097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11" w:type="pct"/>
                  <w:noWrap w:val="0"/>
                  <w:vAlign w:val="center"/>
                </w:tcPr>
                <w:p w14:paraId="084AB0C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r>
                    <w:rPr>
                      <w:rStyle w:val="65"/>
                      <w:rFonts w:hint="default" w:ascii="Times New Roman" w:hAnsi="Times New Roman" w:eastAsia="宋体" w:cs="Times New Roman"/>
                      <w:color w:val="auto"/>
                      <w:sz w:val="21"/>
                      <w:szCs w:val="21"/>
                      <w:lang w:val="en-US" w:eastAsia="zh-CN" w:bidi="ar"/>
                    </w:rPr>
                    <w:t>2000</w:t>
                  </w:r>
                  <w:r>
                    <w:rPr>
                      <w:rFonts w:hint="default" w:ascii="Times New Roman" w:hAnsi="Times New Roman" w:eastAsia="宋体" w:cs="Times New Roman"/>
                      <w:i w:val="0"/>
                      <w:iCs w:val="0"/>
                      <w:color w:val="auto"/>
                      <w:kern w:val="0"/>
                      <w:sz w:val="21"/>
                      <w:szCs w:val="21"/>
                      <w:u w:val="none"/>
                      <w:lang w:val="en-US" w:eastAsia="zh-CN" w:bidi="ar"/>
                    </w:rPr>
                    <w:t>（无量纲）</w:t>
                  </w:r>
                </w:p>
              </w:tc>
              <w:tc>
                <w:tcPr>
                  <w:tcW w:w="611" w:type="pct"/>
                  <w:vMerge w:val="continue"/>
                  <w:noWrap w:val="0"/>
                  <w:vAlign w:val="center"/>
                </w:tcPr>
                <w:p w14:paraId="3BA803C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484F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5436DF5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5FF6C34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沥青烟</w:t>
                  </w:r>
                </w:p>
              </w:tc>
              <w:tc>
                <w:tcPr>
                  <w:tcW w:w="928" w:type="dxa"/>
                  <w:noWrap w:val="0"/>
                  <w:vAlign w:val="center"/>
                </w:tcPr>
                <w:p w14:paraId="5805112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0.166</w:t>
                  </w:r>
                </w:p>
              </w:tc>
              <w:tc>
                <w:tcPr>
                  <w:tcW w:w="997" w:type="dxa"/>
                  <w:noWrap w:val="0"/>
                  <w:vAlign w:val="center"/>
                </w:tcPr>
                <w:p w14:paraId="611DD7C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1013" w:type="dxa"/>
                  <w:noWrap w:val="0"/>
                  <w:vAlign w:val="center"/>
                </w:tcPr>
                <w:p w14:paraId="73961AB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0.166</w:t>
                  </w:r>
                </w:p>
              </w:tc>
              <w:tc>
                <w:tcPr>
                  <w:tcW w:w="957" w:type="dxa"/>
                  <w:noWrap w:val="0"/>
                  <w:vAlign w:val="center"/>
                </w:tcPr>
                <w:p w14:paraId="470668F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0C4818F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0.692</w:t>
                  </w:r>
                </w:p>
              </w:tc>
              <w:tc>
                <w:tcPr>
                  <w:tcW w:w="958" w:type="dxa"/>
                  <w:noWrap w:val="0"/>
                  <w:vAlign w:val="center"/>
                </w:tcPr>
                <w:p w14:paraId="1A488DA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611" w:type="pct"/>
                  <w:vMerge w:val="restart"/>
                  <w:noWrap w:val="0"/>
                  <w:vAlign w:val="center"/>
                </w:tcPr>
                <w:p w14:paraId="3934F71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14:paraId="1E54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6E0A425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7F5F157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pacing w:val="0"/>
                      <w:kern w:val="0"/>
                      <w:sz w:val="21"/>
                      <w:szCs w:val="21"/>
                      <w:lang w:val="en-US" w:eastAsia="zh-CN"/>
                    </w:rPr>
                    <w:t>苯并[a]芘</w:t>
                  </w:r>
                </w:p>
              </w:tc>
              <w:tc>
                <w:tcPr>
                  <w:tcW w:w="928" w:type="dxa"/>
                  <w:noWrap w:val="0"/>
                  <w:vAlign w:val="center"/>
                </w:tcPr>
                <w:p w14:paraId="60C1A8E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0.0000015</w:t>
                  </w:r>
                </w:p>
              </w:tc>
              <w:tc>
                <w:tcPr>
                  <w:tcW w:w="997" w:type="dxa"/>
                  <w:noWrap w:val="0"/>
                  <w:vAlign w:val="center"/>
                </w:tcPr>
                <w:p w14:paraId="692D3BF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1013" w:type="dxa"/>
                  <w:noWrap w:val="0"/>
                  <w:vAlign w:val="center"/>
                </w:tcPr>
                <w:p w14:paraId="3370D20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0.0000015</w:t>
                  </w:r>
                </w:p>
              </w:tc>
              <w:tc>
                <w:tcPr>
                  <w:tcW w:w="957" w:type="dxa"/>
                  <w:noWrap w:val="0"/>
                  <w:vAlign w:val="center"/>
                </w:tcPr>
                <w:p w14:paraId="4FAECC1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20C614F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6.25E-06</w:t>
                  </w:r>
                </w:p>
              </w:tc>
              <w:tc>
                <w:tcPr>
                  <w:tcW w:w="958" w:type="dxa"/>
                  <w:noWrap w:val="0"/>
                  <w:vAlign w:val="center"/>
                </w:tcPr>
                <w:p w14:paraId="1872DB7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611" w:type="pct"/>
                  <w:vMerge w:val="continue"/>
                  <w:noWrap w:val="0"/>
                  <w:vAlign w:val="center"/>
                </w:tcPr>
                <w:p w14:paraId="2BD25DD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0733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1356D51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675452FD">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VOCs</w:t>
                  </w:r>
                </w:p>
              </w:tc>
              <w:tc>
                <w:tcPr>
                  <w:tcW w:w="928" w:type="dxa"/>
                  <w:noWrap w:val="0"/>
                  <w:vAlign w:val="center"/>
                </w:tcPr>
                <w:p w14:paraId="76B8F14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0.116</w:t>
                  </w:r>
                </w:p>
              </w:tc>
              <w:tc>
                <w:tcPr>
                  <w:tcW w:w="997" w:type="dxa"/>
                  <w:noWrap w:val="0"/>
                  <w:vAlign w:val="center"/>
                </w:tcPr>
                <w:p w14:paraId="24C1AB7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1013" w:type="dxa"/>
                  <w:noWrap w:val="0"/>
                  <w:vAlign w:val="center"/>
                </w:tcPr>
                <w:p w14:paraId="69D86C5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0.116</w:t>
                  </w:r>
                </w:p>
              </w:tc>
              <w:tc>
                <w:tcPr>
                  <w:tcW w:w="957" w:type="dxa"/>
                  <w:noWrap w:val="0"/>
                  <w:vAlign w:val="center"/>
                </w:tcPr>
                <w:p w14:paraId="58E35DA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957" w:type="dxa"/>
                  <w:noWrap w:val="0"/>
                  <w:vAlign w:val="center"/>
                </w:tcPr>
                <w:p w14:paraId="491C4D7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0.483</w:t>
                  </w:r>
                </w:p>
              </w:tc>
              <w:tc>
                <w:tcPr>
                  <w:tcW w:w="958" w:type="dxa"/>
                  <w:noWrap w:val="0"/>
                  <w:vAlign w:val="center"/>
                </w:tcPr>
                <w:p w14:paraId="24B663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w:t>
                  </w:r>
                </w:p>
              </w:tc>
              <w:tc>
                <w:tcPr>
                  <w:tcW w:w="611" w:type="pct"/>
                  <w:vMerge w:val="continue"/>
                  <w:noWrap w:val="0"/>
                  <w:vAlign w:val="center"/>
                </w:tcPr>
                <w:p w14:paraId="1DD2E10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78A3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14:paraId="14D1D32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441" w:type="pct"/>
                  <w:noWrap w:val="0"/>
                  <w:vAlign w:val="center"/>
                </w:tcPr>
                <w:p w14:paraId="551F87CD">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592" w:type="pct"/>
                  <w:noWrap w:val="0"/>
                  <w:vAlign w:val="center"/>
                </w:tcPr>
                <w:p w14:paraId="4EFCEEE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36" w:type="pct"/>
                  <w:noWrap w:val="0"/>
                  <w:vAlign w:val="center"/>
                </w:tcPr>
                <w:p w14:paraId="7D14285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46" w:type="pct"/>
                  <w:noWrap w:val="0"/>
                  <w:vAlign w:val="center"/>
                </w:tcPr>
                <w:p w14:paraId="06CB34E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10" w:type="pct"/>
                  <w:noWrap w:val="0"/>
                  <w:vAlign w:val="center"/>
                </w:tcPr>
                <w:p w14:paraId="0E8F00F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10" w:type="pct"/>
                  <w:noWrap w:val="0"/>
                  <w:vAlign w:val="center"/>
                </w:tcPr>
                <w:p w14:paraId="741B75C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11" w:type="pct"/>
                  <w:noWrap w:val="0"/>
                  <w:vAlign w:val="center"/>
                </w:tcPr>
                <w:p w14:paraId="14EE9A6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r>
                    <w:rPr>
                      <w:rStyle w:val="65"/>
                      <w:rFonts w:hint="default" w:ascii="Times New Roman" w:hAnsi="Times New Roman" w:eastAsia="宋体" w:cs="Times New Roman"/>
                      <w:color w:val="auto"/>
                      <w:sz w:val="21"/>
                      <w:szCs w:val="21"/>
                      <w:lang w:val="en-US" w:eastAsia="zh-CN" w:bidi="ar"/>
                    </w:rPr>
                    <w:t>16</w:t>
                  </w:r>
                </w:p>
              </w:tc>
              <w:tc>
                <w:tcPr>
                  <w:tcW w:w="611" w:type="pct"/>
                  <w:vMerge w:val="continue"/>
                  <w:noWrap w:val="0"/>
                  <w:vAlign w:val="center"/>
                </w:tcPr>
                <w:p w14:paraId="262F09D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bl>
          <w:p w14:paraId="058BCEF8">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val="0"/>
                <w:color w:val="auto"/>
                <w:spacing w:val="0"/>
                <w:kern w:val="0"/>
                <w:sz w:val="24"/>
                <w:szCs w:val="24"/>
                <w:lang w:val="en-US" w:eastAsia="zh-CN"/>
              </w:rPr>
            </w:pPr>
            <w:r>
              <w:rPr>
                <w:rFonts w:hint="eastAsia" w:ascii="Times New Roman" w:hAnsi="Times New Roman" w:cs="Times New Roman"/>
                <w:b/>
                <w:bCs w:val="0"/>
                <w:color w:val="auto"/>
                <w:spacing w:val="0"/>
                <w:kern w:val="0"/>
                <w:sz w:val="24"/>
                <w:szCs w:val="24"/>
                <w:lang w:val="en-US" w:eastAsia="zh-CN"/>
              </w:rPr>
              <w:t>（</w:t>
            </w:r>
            <w:r>
              <w:rPr>
                <w:rFonts w:hint="eastAsia" w:cs="Times New Roman"/>
                <w:b/>
                <w:bCs w:val="0"/>
                <w:color w:val="auto"/>
                <w:spacing w:val="0"/>
                <w:kern w:val="0"/>
                <w:sz w:val="24"/>
                <w:szCs w:val="24"/>
                <w:lang w:val="en-US" w:eastAsia="zh-CN"/>
              </w:rPr>
              <w:t>4</w:t>
            </w:r>
            <w:r>
              <w:rPr>
                <w:rFonts w:hint="eastAsia" w:ascii="Times New Roman" w:hAnsi="Times New Roman" w:cs="Times New Roman"/>
                <w:b/>
                <w:bCs w:val="0"/>
                <w:color w:val="auto"/>
                <w:spacing w:val="0"/>
                <w:kern w:val="0"/>
                <w:sz w:val="24"/>
                <w:szCs w:val="24"/>
                <w:lang w:val="en-US" w:eastAsia="zh-CN"/>
              </w:rPr>
              <w:t>）</w:t>
            </w:r>
            <w:r>
              <w:rPr>
                <w:rFonts w:hint="default" w:ascii="Times New Roman" w:hAnsi="Times New Roman" w:eastAsia="宋体" w:cs="Times New Roman"/>
                <w:b/>
                <w:bCs w:val="0"/>
                <w:color w:val="auto"/>
                <w:spacing w:val="0"/>
                <w:kern w:val="0"/>
                <w:sz w:val="24"/>
                <w:szCs w:val="24"/>
                <w:lang w:val="en-US" w:eastAsia="zh-CN"/>
              </w:rPr>
              <w:t>上料和干燥废气</w:t>
            </w:r>
          </w:p>
          <w:p w14:paraId="165E9C5D">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1）上料粉尘</w:t>
            </w:r>
          </w:p>
          <w:p w14:paraId="17D627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骨料由铲车置入料斗，</w:t>
            </w:r>
            <w:r>
              <w:rPr>
                <w:rFonts w:hint="default" w:ascii="Times New Roman" w:hAnsi="Times New Roman" w:eastAsia="宋体" w:cs="Times New Roman"/>
                <w:b w:val="0"/>
                <w:bCs w:val="0"/>
                <w:color w:val="auto"/>
                <w:sz w:val="24"/>
                <w:szCs w:val="24"/>
                <w:highlight w:val="none"/>
                <w:lang w:val="en-US" w:eastAsia="zh-CN"/>
              </w:rPr>
              <w:t>参考《逸散性工业粉尘控制技术》中的“表22-1”，物料输送粉尘产生系数为0.01kg/t-物料，本项目主要考虑机制砂、石子和石硝的产尘，以上原料用量为47500t/a，则</w:t>
            </w:r>
            <w:r>
              <w:rPr>
                <w:rFonts w:hint="eastAsia" w:cs="Times New Roman"/>
                <w:i w:val="0"/>
                <w:iCs w:val="0"/>
                <w:caps w:val="0"/>
                <w:color w:val="auto"/>
                <w:spacing w:val="0"/>
                <w:kern w:val="0"/>
                <w:sz w:val="24"/>
                <w:szCs w:val="24"/>
                <w:shd w:val="clear" w:color="auto" w:fill="FFFFFF"/>
                <w:lang w:val="en-US" w:eastAsia="zh-CN" w:bidi="ar"/>
              </w:rPr>
              <w:t>上料</w:t>
            </w:r>
            <w:r>
              <w:rPr>
                <w:rFonts w:hint="default" w:ascii="Times New Roman" w:hAnsi="Times New Roman" w:eastAsia="宋体" w:cs="Times New Roman"/>
                <w:b w:val="0"/>
                <w:bCs w:val="0"/>
                <w:color w:val="auto"/>
                <w:sz w:val="24"/>
                <w:szCs w:val="24"/>
                <w:highlight w:val="none"/>
                <w:lang w:val="en-US" w:eastAsia="zh-CN"/>
              </w:rPr>
              <w:t>粉尘产生量为0.</w:t>
            </w:r>
            <w:r>
              <w:rPr>
                <w:rFonts w:hint="eastAsia" w:cs="Times New Roman"/>
                <w:b w:val="0"/>
                <w:bCs w:val="0"/>
                <w:color w:val="auto"/>
                <w:sz w:val="24"/>
                <w:szCs w:val="24"/>
                <w:highlight w:val="none"/>
                <w:lang w:val="en-US" w:eastAsia="zh-CN"/>
              </w:rPr>
              <w:t>47</w:t>
            </w:r>
            <w:r>
              <w:rPr>
                <w:rFonts w:hint="default" w:ascii="Times New Roman" w:hAnsi="Times New Roman" w:eastAsia="宋体" w:cs="Times New Roman"/>
                <w:b w:val="0"/>
                <w:bCs w:val="0"/>
                <w:color w:val="auto"/>
                <w:sz w:val="24"/>
                <w:szCs w:val="24"/>
                <w:highlight w:val="none"/>
                <w:lang w:val="en-US" w:eastAsia="zh-CN"/>
              </w:rPr>
              <w:t>5t/a。</w:t>
            </w:r>
          </w:p>
          <w:p w14:paraId="384E5109">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2）干燥废气</w:t>
            </w:r>
          </w:p>
          <w:p w14:paraId="41B25BB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lang w:val="en-US" w:eastAsia="zh-CN"/>
              </w:rPr>
              <w:t>骨料产生的粉尘</w:t>
            </w:r>
          </w:p>
          <w:p w14:paraId="1285891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骨料在干燥滚筒内翻滚加热，翻滚过程会产生</w:t>
            </w:r>
            <w:r>
              <w:rPr>
                <w:rFonts w:hint="default" w:ascii="Times New Roman" w:hAnsi="Times New Roman" w:cs="Times New Roman"/>
                <w:b w:val="0"/>
                <w:bCs w:val="0"/>
                <w:color w:val="auto"/>
                <w:sz w:val="24"/>
                <w:szCs w:val="24"/>
                <w:highlight w:val="none"/>
                <w:lang w:val="en-US" w:eastAsia="zh-CN"/>
              </w:rPr>
              <w:t>粉尘</w:t>
            </w:r>
            <w:r>
              <w:rPr>
                <w:rFonts w:hint="default" w:ascii="Times New Roman" w:hAnsi="Times New Roman" w:eastAsia="宋体" w:cs="Times New Roman"/>
                <w:b w:val="0"/>
                <w:bCs w:val="0"/>
                <w:color w:val="auto"/>
                <w:sz w:val="24"/>
                <w:szCs w:val="24"/>
                <w:highlight w:val="none"/>
                <w:lang w:val="en-US" w:eastAsia="zh-CN"/>
              </w:rPr>
              <w:t>。参考《逸散性工业粉尘控制技术》，干燥滚筒粉尘产污系数取0.25kg/t-原料，本项目骨料用量为</w:t>
            </w:r>
            <w:r>
              <w:rPr>
                <w:rFonts w:hint="default" w:ascii="Times New Roman" w:hAnsi="Times New Roman" w:cs="Times New Roman"/>
                <w:b w:val="0"/>
                <w:bCs w:val="0"/>
                <w:color w:val="auto"/>
                <w:sz w:val="24"/>
                <w:szCs w:val="24"/>
                <w:highlight w:val="none"/>
                <w:lang w:val="en-US" w:eastAsia="zh-CN"/>
              </w:rPr>
              <w:t>475</w:t>
            </w:r>
            <w:r>
              <w:rPr>
                <w:rFonts w:hint="default" w:ascii="Times New Roman" w:hAnsi="Times New Roman" w:eastAsia="宋体" w:cs="Times New Roman"/>
                <w:b w:val="0"/>
                <w:bCs w:val="0"/>
                <w:color w:val="auto"/>
                <w:sz w:val="24"/>
                <w:szCs w:val="24"/>
                <w:highlight w:val="none"/>
                <w:lang w:val="en-US" w:eastAsia="zh-CN"/>
              </w:rPr>
              <w:t>00t/a，则粉尘产生量为11.875t/a。</w:t>
            </w:r>
          </w:p>
          <w:p w14:paraId="48EAE8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天然气燃烧废气</w:t>
            </w:r>
          </w:p>
          <w:p w14:paraId="54C7513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根据建设单位提供材料，干燥工序天然气消耗量约为</w:t>
            </w:r>
            <w:r>
              <w:rPr>
                <w:rFonts w:hint="default" w:ascii="Times New Roman" w:hAnsi="Times New Roman" w:cs="Times New Roman"/>
                <w:i w:val="0"/>
                <w:iCs w:val="0"/>
                <w:color w:val="auto"/>
                <w:kern w:val="0"/>
                <w:sz w:val="24"/>
                <w:szCs w:val="24"/>
                <w:u w:val="none"/>
                <w:lang w:val="en-US" w:eastAsia="zh-CN" w:bidi="ar"/>
              </w:rPr>
              <w:t>217000Nm</w:t>
            </w:r>
            <w:r>
              <w:rPr>
                <w:rFonts w:hint="default" w:ascii="Times New Roman" w:hAnsi="Times New Roman" w:cs="Times New Roman"/>
                <w:i w:val="0"/>
                <w:iCs w:val="0"/>
                <w:color w:val="auto"/>
                <w:kern w:val="0"/>
                <w:sz w:val="24"/>
                <w:szCs w:val="24"/>
                <w:u w:val="none"/>
                <w:vertAlign w:val="superscript"/>
                <w:lang w:val="en-US" w:eastAsia="zh-CN" w:bidi="ar"/>
              </w:rPr>
              <w:t>3</w:t>
            </w:r>
            <w:r>
              <w:rPr>
                <w:rFonts w:hint="default" w:ascii="Times New Roman" w:hAnsi="Times New Roman" w:cs="Times New Roman"/>
                <w:i w:val="0"/>
                <w:iCs w:val="0"/>
                <w:color w:val="auto"/>
                <w:kern w:val="0"/>
                <w:sz w:val="24"/>
                <w:szCs w:val="24"/>
                <w:u w:val="none"/>
                <w:lang w:val="en-US" w:eastAsia="zh-CN" w:bidi="ar"/>
              </w:rPr>
              <w:t>/a</w:t>
            </w:r>
            <w:r>
              <w:rPr>
                <w:rFonts w:hint="default" w:ascii="Times New Roman" w:hAnsi="Times New Roman" w:eastAsia="宋体" w:cs="Times New Roman"/>
                <w:b w:val="0"/>
                <w:bCs w:val="0"/>
                <w:color w:val="auto"/>
                <w:sz w:val="24"/>
                <w:szCs w:val="24"/>
                <w:highlight w:val="none"/>
                <w:lang w:val="en-US" w:eastAsia="zh-CN"/>
              </w:rPr>
              <w:t>。天然气指标符合《天然气》(GB17820-2018)二级标准要求，采用低氮燃烧技术对NOx进行控制。</w:t>
            </w:r>
          </w:p>
          <w:p w14:paraId="751880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二氧化硫和氮氧化物产生系数参考《排放源统计调查产排污核算方法和系数手册》中的“4430工业锅炉（热力供应）行业系数手册”，颗粒物产生系数参考“4411火力发电、4412热电联产行业系数手册”，见下表。</w:t>
            </w:r>
          </w:p>
          <w:p w14:paraId="52B6C085">
            <w:pPr>
              <w:numPr>
                <w:ilvl w:val="0"/>
                <w:numId w:val="13"/>
              </w:numPr>
              <w:tabs>
                <w:tab w:val="center" w:pos="0"/>
              </w:tabs>
              <w:ind w:left="420" w:leftChars="0" w:hanging="420" w:firstLineChars="0"/>
              <w:jc w:val="center"/>
              <w:rPr>
                <w:rFonts w:hint="default" w:ascii="Times New Roman" w:hAnsi="Times New Roman" w:eastAsia="宋体" w:cs="Times New Roman"/>
                <w:b/>
                <w:bCs/>
                <w:snapToGrid w:val="0"/>
                <w:color w:val="auto"/>
                <w:kern w:val="0"/>
                <w:sz w:val="24"/>
                <w:szCs w:val="24"/>
                <w:highlight w:val="none"/>
                <w:lang w:val="en-US" w:eastAsia="zh-CN" w:bidi="ar-SA"/>
              </w:rPr>
            </w:pPr>
            <w:r>
              <w:rPr>
                <w:rFonts w:hint="default" w:ascii="Times New Roman" w:hAnsi="Times New Roman" w:eastAsia="宋体" w:cs="Times New Roman"/>
                <w:b/>
                <w:bCs/>
                <w:snapToGrid w:val="0"/>
                <w:color w:val="auto"/>
                <w:kern w:val="0"/>
                <w:sz w:val="24"/>
                <w:szCs w:val="24"/>
                <w:highlight w:val="none"/>
                <w:lang w:val="en-US" w:eastAsia="zh-CN" w:bidi="ar-SA"/>
              </w:rPr>
              <w:t>天然气燃烧废气</w:t>
            </w:r>
            <w:r>
              <w:rPr>
                <w:rFonts w:hint="eastAsia" w:ascii="Times New Roman" w:hAnsi="Times New Roman" w:cs="Times New Roman"/>
                <w:b/>
                <w:bCs/>
                <w:snapToGrid w:val="0"/>
                <w:color w:val="auto"/>
                <w:kern w:val="0"/>
                <w:sz w:val="24"/>
                <w:szCs w:val="24"/>
                <w:highlight w:val="none"/>
                <w:lang w:val="en-US" w:eastAsia="zh-CN" w:bidi="ar-SA"/>
              </w:rPr>
              <w:t>产生情况</w:t>
            </w:r>
            <w:r>
              <w:rPr>
                <w:rFonts w:hint="default" w:ascii="Times New Roman" w:hAnsi="Times New Roman" w:eastAsia="宋体" w:cs="Times New Roman"/>
                <w:b/>
                <w:bCs/>
                <w:snapToGrid w:val="0"/>
                <w:color w:val="auto"/>
                <w:kern w:val="0"/>
                <w:sz w:val="24"/>
                <w:szCs w:val="24"/>
                <w:highlight w:val="none"/>
                <w:lang w:val="en-US" w:eastAsia="zh-CN" w:bidi="ar-SA"/>
              </w:rPr>
              <w:t>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9"/>
              <w:gridCol w:w="775"/>
              <w:gridCol w:w="1087"/>
              <w:gridCol w:w="2461"/>
              <w:gridCol w:w="1249"/>
              <w:gridCol w:w="1609"/>
            </w:tblGrid>
            <w:tr w14:paraId="6EE1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noWrap w:val="0"/>
                  <w:vAlign w:val="center"/>
                </w:tcPr>
                <w:p w14:paraId="14AD60A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产品</w:t>
                  </w:r>
                </w:p>
              </w:tc>
              <w:tc>
                <w:tcPr>
                  <w:tcW w:w="495" w:type="pct"/>
                  <w:noWrap w:val="0"/>
                  <w:vAlign w:val="center"/>
                </w:tcPr>
                <w:p w14:paraId="1EFD43A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原料</w:t>
                  </w:r>
                </w:p>
              </w:tc>
              <w:tc>
                <w:tcPr>
                  <w:tcW w:w="694" w:type="pct"/>
                  <w:noWrap w:val="0"/>
                  <w:vAlign w:val="center"/>
                </w:tcPr>
                <w:p w14:paraId="6219371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1571" w:type="pct"/>
                  <w:noWrap w:val="0"/>
                  <w:vAlign w:val="center"/>
                </w:tcPr>
                <w:p w14:paraId="73823DB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单位</w:t>
                  </w:r>
                </w:p>
              </w:tc>
              <w:tc>
                <w:tcPr>
                  <w:tcW w:w="797" w:type="pct"/>
                  <w:noWrap w:val="0"/>
                  <w:vAlign w:val="center"/>
                </w:tcPr>
                <w:p w14:paraId="559A24B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产污系数</w:t>
                  </w:r>
                </w:p>
              </w:tc>
              <w:tc>
                <w:tcPr>
                  <w:tcW w:w="1027" w:type="pct"/>
                  <w:noWrap w:val="0"/>
                  <w:vAlign w:val="center"/>
                </w:tcPr>
                <w:p w14:paraId="0C089F4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产生量t/a</w:t>
                  </w:r>
                </w:p>
              </w:tc>
            </w:tr>
            <w:tr w14:paraId="7A73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noWrap w:val="0"/>
                  <w:vAlign w:val="center"/>
                </w:tcPr>
                <w:p w14:paraId="1BECC23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蒸汽/热水/其他</w:t>
                  </w:r>
                </w:p>
              </w:tc>
              <w:tc>
                <w:tcPr>
                  <w:tcW w:w="495" w:type="pct"/>
                  <w:vMerge w:val="restart"/>
                  <w:noWrap w:val="0"/>
                  <w:vAlign w:val="center"/>
                </w:tcPr>
                <w:p w14:paraId="7ECA0BC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天然气</w:t>
                  </w:r>
                </w:p>
              </w:tc>
              <w:tc>
                <w:tcPr>
                  <w:tcW w:w="694" w:type="pct"/>
                  <w:noWrap w:val="0"/>
                  <w:vAlign w:val="center"/>
                </w:tcPr>
                <w:p w14:paraId="4B47C05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1571" w:type="pct"/>
                  <w:noWrap w:val="0"/>
                  <w:vAlign w:val="center"/>
                </w:tcPr>
                <w:p w14:paraId="7F15900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毫克/立方米-原料</w:t>
                  </w:r>
                </w:p>
              </w:tc>
              <w:tc>
                <w:tcPr>
                  <w:tcW w:w="797" w:type="pct"/>
                  <w:noWrap w:val="0"/>
                  <w:vAlign w:val="center"/>
                </w:tcPr>
                <w:p w14:paraId="5E8A43E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103.9</w:t>
                  </w:r>
                </w:p>
              </w:tc>
              <w:tc>
                <w:tcPr>
                  <w:tcW w:w="1027" w:type="pct"/>
                  <w:noWrap w:val="0"/>
                  <w:vAlign w:val="center"/>
                </w:tcPr>
                <w:p w14:paraId="56EAC30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0.023</w:t>
                  </w:r>
                </w:p>
              </w:tc>
            </w:tr>
            <w:tr w14:paraId="395B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noWrap w:val="0"/>
                  <w:vAlign w:val="center"/>
                </w:tcPr>
                <w:p w14:paraId="6CABA0D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495" w:type="pct"/>
                  <w:vMerge w:val="continue"/>
                  <w:noWrap w:val="0"/>
                  <w:vAlign w:val="center"/>
                </w:tcPr>
                <w:p w14:paraId="30980FC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694" w:type="pct"/>
                  <w:noWrap w:val="0"/>
                  <w:vAlign w:val="center"/>
                </w:tcPr>
                <w:p w14:paraId="67C6C91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1571" w:type="pct"/>
                  <w:noWrap w:val="0"/>
                  <w:vAlign w:val="center"/>
                </w:tcPr>
                <w:p w14:paraId="4DB6FDB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kg/万m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-原料</w:t>
                  </w:r>
                </w:p>
              </w:tc>
              <w:tc>
                <w:tcPr>
                  <w:tcW w:w="797" w:type="pct"/>
                  <w:noWrap w:val="0"/>
                  <w:vAlign w:val="center"/>
                </w:tcPr>
                <w:p w14:paraId="3DFBDCC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1027" w:type="pct"/>
                  <w:noWrap w:val="0"/>
                  <w:vAlign w:val="center"/>
                </w:tcPr>
                <w:p w14:paraId="2AE3FB9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0.043</w:t>
                  </w:r>
                </w:p>
              </w:tc>
            </w:tr>
            <w:tr w14:paraId="7C50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noWrap w:val="0"/>
                  <w:vAlign w:val="center"/>
                </w:tcPr>
                <w:p w14:paraId="6884131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495" w:type="pct"/>
                  <w:vMerge w:val="continue"/>
                  <w:noWrap w:val="0"/>
                  <w:vAlign w:val="center"/>
                </w:tcPr>
                <w:p w14:paraId="4B838A1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694" w:type="pct"/>
                  <w:noWrap w:val="0"/>
                  <w:vAlign w:val="center"/>
                </w:tcPr>
                <w:p w14:paraId="2BE00EA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NOx</w:t>
                  </w:r>
                </w:p>
              </w:tc>
              <w:tc>
                <w:tcPr>
                  <w:tcW w:w="1571" w:type="pct"/>
                  <w:noWrap w:val="0"/>
                  <w:vAlign w:val="center"/>
                </w:tcPr>
                <w:p w14:paraId="529DAA6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kg/万m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-原料（低氮燃烧）</w:t>
                  </w:r>
                </w:p>
              </w:tc>
              <w:tc>
                <w:tcPr>
                  <w:tcW w:w="797" w:type="pct"/>
                  <w:noWrap w:val="0"/>
                  <w:vAlign w:val="center"/>
                </w:tcPr>
                <w:p w14:paraId="1D2B066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3.03</w:t>
                  </w:r>
                </w:p>
              </w:tc>
              <w:tc>
                <w:tcPr>
                  <w:tcW w:w="1027" w:type="pct"/>
                  <w:noWrap w:val="0"/>
                  <w:vAlign w:val="center"/>
                </w:tcPr>
                <w:p w14:paraId="4D6F32F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0.066</w:t>
                  </w:r>
                </w:p>
              </w:tc>
            </w:tr>
          </w:tbl>
          <w:p w14:paraId="03A11FA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S表示含硫量，单位为mg/m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，按照《天然气》（GB17820-2018）二类标准，天然气含硫量取100。</w:t>
            </w:r>
            <w:r>
              <w:rPr>
                <w:rFonts w:hint="default" w:ascii="Times New Roman" w:hAnsi="Times New Roman" w:cs="Times New Roman"/>
                <w:color w:val="auto"/>
                <w:sz w:val="24"/>
                <w:szCs w:val="24"/>
              </w:rPr>
              <w:t>即产污系数为2kg/万m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-原料</w:t>
            </w:r>
            <w:r>
              <w:rPr>
                <w:rFonts w:hint="default" w:ascii="Times New Roman" w:hAnsi="Times New Roman" w:cs="Times New Roman"/>
                <w:color w:val="auto"/>
                <w:sz w:val="24"/>
                <w:szCs w:val="24"/>
                <w:lang w:eastAsia="zh-CN"/>
              </w:rPr>
              <w:t>。</w:t>
            </w:r>
          </w:p>
          <w:p w14:paraId="06D3EA7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cs="Times New Roman"/>
                <w:bCs/>
                <w:color w:val="auto"/>
                <w:spacing w:val="0"/>
                <w:kern w:val="0"/>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上料口设置喷淋降尘装置及半密闭式集气罩，干燥工序密闭，采用天然气燃烧尾气对物料直接加热。天然气采用低氮燃烧技术，废气一并经旋风除尘器+布袋除尘器处理后通过15m排气筒</w:t>
            </w:r>
            <w:r>
              <w:rPr>
                <w:rFonts w:hint="default" w:ascii="Times New Roman" w:hAnsi="Times New Roman" w:cs="Times New Roman"/>
                <w:i w:val="0"/>
                <w:iCs w:val="0"/>
                <w:caps w:val="0"/>
                <w:color w:val="auto"/>
                <w:spacing w:val="0"/>
                <w:kern w:val="0"/>
                <w:sz w:val="24"/>
                <w:szCs w:val="24"/>
                <w:shd w:val="clear" w:color="auto" w:fill="FFFFFF"/>
                <w:lang w:val="en-US" w:eastAsia="zh-CN" w:bidi="ar"/>
              </w:rPr>
              <w:t>DA001</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排放。</w:t>
            </w:r>
            <w:r>
              <w:rPr>
                <w:rFonts w:hint="default" w:ascii="Times New Roman" w:hAnsi="Times New Roman" w:cs="Times New Roman"/>
                <w:bCs/>
                <w:color w:val="auto"/>
                <w:spacing w:val="0"/>
                <w:kern w:val="0"/>
                <w:sz w:val="24"/>
                <w:szCs w:val="24"/>
                <w:lang w:val="en-US" w:eastAsia="zh-CN"/>
              </w:rPr>
              <w:t>上料粉尘收集效率按95%，干燥废气</w:t>
            </w:r>
            <w:r>
              <w:rPr>
                <w:rFonts w:hint="default" w:ascii="Times New Roman" w:hAnsi="Times New Roman" w:eastAsia="宋体" w:cs="Times New Roman"/>
                <w:bCs/>
                <w:color w:val="auto"/>
                <w:spacing w:val="0"/>
                <w:kern w:val="0"/>
                <w:sz w:val="24"/>
                <w:szCs w:val="24"/>
                <w:lang w:val="en-US" w:eastAsia="zh-CN"/>
              </w:rPr>
              <w:t>收集效率按100%，配套风机风量为30000m</w:t>
            </w:r>
            <w:r>
              <w:rPr>
                <w:rFonts w:hint="default" w:ascii="Times New Roman" w:hAnsi="Times New Roman" w:eastAsia="宋体" w:cs="Times New Roman"/>
                <w:bCs/>
                <w:color w:val="auto"/>
                <w:spacing w:val="0"/>
                <w:kern w:val="0"/>
                <w:sz w:val="24"/>
                <w:szCs w:val="24"/>
                <w:vertAlign w:val="superscript"/>
                <w:lang w:val="en-US" w:eastAsia="zh-CN"/>
              </w:rPr>
              <w:t>3</w:t>
            </w:r>
            <w:r>
              <w:rPr>
                <w:rFonts w:hint="default" w:ascii="Times New Roman" w:hAnsi="Times New Roman" w:eastAsia="宋体" w:cs="Times New Roman"/>
                <w:bCs/>
                <w:color w:val="auto"/>
                <w:spacing w:val="0"/>
                <w:kern w:val="0"/>
                <w:sz w:val="24"/>
                <w:szCs w:val="24"/>
                <w:lang w:val="en-US" w:eastAsia="zh-CN"/>
              </w:rPr>
              <w:t>/h，工作时间为</w:t>
            </w:r>
            <w:r>
              <w:rPr>
                <w:rFonts w:hint="eastAsia" w:cs="Times New Roman"/>
                <w:bCs/>
                <w:color w:val="0000FF"/>
                <w:spacing w:val="0"/>
                <w:kern w:val="0"/>
                <w:sz w:val="24"/>
                <w:szCs w:val="24"/>
                <w:lang w:val="en-US" w:eastAsia="zh-CN"/>
              </w:rPr>
              <w:t>24</w:t>
            </w:r>
            <w:r>
              <w:rPr>
                <w:rFonts w:hint="default" w:ascii="Times New Roman" w:hAnsi="Times New Roman" w:eastAsia="宋体" w:cs="Times New Roman"/>
                <w:bCs/>
                <w:color w:val="0000FF"/>
                <w:spacing w:val="0"/>
                <w:kern w:val="0"/>
                <w:sz w:val="24"/>
                <w:szCs w:val="24"/>
                <w:lang w:val="en-US" w:eastAsia="zh-CN"/>
              </w:rPr>
              <w:t>0h/a</w:t>
            </w:r>
            <w:r>
              <w:rPr>
                <w:rFonts w:hint="default" w:ascii="Times New Roman" w:hAnsi="Times New Roman" w:eastAsia="宋体" w:cs="Times New Roman"/>
                <w:bCs/>
                <w:color w:val="auto"/>
                <w:spacing w:val="0"/>
                <w:kern w:val="0"/>
                <w:sz w:val="24"/>
                <w:szCs w:val="24"/>
                <w:lang w:val="en-US" w:eastAsia="zh-CN"/>
              </w:rPr>
              <w:t>，</w:t>
            </w:r>
            <w:r>
              <w:rPr>
                <w:rFonts w:hint="default" w:ascii="Times New Roman" w:hAnsi="Times New Roman" w:cs="Times New Roman"/>
                <w:bCs/>
                <w:color w:val="auto"/>
                <w:spacing w:val="0"/>
                <w:kern w:val="0"/>
                <w:sz w:val="24"/>
                <w:szCs w:val="24"/>
                <w:lang w:val="en-US" w:eastAsia="zh-CN"/>
              </w:rPr>
              <w:t>颗粒物</w:t>
            </w:r>
            <w:r>
              <w:rPr>
                <w:rFonts w:hint="default" w:ascii="Times New Roman" w:hAnsi="Times New Roman" w:eastAsia="宋体" w:cs="Times New Roman"/>
                <w:bCs/>
                <w:color w:val="auto"/>
                <w:spacing w:val="0"/>
                <w:kern w:val="0"/>
                <w:sz w:val="24"/>
                <w:szCs w:val="24"/>
                <w:lang w:val="en-US" w:eastAsia="zh-CN"/>
              </w:rPr>
              <w:t>去除效率为9</w:t>
            </w:r>
            <w:r>
              <w:rPr>
                <w:rFonts w:hint="eastAsia" w:ascii="Times New Roman" w:hAnsi="Times New Roman" w:cs="Times New Roman"/>
                <w:bCs/>
                <w:color w:val="auto"/>
                <w:spacing w:val="0"/>
                <w:kern w:val="0"/>
                <w:sz w:val="24"/>
                <w:szCs w:val="24"/>
                <w:lang w:val="en-US" w:eastAsia="zh-CN"/>
              </w:rPr>
              <w:t>9</w:t>
            </w:r>
            <w:r>
              <w:rPr>
                <w:rFonts w:hint="eastAsia" w:cs="Times New Roman"/>
                <w:bCs/>
                <w:color w:val="auto"/>
                <w:spacing w:val="0"/>
                <w:kern w:val="0"/>
                <w:sz w:val="24"/>
                <w:szCs w:val="24"/>
                <w:lang w:val="en-US" w:eastAsia="zh-CN"/>
              </w:rPr>
              <w:t>.5</w:t>
            </w:r>
            <w:r>
              <w:rPr>
                <w:rFonts w:hint="default" w:ascii="Times New Roman" w:hAnsi="Times New Roman" w:eastAsia="宋体" w:cs="Times New Roman"/>
                <w:bCs/>
                <w:color w:val="auto"/>
                <w:spacing w:val="0"/>
                <w:kern w:val="0"/>
                <w:sz w:val="24"/>
                <w:szCs w:val="24"/>
                <w:lang w:val="en-US" w:eastAsia="zh-CN"/>
              </w:rPr>
              <w:t>%，则处理后</w:t>
            </w:r>
            <w:r>
              <w:rPr>
                <w:rFonts w:hint="eastAsia" w:ascii="Times New Roman" w:hAnsi="Times New Roman" w:cs="Times New Roman"/>
                <w:bCs/>
                <w:color w:val="auto"/>
                <w:spacing w:val="0"/>
                <w:kern w:val="0"/>
                <w:sz w:val="24"/>
                <w:szCs w:val="24"/>
                <w:lang w:val="en-US" w:eastAsia="zh-CN"/>
              </w:rPr>
              <w:t>废气</w:t>
            </w:r>
            <w:r>
              <w:rPr>
                <w:rFonts w:hint="default" w:ascii="Times New Roman" w:hAnsi="Times New Roman" w:eastAsia="宋体" w:cs="Times New Roman"/>
                <w:bCs/>
                <w:color w:val="auto"/>
                <w:spacing w:val="0"/>
                <w:kern w:val="0"/>
                <w:sz w:val="24"/>
                <w:szCs w:val="24"/>
                <w:lang w:val="en-US" w:eastAsia="zh-CN"/>
              </w:rPr>
              <w:t>排放情况</w:t>
            </w:r>
            <w:r>
              <w:rPr>
                <w:rFonts w:hint="eastAsia" w:ascii="Times New Roman" w:hAnsi="Times New Roman" w:cs="Times New Roman"/>
                <w:bCs/>
                <w:color w:val="auto"/>
                <w:spacing w:val="0"/>
                <w:kern w:val="0"/>
                <w:sz w:val="24"/>
                <w:szCs w:val="24"/>
                <w:lang w:val="en-US" w:eastAsia="zh-CN"/>
              </w:rPr>
              <w:t>见下表。</w:t>
            </w:r>
          </w:p>
          <w:p w14:paraId="5F1093D3">
            <w:pPr>
              <w:numPr>
                <w:ilvl w:val="0"/>
                <w:numId w:val="13"/>
              </w:numPr>
              <w:tabs>
                <w:tab w:val="center" w:pos="0"/>
              </w:tabs>
              <w:ind w:left="420" w:leftChars="0" w:hanging="420" w:firstLineChars="0"/>
              <w:jc w:val="center"/>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cs="Times New Roman"/>
                <w:b/>
                <w:bCs/>
                <w:snapToGrid w:val="0"/>
                <w:color w:val="auto"/>
                <w:kern w:val="0"/>
                <w:sz w:val="24"/>
                <w:szCs w:val="24"/>
                <w:highlight w:val="none"/>
                <w:lang w:val="en-US" w:eastAsia="zh-CN" w:bidi="ar-SA"/>
              </w:rPr>
              <w:t>上料和干燥废气排放情况</w:t>
            </w:r>
            <w:r>
              <w:rPr>
                <w:rFonts w:hint="default" w:ascii="Times New Roman" w:hAnsi="Times New Roman" w:eastAsia="宋体" w:cs="Times New Roman"/>
                <w:b/>
                <w:bCs/>
                <w:snapToGrid w:val="0"/>
                <w:color w:val="auto"/>
                <w:kern w:val="0"/>
                <w:sz w:val="24"/>
                <w:szCs w:val="24"/>
                <w:highlight w:val="none"/>
                <w:lang w:val="en-US" w:eastAsia="zh-CN" w:bidi="ar-SA"/>
              </w:rPr>
              <w:t>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4"/>
              <w:gridCol w:w="815"/>
              <w:gridCol w:w="924"/>
              <w:gridCol w:w="712"/>
              <w:gridCol w:w="1002"/>
              <w:gridCol w:w="947"/>
              <w:gridCol w:w="1041"/>
              <w:gridCol w:w="947"/>
              <w:gridCol w:w="950"/>
            </w:tblGrid>
            <w:tr w14:paraId="59D8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5" w:type="pct"/>
                  <w:noWrap w:val="0"/>
                  <w:vAlign w:val="center"/>
                </w:tcPr>
                <w:p w14:paraId="6183765A">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520" w:type="pct"/>
                  <w:noWrap w:val="0"/>
                  <w:vAlign w:val="center"/>
                </w:tcPr>
                <w:p w14:paraId="4E0E85D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589" w:type="pct"/>
                  <w:noWrap w:val="0"/>
                  <w:vAlign w:val="center"/>
                </w:tcPr>
                <w:p w14:paraId="79DD849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w:t>
                  </w:r>
                </w:p>
                <w:p w14:paraId="0634769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454" w:type="pct"/>
                  <w:noWrap w:val="0"/>
                  <w:vAlign w:val="center"/>
                </w:tcPr>
                <w:p w14:paraId="079028B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处理效率</w:t>
                  </w:r>
                </w:p>
              </w:tc>
              <w:tc>
                <w:tcPr>
                  <w:tcW w:w="639" w:type="pct"/>
                  <w:noWrap w:val="0"/>
                  <w:vAlign w:val="center"/>
                </w:tcPr>
                <w:p w14:paraId="6A46C11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w:t>
                  </w:r>
                </w:p>
                <w:p w14:paraId="2CCE59F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t/a</w:t>
                  </w:r>
                </w:p>
              </w:tc>
              <w:tc>
                <w:tcPr>
                  <w:tcW w:w="604" w:type="pct"/>
                  <w:noWrap w:val="0"/>
                  <w:vAlign w:val="center"/>
                </w:tcPr>
                <w:p w14:paraId="5900836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排放时间</w:t>
                  </w:r>
                </w:p>
                <w:p w14:paraId="098F024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h/a</w:t>
                  </w:r>
                </w:p>
              </w:tc>
              <w:tc>
                <w:tcPr>
                  <w:tcW w:w="664" w:type="pct"/>
                  <w:noWrap w:val="0"/>
                  <w:vAlign w:val="center"/>
                </w:tcPr>
                <w:p w14:paraId="7D0DE67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14:paraId="2F5BC59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604" w:type="pct"/>
                  <w:noWrap w:val="0"/>
                  <w:vAlign w:val="center"/>
                </w:tcPr>
                <w:p w14:paraId="1FC4447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p w14:paraId="52C2700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606" w:type="pct"/>
                  <w:noWrap w:val="0"/>
                  <w:vAlign w:val="center"/>
                </w:tcPr>
                <w:p w14:paraId="6C08ACA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排放形式</w:t>
                  </w:r>
                </w:p>
              </w:tc>
            </w:tr>
            <w:tr w14:paraId="7DD0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5" w:type="pct"/>
                  <w:vMerge w:val="restart"/>
                  <w:noWrap w:val="0"/>
                  <w:vAlign w:val="center"/>
                </w:tcPr>
                <w:p w14:paraId="556D238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上料和干燥废气</w:t>
                  </w:r>
                </w:p>
              </w:tc>
              <w:tc>
                <w:tcPr>
                  <w:tcW w:w="520" w:type="pct"/>
                  <w:noWrap w:val="0"/>
                  <w:vAlign w:val="center"/>
                </w:tcPr>
                <w:p w14:paraId="52A2FDF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颗粒物</w:t>
                  </w:r>
                </w:p>
              </w:tc>
              <w:tc>
                <w:tcPr>
                  <w:tcW w:w="589" w:type="pct"/>
                  <w:noWrap w:val="0"/>
                  <w:vAlign w:val="center"/>
                </w:tcPr>
                <w:p w14:paraId="78DECDC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12.349</w:t>
                  </w:r>
                </w:p>
              </w:tc>
              <w:tc>
                <w:tcPr>
                  <w:tcW w:w="454" w:type="pct"/>
                  <w:noWrap w:val="0"/>
                  <w:vAlign w:val="center"/>
                </w:tcPr>
                <w:p w14:paraId="064B913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99.5%</w:t>
                  </w:r>
                </w:p>
              </w:tc>
              <w:tc>
                <w:tcPr>
                  <w:tcW w:w="639" w:type="pct"/>
                  <w:noWrap w:val="0"/>
                  <w:vAlign w:val="center"/>
                </w:tcPr>
                <w:p w14:paraId="71E9B58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0.062</w:t>
                  </w:r>
                </w:p>
              </w:tc>
              <w:tc>
                <w:tcPr>
                  <w:tcW w:w="604" w:type="pct"/>
                  <w:noWrap w:val="0"/>
                  <w:vAlign w:val="center"/>
                </w:tcPr>
                <w:p w14:paraId="478FB14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664" w:type="pct"/>
                  <w:noWrap w:val="0"/>
                  <w:vAlign w:val="center"/>
                </w:tcPr>
                <w:p w14:paraId="6373804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0.258</w:t>
                  </w:r>
                </w:p>
              </w:tc>
              <w:tc>
                <w:tcPr>
                  <w:tcW w:w="604" w:type="pct"/>
                  <w:noWrap w:val="0"/>
                  <w:vAlign w:val="center"/>
                </w:tcPr>
                <w:p w14:paraId="23B747B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8.6</w:t>
                  </w:r>
                </w:p>
              </w:tc>
              <w:tc>
                <w:tcPr>
                  <w:tcW w:w="606" w:type="pct"/>
                  <w:vMerge w:val="restart"/>
                  <w:noWrap w:val="0"/>
                  <w:vAlign w:val="center"/>
                </w:tcPr>
                <w:p w14:paraId="0A14E8C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r>
            <w:tr w14:paraId="6418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5" w:type="pct"/>
                  <w:vMerge w:val="continue"/>
                  <w:noWrap w:val="0"/>
                  <w:vAlign w:val="center"/>
                </w:tcPr>
                <w:p w14:paraId="4423C6F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520" w:type="pct"/>
                  <w:noWrap w:val="0"/>
                  <w:vAlign w:val="center"/>
                </w:tcPr>
                <w:p w14:paraId="3AD02AD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589" w:type="pct"/>
                  <w:noWrap w:val="0"/>
                  <w:vAlign w:val="center"/>
                </w:tcPr>
                <w:p w14:paraId="16242CF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0.043</w:t>
                  </w:r>
                </w:p>
              </w:tc>
              <w:tc>
                <w:tcPr>
                  <w:tcW w:w="454" w:type="pct"/>
                  <w:noWrap w:val="0"/>
                  <w:vAlign w:val="center"/>
                </w:tcPr>
                <w:p w14:paraId="5E9FC01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39" w:type="pct"/>
                  <w:noWrap w:val="0"/>
                  <w:vAlign w:val="center"/>
                </w:tcPr>
                <w:p w14:paraId="72B9B46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0.043</w:t>
                  </w:r>
                </w:p>
              </w:tc>
              <w:tc>
                <w:tcPr>
                  <w:tcW w:w="604" w:type="pct"/>
                  <w:noWrap w:val="0"/>
                  <w:vAlign w:val="center"/>
                </w:tcPr>
                <w:p w14:paraId="591D01D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664" w:type="pct"/>
                  <w:noWrap w:val="0"/>
                  <w:vAlign w:val="center"/>
                </w:tcPr>
                <w:p w14:paraId="1238649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0.179</w:t>
                  </w:r>
                </w:p>
              </w:tc>
              <w:tc>
                <w:tcPr>
                  <w:tcW w:w="604" w:type="pct"/>
                  <w:noWrap w:val="0"/>
                  <w:vAlign w:val="center"/>
                </w:tcPr>
                <w:p w14:paraId="52E1614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5.97</w:t>
                  </w:r>
                </w:p>
              </w:tc>
              <w:tc>
                <w:tcPr>
                  <w:tcW w:w="606" w:type="pct"/>
                  <w:vMerge w:val="continue"/>
                  <w:noWrap w:val="0"/>
                  <w:vAlign w:val="center"/>
                </w:tcPr>
                <w:p w14:paraId="359C705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39DF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5" w:type="pct"/>
                  <w:vMerge w:val="continue"/>
                  <w:noWrap w:val="0"/>
                  <w:vAlign w:val="center"/>
                </w:tcPr>
                <w:p w14:paraId="168C189D">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520" w:type="pct"/>
                  <w:noWrap w:val="0"/>
                  <w:vAlign w:val="center"/>
                </w:tcPr>
                <w:p w14:paraId="62AB1FC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589" w:type="pct"/>
                  <w:noWrap w:val="0"/>
                  <w:vAlign w:val="center"/>
                </w:tcPr>
                <w:p w14:paraId="686679C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0.066</w:t>
                  </w:r>
                </w:p>
              </w:tc>
              <w:tc>
                <w:tcPr>
                  <w:tcW w:w="454" w:type="pct"/>
                  <w:noWrap w:val="0"/>
                  <w:vAlign w:val="center"/>
                </w:tcPr>
                <w:p w14:paraId="2EACB77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39" w:type="pct"/>
                  <w:noWrap w:val="0"/>
                  <w:vAlign w:val="center"/>
                </w:tcPr>
                <w:p w14:paraId="382C706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0.066</w:t>
                  </w:r>
                </w:p>
              </w:tc>
              <w:tc>
                <w:tcPr>
                  <w:tcW w:w="604" w:type="pct"/>
                  <w:noWrap w:val="0"/>
                  <w:vAlign w:val="center"/>
                </w:tcPr>
                <w:p w14:paraId="2CEAD30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664" w:type="pct"/>
                  <w:noWrap w:val="0"/>
                  <w:vAlign w:val="center"/>
                </w:tcPr>
                <w:p w14:paraId="1BD2132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0.275</w:t>
                  </w:r>
                </w:p>
              </w:tc>
              <w:tc>
                <w:tcPr>
                  <w:tcW w:w="604" w:type="pct"/>
                  <w:noWrap w:val="0"/>
                  <w:vAlign w:val="center"/>
                </w:tcPr>
                <w:p w14:paraId="75F10CC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9.17</w:t>
                  </w:r>
                </w:p>
              </w:tc>
              <w:tc>
                <w:tcPr>
                  <w:tcW w:w="606" w:type="pct"/>
                  <w:vMerge w:val="continue"/>
                  <w:noWrap w:val="0"/>
                  <w:vAlign w:val="center"/>
                </w:tcPr>
                <w:p w14:paraId="41CDEC8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6109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5" w:type="pct"/>
                  <w:vMerge w:val="continue"/>
                  <w:noWrap w:val="0"/>
                  <w:vAlign w:val="center"/>
                </w:tcPr>
                <w:p w14:paraId="7DBDFC1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520" w:type="pct"/>
                  <w:noWrap w:val="0"/>
                  <w:vAlign w:val="center"/>
                </w:tcPr>
                <w:p w14:paraId="521D494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颗粒物</w:t>
                  </w:r>
                </w:p>
              </w:tc>
              <w:tc>
                <w:tcPr>
                  <w:tcW w:w="589" w:type="pct"/>
                  <w:noWrap w:val="0"/>
                  <w:vAlign w:val="center"/>
                </w:tcPr>
                <w:p w14:paraId="423B7EA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0.024</w:t>
                  </w:r>
                </w:p>
              </w:tc>
              <w:tc>
                <w:tcPr>
                  <w:tcW w:w="454" w:type="pct"/>
                  <w:noWrap w:val="0"/>
                  <w:vAlign w:val="center"/>
                </w:tcPr>
                <w:p w14:paraId="1B6153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39" w:type="pct"/>
                  <w:noWrap w:val="0"/>
                  <w:vAlign w:val="center"/>
                </w:tcPr>
                <w:p w14:paraId="6E2C83E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0.024</w:t>
                  </w:r>
                </w:p>
              </w:tc>
              <w:tc>
                <w:tcPr>
                  <w:tcW w:w="604" w:type="pct"/>
                  <w:noWrap w:val="0"/>
                  <w:vAlign w:val="center"/>
                </w:tcPr>
                <w:p w14:paraId="4BDDF60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240</w:t>
                  </w:r>
                </w:p>
              </w:tc>
              <w:tc>
                <w:tcPr>
                  <w:tcW w:w="664" w:type="pct"/>
                  <w:noWrap w:val="0"/>
                  <w:vAlign w:val="center"/>
                </w:tcPr>
                <w:p w14:paraId="6A4F9E0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w:t>
                  </w:r>
                </w:p>
              </w:tc>
              <w:tc>
                <w:tcPr>
                  <w:tcW w:w="604" w:type="pct"/>
                  <w:noWrap w:val="0"/>
                  <w:vAlign w:val="center"/>
                </w:tcPr>
                <w:p w14:paraId="2618649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606" w:type="pct"/>
                  <w:noWrap w:val="0"/>
                  <w:vAlign w:val="center"/>
                </w:tcPr>
                <w:p w14:paraId="44503D8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bl>
          <w:p w14:paraId="0E50D9E4">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val="0"/>
                <w:color w:val="auto"/>
                <w:spacing w:val="0"/>
                <w:kern w:val="0"/>
                <w:sz w:val="24"/>
                <w:szCs w:val="24"/>
                <w:lang w:val="en-US" w:eastAsia="zh-CN"/>
              </w:rPr>
            </w:pP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val="0"/>
                <w:color w:val="auto"/>
                <w:spacing w:val="0"/>
                <w:kern w:val="0"/>
                <w:sz w:val="24"/>
                <w:szCs w:val="24"/>
                <w:lang w:val="en-US" w:eastAsia="zh-CN"/>
              </w:rPr>
              <w:t>天然气导热油炉废气</w:t>
            </w:r>
          </w:p>
          <w:p w14:paraId="3D0132F8">
            <w:pPr>
              <w:pStyle w:val="16"/>
              <w:spacing w:after="0" w:line="360" w:lineRule="auto"/>
              <w:ind w:left="0" w:leftChars="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pacing w:val="0"/>
                <w:kern w:val="0"/>
                <w:sz w:val="24"/>
                <w:szCs w:val="24"/>
                <w:lang w:val="en-US" w:eastAsia="zh-CN"/>
              </w:rPr>
              <w:t>本项目沥青加热由一台天然气-导热油炉供应，</w:t>
            </w:r>
            <w:r>
              <w:rPr>
                <w:rFonts w:hint="eastAsia" w:ascii="Times New Roman" w:cs="Times New Roman"/>
                <w:bCs/>
                <w:color w:val="0000FF"/>
                <w:spacing w:val="0"/>
                <w:kern w:val="0"/>
                <w:sz w:val="24"/>
                <w:szCs w:val="24"/>
                <w:lang w:val="en-US" w:eastAsia="zh-CN"/>
              </w:rPr>
              <w:t>为保证沥青符合生产要求，生产期间沥青需要加热保持恒温，因此天然气导热油炉工作时间较长，根据企业提供资料，加热时长约为1240h/a，天然气用量为75Nm</w:t>
            </w:r>
            <w:r>
              <w:rPr>
                <w:rFonts w:hint="eastAsia" w:ascii="Times New Roman" w:cs="Times New Roman"/>
                <w:bCs/>
                <w:color w:val="0000FF"/>
                <w:spacing w:val="0"/>
                <w:kern w:val="0"/>
                <w:sz w:val="24"/>
                <w:szCs w:val="24"/>
                <w:vertAlign w:val="superscript"/>
                <w:lang w:val="en-US" w:eastAsia="zh-CN"/>
              </w:rPr>
              <w:t>3</w:t>
            </w:r>
            <w:r>
              <w:rPr>
                <w:rFonts w:hint="eastAsia" w:ascii="Times New Roman" w:cs="Times New Roman"/>
                <w:bCs/>
                <w:color w:val="0000FF"/>
                <w:spacing w:val="0"/>
                <w:kern w:val="0"/>
                <w:sz w:val="24"/>
                <w:szCs w:val="24"/>
                <w:lang w:val="en-US" w:eastAsia="zh-CN"/>
              </w:rPr>
              <w:t>/h，则</w:t>
            </w:r>
            <w:r>
              <w:rPr>
                <w:rFonts w:hint="default" w:ascii="Times New Roman" w:hAnsi="Times New Roman" w:eastAsia="宋体" w:cs="Times New Roman"/>
                <w:b w:val="0"/>
                <w:bCs w:val="0"/>
                <w:color w:val="auto"/>
                <w:sz w:val="24"/>
                <w:szCs w:val="24"/>
                <w:highlight w:val="none"/>
                <w:lang w:val="en-US" w:eastAsia="zh-CN"/>
              </w:rPr>
              <w:t>天然气消耗量约为</w:t>
            </w:r>
            <w:r>
              <w:rPr>
                <w:rFonts w:hint="default" w:ascii="Times New Roman" w:hAnsi="Times New Roman" w:cs="Times New Roman"/>
                <w:b w:val="0"/>
                <w:bCs w:val="0"/>
                <w:color w:val="auto"/>
                <w:sz w:val="24"/>
                <w:szCs w:val="24"/>
                <w:highlight w:val="none"/>
                <w:lang w:val="en-US" w:eastAsia="zh-CN"/>
              </w:rPr>
              <w:t>93</w:t>
            </w:r>
            <w:r>
              <w:rPr>
                <w:rFonts w:hint="default" w:ascii="Times New Roman" w:hAnsi="Times New Roman" w:cs="Times New Roman"/>
                <w:i w:val="0"/>
                <w:iCs w:val="0"/>
                <w:color w:val="auto"/>
                <w:kern w:val="0"/>
                <w:sz w:val="24"/>
                <w:szCs w:val="24"/>
                <w:u w:val="none"/>
                <w:lang w:val="en-US" w:eastAsia="zh-CN" w:bidi="ar"/>
              </w:rPr>
              <w:t>000Nm</w:t>
            </w:r>
            <w:r>
              <w:rPr>
                <w:rFonts w:hint="default" w:ascii="Times New Roman" w:hAnsi="Times New Roman" w:cs="Times New Roman"/>
                <w:i w:val="0"/>
                <w:iCs w:val="0"/>
                <w:color w:val="auto"/>
                <w:kern w:val="0"/>
                <w:sz w:val="24"/>
                <w:szCs w:val="24"/>
                <w:u w:val="none"/>
                <w:vertAlign w:val="superscript"/>
                <w:lang w:val="en-US" w:eastAsia="zh-CN" w:bidi="ar"/>
              </w:rPr>
              <w:t>3</w:t>
            </w:r>
            <w:r>
              <w:rPr>
                <w:rFonts w:hint="default" w:ascii="Times New Roman" w:hAnsi="Times New Roman" w:cs="Times New Roman"/>
                <w:i w:val="0"/>
                <w:iCs w:val="0"/>
                <w:color w:val="auto"/>
                <w:kern w:val="0"/>
                <w:sz w:val="24"/>
                <w:szCs w:val="24"/>
                <w:u w:val="none"/>
                <w:lang w:val="en-US" w:eastAsia="zh-CN" w:bidi="ar"/>
              </w:rPr>
              <w:t>/a</w:t>
            </w:r>
            <w:r>
              <w:rPr>
                <w:rFonts w:hint="default" w:ascii="Times New Roman" w:hAnsi="Times New Roman" w:eastAsia="宋体" w:cs="Times New Roman"/>
                <w:b w:val="0"/>
                <w:bCs w:val="0"/>
                <w:color w:val="auto"/>
                <w:sz w:val="24"/>
                <w:szCs w:val="24"/>
                <w:highlight w:val="none"/>
                <w:lang w:val="en-US" w:eastAsia="zh-CN"/>
              </w:rPr>
              <w:t>。天然气指标符合《天然气》(GB17820-2018)二级标准要求，天然气采用低氮燃烧技术，废气通过</w:t>
            </w:r>
            <w:r>
              <w:rPr>
                <w:rFonts w:hint="eastAsia" w:ascii="Times New Roman"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lang w:val="en-US" w:eastAsia="zh-CN"/>
              </w:rPr>
              <w:t>m排气筒DA002排放。风量参考《排放源统计调查产排污核算方法和系数手册》中的“4430工业锅炉（热力供应）行业系数手册”。二氧化硫和氮氧化物产生系数参考《排放源统计调查产排污核算方法和系数手册》中的“4430工业锅炉（热力供应）行业系数手册”，颗粒物产生系数参考“4411火力发电、4412热电联产行业系数手册”，见下表。</w:t>
            </w:r>
          </w:p>
          <w:p w14:paraId="2CF15C2D">
            <w:pPr>
              <w:numPr>
                <w:ilvl w:val="0"/>
                <w:numId w:val="13"/>
              </w:numPr>
              <w:tabs>
                <w:tab w:val="center" w:pos="0"/>
              </w:tabs>
              <w:jc w:val="center"/>
              <w:rPr>
                <w:rFonts w:hint="default" w:ascii="Times New Roman" w:hAnsi="Times New Roman" w:cs="Times New Roman"/>
                <w:b/>
                <w:bCs/>
                <w:snapToGrid w:val="0"/>
                <w:color w:val="auto"/>
                <w:kern w:val="0"/>
                <w:sz w:val="24"/>
                <w:szCs w:val="24"/>
              </w:rPr>
            </w:pPr>
            <w:r>
              <w:rPr>
                <w:rFonts w:hint="default" w:ascii="Times New Roman" w:hAnsi="Times New Roman" w:cs="Times New Roman"/>
                <w:b/>
                <w:bCs/>
                <w:snapToGrid w:val="0"/>
                <w:color w:val="auto"/>
                <w:kern w:val="0"/>
                <w:sz w:val="24"/>
                <w:szCs w:val="24"/>
              </w:rPr>
              <w:t xml:space="preserve"> 天然气</w:t>
            </w:r>
            <w:r>
              <w:rPr>
                <w:rFonts w:hint="eastAsia" w:ascii="Times New Roman" w:hAnsi="Times New Roman" w:cs="Times New Roman"/>
                <w:b/>
                <w:bCs/>
                <w:snapToGrid w:val="0"/>
                <w:color w:val="auto"/>
                <w:kern w:val="0"/>
                <w:sz w:val="24"/>
                <w:szCs w:val="24"/>
                <w:lang w:val="en-US" w:eastAsia="zh-CN"/>
              </w:rPr>
              <w:t>导热油炉</w:t>
            </w:r>
            <w:r>
              <w:rPr>
                <w:rFonts w:hint="default" w:ascii="Times New Roman" w:hAnsi="Times New Roman" w:cs="Times New Roman"/>
                <w:b/>
                <w:bCs/>
                <w:snapToGrid w:val="0"/>
                <w:color w:val="auto"/>
                <w:kern w:val="0"/>
                <w:sz w:val="24"/>
                <w:szCs w:val="24"/>
              </w:rPr>
              <w:t>废气产污系数表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6"/>
              <w:gridCol w:w="978"/>
              <w:gridCol w:w="1372"/>
              <w:gridCol w:w="2643"/>
              <w:gridCol w:w="2024"/>
            </w:tblGrid>
            <w:tr w14:paraId="001A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1" w:type="pct"/>
                  <w:noWrap w:val="0"/>
                  <w:vAlign w:val="center"/>
                </w:tcPr>
                <w:p w14:paraId="5560D2C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产品</w:t>
                  </w:r>
                </w:p>
              </w:tc>
              <w:tc>
                <w:tcPr>
                  <w:tcW w:w="624" w:type="pct"/>
                  <w:noWrap w:val="0"/>
                  <w:vAlign w:val="center"/>
                </w:tcPr>
                <w:p w14:paraId="4F07D53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原料</w:t>
                  </w:r>
                </w:p>
              </w:tc>
              <w:tc>
                <w:tcPr>
                  <w:tcW w:w="875" w:type="pct"/>
                  <w:noWrap w:val="0"/>
                  <w:vAlign w:val="center"/>
                </w:tcPr>
                <w:p w14:paraId="3B0F024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1686" w:type="pct"/>
                  <w:noWrap w:val="0"/>
                  <w:vAlign w:val="center"/>
                </w:tcPr>
                <w:p w14:paraId="21EAC73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单位</w:t>
                  </w:r>
                </w:p>
              </w:tc>
              <w:tc>
                <w:tcPr>
                  <w:tcW w:w="1291" w:type="pct"/>
                  <w:noWrap w:val="0"/>
                  <w:vAlign w:val="center"/>
                </w:tcPr>
                <w:p w14:paraId="15F17B4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产污系数</w:t>
                  </w:r>
                </w:p>
              </w:tc>
            </w:tr>
            <w:tr w14:paraId="751C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1" w:type="pct"/>
                  <w:vMerge w:val="restart"/>
                  <w:noWrap w:val="0"/>
                  <w:vAlign w:val="center"/>
                </w:tcPr>
                <w:p w14:paraId="45F7996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蒸汽/热水/其他</w:t>
                  </w:r>
                </w:p>
              </w:tc>
              <w:tc>
                <w:tcPr>
                  <w:tcW w:w="624" w:type="pct"/>
                  <w:vMerge w:val="restart"/>
                  <w:noWrap w:val="0"/>
                  <w:vAlign w:val="center"/>
                </w:tcPr>
                <w:p w14:paraId="19E6A69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天然气</w:t>
                  </w:r>
                </w:p>
              </w:tc>
              <w:tc>
                <w:tcPr>
                  <w:tcW w:w="875" w:type="pct"/>
                  <w:noWrap w:val="0"/>
                  <w:vAlign w:val="center"/>
                </w:tcPr>
                <w:p w14:paraId="7D3CDB1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烟尘</w:t>
                  </w:r>
                </w:p>
              </w:tc>
              <w:tc>
                <w:tcPr>
                  <w:tcW w:w="1686" w:type="pct"/>
                  <w:noWrap w:val="0"/>
                  <w:vAlign w:val="center"/>
                </w:tcPr>
                <w:p w14:paraId="22C95D9D">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毫克/立方米-原料</w:t>
                  </w:r>
                </w:p>
              </w:tc>
              <w:tc>
                <w:tcPr>
                  <w:tcW w:w="1291" w:type="pct"/>
                  <w:noWrap w:val="0"/>
                  <w:vAlign w:val="center"/>
                </w:tcPr>
                <w:p w14:paraId="0578344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103.9</w:t>
                  </w:r>
                </w:p>
              </w:tc>
            </w:tr>
            <w:tr w14:paraId="4415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1" w:type="pct"/>
                  <w:vMerge w:val="continue"/>
                  <w:noWrap w:val="0"/>
                  <w:vAlign w:val="center"/>
                </w:tcPr>
                <w:p w14:paraId="1A23D0F8">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624" w:type="pct"/>
                  <w:vMerge w:val="continue"/>
                  <w:noWrap w:val="0"/>
                  <w:vAlign w:val="center"/>
                </w:tcPr>
                <w:p w14:paraId="2F5C06BB">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875" w:type="pct"/>
                  <w:noWrap w:val="0"/>
                  <w:vAlign w:val="center"/>
                </w:tcPr>
                <w:p w14:paraId="6C321DD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1686" w:type="pct"/>
                  <w:noWrap w:val="0"/>
                  <w:vAlign w:val="center"/>
                </w:tcPr>
                <w:p w14:paraId="4F99371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kg/万m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-原料</w:t>
                  </w:r>
                </w:p>
              </w:tc>
              <w:tc>
                <w:tcPr>
                  <w:tcW w:w="1291" w:type="pct"/>
                  <w:noWrap w:val="0"/>
                  <w:vAlign w:val="center"/>
                </w:tcPr>
                <w:p w14:paraId="6824581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r>
            <w:tr w14:paraId="6B2C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1" w:type="pct"/>
                  <w:vMerge w:val="continue"/>
                  <w:noWrap w:val="0"/>
                  <w:vAlign w:val="center"/>
                </w:tcPr>
                <w:p w14:paraId="0B35080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624" w:type="pct"/>
                  <w:vMerge w:val="continue"/>
                  <w:noWrap w:val="0"/>
                  <w:vAlign w:val="center"/>
                </w:tcPr>
                <w:p w14:paraId="4B037D1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875" w:type="pct"/>
                  <w:noWrap w:val="0"/>
                  <w:vAlign w:val="center"/>
                </w:tcPr>
                <w:p w14:paraId="2B934AC3">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NOx</w:t>
                  </w:r>
                </w:p>
              </w:tc>
              <w:tc>
                <w:tcPr>
                  <w:tcW w:w="1686" w:type="pct"/>
                  <w:noWrap w:val="0"/>
                  <w:vAlign w:val="center"/>
                </w:tcPr>
                <w:p w14:paraId="5244C3C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kg/万m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-原料（低氮燃烧）</w:t>
                  </w:r>
                </w:p>
              </w:tc>
              <w:tc>
                <w:tcPr>
                  <w:tcW w:w="1291" w:type="pct"/>
                  <w:noWrap w:val="0"/>
                  <w:vAlign w:val="center"/>
                </w:tcPr>
                <w:p w14:paraId="4FAEE0C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3.03</w:t>
                  </w:r>
                </w:p>
              </w:tc>
            </w:tr>
            <w:tr w14:paraId="760F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1" w:type="pct"/>
                  <w:vMerge w:val="continue"/>
                  <w:noWrap w:val="0"/>
                  <w:vAlign w:val="center"/>
                </w:tcPr>
                <w:p w14:paraId="1626C7D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624" w:type="pct"/>
                  <w:vMerge w:val="continue"/>
                  <w:noWrap w:val="0"/>
                  <w:vAlign w:val="center"/>
                </w:tcPr>
                <w:p w14:paraId="4D5A9C1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p>
              </w:tc>
              <w:tc>
                <w:tcPr>
                  <w:tcW w:w="875" w:type="pct"/>
                  <w:noWrap w:val="0"/>
                  <w:vAlign w:val="center"/>
                </w:tcPr>
                <w:p w14:paraId="74E84A7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废气量</w:t>
                  </w:r>
                </w:p>
              </w:tc>
              <w:tc>
                <w:tcPr>
                  <w:tcW w:w="1686" w:type="pct"/>
                  <w:noWrap w:val="0"/>
                  <w:vAlign w:val="center"/>
                </w:tcPr>
                <w:p w14:paraId="4017AE5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-原料</w:t>
                  </w:r>
                </w:p>
              </w:tc>
              <w:tc>
                <w:tcPr>
                  <w:tcW w:w="1291" w:type="pct"/>
                  <w:noWrap w:val="0"/>
                  <w:vAlign w:val="center"/>
                </w:tcPr>
                <w:p w14:paraId="620FF3F5">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107753</w:t>
                  </w:r>
                </w:p>
              </w:tc>
            </w:tr>
          </w:tbl>
          <w:p w14:paraId="44AA181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S表示含硫量，单位为mg/m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，按照《天然气》（GB17820-2018）二类标准，天然气含硫量取100。</w:t>
            </w:r>
            <w:r>
              <w:rPr>
                <w:rFonts w:hint="default" w:ascii="Times New Roman" w:hAnsi="Times New Roman" w:cs="Times New Roman"/>
                <w:color w:val="auto"/>
                <w:sz w:val="24"/>
                <w:szCs w:val="24"/>
              </w:rPr>
              <w:t>即产污系数为2kg/万m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-原料</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经计算，排放情况见下表。</w:t>
            </w:r>
          </w:p>
          <w:p w14:paraId="42E5A397">
            <w:pPr>
              <w:numPr>
                <w:ilvl w:val="0"/>
                <w:numId w:val="13"/>
              </w:numPr>
              <w:tabs>
                <w:tab w:val="center" w:pos="0"/>
              </w:tabs>
              <w:jc w:val="center"/>
              <w:rPr>
                <w:rFonts w:hint="default" w:ascii="Times New Roman" w:hAnsi="Times New Roman" w:cs="Times New Roman"/>
                <w:b/>
                <w:bCs/>
                <w:snapToGrid w:val="0"/>
                <w:color w:val="auto"/>
                <w:kern w:val="0"/>
                <w:sz w:val="24"/>
                <w:szCs w:val="24"/>
              </w:rPr>
            </w:pPr>
            <w:r>
              <w:rPr>
                <w:rFonts w:hint="default" w:ascii="Times New Roman" w:hAnsi="Times New Roman" w:cs="Times New Roman"/>
                <w:b/>
                <w:bCs/>
                <w:snapToGrid w:val="0"/>
                <w:color w:val="auto"/>
                <w:kern w:val="0"/>
                <w:sz w:val="24"/>
                <w:szCs w:val="24"/>
              </w:rPr>
              <w:t xml:space="preserve"> 天然气</w:t>
            </w:r>
            <w:r>
              <w:rPr>
                <w:rFonts w:hint="eastAsia" w:ascii="Times New Roman" w:hAnsi="Times New Roman" w:cs="Times New Roman"/>
                <w:b/>
                <w:bCs/>
                <w:snapToGrid w:val="0"/>
                <w:color w:val="auto"/>
                <w:kern w:val="0"/>
                <w:sz w:val="24"/>
                <w:szCs w:val="24"/>
                <w:lang w:val="en-US" w:eastAsia="zh-CN"/>
              </w:rPr>
              <w:t>导热油炉</w:t>
            </w:r>
            <w:r>
              <w:rPr>
                <w:rFonts w:hint="default" w:ascii="Times New Roman" w:hAnsi="Times New Roman" w:cs="Times New Roman"/>
                <w:b/>
                <w:bCs/>
                <w:snapToGrid w:val="0"/>
                <w:color w:val="auto"/>
                <w:kern w:val="0"/>
                <w:sz w:val="24"/>
                <w:szCs w:val="24"/>
              </w:rPr>
              <w:t>废气排放情况表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6"/>
              <w:gridCol w:w="1274"/>
              <w:gridCol w:w="1935"/>
              <w:gridCol w:w="1681"/>
              <w:gridCol w:w="2104"/>
            </w:tblGrid>
            <w:tr w14:paraId="000A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2C01AE62">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排放源</w:t>
                  </w:r>
                </w:p>
              </w:tc>
              <w:tc>
                <w:tcPr>
                  <w:tcW w:w="813" w:type="pct"/>
                  <w:noWrap w:val="0"/>
                  <w:vAlign w:val="center"/>
                </w:tcPr>
                <w:p w14:paraId="0CE565A4">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天然气用量</w:t>
                  </w:r>
                </w:p>
                <w:p w14:paraId="26B5319B">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万m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/a</w:t>
                  </w:r>
                </w:p>
              </w:tc>
              <w:tc>
                <w:tcPr>
                  <w:tcW w:w="1235" w:type="pct"/>
                  <w:noWrap w:val="0"/>
                  <w:vAlign w:val="center"/>
                </w:tcPr>
                <w:p w14:paraId="24EE1851">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73" w:type="pct"/>
                  <w:tcBorders>
                    <w:right w:val="single" w:color="000000" w:sz="4" w:space="0"/>
                  </w:tcBorders>
                  <w:noWrap w:val="0"/>
                  <w:vAlign w:val="center"/>
                </w:tcPr>
                <w:p w14:paraId="1F9442F2">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排放量（t/a）</w:t>
                  </w:r>
                </w:p>
              </w:tc>
              <w:tc>
                <w:tcPr>
                  <w:tcW w:w="1343" w:type="pct"/>
                  <w:tcBorders>
                    <w:left w:val="single" w:color="000000" w:sz="4" w:space="0"/>
                  </w:tcBorders>
                  <w:noWrap w:val="0"/>
                  <w:vAlign w:val="center"/>
                </w:tcPr>
                <w:p w14:paraId="28197B42">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排放浓度（mg/m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w:t>
                  </w:r>
                </w:p>
              </w:tc>
            </w:tr>
            <w:tr w14:paraId="6880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vMerge w:val="restart"/>
                  <w:noWrap w:val="0"/>
                  <w:vAlign w:val="center"/>
                </w:tcPr>
                <w:p w14:paraId="706A840F">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DA002</w:t>
                  </w:r>
                </w:p>
              </w:tc>
              <w:tc>
                <w:tcPr>
                  <w:tcW w:w="813" w:type="pct"/>
                  <w:vMerge w:val="restart"/>
                  <w:noWrap w:val="0"/>
                  <w:vAlign w:val="center"/>
                </w:tcPr>
                <w:p w14:paraId="443A1844">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w:t>
                  </w:r>
                </w:p>
              </w:tc>
              <w:tc>
                <w:tcPr>
                  <w:tcW w:w="1235" w:type="pct"/>
                  <w:noWrap w:val="0"/>
                  <w:vAlign w:val="center"/>
                </w:tcPr>
                <w:p w14:paraId="2B382A8B">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烟尘</w:t>
                  </w:r>
                </w:p>
              </w:tc>
              <w:tc>
                <w:tcPr>
                  <w:tcW w:w="1778" w:type="dxa"/>
                  <w:tcBorders>
                    <w:right w:val="single" w:color="000000" w:sz="4" w:space="0"/>
                  </w:tcBorders>
                  <w:noWrap w:val="0"/>
                  <w:vAlign w:val="center"/>
                </w:tcPr>
                <w:p w14:paraId="1D805E5A">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w:t>
                  </w:r>
                </w:p>
              </w:tc>
              <w:tc>
                <w:tcPr>
                  <w:tcW w:w="2225" w:type="dxa"/>
                  <w:tcBorders>
                    <w:left w:val="single" w:color="000000" w:sz="4" w:space="0"/>
                  </w:tcBorders>
                  <w:noWrap w:val="0"/>
                  <w:vAlign w:val="center"/>
                </w:tcPr>
                <w:p w14:paraId="51AEBC0A">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9.98</w:t>
                  </w:r>
                </w:p>
              </w:tc>
            </w:tr>
            <w:tr w14:paraId="4CB8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vMerge w:val="continue"/>
                  <w:noWrap w:val="0"/>
                  <w:vAlign w:val="center"/>
                </w:tcPr>
                <w:p w14:paraId="3EBDB36B">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813" w:type="pct"/>
                  <w:vMerge w:val="continue"/>
                  <w:noWrap w:val="0"/>
                  <w:vAlign w:val="center"/>
                </w:tcPr>
                <w:p w14:paraId="68A42523">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1235" w:type="pct"/>
                  <w:noWrap w:val="0"/>
                  <w:vAlign w:val="center"/>
                </w:tcPr>
                <w:p w14:paraId="376A6940">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778" w:type="dxa"/>
                  <w:tcBorders>
                    <w:right w:val="single" w:color="000000" w:sz="4" w:space="0"/>
                  </w:tcBorders>
                  <w:noWrap w:val="0"/>
                  <w:vAlign w:val="center"/>
                </w:tcPr>
                <w:p w14:paraId="13AB67DF">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0.019</w:t>
                  </w:r>
                </w:p>
              </w:tc>
              <w:tc>
                <w:tcPr>
                  <w:tcW w:w="2225" w:type="dxa"/>
                  <w:tcBorders>
                    <w:left w:val="single" w:color="000000" w:sz="4" w:space="0"/>
                  </w:tcBorders>
                  <w:noWrap w:val="0"/>
                  <w:vAlign w:val="center"/>
                </w:tcPr>
                <w:p w14:paraId="64527CB9">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18.96</w:t>
                  </w:r>
                </w:p>
              </w:tc>
            </w:tr>
            <w:tr w14:paraId="5535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vMerge w:val="continue"/>
                  <w:noWrap w:val="0"/>
                  <w:vAlign w:val="center"/>
                </w:tcPr>
                <w:p w14:paraId="4EEB29E1">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813" w:type="pct"/>
                  <w:vMerge w:val="continue"/>
                  <w:noWrap w:val="0"/>
                  <w:vAlign w:val="center"/>
                </w:tcPr>
                <w:p w14:paraId="34551902">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1235" w:type="pct"/>
                  <w:noWrap w:val="0"/>
                  <w:vAlign w:val="center"/>
                </w:tcPr>
                <w:p w14:paraId="3FE24DFE">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NOx</w:t>
                  </w:r>
                </w:p>
              </w:tc>
              <w:tc>
                <w:tcPr>
                  <w:tcW w:w="1778" w:type="dxa"/>
                  <w:tcBorders>
                    <w:right w:val="single" w:color="000000" w:sz="4" w:space="0"/>
                  </w:tcBorders>
                  <w:noWrap w:val="0"/>
                  <w:vAlign w:val="center"/>
                </w:tcPr>
                <w:p w14:paraId="218F3E3E">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0.028</w:t>
                  </w:r>
                </w:p>
              </w:tc>
              <w:tc>
                <w:tcPr>
                  <w:tcW w:w="2225" w:type="dxa"/>
                  <w:tcBorders>
                    <w:left w:val="single" w:color="000000" w:sz="4" w:space="0"/>
                  </w:tcBorders>
                  <w:noWrap w:val="0"/>
                  <w:vAlign w:val="center"/>
                </w:tcPr>
                <w:p w14:paraId="6E11EC3D">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27.94</w:t>
                  </w:r>
                </w:p>
              </w:tc>
            </w:tr>
            <w:tr w14:paraId="02E1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vMerge w:val="continue"/>
                  <w:noWrap w:val="0"/>
                  <w:vAlign w:val="center"/>
                </w:tcPr>
                <w:p w14:paraId="77BFC3E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813" w:type="pct"/>
                  <w:vMerge w:val="continue"/>
                  <w:noWrap w:val="0"/>
                  <w:vAlign w:val="center"/>
                </w:tcPr>
                <w:p w14:paraId="194C79E5">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1235" w:type="pct"/>
                  <w:noWrap w:val="0"/>
                  <w:vAlign w:val="center"/>
                </w:tcPr>
                <w:p w14:paraId="661535C6">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废气量（m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/a）</w:t>
                  </w:r>
                </w:p>
              </w:tc>
              <w:tc>
                <w:tcPr>
                  <w:tcW w:w="1778" w:type="dxa"/>
                  <w:tcBorders>
                    <w:right w:val="single" w:color="000000" w:sz="4" w:space="0"/>
                  </w:tcBorders>
                  <w:noWrap w:val="0"/>
                  <w:vAlign w:val="center"/>
                </w:tcPr>
                <w:p w14:paraId="47A39DAF">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1002103</w:t>
                  </w:r>
                </w:p>
              </w:tc>
              <w:tc>
                <w:tcPr>
                  <w:tcW w:w="2225" w:type="dxa"/>
                  <w:tcBorders>
                    <w:left w:val="single" w:color="000000" w:sz="4" w:space="0"/>
                  </w:tcBorders>
                  <w:noWrap w:val="0"/>
                  <w:vAlign w:val="center"/>
                </w:tcPr>
                <w:p w14:paraId="1E8920C3">
                  <w:pPr>
                    <w:pStyle w:val="47"/>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bl>
          <w:p w14:paraId="739419A3">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pacing w:val="0"/>
                <w:kern w:val="0"/>
                <w:position w:val="0"/>
                <w:sz w:val="24"/>
                <w:szCs w:val="24"/>
                <w:highlight w:val="none"/>
                <w:lang w:val="en-US" w:eastAsia="zh-CN"/>
              </w:rPr>
            </w:pPr>
            <w:r>
              <w:rPr>
                <w:rFonts w:hint="eastAsia" w:ascii="Times New Roman" w:hAnsi="Times New Roman" w:eastAsia="宋体" w:cs="Times New Roman"/>
                <w:b w:val="0"/>
                <w:bCs w:val="0"/>
                <w:color w:val="auto"/>
                <w:spacing w:val="0"/>
                <w:kern w:val="0"/>
                <w:position w:val="0"/>
                <w:sz w:val="24"/>
                <w:szCs w:val="24"/>
                <w:highlight w:val="none"/>
                <w:lang w:val="en-US" w:eastAsia="zh-CN"/>
              </w:rPr>
              <w:t>根据本项目特点，为降低无组织废气的影响，本次评价提出以下要求：</w:t>
            </w:r>
          </w:p>
          <w:p w14:paraId="0A4951EF">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eastAsia"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无组织排放粉尘的防治措施：</w:t>
            </w:r>
            <w:r>
              <w:rPr>
                <w:rFonts w:hint="eastAsia" w:ascii="Times New Roman" w:hAnsi="Times New Roman" w:eastAsia="宋体" w:cs="Times New Roman"/>
                <w:b w:val="0"/>
                <w:bCs w:val="0"/>
                <w:color w:val="auto"/>
                <w:spacing w:val="0"/>
                <w:kern w:val="0"/>
                <w:position w:val="0"/>
                <w:sz w:val="24"/>
                <w:szCs w:val="24"/>
                <w:highlight w:val="none"/>
                <w:lang w:val="en-US" w:eastAsia="zh-CN" w:bidi="ar-SA"/>
              </w:rPr>
              <w:t>车间顶部设置喷淋设施，仓库设置雾炮，厂区道路采用移动式洒水车降尘。</w:t>
            </w:r>
          </w:p>
          <w:p w14:paraId="79C02517">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eastAsia" w:cs="Times New Roman"/>
                <w:b/>
                <w:bCs/>
                <w:color w:val="auto"/>
                <w:spacing w:val="0"/>
                <w:kern w:val="0"/>
                <w:position w:val="0"/>
                <w:sz w:val="24"/>
                <w:szCs w:val="24"/>
                <w:highlight w:val="none"/>
                <w:lang w:val="en-US" w:eastAsia="zh-CN"/>
              </w:rPr>
              <w:t>物料</w:t>
            </w:r>
            <w:r>
              <w:rPr>
                <w:rFonts w:hint="eastAsia" w:ascii="Times New Roman" w:hAnsi="Times New Roman" w:cs="Times New Roman"/>
                <w:b/>
                <w:bCs/>
                <w:color w:val="auto"/>
                <w:spacing w:val="0"/>
                <w:kern w:val="0"/>
                <w:position w:val="0"/>
                <w:sz w:val="24"/>
                <w:szCs w:val="24"/>
                <w:highlight w:val="none"/>
                <w:lang w:val="en-US" w:eastAsia="zh-CN"/>
              </w:rPr>
              <w:t>储存要求：</w:t>
            </w:r>
            <w:r>
              <w:rPr>
                <w:rFonts w:hint="eastAsia" w:ascii="Times New Roman" w:hAnsi="Times New Roman" w:cs="Times New Roman"/>
                <w:b w:val="0"/>
                <w:bCs w:val="0"/>
                <w:color w:val="auto"/>
                <w:spacing w:val="0"/>
                <w:kern w:val="0"/>
                <w:position w:val="0"/>
                <w:sz w:val="24"/>
                <w:szCs w:val="24"/>
                <w:highlight w:val="none"/>
                <w:lang w:val="en-US" w:eastAsia="zh-CN"/>
              </w:rPr>
              <w:t>物料及生产设备均设置在密闭车间内，运输车辆卸载时采取雾炮喷淋降尘</w:t>
            </w:r>
            <w:r>
              <w:rPr>
                <w:rFonts w:hint="default" w:ascii="Times New Roman" w:hAnsi="Times New Roman" w:cs="Times New Roman"/>
                <w:b w:val="0"/>
                <w:bCs w:val="0"/>
                <w:color w:val="auto"/>
                <w:spacing w:val="0"/>
                <w:kern w:val="0"/>
                <w:position w:val="0"/>
                <w:sz w:val="24"/>
                <w:szCs w:val="24"/>
                <w:highlight w:val="none"/>
                <w:lang w:eastAsia="zh-CN"/>
              </w:rPr>
              <w:t>。</w:t>
            </w:r>
          </w:p>
          <w:p w14:paraId="3C81EC70">
            <w:pPr>
              <w:pStyle w:val="68"/>
              <w:keepNext w:val="0"/>
              <w:keepLines w:val="0"/>
              <w:pageBreakBefore w:val="0"/>
              <w:widowControl w:val="0"/>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b/>
                <w:bCs/>
                <w:color w:val="auto"/>
                <w:spacing w:val="0"/>
                <w:kern w:val="0"/>
                <w:position w:val="0"/>
                <w:sz w:val="24"/>
                <w:szCs w:val="24"/>
                <w:highlight w:val="none"/>
                <w:lang w:val="en-US" w:eastAsia="zh-CN"/>
              </w:rPr>
              <w:t>厂区内监控及在线监测要求</w:t>
            </w:r>
            <w:r>
              <w:rPr>
                <w:rFonts w:hint="eastAsia" w:ascii="Times New Roman" w:hAnsi="Times New Roman" w:eastAsia="宋体" w:cs="Times New Roman"/>
                <w:color w:val="auto"/>
                <w:spacing w:val="0"/>
                <w:kern w:val="0"/>
                <w:position w:val="0"/>
                <w:sz w:val="24"/>
                <w:szCs w:val="24"/>
                <w:highlight w:val="none"/>
                <w:lang w:val="en-US" w:eastAsia="zh-CN"/>
              </w:rPr>
              <w:t>：安装视频监控系统，监控范围包括车间喷淋设施、洗车台、厂区内道路等，设置</w:t>
            </w:r>
            <w:r>
              <w:rPr>
                <w:rFonts w:hint="default" w:ascii="Times New Roman" w:hAnsi="Times New Roman" w:eastAsia="宋体" w:cs="Times New Roman"/>
                <w:color w:val="auto"/>
                <w:spacing w:val="0"/>
                <w:kern w:val="0"/>
                <w:position w:val="0"/>
                <w:sz w:val="24"/>
                <w:szCs w:val="24"/>
                <w:highlight w:val="none"/>
                <w:lang w:val="en-US" w:eastAsia="zh-CN"/>
              </w:rPr>
              <w:t>PM</w:t>
            </w:r>
            <w:r>
              <w:rPr>
                <w:rFonts w:hint="default" w:ascii="Times New Roman" w:hAnsi="Times New Roman" w:eastAsia="宋体" w:cs="Times New Roman"/>
                <w:color w:val="auto"/>
                <w:spacing w:val="0"/>
                <w:kern w:val="0"/>
                <w:position w:val="0"/>
                <w:sz w:val="24"/>
                <w:szCs w:val="24"/>
                <w:highlight w:val="none"/>
                <w:vertAlign w:val="subscript"/>
                <w:lang w:val="en-US" w:eastAsia="zh-CN"/>
              </w:rPr>
              <w:t>10</w:t>
            </w:r>
            <w:r>
              <w:rPr>
                <w:rFonts w:hint="default" w:ascii="Times New Roman" w:hAnsi="Times New Roman" w:eastAsia="宋体" w:cs="Times New Roman"/>
                <w:color w:val="auto"/>
                <w:spacing w:val="0"/>
                <w:kern w:val="0"/>
                <w:position w:val="0"/>
                <w:sz w:val="24"/>
                <w:szCs w:val="24"/>
                <w:highlight w:val="none"/>
                <w:lang w:val="en-US" w:eastAsia="zh-CN"/>
              </w:rPr>
              <w:t>在线监测设备，并入</w:t>
            </w:r>
            <w:r>
              <w:rPr>
                <w:rFonts w:hint="eastAsia" w:cs="Times New Roman"/>
                <w:color w:val="auto"/>
                <w:spacing w:val="0"/>
                <w:kern w:val="0"/>
                <w:position w:val="0"/>
                <w:sz w:val="24"/>
                <w:szCs w:val="24"/>
                <w:highlight w:val="none"/>
                <w:lang w:val="en-US" w:eastAsia="zh-CN"/>
              </w:rPr>
              <w:t>生态环境</w:t>
            </w:r>
            <w:r>
              <w:rPr>
                <w:rFonts w:hint="default" w:ascii="Times New Roman" w:hAnsi="Times New Roman" w:eastAsia="宋体" w:cs="Times New Roman"/>
                <w:color w:val="auto"/>
                <w:spacing w:val="0"/>
                <w:kern w:val="0"/>
                <w:position w:val="0"/>
                <w:sz w:val="24"/>
                <w:szCs w:val="24"/>
                <w:highlight w:val="none"/>
                <w:lang w:val="en-US" w:eastAsia="zh-CN"/>
              </w:rPr>
              <w:t>主管部门监管平台</w:t>
            </w:r>
            <w:r>
              <w:rPr>
                <w:rFonts w:hint="eastAsia" w:ascii="Times New Roman" w:hAnsi="Times New Roman" w:eastAsia="宋体" w:cs="Times New Roman"/>
                <w:color w:val="auto"/>
                <w:spacing w:val="0"/>
                <w:kern w:val="0"/>
                <w:position w:val="0"/>
                <w:sz w:val="24"/>
                <w:szCs w:val="24"/>
                <w:highlight w:val="none"/>
                <w:lang w:val="en-US" w:eastAsia="zh-CN"/>
              </w:rPr>
              <w:t>。</w:t>
            </w:r>
          </w:p>
          <w:p w14:paraId="386E1F18">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b/>
                <w:bCs/>
                <w:color w:val="auto"/>
                <w:spacing w:val="0"/>
                <w:kern w:val="0"/>
                <w:position w:val="0"/>
                <w:sz w:val="24"/>
                <w:szCs w:val="24"/>
                <w:highlight w:val="none"/>
                <w:lang w:eastAsia="zh-CN"/>
              </w:rPr>
              <w:t>洗车台设置要求：</w:t>
            </w:r>
            <w:r>
              <w:rPr>
                <w:rFonts w:hint="default" w:ascii="Times New Roman" w:hAnsi="Times New Roman" w:cs="Times New Roman"/>
                <w:b w:val="0"/>
                <w:bCs w:val="0"/>
                <w:color w:val="auto"/>
                <w:spacing w:val="0"/>
                <w:kern w:val="0"/>
                <w:position w:val="0"/>
                <w:sz w:val="24"/>
                <w:szCs w:val="24"/>
                <w:highlight w:val="none"/>
                <w:lang w:eastAsia="zh-CN"/>
              </w:rPr>
              <w:t>自动感应式，位于厂区门口，用于冲洗车辆</w:t>
            </w:r>
            <w:r>
              <w:rPr>
                <w:rFonts w:hint="eastAsia" w:ascii="Times New Roman" w:hAnsi="Times New Roman" w:cs="Times New Roman"/>
                <w:b w:val="0"/>
                <w:bCs w:val="0"/>
                <w:color w:val="auto"/>
                <w:spacing w:val="0"/>
                <w:kern w:val="0"/>
                <w:position w:val="0"/>
                <w:sz w:val="24"/>
                <w:szCs w:val="24"/>
                <w:highlight w:val="none"/>
                <w:lang w:eastAsia="zh-CN"/>
              </w:rPr>
              <w:t>，配套建设三级沉淀池</w:t>
            </w:r>
            <w:r>
              <w:rPr>
                <w:rFonts w:hint="default" w:ascii="Times New Roman" w:hAnsi="Times New Roman" w:cs="Times New Roman"/>
                <w:color w:val="auto"/>
                <w:spacing w:val="0"/>
                <w:kern w:val="0"/>
                <w:position w:val="0"/>
                <w:sz w:val="24"/>
                <w:szCs w:val="24"/>
                <w:highlight w:val="none"/>
                <w:lang w:eastAsia="zh-CN"/>
              </w:rPr>
              <w:t>。</w:t>
            </w:r>
          </w:p>
          <w:p w14:paraId="187568BB">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cs="Times New Roman"/>
                <w:color w:val="auto"/>
                <w:spacing w:val="0"/>
                <w:kern w:val="0"/>
                <w:position w:val="0"/>
                <w:sz w:val="24"/>
                <w:szCs w:val="24"/>
                <w:highlight w:val="none"/>
                <w:lang w:val="en-US" w:eastAsia="zh-CN"/>
              </w:rPr>
            </w:pPr>
            <w:r>
              <w:rPr>
                <w:rFonts w:hint="default" w:ascii="Times New Roman" w:hAnsi="Times New Roman" w:cs="Times New Roman"/>
                <w:b/>
                <w:bCs/>
                <w:color w:val="auto"/>
                <w:spacing w:val="0"/>
                <w:kern w:val="0"/>
                <w:position w:val="0"/>
                <w:sz w:val="24"/>
                <w:szCs w:val="24"/>
                <w:highlight w:val="none"/>
                <w:lang w:eastAsia="zh-CN"/>
              </w:rPr>
              <w:t>厂区内道路硬化及防尘要求：</w:t>
            </w:r>
            <w:r>
              <w:rPr>
                <w:rFonts w:hint="eastAsia" w:ascii="Times New Roman" w:hAnsi="Times New Roman" w:cs="Times New Roman"/>
                <w:color w:val="auto"/>
                <w:spacing w:val="0"/>
                <w:kern w:val="0"/>
                <w:position w:val="0"/>
                <w:sz w:val="24"/>
                <w:szCs w:val="24"/>
                <w:highlight w:val="none"/>
                <w:lang w:val="en-US" w:eastAsia="zh-CN"/>
              </w:rPr>
              <w:t>厂区内</w:t>
            </w:r>
            <w:r>
              <w:rPr>
                <w:rFonts w:hint="default" w:ascii="Times New Roman" w:hAnsi="Times New Roman" w:cs="Times New Roman"/>
                <w:color w:val="auto"/>
                <w:spacing w:val="0"/>
                <w:kern w:val="0"/>
                <w:position w:val="0"/>
                <w:sz w:val="24"/>
                <w:szCs w:val="24"/>
                <w:highlight w:val="none"/>
                <w:lang w:eastAsia="zh-CN"/>
              </w:rPr>
              <w:t>道路必须全部硬化，配备洒水设施。清扫及洒水频率根据具体情况确定，原则上每天湿式清扫不得少于2次，洒水不得少于4次。干燥、大风天气时要加大清扫、洒水频率，以保持路面清洁，不产生扬尘为目标</w:t>
            </w:r>
            <w:r>
              <w:rPr>
                <w:rFonts w:hint="eastAsia" w:ascii="Times New Roman" w:hAnsi="Times New Roman" w:cs="Times New Roman"/>
                <w:color w:val="auto"/>
                <w:spacing w:val="0"/>
                <w:kern w:val="0"/>
                <w:position w:val="0"/>
                <w:sz w:val="24"/>
                <w:szCs w:val="24"/>
                <w:highlight w:val="none"/>
                <w:lang w:eastAsia="zh-CN"/>
              </w:rPr>
              <w:t>，安排2人负责厂区的洒水清扫工作</w:t>
            </w:r>
            <w:r>
              <w:rPr>
                <w:rFonts w:hint="default" w:ascii="Times New Roman" w:hAnsi="Times New Roman" w:cs="Times New Roman"/>
                <w:color w:val="auto"/>
                <w:spacing w:val="0"/>
                <w:kern w:val="0"/>
                <w:position w:val="0"/>
                <w:sz w:val="24"/>
                <w:szCs w:val="24"/>
                <w:highlight w:val="none"/>
                <w:lang w:eastAsia="zh-CN"/>
              </w:rPr>
              <w:t>。</w:t>
            </w:r>
          </w:p>
          <w:p w14:paraId="4BD9C047">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b/>
                <w:bCs/>
                <w:color w:val="auto"/>
                <w:spacing w:val="0"/>
                <w:kern w:val="0"/>
                <w:position w:val="0"/>
                <w:sz w:val="24"/>
                <w:szCs w:val="24"/>
                <w:highlight w:val="none"/>
                <w:lang w:eastAsia="zh-CN"/>
              </w:rPr>
              <w:t>绿色运输的要求：</w:t>
            </w:r>
            <w:r>
              <w:rPr>
                <w:rFonts w:hint="default" w:ascii="Times New Roman" w:hAnsi="Times New Roman" w:cs="Times New Roman"/>
                <w:b w:val="0"/>
                <w:bCs w:val="0"/>
                <w:color w:val="auto"/>
                <w:spacing w:val="0"/>
                <w:kern w:val="0"/>
                <w:position w:val="0"/>
                <w:sz w:val="24"/>
                <w:szCs w:val="24"/>
                <w:highlight w:val="none"/>
                <w:lang w:eastAsia="zh-CN"/>
              </w:rPr>
              <w:t>运输车辆一律覆盖篷布，采用喷淋装置冲洗，空车车厢内确保冲洗干净后出厂。</w:t>
            </w:r>
          </w:p>
          <w:p w14:paraId="139E7CD6">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eastAsia" w:ascii="Times New Roman" w:hAnsi="Times New Roman" w:cs="Times New Roman"/>
                <w:b/>
                <w:bCs/>
                <w:color w:val="auto"/>
                <w:spacing w:val="0"/>
                <w:kern w:val="0"/>
                <w:position w:val="0"/>
                <w:sz w:val="24"/>
                <w:szCs w:val="24"/>
                <w:highlight w:val="none"/>
                <w:lang w:val="en-US" w:eastAsia="zh-CN"/>
              </w:rPr>
              <w:t>运输车辆的要求：</w:t>
            </w:r>
            <w:r>
              <w:rPr>
                <w:rFonts w:hint="eastAsia" w:ascii="Times New Roman" w:hAnsi="Times New Roman" w:cs="Times New Roman"/>
                <w:color w:val="auto"/>
                <w:spacing w:val="0"/>
                <w:kern w:val="0"/>
                <w:position w:val="0"/>
                <w:sz w:val="24"/>
                <w:szCs w:val="24"/>
                <w:highlight w:val="none"/>
                <w:lang w:val="en-US" w:eastAsia="zh-CN"/>
              </w:rPr>
              <w:t>本项目</w:t>
            </w:r>
            <w:r>
              <w:rPr>
                <w:rFonts w:hint="default" w:ascii="Times New Roman" w:hAnsi="Times New Roman" w:cs="Times New Roman"/>
                <w:color w:val="auto"/>
                <w:spacing w:val="0"/>
                <w:kern w:val="0"/>
                <w:position w:val="0"/>
                <w:sz w:val="24"/>
                <w:szCs w:val="24"/>
                <w:highlight w:val="none"/>
                <w:lang w:eastAsia="zh-CN"/>
              </w:rPr>
              <w:t>使用社会上的运输车辆，数量匹配生产周期</w:t>
            </w:r>
            <w:r>
              <w:rPr>
                <w:rFonts w:hint="eastAsia" w:ascii="Times New Roman" w:hAnsi="Times New Roman" w:cs="Times New Roman"/>
                <w:color w:val="auto"/>
                <w:spacing w:val="0"/>
                <w:kern w:val="0"/>
                <w:position w:val="0"/>
                <w:sz w:val="24"/>
                <w:szCs w:val="24"/>
                <w:highlight w:val="none"/>
                <w:lang w:eastAsia="zh-CN"/>
              </w:rPr>
              <w:t>。</w:t>
            </w:r>
            <w:r>
              <w:rPr>
                <w:rFonts w:hint="default" w:ascii="Times New Roman" w:hAnsi="Times New Roman" w:cs="Times New Roman"/>
                <w:color w:val="auto"/>
                <w:spacing w:val="0"/>
                <w:kern w:val="0"/>
                <w:position w:val="0"/>
                <w:sz w:val="24"/>
                <w:szCs w:val="24"/>
                <w:highlight w:val="none"/>
                <w:lang w:eastAsia="zh-CN"/>
              </w:rPr>
              <w:t>根据《济宁市关于加强秋冬季重型载货汽车运输管控工作的通知》，运输车辆应纳入重点用车企业管控范围，运输车辆</w:t>
            </w:r>
            <w:r>
              <w:rPr>
                <w:rFonts w:hint="eastAsia" w:ascii="Times New Roman" w:hAnsi="Times New Roman" w:cs="Times New Roman"/>
                <w:color w:val="auto"/>
                <w:spacing w:val="0"/>
                <w:kern w:val="0"/>
                <w:position w:val="0"/>
                <w:sz w:val="24"/>
                <w:szCs w:val="24"/>
                <w:highlight w:val="none"/>
                <w:lang w:val="en-US" w:eastAsia="zh-CN"/>
              </w:rPr>
              <w:t>必须</w:t>
            </w:r>
            <w:r>
              <w:rPr>
                <w:rFonts w:hint="default" w:ascii="Times New Roman" w:hAnsi="Times New Roman" w:cs="Times New Roman"/>
                <w:color w:val="auto"/>
                <w:spacing w:val="0"/>
                <w:kern w:val="0"/>
                <w:position w:val="0"/>
                <w:sz w:val="24"/>
                <w:szCs w:val="24"/>
                <w:highlight w:val="none"/>
                <w:lang w:eastAsia="zh-CN"/>
              </w:rPr>
              <w:t>安装车牌识别和监控系统，安装车牌识别和监控系统，接入市智慧环保平台；在厂区出入口应安装具有车牌识别功能的视频监控系统；在秋冬季和重污染天气应急期间采取管控措施并建立车辆运输台账。</w:t>
            </w:r>
          </w:p>
          <w:p w14:paraId="20C77869">
            <w:pPr>
              <w:keepNext w:val="0"/>
              <w:keepLines w:val="0"/>
              <w:pageBreakBefore w:val="0"/>
              <w:widowControl w:val="0"/>
              <w:numPr>
                <w:ilvl w:val="0"/>
                <w:numId w:val="0"/>
              </w:numPr>
              <w:kinsoku/>
              <w:wordWrap/>
              <w:overflowPunct/>
              <w:topLinePunct w:val="0"/>
              <w:bidi w:val="0"/>
              <w:adjustRightInd/>
              <w:snapToGrid/>
              <w:spacing w:line="360" w:lineRule="auto"/>
              <w:ind w:left="0" w:firstLine="480" w:firstLineChars="200"/>
              <w:jc w:val="both"/>
              <w:textAlignment w:val="auto"/>
              <w:rPr>
                <w:rFonts w:hint="eastAsia"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根据《山东省非道路移动机械排气污染防治规定》，本项目装载机应通过互联网或现场方式，向生态环境部门提供登记信息，主要包括</w:t>
            </w:r>
            <w:r>
              <w:rPr>
                <w:rFonts w:hint="eastAsia" w:ascii="Times New Roman" w:hAnsi="Times New Roman" w:cs="Times New Roman"/>
                <w:color w:val="auto"/>
                <w:spacing w:val="0"/>
                <w:kern w:val="0"/>
                <w:position w:val="0"/>
                <w:sz w:val="24"/>
                <w:szCs w:val="24"/>
                <w:highlight w:val="none"/>
                <w:lang w:eastAsia="zh-CN"/>
              </w:rPr>
              <w:t>：</w:t>
            </w:r>
          </w:p>
          <w:p w14:paraId="081BA4E6">
            <w:pPr>
              <w:keepNext w:val="0"/>
              <w:keepLines w:val="0"/>
              <w:pageBreakBefore w:val="0"/>
              <w:widowControl w:val="0"/>
              <w:numPr>
                <w:ilvl w:val="0"/>
                <w:numId w:val="14"/>
              </w:numPr>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生产厂家名称、出厂日期等基本信息；</w:t>
            </w:r>
          </w:p>
          <w:p w14:paraId="77A91E7B">
            <w:pPr>
              <w:keepNext w:val="0"/>
              <w:keepLines w:val="0"/>
              <w:pageBreakBefore w:val="0"/>
              <w:widowControl w:val="0"/>
              <w:numPr>
                <w:ilvl w:val="0"/>
                <w:numId w:val="14"/>
              </w:numPr>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所有人名称、联系方式等登记人信息；</w:t>
            </w:r>
          </w:p>
          <w:p w14:paraId="509072C4">
            <w:pPr>
              <w:keepNext w:val="0"/>
              <w:keepLines w:val="0"/>
              <w:pageBreakBefore w:val="0"/>
              <w:widowControl w:val="0"/>
              <w:numPr>
                <w:ilvl w:val="0"/>
                <w:numId w:val="14"/>
              </w:numPr>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排放阶段、机械类型、燃料类型、污染控制装置等技术信息；</w:t>
            </w:r>
          </w:p>
          <w:p w14:paraId="566AEAB8">
            <w:pPr>
              <w:keepNext w:val="0"/>
              <w:keepLines w:val="0"/>
              <w:pageBreakBefore w:val="0"/>
              <w:widowControl w:val="0"/>
              <w:numPr>
                <w:ilvl w:val="0"/>
                <w:numId w:val="14"/>
              </w:numPr>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cs="Times New Roman"/>
                <w:color w:val="auto"/>
                <w:spacing w:val="0"/>
                <w:kern w:val="0"/>
                <w:position w:val="0"/>
                <w:sz w:val="24"/>
                <w:szCs w:val="24"/>
                <w:highlight w:val="none"/>
                <w:lang w:eastAsia="zh-CN"/>
              </w:rPr>
            </w:pPr>
            <w:r>
              <w:rPr>
                <w:rFonts w:hint="default" w:ascii="Times New Roman" w:hAnsi="Times New Roman" w:cs="Times New Roman"/>
                <w:color w:val="auto"/>
                <w:spacing w:val="0"/>
                <w:kern w:val="0"/>
                <w:position w:val="0"/>
                <w:sz w:val="24"/>
                <w:szCs w:val="24"/>
                <w:highlight w:val="none"/>
                <w:lang w:eastAsia="zh-CN"/>
              </w:rPr>
              <w:t>机械铭牌、发动机铭牌、环保信息公开标签等其他信息。禁止使用超过污染物排放标准和有明显可见烟的非道路移动机械。</w:t>
            </w:r>
          </w:p>
          <w:p w14:paraId="6175B5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综上，本项目废气污染物产生及排放汇总情况见下表。</w:t>
            </w:r>
          </w:p>
          <w:p w14:paraId="69CD960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2B0C0D2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66D393E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5F3B239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7274B9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36DBC9C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6E292C5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52ED50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4149FB7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459655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151061F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12987D0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15718FF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31A098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5F08FBC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1F084A5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740E93E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0FBFFF7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71A2C40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p>
          <w:p w14:paraId="04B3E6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tc>
      </w:tr>
    </w:tbl>
    <w:p w14:paraId="14076030">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6"/>
      </w:tblGrid>
      <w:tr w14:paraId="4A52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5000" w:type="pct"/>
            <w:tcBorders>
              <w:tl2br w:val="nil"/>
              <w:tr2bl w:val="nil"/>
            </w:tcBorders>
            <w:noWrap w:val="0"/>
            <w:tcMar>
              <w:left w:w="28" w:type="dxa"/>
              <w:right w:w="28" w:type="dxa"/>
            </w:tcMar>
            <w:vAlign w:val="center"/>
          </w:tcPr>
          <w:p w14:paraId="51ACC549">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废气产生排放情况</w:t>
            </w:r>
            <w:r>
              <w:rPr>
                <w:rFonts w:hint="eastAsia" w:cs="Times New Roman"/>
                <w:b/>
                <w:bCs/>
                <w:caps w:val="0"/>
                <w:snapToGrid w:val="0"/>
                <w:color w:val="auto"/>
                <w:spacing w:val="0"/>
                <w:kern w:val="0"/>
                <w:sz w:val="24"/>
                <w:szCs w:val="24"/>
                <w:highlight w:val="none"/>
                <w:lang w:val="en-US" w:eastAsia="zh-CN" w:bidi="ar-SA"/>
              </w:rPr>
              <w:t>汇总表</w:t>
            </w:r>
          </w:p>
          <w:tbl>
            <w:tblPr>
              <w:tblStyle w:val="24"/>
              <w:tblW w:w="4995"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3"/>
              <w:gridCol w:w="1132"/>
              <w:gridCol w:w="926"/>
              <w:gridCol w:w="1097"/>
              <w:gridCol w:w="1132"/>
              <w:gridCol w:w="891"/>
              <w:gridCol w:w="1667"/>
              <w:gridCol w:w="887"/>
              <w:gridCol w:w="720"/>
              <w:gridCol w:w="1097"/>
              <w:gridCol w:w="1098"/>
              <w:gridCol w:w="1182"/>
              <w:gridCol w:w="1286"/>
              <w:gridCol w:w="870"/>
            </w:tblGrid>
            <w:tr w14:paraId="520CC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restart"/>
                  <w:tcBorders>
                    <w:tl2br w:val="nil"/>
                    <w:tr2bl w:val="nil"/>
                  </w:tcBorders>
                  <w:noWrap w:val="0"/>
                  <w:vAlign w:val="center"/>
                </w:tcPr>
                <w:p w14:paraId="65AC8E5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产污环节</w:t>
                  </w:r>
                </w:p>
              </w:tc>
              <w:tc>
                <w:tcPr>
                  <w:tcW w:w="386" w:type="pct"/>
                  <w:vMerge w:val="restart"/>
                  <w:tcBorders>
                    <w:tl2br w:val="nil"/>
                    <w:tr2bl w:val="nil"/>
                  </w:tcBorders>
                  <w:noWrap w:val="0"/>
                  <w:vAlign w:val="center"/>
                </w:tcPr>
                <w:p w14:paraId="5DEA4F1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污染物</w:t>
                  </w:r>
                </w:p>
              </w:tc>
              <w:tc>
                <w:tcPr>
                  <w:tcW w:w="316" w:type="pct"/>
                  <w:vMerge w:val="restart"/>
                  <w:tcBorders>
                    <w:tl2br w:val="nil"/>
                    <w:tr2bl w:val="nil"/>
                  </w:tcBorders>
                  <w:noWrap w:val="0"/>
                  <w:vAlign w:val="center"/>
                </w:tcPr>
                <w:p w14:paraId="6A8C8EC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产生量</w:t>
                  </w:r>
                  <w:r>
                    <w:rPr>
                      <w:rStyle w:val="60"/>
                      <w:rFonts w:hint="default" w:ascii="Times New Roman" w:hAnsi="Times New Roman" w:eastAsia="宋体" w:cs="Times New Roman"/>
                      <w:caps w:val="0"/>
                      <w:color w:val="auto"/>
                      <w:spacing w:val="0"/>
                      <w:kern w:val="0"/>
                      <w:position w:val="0"/>
                      <w:sz w:val="21"/>
                      <w:szCs w:val="21"/>
                      <w:lang w:val="en-US" w:eastAsia="zh-CN" w:bidi="ar"/>
                    </w:rPr>
                    <w:t>t/a</w:t>
                  </w:r>
                </w:p>
              </w:tc>
              <w:tc>
                <w:tcPr>
                  <w:tcW w:w="374" w:type="pct"/>
                  <w:vMerge w:val="restart"/>
                  <w:tcBorders>
                    <w:tl2br w:val="nil"/>
                    <w:tr2bl w:val="nil"/>
                  </w:tcBorders>
                  <w:noWrap w:val="0"/>
                  <w:vAlign w:val="center"/>
                </w:tcPr>
                <w:p w14:paraId="521EC12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产生速率</w:t>
                  </w:r>
                </w:p>
                <w:p w14:paraId="4E36D76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Style w:val="60"/>
                      <w:rFonts w:hint="default" w:ascii="Times New Roman" w:hAnsi="Times New Roman" w:eastAsia="宋体" w:cs="Times New Roman"/>
                      <w:caps w:val="0"/>
                      <w:color w:val="auto"/>
                      <w:spacing w:val="0"/>
                      <w:kern w:val="0"/>
                      <w:position w:val="0"/>
                      <w:sz w:val="21"/>
                      <w:szCs w:val="21"/>
                      <w:lang w:val="en-US" w:eastAsia="zh-CN" w:bidi="ar"/>
                    </w:rPr>
                    <w:t>kg/h</w:t>
                  </w:r>
                </w:p>
              </w:tc>
              <w:tc>
                <w:tcPr>
                  <w:tcW w:w="386" w:type="pct"/>
                  <w:vMerge w:val="restart"/>
                  <w:tcBorders>
                    <w:tl2br w:val="nil"/>
                    <w:tr2bl w:val="nil"/>
                  </w:tcBorders>
                  <w:noWrap w:val="0"/>
                  <w:vAlign w:val="center"/>
                </w:tcPr>
                <w:p w14:paraId="4EEE407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产生浓度</w:t>
                  </w:r>
                </w:p>
                <w:p w14:paraId="2EB005D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Style w:val="60"/>
                      <w:rFonts w:hint="default" w:ascii="Times New Roman" w:hAnsi="Times New Roman" w:eastAsia="宋体" w:cs="Times New Roman"/>
                      <w:caps w:val="0"/>
                      <w:color w:val="auto"/>
                      <w:spacing w:val="0"/>
                      <w:kern w:val="0"/>
                      <w:position w:val="0"/>
                      <w:sz w:val="21"/>
                      <w:szCs w:val="21"/>
                      <w:lang w:val="en-US" w:eastAsia="zh-CN" w:bidi="ar"/>
                    </w:rPr>
                    <w:t>mg/m</w:t>
                  </w:r>
                  <w:r>
                    <w:rPr>
                      <w:rStyle w:val="61"/>
                      <w:rFonts w:hint="default" w:ascii="Times New Roman" w:hAnsi="Times New Roman" w:eastAsia="宋体" w:cs="Times New Roman"/>
                      <w:caps w:val="0"/>
                      <w:color w:val="auto"/>
                      <w:spacing w:val="0"/>
                      <w:kern w:val="0"/>
                      <w:position w:val="0"/>
                      <w:sz w:val="21"/>
                      <w:szCs w:val="21"/>
                      <w:vertAlign w:val="superscript"/>
                      <w:lang w:val="en-US" w:eastAsia="zh-CN" w:bidi="ar"/>
                    </w:rPr>
                    <w:t>3</w:t>
                  </w:r>
                </w:p>
              </w:tc>
              <w:tc>
                <w:tcPr>
                  <w:tcW w:w="304" w:type="pct"/>
                  <w:vMerge w:val="restart"/>
                  <w:tcBorders>
                    <w:tl2br w:val="nil"/>
                    <w:tr2bl w:val="nil"/>
                  </w:tcBorders>
                  <w:noWrap w:val="0"/>
                  <w:vAlign w:val="center"/>
                </w:tcPr>
                <w:p w14:paraId="283219A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排放形式</w:t>
                  </w:r>
                </w:p>
              </w:tc>
              <w:tc>
                <w:tcPr>
                  <w:tcW w:w="569" w:type="pct"/>
                  <w:vMerge w:val="restart"/>
                  <w:tcBorders>
                    <w:tl2br w:val="nil"/>
                    <w:tr2bl w:val="nil"/>
                  </w:tcBorders>
                  <w:noWrap w:val="0"/>
                  <w:vAlign w:val="center"/>
                </w:tcPr>
                <w:p w14:paraId="4A881BC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治理措施</w:t>
                  </w:r>
                </w:p>
              </w:tc>
              <w:tc>
                <w:tcPr>
                  <w:tcW w:w="302" w:type="pct"/>
                  <w:vMerge w:val="restart"/>
                  <w:tcBorders>
                    <w:tl2br w:val="nil"/>
                    <w:tr2bl w:val="nil"/>
                  </w:tcBorders>
                  <w:noWrap w:val="0"/>
                  <w:vAlign w:val="center"/>
                </w:tcPr>
                <w:p w14:paraId="580CCDB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aps w:val="0"/>
                      <w:color w:val="auto"/>
                      <w:spacing w:val="0"/>
                      <w:kern w:val="0"/>
                      <w:sz w:val="21"/>
                      <w:szCs w:val="21"/>
                      <w:highlight w:val="none"/>
                      <w:lang w:bidi="ar"/>
                    </w:rPr>
                    <w:t>工作时间h/a</w:t>
                  </w:r>
                </w:p>
              </w:tc>
              <w:tc>
                <w:tcPr>
                  <w:tcW w:w="245" w:type="pct"/>
                  <w:vMerge w:val="restart"/>
                  <w:tcBorders>
                    <w:tl2br w:val="nil"/>
                    <w:tr2bl w:val="nil"/>
                  </w:tcBorders>
                  <w:noWrap w:val="0"/>
                  <w:vAlign w:val="center"/>
                </w:tcPr>
                <w:p w14:paraId="011A7A9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治理效率</w:t>
                  </w:r>
                </w:p>
              </w:tc>
              <w:tc>
                <w:tcPr>
                  <w:tcW w:w="374" w:type="pct"/>
                  <w:vMerge w:val="restart"/>
                  <w:tcBorders>
                    <w:tl2br w:val="nil"/>
                    <w:tr2bl w:val="nil"/>
                  </w:tcBorders>
                  <w:noWrap w:val="0"/>
                  <w:vAlign w:val="center"/>
                </w:tcPr>
                <w:p w14:paraId="433FC83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处理能力</w:t>
                  </w:r>
                </w:p>
                <w:p w14:paraId="30A8CC3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rPr>
                  </w:pPr>
                  <w:r>
                    <w:rPr>
                      <w:rFonts w:hint="default" w:ascii="Times New Roman" w:hAnsi="Times New Roman" w:eastAsia="宋体" w:cs="Times New Roman"/>
                      <w:caps w:val="0"/>
                      <w:color w:val="auto"/>
                      <w:spacing w:val="0"/>
                      <w:kern w:val="0"/>
                      <w:sz w:val="21"/>
                      <w:szCs w:val="21"/>
                      <w:lang w:val="en-US" w:eastAsia="zh-CN"/>
                    </w:rPr>
                    <w:t>m</w:t>
                  </w:r>
                  <w:r>
                    <w:rPr>
                      <w:rFonts w:hint="default" w:ascii="Times New Roman" w:hAnsi="Times New Roman" w:eastAsia="宋体" w:cs="Times New Roman"/>
                      <w:caps w:val="0"/>
                      <w:color w:val="auto"/>
                      <w:spacing w:val="0"/>
                      <w:kern w:val="0"/>
                      <w:sz w:val="21"/>
                      <w:szCs w:val="21"/>
                      <w:vertAlign w:val="superscript"/>
                      <w:lang w:val="en-US" w:eastAsia="zh-CN"/>
                    </w:rPr>
                    <w:t>3</w:t>
                  </w:r>
                  <w:r>
                    <w:rPr>
                      <w:rFonts w:hint="default" w:ascii="Times New Roman" w:hAnsi="Times New Roman" w:eastAsia="宋体" w:cs="Times New Roman"/>
                      <w:caps w:val="0"/>
                      <w:color w:val="auto"/>
                      <w:spacing w:val="0"/>
                      <w:kern w:val="0"/>
                      <w:sz w:val="21"/>
                      <w:szCs w:val="21"/>
                      <w:lang w:val="en-US" w:eastAsia="zh-CN"/>
                    </w:rPr>
                    <w:t>/h</w:t>
                  </w:r>
                </w:p>
              </w:tc>
              <w:tc>
                <w:tcPr>
                  <w:tcW w:w="374" w:type="pct"/>
                  <w:vMerge w:val="restart"/>
                  <w:tcBorders>
                    <w:tl2br w:val="nil"/>
                    <w:tr2bl w:val="nil"/>
                  </w:tcBorders>
                  <w:noWrap w:val="0"/>
                  <w:vAlign w:val="center"/>
                </w:tcPr>
                <w:p w14:paraId="663E36C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排放量</w:t>
                  </w:r>
                </w:p>
                <w:p w14:paraId="78ED9F1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Style w:val="60"/>
                      <w:rFonts w:hint="default" w:ascii="Times New Roman" w:hAnsi="Times New Roman" w:eastAsia="宋体" w:cs="Times New Roman"/>
                      <w:caps w:val="0"/>
                      <w:color w:val="auto"/>
                      <w:spacing w:val="0"/>
                      <w:kern w:val="0"/>
                      <w:position w:val="0"/>
                      <w:sz w:val="21"/>
                      <w:szCs w:val="21"/>
                      <w:lang w:val="en-US" w:eastAsia="zh-CN" w:bidi="ar"/>
                    </w:rPr>
                    <w:t>t/a</w:t>
                  </w:r>
                </w:p>
              </w:tc>
              <w:tc>
                <w:tcPr>
                  <w:tcW w:w="403" w:type="pct"/>
                  <w:vMerge w:val="restart"/>
                  <w:tcBorders>
                    <w:tl2br w:val="nil"/>
                    <w:tr2bl w:val="nil"/>
                  </w:tcBorders>
                  <w:noWrap w:val="0"/>
                  <w:vAlign w:val="center"/>
                </w:tcPr>
                <w:p w14:paraId="60C0B3B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排放速率</w:t>
                  </w:r>
                </w:p>
                <w:p w14:paraId="4CF5E40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Style w:val="60"/>
                      <w:rFonts w:hint="default" w:ascii="Times New Roman" w:hAnsi="Times New Roman" w:eastAsia="宋体" w:cs="Times New Roman"/>
                      <w:caps w:val="0"/>
                      <w:color w:val="auto"/>
                      <w:spacing w:val="0"/>
                      <w:kern w:val="0"/>
                      <w:position w:val="0"/>
                      <w:sz w:val="21"/>
                      <w:szCs w:val="21"/>
                      <w:lang w:val="en-US" w:eastAsia="zh-CN" w:bidi="ar"/>
                    </w:rPr>
                    <w:t>kg/h</w:t>
                  </w:r>
                </w:p>
              </w:tc>
              <w:tc>
                <w:tcPr>
                  <w:tcW w:w="438" w:type="pct"/>
                  <w:vMerge w:val="restart"/>
                  <w:tcBorders>
                    <w:tl2br w:val="nil"/>
                    <w:tr2bl w:val="nil"/>
                  </w:tcBorders>
                  <w:noWrap w:val="0"/>
                  <w:vAlign w:val="center"/>
                </w:tcPr>
                <w:p w14:paraId="78F2164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排放浓度</w:t>
                  </w:r>
                </w:p>
                <w:p w14:paraId="2C62E31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Style w:val="60"/>
                      <w:rFonts w:hint="default" w:ascii="Times New Roman" w:hAnsi="Times New Roman" w:eastAsia="宋体" w:cs="Times New Roman"/>
                      <w:caps w:val="0"/>
                      <w:color w:val="auto"/>
                      <w:spacing w:val="0"/>
                      <w:kern w:val="0"/>
                      <w:position w:val="0"/>
                      <w:sz w:val="21"/>
                      <w:szCs w:val="21"/>
                      <w:lang w:val="en-US" w:eastAsia="zh-CN" w:bidi="ar"/>
                    </w:rPr>
                    <w:t>mg/m</w:t>
                  </w:r>
                  <w:r>
                    <w:rPr>
                      <w:rStyle w:val="61"/>
                      <w:rFonts w:hint="default" w:ascii="Times New Roman" w:hAnsi="Times New Roman" w:eastAsia="宋体" w:cs="Times New Roman"/>
                      <w:caps w:val="0"/>
                      <w:color w:val="auto"/>
                      <w:spacing w:val="0"/>
                      <w:kern w:val="0"/>
                      <w:position w:val="0"/>
                      <w:sz w:val="21"/>
                      <w:szCs w:val="21"/>
                      <w:vertAlign w:val="superscript"/>
                      <w:lang w:val="en-US" w:eastAsia="zh-CN" w:bidi="ar"/>
                    </w:rPr>
                    <w:t>3</w:t>
                  </w:r>
                </w:p>
              </w:tc>
              <w:tc>
                <w:tcPr>
                  <w:tcW w:w="296" w:type="pct"/>
                  <w:vMerge w:val="restart"/>
                  <w:tcBorders>
                    <w:tl2br w:val="nil"/>
                    <w:tr2bl w:val="nil"/>
                  </w:tcBorders>
                  <w:noWrap w:val="0"/>
                  <w:vAlign w:val="center"/>
                </w:tcPr>
                <w:p w14:paraId="757AFFC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排放口名称</w:t>
                  </w:r>
                </w:p>
              </w:tc>
            </w:tr>
            <w:tr w14:paraId="196C9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1FED2A56">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86" w:type="pct"/>
                  <w:vMerge w:val="continue"/>
                  <w:tcBorders>
                    <w:tl2br w:val="nil"/>
                    <w:tr2bl w:val="nil"/>
                  </w:tcBorders>
                  <w:noWrap w:val="0"/>
                  <w:vAlign w:val="center"/>
                </w:tcPr>
                <w:p w14:paraId="61B23AB3">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16" w:type="pct"/>
                  <w:vMerge w:val="continue"/>
                  <w:tcBorders>
                    <w:tl2br w:val="nil"/>
                    <w:tr2bl w:val="nil"/>
                  </w:tcBorders>
                  <w:noWrap w:val="0"/>
                  <w:vAlign w:val="center"/>
                </w:tcPr>
                <w:p w14:paraId="43048AB1">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74" w:type="pct"/>
                  <w:vMerge w:val="continue"/>
                  <w:tcBorders>
                    <w:tl2br w:val="nil"/>
                    <w:tr2bl w:val="nil"/>
                  </w:tcBorders>
                  <w:noWrap w:val="0"/>
                  <w:vAlign w:val="center"/>
                </w:tcPr>
                <w:p w14:paraId="2AB727F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86" w:type="pct"/>
                  <w:vMerge w:val="continue"/>
                  <w:tcBorders>
                    <w:tl2br w:val="nil"/>
                    <w:tr2bl w:val="nil"/>
                  </w:tcBorders>
                  <w:noWrap w:val="0"/>
                  <w:vAlign w:val="center"/>
                </w:tcPr>
                <w:p w14:paraId="17C7DCD7">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04" w:type="pct"/>
                  <w:vMerge w:val="continue"/>
                  <w:tcBorders>
                    <w:tl2br w:val="nil"/>
                    <w:tr2bl w:val="nil"/>
                  </w:tcBorders>
                  <w:noWrap w:val="0"/>
                  <w:vAlign w:val="center"/>
                </w:tcPr>
                <w:p w14:paraId="6E0A9926">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569" w:type="pct"/>
                  <w:vMerge w:val="continue"/>
                  <w:tcBorders>
                    <w:tl2br w:val="nil"/>
                    <w:tr2bl w:val="nil"/>
                  </w:tcBorders>
                  <w:noWrap w:val="0"/>
                  <w:vAlign w:val="center"/>
                </w:tcPr>
                <w:p w14:paraId="7D2726DF">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02" w:type="pct"/>
                  <w:vMerge w:val="continue"/>
                  <w:tcBorders>
                    <w:tl2br w:val="nil"/>
                    <w:tr2bl w:val="nil"/>
                  </w:tcBorders>
                  <w:noWrap w:val="0"/>
                  <w:vAlign w:val="center"/>
                </w:tcPr>
                <w:p w14:paraId="026184E8">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245" w:type="pct"/>
                  <w:vMerge w:val="continue"/>
                  <w:tcBorders>
                    <w:tl2br w:val="nil"/>
                    <w:tr2bl w:val="nil"/>
                  </w:tcBorders>
                  <w:noWrap w:val="0"/>
                  <w:vAlign w:val="center"/>
                </w:tcPr>
                <w:p w14:paraId="40B580A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74" w:type="pct"/>
                  <w:vMerge w:val="continue"/>
                  <w:tcBorders>
                    <w:tl2br w:val="nil"/>
                    <w:tr2bl w:val="nil"/>
                  </w:tcBorders>
                  <w:noWrap w:val="0"/>
                  <w:vAlign w:val="center"/>
                </w:tcPr>
                <w:p w14:paraId="082A2B3B">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374" w:type="pct"/>
                  <w:vMerge w:val="continue"/>
                  <w:tcBorders>
                    <w:tl2br w:val="nil"/>
                    <w:tr2bl w:val="nil"/>
                  </w:tcBorders>
                  <w:noWrap w:val="0"/>
                  <w:vAlign w:val="center"/>
                </w:tcPr>
                <w:p w14:paraId="1A5C1277">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403" w:type="pct"/>
                  <w:vMerge w:val="continue"/>
                  <w:tcBorders>
                    <w:tl2br w:val="nil"/>
                    <w:tr2bl w:val="nil"/>
                  </w:tcBorders>
                  <w:noWrap w:val="0"/>
                  <w:vAlign w:val="center"/>
                </w:tcPr>
                <w:p w14:paraId="2ABD4B1B">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438" w:type="pct"/>
                  <w:vMerge w:val="continue"/>
                  <w:tcBorders>
                    <w:tl2br w:val="nil"/>
                    <w:tr2bl w:val="nil"/>
                  </w:tcBorders>
                  <w:noWrap w:val="0"/>
                  <w:vAlign w:val="center"/>
                </w:tcPr>
                <w:p w14:paraId="1E7C82EA">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rPr>
                  </w:pPr>
                </w:p>
              </w:tc>
              <w:tc>
                <w:tcPr>
                  <w:tcW w:w="296" w:type="pct"/>
                  <w:vMerge w:val="continue"/>
                  <w:tcBorders>
                    <w:tl2br w:val="nil"/>
                    <w:tr2bl w:val="nil"/>
                  </w:tcBorders>
                  <w:noWrap w:val="0"/>
                  <w:vAlign w:val="center"/>
                </w:tcPr>
                <w:p w14:paraId="6887500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p>
              </w:tc>
            </w:tr>
            <w:tr w14:paraId="39E4F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tcBorders>
                    <w:tl2br w:val="nil"/>
                    <w:tr2bl w:val="nil"/>
                  </w:tcBorders>
                  <w:noWrap w:val="0"/>
                  <w:vAlign w:val="center"/>
                </w:tcPr>
                <w:p w14:paraId="671045AC">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lang w:val="en-US" w:eastAsia="zh-CN"/>
                    </w:rPr>
                  </w:pPr>
                  <w:r>
                    <w:rPr>
                      <w:rFonts w:hint="eastAsia" w:eastAsia="宋体" w:cs="Times New Roman"/>
                      <w:i w:val="0"/>
                      <w:iCs w:val="0"/>
                      <w:caps w:val="0"/>
                      <w:color w:val="auto"/>
                      <w:spacing w:val="0"/>
                      <w:kern w:val="0"/>
                      <w:position w:val="0"/>
                      <w:sz w:val="21"/>
                      <w:szCs w:val="21"/>
                      <w:u w:val="none"/>
                      <w:lang w:val="en-US" w:eastAsia="zh-CN"/>
                    </w:rPr>
                    <w:t>汽运</w:t>
                  </w:r>
                </w:p>
              </w:tc>
              <w:tc>
                <w:tcPr>
                  <w:tcW w:w="386" w:type="pct"/>
                  <w:tcBorders>
                    <w:tl2br w:val="nil"/>
                    <w:tr2bl w:val="nil"/>
                  </w:tcBorders>
                  <w:noWrap w:val="0"/>
                  <w:vAlign w:val="center"/>
                </w:tcPr>
                <w:p w14:paraId="357F75E9">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颗粒物</w:t>
                  </w:r>
                </w:p>
              </w:tc>
              <w:tc>
                <w:tcPr>
                  <w:tcW w:w="316" w:type="pct"/>
                  <w:tcBorders>
                    <w:tl2br w:val="nil"/>
                    <w:tr2bl w:val="nil"/>
                  </w:tcBorders>
                  <w:noWrap w:val="0"/>
                  <w:vAlign w:val="center"/>
                </w:tcPr>
                <w:p w14:paraId="2D71AEB4">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0.125</w:t>
                  </w:r>
                </w:p>
              </w:tc>
              <w:tc>
                <w:tcPr>
                  <w:tcW w:w="374" w:type="pct"/>
                  <w:tcBorders>
                    <w:tl2br w:val="nil"/>
                    <w:tr2bl w:val="nil"/>
                  </w:tcBorders>
                  <w:noWrap w:val="0"/>
                  <w:vAlign w:val="center"/>
                </w:tcPr>
                <w:p w14:paraId="04969276">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0.521</w:t>
                  </w:r>
                </w:p>
              </w:tc>
              <w:tc>
                <w:tcPr>
                  <w:tcW w:w="386" w:type="pct"/>
                  <w:tcBorders>
                    <w:tl2br w:val="nil"/>
                    <w:tr2bl w:val="nil"/>
                  </w:tcBorders>
                  <w:noWrap w:val="0"/>
                  <w:vAlign w:val="center"/>
                </w:tcPr>
                <w:p w14:paraId="3091085A">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304" w:type="pct"/>
                  <w:tcBorders>
                    <w:tl2br w:val="nil"/>
                    <w:tr2bl w:val="nil"/>
                  </w:tcBorders>
                  <w:noWrap w:val="0"/>
                  <w:vAlign w:val="center"/>
                </w:tcPr>
                <w:p w14:paraId="6D04A877">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无组织</w:t>
                  </w:r>
                </w:p>
              </w:tc>
              <w:tc>
                <w:tcPr>
                  <w:tcW w:w="569" w:type="pct"/>
                  <w:tcBorders>
                    <w:tl2br w:val="nil"/>
                    <w:tr2bl w:val="nil"/>
                  </w:tcBorders>
                  <w:noWrap w:val="0"/>
                  <w:vAlign w:val="center"/>
                </w:tcPr>
                <w:p w14:paraId="69E9F4ED">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车辆冲洗，车辆密闭或全覆盖</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道路硬化洒水</w:t>
                  </w:r>
                </w:p>
              </w:tc>
              <w:tc>
                <w:tcPr>
                  <w:tcW w:w="302" w:type="pct"/>
                  <w:tcBorders>
                    <w:tl2br w:val="nil"/>
                    <w:tr2bl w:val="nil"/>
                  </w:tcBorders>
                  <w:noWrap w:val="0"/>
                  <w:vAlign w:val="center"/>
                </w:tcPr>
                <w:p w14:paraId="31A69D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2ECB4D5A">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74" w:type="pct"/>
                  <w:tcBorders>
                    <w:tl2br w:val="nil"/>
                    <w:tr2bl w:val="nil"/>
                  </w:tcBorders>
                  <w:noWrap w:val="0"/>
                  <w:vAlign w:val="center"/>
                </w:tcPr>
                <w:p w14:paraId="17F2C72F">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44D45FB5">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0.013</w:t>
                  </w:r>
                </w:p>
              </w:tc>
              <w:tc>
                <w:tcPr>
                  <w:tcW w:w="403" w:type="pct"/>
                  <w:tcBorders>
                    <w:tl2br w:val="nil"/>
                    <w:tr2bl w:val="nil"/>
                  </w:tcBorders>
                  <w:noWrap w:val="0"/>
                  <w:vAlign w:val="center"/>
                </w:tcPr>
                <w:p w14:paraId="3CE00C3D">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0.054</w:t>
                  </w:r>
                </w:p>
              </w:tc>
              <w:tc>
                <w:tcPr>
                  <w:tcW w:w="438" w:type="pct"/>
                  <w:tcBorders>
                    <w:tl2br w:val="nil"/>
                    <w:tr2bl w:val="nil"/>
                  </w:tcBorders>
                  <w:noWrap w:val="0"/>
                  <w:vAlign w:val="center"/>
                </w:tcPr>
                <w:p w14:paraId="7D050623">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96" w:type="pct"/>
                  <w:tcBorders>
                    <w:tl2br w:val="nil"/>
                    <w:tr2bl w:val="nil"/>
                  </w:tcBorders>
                  <w:noWrap/>
                  <w:vAlign w:val="center"/>
                </w:tcPr>
                <w:p w14:paraId="69AAE495">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6B1E4F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tcBorders>
                    <w:tl2br w:val="nil"/>
                    <w:tr2bl w:val="nil"/>
                  </w:tcBorders>
                  <w:noWrap w:val="0"/>
                  <w:vAlign w:val="center"/>
                </w:tcPr>
                <w:p w14:paraId="043D6D1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eastAsia="宋体" w:cs="Times New Roman"/>
                      <w:i w:val="0"/>
                      <w:iCs w:val="0"/>
                      <w:caps w:val="0"/>
                      <w:color w:val="auto"/>
                      <w:spacing w:val="0"/>
                      <w:kern w:val="0"/>
                      <w:position w:val="0"/>
                      <w:sz w:val="21"/>
                      <w:szCs w:val="21"/>
                      <w:u w:val="none"/>
                      <w:lang w:val="en-US" w:eastAsia="zh-CN"/>
                    </w:rPr>
                  </w:pPr>
                  <w:r>
                    <w:rPr>
                      <w:rFonts w:hint="eastAsia" w:cs="Times New Roman"/>
                      <w:i w:val="0"/>
                      <w:iCs w:val="0"/>
                      <w:caps w:val="0"/>
                      <w:color w:val="auto"/>
                      <w:spacing w:val="0"/>
                      <w:kern w:val="0"/>
                      <w:position w:val="0"/>
                      <w:sz w:val="21"/>
                      <w:szCs w:val="21"/>
                      <w:u w:val="none"/>
                      <w:lang w:val="en-US" w:eastAsia="zh-CN"/>
                    </w:rPr>
                    <w:t>装卸</w:t>
                  </w:r>
                </w:p>
              </w:tc>
              <w:tc>
                <w:tcPr>
                  <w:tcW w:w="386" w:type="pct"/>
                  <w:tcBorders>
                    <w:tl2br w:val="nil"/>
                    <w:tr2bl w:val="nil"/>
                  </w:tcBorders>
                  <w:noWrap w:val="0"/>
                  <w:vAlign w:val="center"/>
                </w:tcPr>
                <w:p w14:paraId="727DB4C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颗粒物</w:t>
                  </w:r>
                </w:p>
              </w:tc>
              <w:tc>
                <w:tcPr>
                  <w:tcW w:w="316" w:type="pct"/>
                  <w:tcBorders>
                    <w:tl2br w:val="nil"/>
                    <w:tr2bl w:val="nil"/>
                  </w:tcBorders>
                  <w:noWrap w:val="0"/>
                  <w:vAlign w:val="center"/>
                </w:tcPr>
                <w:p w14:paraId="71CE204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7.125</w:t>
                  </w:r>
                </w:p>
              </w:tc>
              <w:tc>
                <w:tcPr>
                  <w:tcW w:w="374" w:type="pct"/>
                  <w:tcBorders>
                    <w:tl2br w:val="nil"/>
                    <w:tr2bl w:val="nil"/>
                  </w:tcBorders>
                  <w:noWrap w:val="0"/>
                  <w:vAlign w:val="center"/>
                </w:tcPr>
                <w:p w14:paraId="32BBA45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29.688</w:t>
                  </w:r>
                </w:p>
              </w:tc>
              <w:tc>
                <w:tcPr>
                  <w:tcW w:w="386" w:type="pct"/>
                  <w:tcBorders>
                    <w:tl2br w:val="nil"/>
                    <w:tr2bl w:val="nil"/>
                  </w:tcBorders>
                  <w:noWrap w:val="0"/>
                  <w:vAlign w:val="center"/>
                </w:tcPr>
                <w:p w14:paraId="7C9011F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304" w:type="pct"/>
                  <w:tcBorders>
                    <w:tl2br w:val="nil"/>
                    <w:tr2bl w:val="nil"/>
                  </w:tcBorders>
                  <w:noWrap w:val="0"/>
                  <w:vAlign w:val="center"/>
                </w:tcPr>
                <w:p w14:paraId="731C9DE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无组织</w:t>
                  </w:r>
                </w:p>
              </w:tc>
              <w:tc>
                <w:tcPr>
                  <w:tcW w:w="569" w:type="pct"/>
                  <w:tcBorders>
                    <w:tl2br w:val="nil"/>
                    <w:tr2bl w:val="nil"/>
                  </w:tcBorders>
                  <w:noWrap w:val="0"/>
                  <w:vAlign w:val="center"/>
                </w:tcPr>
                <w:p w14:paraId="50BFFDA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装卸过程在密闭车间内，雾炮喷淋降尘，降低装卸高度</w:t>
                  </w:r>
                </w:p>
              </w:tc>
              <w:tc>
                <w:tcPr>
                  <w:tcW w:w="302" w:type="pct"/>
                  <w:tcBorders>
                    <w:tl2br w:val="nil"/>
                    <w:tr2bl w:val="nil"/>
                  </w:tcBorders>
                  <w:noWrap w:val="0"/>
                  <w:vAlign w:val="center"/>
                </w:tcPr>
                <w:p w14:paraId="655147C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366B81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w:t>
                  </w:r>
                  <w:r>
                    <w:rPr>
                      <w:rFonts w:hint="eastAsia" w:cs="Times New Roman"/>
                      <w:i w:val="0"/>
                      <w:iCs w:val="0"/>
                      <w:color w:val="auto"/>
                      <w:kern w:val="0"/>
                      <w:sz w:val="21"/>
                      <w:szCs w:val="21"/>
                      <w:u w:val="none"/>
                      <w:lang w:val="en-US" w:eastAsia="zh-CN" w:bidi="ar"/>
                    </w:rPr>
                    <w:t>9</w:t>
                  </w:r>
                  <w:r>
                    <w:rPr>
                      <w:rFonts w:hint="eastAsia"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4BC79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3650EFF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0.071</w:t>
                  </w:r>
                </w:p>
              </w:tc>
              <w:tc>
                <w:tcPr>
                  <w:tcW w:w="403" w:type="pct"/>
                  <w:tcBorders>
                    <w:tl2br w:val="nil"/>
                    <w:tr2bl w:val="nil"/>
                  </w:tcBorders>
                  <w:noWrap w:val="0"/>
                  <w:vAlign w:val="center"/>
                </w:tcPr>
                <w:p w14:paraId="3861DFE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0.296</w:t>
                  </w:r>
                </w:p>
              </w:tc>
              <w:tc>
                <w:tcPr>
                  <w:tcW w:w="438" w:type="pct"/>
                  <w:tcBorders>
                    <w:tl2br w:val="nil"/>
                    <w:tr2bl w:val="nil"/>
                  </w:tcBorders>
                  <w:noWrap w:val="0"/>
                  <w:vAlign w:val="center"/>
                </w:tcPr>
                <w:p w14:paraId="7900FC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296" w:type="pct"/>
                  <w:tcBorders>
                    <w:tl2br w:val="nil"/>
                    <w:tr2bl w:val="nil"/>
                  </w:tcBorders>
                  <w:noWrap/>
                  <w:vAlign w:val="center"/>
                </w:tcPr>
                <w:p w14:paraId="48037A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1680A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restart"/>
                  <w:tcBorders>
                    <w:tl2br w:val="nil"/>
                    <w:tr2bl w:val="nil"/>
                  </w:tcBorders>
                  <w:noWrap w:val="0"/>
                  <w:vAlign w:val="center"/>
                </w:tcPr>
                <w:p w14:paraId="2B6153C3">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lang w:val="en-US" w:eastAsia="zh-CN"/>
                    </w:rPr>
                  </w:pPr>
                  <w:r>
                    <w:rPr>
                      <w:rFonts w:hint="eastAsia" w:cs="Times New Roman"/>
                      <w:i w:val="0"/>
                      <w:iCs w:val="0"/>
                      <w:caps w:val="0"/>
                      <w:color w:val="auto"/>
                      <w:spacing w:val="0"/>
                      <w:kern w:val="0"/>
                      <w:position w:val="0"/>
                      <w:sz w:val="21"/>
                      <w:szCs w:val="21"/>
                      <w:u w:val="none"/>
                      <w:lang w:val="en-US" w:eastAsia="zh-CN"/>
                    </w:rPr>
                    <w:t>沥青</w:t>
                  </w:r>
                </w:p>
              </w:tc>
              <w:tc>
                <w:tcPr>
                  <w:tcW w:w="386" w:type="pct"/>
                  <w:tcBorders>
                    <w:tl2br w:val="nil"/>
                    <w:tr2bl w:val="nil"/>
                  </w:tcBorders>
                  <w:noWrap w:val="0"/>
                  <w:vAlign w:val="center"/>
                </w:tcPr>
                <w:p w14:paraId="7DE52E3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val="en-US" w:eastAsia="zh-CN"/>
                    </w:rPr>
                    <w:t>沥青烟</w:t>
                  </w:r>
                </w:p>
              </w:tc>
              <w:tc>
                <w:tcPr>
                  <w:tcW w:w="316" w:type="pct"/>
                  <w:tcBorders>
                    <w:tl2br w:val="nil"/>
                    <w:tr2bl w:val="nil"/>
                  </w:tcBorders>
                  <w:noWrap w:val="0"/>
                  <w:vAlign w:val="center"/>
                </w:tcPr>
                <w:p w14:paraId="3C923964">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4.622</w:t>
                  </w:r>
                </w:p>
              </w:tc>
              <w:tc>
                <w:tcPr>
                  <w:tcW w:w="374" w:type="pct"/>
                  <w:tcBorders>
                    <w:tl2br w:val="nil"/>
                    <w:tr2bl w:val="nil"/>
                  </w:tcBorders>
                  <w:noWrap w:val="0"/>
                  <w:vAlign w:val="center"/>
                </w:tcPr>
                <w:p w14:paraId="1EA56AF3">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19.258</w:t>
                  </w:r>
                </w:p>
              </w:tc>
              <w:tc>
                <w:tcPr>
                  <w:tcW w:w="386" w:type="pct"/>
                  <w:tcBorders>
                    <w:tl2br w:val="nil"/>
                    <w:tr2bl w:val="nil"/>
                  </w:tcBorders>
                  <w:noWrap w:val="0"/>
                  <w:vAlign w:val="center"/>
                </w:tcPr>
                <w:p w14:paraId="235E1B14">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641.93</w:t>
                  </w:r>
                </w:p>
              </w:tc>
              <w:tc>
                <w:tcPr>
                  <w:tcW w:w="304" w:type="pct"/>
                  <w:vMerge w:val="restart"/>
                  <w:tcBorders>
                    <w:tl2br w:val="nil"/>
                    <w:tr2bl w:val="nil"/>
                  </w:tcBorders>
                  <w:noWrap w:val="0"/>
                  <w:vAlign w:val="center"/>
                </w:tcPr>
                <w:p w14:paraId="7675A815">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aps w:val="0"/>
                      <w:color w:val="auto"/>
                      <w:spacing w:val="0"/>
                      <w:kern w:val="0"/>
                      <w:sz w:val="21"/>
                      <w:szCs w:val="21"/>
                      <w:u w:val="none"/>
                      <w:lang w:val="en-US" w:eastAsia="zh-CN" w:bidi="ar"/>
                    </w:rPr>
                    <w:t>有组织</w:t>
                  </w:r>
                </w:p>
              </w:tc>
              <w:tc>
                <w:tcPr>
                  <w:tcW w:w="569" w:type="pct"/>
                  <w:vMerge w:val="restart"/>
                  <w:tcBorders>
                    <w:tl2br w:val="nil"/>
                    <w:tr2bl w:val="nil"/>
                  </w:tcBorders>
                  <w:noWrap w:val="0"/>
                  <w:vAlign w:val="center"/>
                </w:tcPr>
                <w:p w14:paraId="1CFC10F3">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aps w:val="0"/>
                      <w:color w:val="auto"/>
                      <w:spacing w:val="0"/>
                      <w:kern w:val="0"/>
                      <w:sz w:val="21"/>
                      <w:szCs w:val="21"/>
                      <w:u w:val="none"/>
                      <w:lang w:val="en-US" w:eastAsia="zh-CN" w:bidi="ar"/>
                    </w:rPr>
                    <w:t>水喷淋+电捕焦油器+二级活性炭吸附</w:t>
                  </w:r>
                </w:p>
              </w:tc>
              <w:tc>
                <w:tcPr>
                  <w:tcW w:w="887" w:type="dxa"/>
                  <w:tcBorders>
                    <w:tl2br w:val="nil"/>
                    <w:tr2bl w:val="nil"/>
                  </w:tcBorders>
                  <w:noWrap w:val="0"/>
                  <w:vAlign w:val="center"/>
                </w:tcPr>
                <w:p w14:paraId="39E7004F">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vMerge w:val="restart"/>
                  <w:tcBorders>
                    <w:tl2br w:val="nil"/>
                    <w:tr2bl w:val="nil"/>
                  </w:tcBorders>
                  <w:noWrap w:val="0"/>
                  <w:vAlign w:val="center"/>
                </w:tcPr>
                <w:p w14:paraId="5D57FBBD">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r>
                    <w:rPr>
                      <w:rFonts w:hint="eastAsia" w:cs="Times New Roman"/>
                      <w:i w:val="0"/>
                      <w:iCs w:val="0"/>
                      <w:color w:val="auto"/>
                      <w:kern w:val="0"/>
                      <w:sz w:val="21"/>
                      <w:szCs w:val="21"/>
                      <w:u w:val="none"/>
                      <w:lang w:val="en-US" w:eastAsia="zh-CN" w:bidi="ar"/>
                    </w:rPr>
                    <w:t>9.5</w:t>
                  </w: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vMerge w:val="restart"/>
                  <w:tcBorders>
                    <w:tl2br w:val="nil"/>
                    <w:tr2bl w:val="nil"/>
                  </w:tcBorders>
                  <w:noWrap w:val="0"/>
                  <w:vAlign w:val="center"/>
                </w:tcPr>
                <w:p w14:paraId="1F46FB12">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olor w:val="auto"/>
                      <w:kern w:val="0"/>
                      <w:sz w:val="21"/>
                      <w:szCs w:val="21"/>
                      <w:u w:val="none"/>
                      <w:lang w:val="en-US" w:eastAsia="zh-CN" w:bidi="ar"/>
                    </w:rPr>
                    <w:t>30000</w:t>
                  </w:r>
                </w:p>
              </w:tc>
              <w:tc>
                <w:tcPr>
                  <w:tcW w:w="374" w:type="pct"/>
                  <w:tcBorders>
                    <w:tl2br w:val="nil"/>
                    <w:tr2bl w:val="nil"/>
                  </w:tcBorders>
                  <w:noWrap w:val="0"/>
                  <w:vAlign w:val="center"/>
                </w:tcPr>
                <w:p w14:paraId="506C3307">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0.023</w:t>
                  </w:r>
                </w:p>
              </w:tc>
              <w:tc>
                <w:tcPr>
                  <w:tcW w:w="403" w:type="pct"/>
                  <w:tcBorders>
                    <w:tl2br w:val="nil"/>
                    <w:tr2bl w:val="nil"/>
                  </w:tcBorders>
                  <w:noWrap w:val="0"/>
                  <w:vAlign w:val="center"/>
                </w:tcPr>
                <w:p w14:paraId="53949BEC">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0.096</w:t>
                  </w:r>
                </w:p>
              </w:tc>
              <w:tc>
                <w:tcPr>
                  <w:tcW w:w="438" w:type="pct"/>
                  <w:tcBorders>
                    <w:tl2br w:val="nil"/>
                    <w:tr2bl w:val="nil"/>
                  </w:tcBorders>
                  <w:noWrap w:val="0"/>
                  <w:vAlign w:val="center"/>
                </w:tcPr>
                <w:p w14:paraId="7BDB1AB9">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296" w:type="pct"/>
                  <w:vMerge w:val="restart"/>
                  <w:tcBorders>
                    <w:tl2br w:val="nil"/>
                    <w:tr2bl w:val="nil"/>
                  </w:tcBorders>
                  <w:noWrap/>
                  <w:vAlign w:val="center"/>
                </w:tcPr>
                <w:p w14:paraId="63AE7D4C">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aps w:val="0"/>
                      <w:color w:val="auto"/>
                      <w:spacing w:val="0"/>
                      <w:kern w:val="0"/>
                      <w:sz w:val="21"/>
                      <w:szCs w:val="21"/>
                      <w:u w:val="none"/>
                      <w:lang w:val="en-US" w:eastAsia="zh-CN" w:bidi="ar"/>
                    </w:rPr>
                    <w:t>排气筒P1</w:t>
                  </w:r>
                </w:p>
              </w:tc>
            </w:tr>
            <w:tr w14:paraId="1869E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7AE1507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25CCB4C4">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bCs/>
                      <w:color w:val="auto"/>
                      <w:spacing w:val="0"/>
                      <w:kern w:val="0"/>
                      <w:sz w:val="21"/>
                      <w:szCs w:val="21"/>
                      <w:lang w:val="en-US" w:eastAsia="zh-CN"/>
                    </w:rPr>
                    <w:t>苯并[a]芘</w:t>
                  </w:r>
                </w:p>
              </w:tc>
              <w:tc>
                <w:tcPr>
                  <w:tcW w:w="316" w:type="pct"/>
                  <w:tcBorders>
                    <w:tl2br w:val="nil"/>
                    <w:tr2bl w:val="nil"/>
                  </w:tcBorders>
                  <w:noWrap w:val="0"/>
                  <w:vAlign w:val="center"/>
                </w:tcPr>
                <w:p w14:paraId="48CC0D4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0.0000585</w:t>
                  </w:r>
                </w:p>
              </w:tc>
              <w:tc>
                <w:tcPr>
                  <w:tcW w:w="374" w:type="pct"/>
                  <w:tcBorders>
                    <w:tl2br w:val="nil"/>
                    <w:tr2bl w:val="nil"/>
                  </w:tcBorders>
                  <w:noWrap w:val="0"/>
                  <w:vAlign w:val="center"/>
                </w:tcPr>
                <w:p w14:paraId="1605FF7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2.44E-04</w:t>
                  </w:r>
                </w:p>
              </w:tc>
              <w:tc>
                <w:tcPr>
                  <w:tcW w:w="386" w:type="pct"/>
                  <w:tcBorders>
                    <w:tl2br w:val="nil"/>
                    <w:tr2bl w:val="nil"/>
                  </w:tcBorders>
                  <w:noWrap w:val="0"/>
                  <w:vAlign w:val="center"/>
                </w:tcPr>
                <w:p w14:paraId="4EA6A71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8.13E-03</w:t>
                  </w:r>
                </w:p>
              </w:tc>
              <w:tc>
                <w:tcPr>
                  <w:tcW w:w="304" w:type="pct"/>
                  <w:vMerge w:val="continue"/>
                  <w:tcBorders>
                    <w:tl2br w:val="nil"/>
                    <w:tr2bl w:val="nil"/>
                  </w:tcBorders>
                  <w:noWrap w:val="0"/>
                  <w:vAlign w:val="center"/>
                </w:tcPr>
                <w:p w14:paraId="1891D30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6F2A268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2F6FE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vMerge w:val="continue"/>
                  <w:tcBorders>
                    <w:tl2br w:val="nil"/>
                    <w:tr2bl w:val="nil"/>
                  </w:tcBorders>
                  <w:noWrap w:val="0"/>
                  <w:vAlign w:val="center"/>
                </w:tcPr>
                <w:p w14:paraId="6B094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vMerge w:val="continue"/>
                  <w:tcBorders>
                    <w:tl2br w:val="nil"/>
                    <w:tr2bl w:val="nil"/>
                  </w:tcBorders>
                  <w:noWrap w:val="0"/>
                  <w:vAlign w:val="center"/>
                </w:tcPr>
                <w:p w14:paraId="3ADF2B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tcBorders>
                    <w:tl2br w:val="nil"/>
                    <w:tr2bl w:val="nil"/>
                  </w:tcBorders>
                  <w:noWrap w:val="0"/>
                  <w:vAlign w:val="center"/>
                </w:tcPr>
                <w:p w14:paraId="546DE1A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2.925E-07</w:t>
                  </w:r>
                </w:p>
              </w:tc>
              <w:tc>
                <w:tcPr>
                  <w:tcW w:w="403" w:type="pct"/>
                  <w:tcBorders>
                    <w:tl2br w:val="nil"/>
                    <w:tr2bl w:val="nil"/>
                  </w:tcBorders>
                  <w:noWrap w:val="0"/>
                  <w:vAlign w:val="center"/>
                </w:tcPr>
                <w:p w14:paraId="3EF844B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1.22E-06</w:t>
                  </w:r>
                </w:p>
              </w:tc>
              <w:tc>
                <w:tcPr>
                  <w:tcW w:w="438" w:type="pct"/>
                  <w:tcBorders>
                    <w:tl2br w:val="nil"/>
                    <w:tr2bl w:val="nil"/>
                  </w:tcBorders>
                  <w:noWrap w:val="0"/>
                  <w:vAlign w:val="center"/>
                </w:tcPr>
                <w:p w14:paraId="11F654D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4.06E-05</w:t>
                  </w:r>
                </w:p>
              </w:tc>
              <w:tc>
                <w:tcPr>
                  <w:tcW w:w="296" w:type="pct"/>
                  <w:vMerge w:val="continue"/>
                  <w:tcBorders>
                    <w:tl2br w:val="nil"/>
                    <w:tr2bl w:val="nil"/>
                  </w:tcBorders>
                  <w:noWrap/>
                  <w:vAlign w:val="center"/>
                </w:tcPr>
                <w:p w14:paraId="4D7BF5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831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2AF5A946">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688D71AB">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VOCs</w:t>
                  </w:r>
                </w:p>
              </w:tc>
              <w:tc>
                <w:tcPr>
                  <w:tcW w:w="316" w:type="pct"/>
                  <w:tcBorders>
                    <w:tl2br w:val="nil"/>
                    <w:tr2bl w:val="nil"/>
                  </w:tcBorders>
                  <w:noWrap w:val="0"/>
                  <w:vAlign w:val="center"/>
                </w:tcPr>
                <w:p w14:paraId="317D712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3.235</w:t>
                  </w:r>
                </w:p>
              </w:tc>
              <w:tc>
                <w:tcPr>
                  <w:tcW w:w="374" w:type="pct"/>
                  <w:tcBorders>
                    <w:tl2br w:val="nil"/>
                    <w:tr2bl w:val="nil"/>
                  </w:tcBorders>
                  <w:noWrap w:val="0"/>
                  <w:vAlign w:val="center"/>
                </w:tcPr>
                <w:p w14:paraId="13D1E9B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13.479</w:t>
                  </w:r>
                </w:p>
              </w:tc>
              <w:tc>
                <w:tcPr>
                  <w:tcW w:w="386" w:type="pct"/>
                  <w:tcBorders>
                    <w:tl2br w:val="nil"/>
                    <w:tr2bl w:val="nil"/>
                  </w:tcBorders>
                  <w:noWrap w:val="0"/>
                  <w:vAlign w:val="center"/>
                </w:tcPr>
                <w:p w14:paraId="2450BC2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449.3</w:t>
                  </w:r>
                </w:p>
              </w:tc>
              <w:tc>
                <w:tcPr>
                  <w:tcW w:w="304" w:type="pct"/>
                  <w:vMerge w:val="continue"/>
                  <w:tcBorders>
                    <w:tl2br w:val="nil"/>
                    <w:tr2bl w:val="nil"/>
                  </w:tcBorders>
                  <w:noWrap w:val="0"/>
                  <w:vAlign w:val="center"/>
                </w:tcPr>
                <w:p w14:paraId="6FC2498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5CCE521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78A4CB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vMerge w:val="continue"/>
                  <w:tcBorders>
                    <w:tl2br w:val="nil"/>
                    <w:tr2bl w:val="nil"/>
                  </w:tcBorders>
                  <w:noWrap w:val="0"/>
                  <w:vAlign w:val="center"/>
                </w:tcPr>
                <w:p w14:paraId="2CE37A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vMerge w:val="continue"/>
                  <w:tcBorders>
                    <w:tl2br w:val="nil"/>
                    <w:tr2bl w:val="nil"/>
                  </w:tcBorders>
                  <w:noWrap w:val="0"/>
                  <w:vAlign w:val="center"/>
                </w:tcPr>
                <w:p w14:paraId="5DDED6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tcBorders>
                    <w:tl2br w:val="nil"/>
                    <w:tr2bl w:val="nil"/>
                  </w:tcBorders>
                  <w:noWrap w:val="0"/>
                  <w:vAlign w:val="center"/>
                </w:tcPr>
                <w:p w14:paraId="3A9CDD7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0.016</w:t>
                  </w:r>
                </w:p>
              </w:tc>
              <w:tc>
                <w:tcPr>
                  <w:tcW w:w="403" w:type="pct"/>
                  <w:tcBorders>
                    <w:tl2br w:val="nil"/>
                    <w:tr2bl w:val="nil"/>
                  </w:tcBorders>
                  <w:noWrap w:val="0"/>
                  <w:vAlign w:val="center"/>
                </w:tcPr>
                <w:p w14:paraId="733D5D5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0.067</w:t>
                  </w:r>
                </w:p>
              </w:tc>
              <w:tc>
                <w:tcPr>
                  <w:tcW w:w="438" w:type="pct"/>
                  <w:tcBorders>
                    <w:tl2br w:val="nil"/>
                    <w:tr2bl w:val="nil"/>
                  </w:tcBorders>
                  <w:noWrap w:val="0"/>
                  <w:vAlign w:val="center"/>
                </w:tcPr>
                <w:p w14:paraId="17113D8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2.23</w:t>
                  </w:r>
                </w:p>
              </w:tc>
              <w:tc>
                <w:tcPr>
                  <w:tcW w:w="296" w:type="pct"/>
                  <w:vMerge w:val="continue"/>
                  <w:tcBorders>
                    <w:tl2br w:val="nil"/>
                    <w:tr2bl w:val="nil"/>
                  </w:tcBorders>
                  <w:noWrap/>
                  <w:vAlign w:val="center"/>
                </w:tcPr>
                <w:p w14:paraId="433897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E1D9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789966FB">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71295AD9">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臭气浓度</w:t>
                  </w:r>
                </w:p>
              </w:tc>
              <w:tc>
                <w:tcPr>
                  <w:tcW w:w="316" w:type="pct"/>
                  <w:tcBorders>
                    <w:tl2br w:val="nil"/>
                    <w:tr2bl w:val="nil"/>
                  </w:tcBorders>
                  <w:noWrap w:val="0"/>
                  <w:vAlign w:val="center"/>
                </w:tcPr>
                <w:p w14:paraId="14D7D5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7621E0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4A304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continue"/>
                  <w:tcBorders>
                    <w:tl2br w:val="nil"/>
                    <w:tr2bl w:val="nil"/>
                  </w:tcBorders>
                  <w:noWrap w:val="0"/>
                  <w:vAlign w:val="center"/>
                </w:tcPr>
                <w:p w14:paraId="5E5CDF1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5477387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77B8A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vMerge w:val="continue"/>
                  <w:tcBorders>
                    <w:tl2br w:val="nil"/>
                    <w:tr2bl w:val="nil"/>
                  </w:tcBorders>
                  <w:noWrap w:val="0"/>
                  <w:vAlign w:val="center"/>
                </w:tcPr>
                <w:p w14:paraId="18BCB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vMerge w:val="continue"/>
                  <w:tcBorders>
                    <w:tl2br w:val="nil"/>
                    <w:tr2bl w:val="nil"/>
                  </w:tcBorders>
                  <w:noWrap w:val="0"/>
                  <w:vAlign w:val="center"/>
                </w:tcPr>
                <w:p w14:paraId="70BA5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tcBorders>
                    <w:tl2br w:val="nil"/>
                    <w:tr2bl w:val="nil"/>
                  </w:tcBorders>
                  <w:noWrap w:val="0"/>
                  <w:vAlign w:val="center"/>
                </w:tcPr>
                <w:p w14:paraId="7FF76A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3" w:type="pct"/>
                  <w:tcBorders>
                    <w:tl2br w:val="nil"/>
                    <w:tr2bl w:val="nil"/>
                  </w:tcBorders>
                  <w:noWrap w:val="0"/>
                  <w:vAlign w:val="center"/>
                </w:tcPr>
                <w:p w14:paraId="4CD194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4C274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≦2000（无量纲）</w:t>
                  </w:r>
                </w:p>
              </w:tc>
              <w:tc>
                <w:tcPr>
                  <w:tcW w:w="296" w:type="pct"/>
                  <w:vMerge w:val="continue"/>
                  <w:tcBorders>
                    <w:tl2br w:val="nil"/>
                    <w:tr2bl w:val="nil"/>
                  </w:tcBorders>
                  <w:noWrap/>
                  <w:vAlign w:val="center"/>
                </w:tcPr>
                <w:p w14:paraId="565F5F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62CA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655EB198">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602D3EC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val="en-US" w:eastAsia="zh-CN"/>
                    </w:rPr>
                    <w:t>沥青烟</w:t>
                  </w:r>
                </w:p>
              </w:tc>
              <w:tc>
                <w:tcPr>
                  <w:tcW w:w="316" w:type="pct"/>
                  <w:tcBorders>
                    <w:tl2br w:val="nil"/>
                    <w:tr2bl w:val="nil"/>
                  </w:tcBorders>
                  <w:noWrap w:val="0"/>
                  <w:vAlign w:val="center"/>
                </w:tcPr>
                <w:p w14:paraId="4B3AE30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0.166</w:t>
                  </w:r>
                </w:p>
              </w:tc>
              <w:tc>
                <w:tcPr>
                  <w:tcW w:w="374" w:type="pct"/>
                  <w:tcBorders>
                    <w:tl2br w:val="nil"/>
                    <w:tr2bl w:val="nil"/>
                  </w:tcBorders>
                  <w:noWrap w:val="0"/>
                  <w:vAlign w:val="center"/>
                </w:tcPr>
                <w:p w14:paraId="57663DE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0.692</w:t>
                  </w:r>
                </w:p>
              </w:tc>
              <w:tc>
                <w:tcPr>
                  <w:tcW w:w="386" w:type="pct"/>
                  <w:tcBorders>
                    <w:tl2br w:val="nil"/>
                    <w:tr2bl w:val="nil"/>
                  </w:tcBorders>
                  <w:noWrap w:val="0"/>
                  <w:vAlign w:val="center"/>
                </w:tcPr>
                <w:p w14:paraId="7E07E2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restart"/>
                  <w:tcBorders>
                    <w:tl2br w:val="nil"/>
                    <w:tr2bl w:val="nil"/>
                  </w:tcBorders>
                  <w:noWrap w:val="0"/>
                  <w:vAlign w:val="center"/>
                </w:tcPr>
                <w:p w14:paraId="1550E57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无组织</w:t>
                  </w:r>
                </w:p>
              </w:tc>
              <w:tc>
                <w:tcPr>
                  <w:tcW w:w="569" w:type="pct"/>
                  <w:vMerge w:val="restart"/>
                  <w:tcBorders>
                    <w:tl2br w:val="nil"/>
                    <w:tr2bl w:val="nil"/>
                  </w:tcBorders>
                  <w:noWrap w:val="0"/>
                  <w:vAlign w:val="center"/>
                </w:tcPr>
                <w:p w14:paraId="113E871A">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w:t>
                  </w:r>
                </w:p>
              </w:tc>
              <w:tc>
                <w:tcPr>
                  <w:tcW w:w="887" w:type="dxa"/>
                  <w:tcBorders>
                    <w:tl2br w:val="nil"/>
                    <w:tr2bl w:val="nil"/>
                  </w:tcBorders>
                  <w:noWrap w:val="0"/>
                  <w:vAlign w:val="center"/>
                </w:tcPr>
                <w:p w14:paraId="7BCB7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5882D2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0C4F52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409CEF2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0.166</w:t>
                  </w:r>
                </w:p>
              </w:tc>
              <w:tc>
                <w:tcPr>
                  <w:tcW w:w="403" w:type="pct"/>
                  <w:tcBorders>
                    <w:tl2br w:val="nil"/>
                    <w:tr2bl w:val="nil"/>
                  </w:tcBorders>
                  <w:noWrap w:val="0"/>
                  <w:vAlign w:val="center"/>
                </w:tcPr>
                <w:p w14:paraId="520964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0.692</w:t>
                  </w:r>
                </w:p>
              </w:tc>
              <w:tc>
                <w:tcPr>
                  <w:tcW w:w="438" w:type="pct"/>
                  <w:tcBorders>
                    <w:tl2br w:val="nil"/>
                    <w:tr2bl w:val="nil"/>
                  </w:tcBorders>
                  <w:noWrap w:val="0"/>
                  <w:vAlign w:val="center"/>
                </w:tcPr>
                <w:p w14:paraId="72107A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96" w:type="pct"/>
                  <w:tcBorders>
                    <w:tl2br w:val="nil"/>
                    <w:tr2bl w:val="nil"/>
                  </w:tcBorders>
                  <w:noWrap/>
                  <w:vAlign w:val="center"/>
                </w:tcPr>
                <w:p w14:paraId="44C0C2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4D9A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47788D21">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56C6D20C">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bCs/>
                      <w:color w:val="auto"/>
                      <w:spacing w:val="0"/>
                      <w:kern w:val="0"/>
                      <w:sz w:val="21"/>
                      <w:szCs w:val="21"/>
                      <w:lang w:val="en-US" w:eastAsia="zh-CN"/>
                    </w:rPr>
                    <w:t>苯并[a]芘</w:t>
                  </w:r>
                </w:p>
              </w:tc>
              <w:tc>
                <w:tcPr>
                  <w:tcW w:w="316" w:type="pct"/>
                  <w:tcBorders>
                    <w:tl2br w:val="nil"/>
                    <w:tr2bl w:val="nil"/>
                  </w:tcBorders>
                  <w:noWrap w:val="0"/>
                  <w:vAlign w:val="center"/>
                </w:tcPr>
                <w:p w14:paraId="75592F2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0.0000015</w:t>
                  </w:r>
                </w:p>
              </w:tc>
              <w:tc>
                <w:tcPr>
                  <w:tcW w:w="374" w:type="pct"/>
                  <w:tcBorders>
                    <w:tl2br w:val="nil"/>
                    <w:tr2bl w:val="nil"/>
                  </w:tcBorders>
                  <w:noWrap w:val="0"/>
                  <w:vAlign w:val="center"/>
                </w:tcPr>
                <w:p w14:paraId="362DCC6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6.25E-06</w:t>
                  </w:r>
                </w:p>
              </w:tc>
              <w:tc>
                <w:tcPr>
                  <w:tcW w:w="386" w:type="pct"/>
                  <w:tcBorders>
                    <w:tl2br w:val="nil"/>
                    <w:tr2bl w:val="nil"/>
                  </w:tcBorders>
                  <w:noWrap w:val="0"/>
                  <w:vAlign w:val="center"/>
                </w:tcPr>
                <w:p w14:paraId="36A20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continue"/>
                  <w:tcBorders>
                    <w:tl2br w:val="nil"/>
                    <w:tr2bl w:val="nil"/>
                  </w:tcBorders>
                  <w:noWrap w:val="0"/>
                  <w:vAlign w:val="center"/>
                </w:tcPr>
                <w:p w14:paraId="2234F6B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0C7B8D9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2E08E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6F9401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53F06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541FD16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0.0000015</w:t>
                  </w:r>
                </w:p>
              </w:tc>
              <w:tc>
                <w:tcPr>
                  <w:tcW w:w="403" w:type="pct"/>
                  <w:tcBorders>
                    <w:tl2br w:val="nil"/>
                    <w:tr2bl w:val="nil"/>
                  </w:tcBorders>
                  <w:noWrap w:val="0"/>
                  <w:vAlign w:val="center"/>
                </w:tcPr>
                <w:p w14:paraId="73C343F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6.25E-06</w:t>
                  </w:r>
                </w:p>
              </w:tc>
              <w:tc>
                <w:tcPr>
                  <w:tcW w:w="438" w:type="pct"/>
                  <w:tcBorders>
                    <w:tl2br w:val="nil"/>
                    <w:tr2bl w:val="nil"/>
                  </w:tcBorders>
                  <w:noWrap w:val="0"/>
                  <w:vAlign w:val="center"/>
                </w:tcPr>
                <w:p w14:paraId="0B50B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96" w:type="pct"/>
                  <w:tcBorders>
                    <w:tl2br w:val="nil"/>
                    <w:tr2bl w:val="nil"/>
                  </w:tcBorders>
                  <w:noWrap/>
                  <w:vAlign w:val="center"/>
                </w:tcPr>
                <w:p w14:paraId="2F8F1F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677B52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516B4D24">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76CEE6DD">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VOCs</w:t>
                  </w:r>
                </w:p>
              </w:tc>
              <w:tc>
                <w:tcPr>
                  <w:tcW w:w="316" w:type="pct"/>
                  <w:tcBorders>
                    <w:tl2br w:val="nil"/>
                    <w:tr2bl w:val="nil"/>
                  </w:tcBorders>
                  <w:noWrap w:val="0"/>
                  <w:vAlign w:val="center"/>
                </w:tcPr>
                <w:p w14:paraId="5C3ADD7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0.116</w:t>
                  </w:r>
                </w:p>
              </w:tc>
              <w:tc>
                <w:tcPr>
                  <w:tcW w:w="374" w:type="pct"/>
                  <w:tcBorders>
                    <w:tl2br w:val="nil"/>
                    <w:tr2bl w:val="nil"/>
                  </w:tcBorders>
                  <w:noWrap w:val="0"/>
                  <w:vAlign w:val="center"/>
                </w:tcPr>
                <w:p w14:paraId="2167A3E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0.483</w:t>
                  </w:r>
                </w:p>
              </w:tc>
              <w:tc>
                <w:tcPr>
                  <w:tcW w:w="386" w:type="pct"/>
                  <w:tcBorders>
                    <w:tl2br w:val="nil"/>
                    <w:tr2bl w:val="nil"/>
                  </w:tcBorders>
                  <w:noWrap w:val="0"/>
                  <w:vAlign w:val="center"/>
                </w:tcPr>
                <w:p w14:paraId="6D2D70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continue"/>
                  <w:tcBorders>
                    <w:tl2br w:val="nil"/>
                    <w:tr2bl w:val="nil"/>
                  </w:tcBorders>
                  <w:noWrap w:val="0"/>
                  <w:vAlign w:val="center"/>
                </w:tcPr>
                <w:p w14:paraId="7CDD7B7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2C5469C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34CA9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61B7F2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55155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60A5E6F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0.116</w:t>
                  </w:r>
                </w:p>
              </w:tc>
              <w:tc>
                <w:tcPr>
                  <w:tcW w:w="403" w:type="pct"/>
                  <w:tcBorders>
                    <w:tl2br w:val="nil"/>
                    <w:tr2bl w:val="nil"/>
                  </w:tcBorders>
                  <w:noWrap w:val="0"/>
                  <w:vAlign w:val="center"/>
                </w:tcPr>
                <w:p w14:paraId="6098FF0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0.483</w:t>
                  </w:r>
                </w:p>
              </w:tc>
              <w:tc>
                <w:tcPr>
                  <w:tcW w:w="438" w:type="pct"/>
                  <w:tcBorders>
                    <w:tl2br w:val="nil"/>
                    <w:tr2bl w:val="nil"/>
                  </w:tcBorders>
                  <w:noWrap w:val="0"/>
                  <w:vAlign w:val="center"/>
                </w:tcPr>
                <w:p w14:paraId="554F8F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96" w:type="pct"/>
                  <w:tcBorders>
                    <w:tl2br w:val="nil"/>
                    <w:tr2bl w:val="nil"/>
                  </w:tcBorders>
                  <w:noWrap/>
                  <w:vAlign w:val="center"/>
                </w:tcPr>
                <w:p w14:paraId="32408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F5C49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13423672">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0CB338EA">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臭气浓度</w:t>
                  </w:r>
                </w:p>
              </w:tc>
              <w:tc>
                <w:tcPr>
                  <w:tcW w:w="316" w:type="pct"/>
                  <w:tcBorders>
                    <w:tl2br w:val="nil"/>
                    <w:tr2bl w:val="nil"/>
                  </w:tcBorders>
                  <w:noWrap w:val="0"/>
                  <w:vAlign w:val="center"/>
                </w:tcPr>
                <w:p w14:paraId="4B8445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600BC8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59FA9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continue"/>
                  <w:tcBorders>
                    <w:tl2br w:val="nil"/>
                    <w:tr2bl w:val="nil"/>
                  </w:tcBorders>
                  <w:noWrap w:val="0"/>
                  <w:vAlign w:val="center"/>
                </w:tcPr>
                <w:p w14:paraId="39D1C3E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vMerge w:val="continue"/>
                  <w:tcBorders>
                    <w:tl2br w:val="nil"/>
                    <w:tr2bl w:val="nil"/>
                  </w:tcBorders>
                  <w:noWrap w:val="0"/>
                  <w:vAlign w:val="center"/>
                </w:tcPr>
                <w:p w14:paraId="6ED7A6C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7" w:type="dxa"/>
                  <w:tcBorders>
                    <w:tl2br w:val="nil"/>
                    <w:tr2bl w:val="nil"/>
                  </w:tcBorders>
                  <w:noWrap w:val="0"/>
                  <w:vAlign w:val="center"/>
                </w:tcPr>
                <w:p w14:paraId="2C0D7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36ABC6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77754F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599A15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3" w:type="pct"/>
                  <w:tcBorders>
                    <w:tl2br w:val="nil"/>
                    <w:tr2bl w:val="nil"/>
                  </w:tcBorders>
                  <w:noWrap w:val="0"/>
                  <w:vAlign w:val="center"/>
                </w:tcPr>
                <w:p w14:paraId="520A8F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79B221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r>
                    <w:rPr>
                      <w:rFonts w:hint="eastAsia" w:cs="Times New Roman"/>
                      <w:i w:val="0"/>
                      <w:iCs w:val="0"/>
                      <w:color w:val="auto"/>
                      <w:kern w:val="0"/>
                      <w:sz w:val="21"/>
                      <w:szCs w:val="21"/>
                      <w:u w:val="none"/>
                      <w:lang w:val="en-US" w:eastAsia="zh-CN" w:bidi="ar"/>
                    </w:rPr>
                    <w:t>（无量纲）</w:t>
                  </w:r>
                </w:p>
              </w:tc>
              <w:tc>
                <w:tcPr>
                  <w:tcW w:w="296" w:type="pct"/>
                  <w:tcBorders>
                    <w:tl2br w:val="nil"/>
                    <w:tr2bl w:val="nil"/>
                  </w:tcBorders>
                  <w:noWrap/>
                  <w:vAlign w:val="center"/>
                </w:tcPr>
                <w:p w14:paraId="2F302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6CE96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restart"/>
                  <w:tcBorders>
                    <w:tl2br w:val="nil"/>
                    <w:tr2bl w:val="nil"/>
                  </w:tcBorders>
                  <w:noWrap w:val="0"/>
                  <w:vAlign w:val="center"/>
                </w:tcPr>
                <w:p w14:paraId="6A68ACC2">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lang w:val="en-US" w:eastAsia="zh-CN"/>
                    </w:rPr>
                  </w:pPr>
                  <w:r>
                    <w:rPr>
                      <w:rFonts w:hint="eastAsia" w:ascii="Times New Roman" w:hAnsi="Times New Roman" w:eastAsia="宋体" w:cs="Times New Roman"/>
                      <w:i w:val="0"/>
                      <w:iCs w:val="0"/>
                      <w:caps w:val="0"/>
                      <w:color w:val="auto"/>
                      <w:spacing w:val="0"/>
                      <w:kern w:val="0"/>
                      <w:position w:val="0"/>
                      <w:sz w:val="21"/>
                      <w:szCs w:val="21"/>
                      <w:u w:val="none"/>
                      <w:lang w:val="en-US" w:eastAsia="zh-CN"/>
                    </w:rPr>
                    <w:t>上料</w:t>
                  </w:r>
                  <w:r>
                    <w:rPr>
                      <w:rFonts w:hint="eastAsia" w:cs="Times New Roman"/>
                      <w:i w:val="0"/>
                      <w:iCs w:val="0"/>
                      <w:caps w:val="0"/>
                      <w:color w:val="auto"/>
                      <w:spacing w:val="0"/>
                      <w:kern w:val="0"/>
                      <w:position w:val="0"/>
                      <w:sz w:val="21"/>
                      <w:szCs w:val="21"/>
                      <w:u w:val="none"/>
                      <w:lang w:val="en-US" w:eastAsia="zh-CN"/>
                    </w:rPr>
                    <w:t>和干燥</w:t>
                  </w:r>
                </w:p>
              </w:tc>
              <w:tc>
                <w:tcPr>
                  <w:tcW w:w="386" w:type="pct"/>
                  <w:tcBorders>
                    <w:tl2br w:val="nil"/>
                    <w:tr2bl w:val="nil"/>
                  </w:tcBorders>
                  <w:noWrap w:val="0"/>
                  <w:vAlign w:val="center"/>
                </w:tcPr>
                <w:p w14:paraId="79CE8A3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color w:val="auto"/>
                      <w:sz w:val="21"/>
                      <w:szCs w:val="21"/>
                      <w:lang w:val="en-US" w:eastAsia="zh-CN"/>
                    </w:rPr>
                    <w:t>颗粒物</w:t>
                  </w:r>
                </w:p>
              </w:tc>
              <w:tc>
                <w:tcPr>
                  <w:tcW w:w="316" w:type="pct"/>
                  <w:tcBorders>
                    <w:tl2br w:val="nil"/>
                    <w:tr2bl w:val="nil"/>
                  </w:tcBorders>
                  <w:noWrap w:val="0"/>
                  <w:vAlign w:val="center"/>
                </w:tcPr>
                <w:p w14:paraId="413B935A">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12.349</w:t>
                  </w:r>
                </w:p>
              </w:tc>
              <w:tc>
                <w:tcPr>
                  <w:tcW w:w="374" w:type="pct"/>
                  <w:tcBorders>
                    <w:tl2br w:val="nil"/>
                    <w:tr2bl w:val="nil"/>
                  </w:tcBorders>
                  <w:noWrap w:val="0"/>
                  <w:vAlign w:val="center"/>
                </w:tcPr>
                <w:p w14:paraId="1499C50C">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51.454</w:t>
                  </w:r>
                </w:p>
              </w:tc>
              <w:tc>
                <w:tcPr>
                  <w:tcW w:w="386" w:type="pct"/>
                  <w:tcBorders>
                    <w:tl2br w:val="nil"/>
                    <w:tr2bl w:val="nil"/>
                  </w:tcBorders>
                  <w:noWrap w:val="0"/>
                  <w:vAlign w:val="center"/>
                </w:tcPr>
                <w:p w14:paraId="4034D600">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1715.13</w:t>
                  </w:r>
                </w:p>
              </w:tc>
              <w:tc>
                <w:tcPr>
                  <w:tcW w:w="304" w:type="pct"/>
                  <w:vMerge w:val="restart"/>
                  <w:tcBorders>
                    <w:tl2br w:val="nil"/>
                    <w:tr2bl w:val="nil"/>
                  </w:tcBorders>
                  <w:noWrap w:val="0"/>
                  <w:vAlign w:val="center"/>
                </w:tcPr>
                <w:p w14:paraId="2C95FD4F">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有组织</w:t>
                  </w:r>
                </w:p>
              </w:tc>
              <w:tc>
                <w:tcPr>
                  <w:tcW w:w="569" w:type="pct"/>
                  <w:tcBorders>
                    <w:tl2br w:val="nil"/>
                    <w:tr2bl w:val="nil"/>
                  </w:tcBorders>
                  <w:noWrap w:val="0"/>
                  <w:vAlign w:val="center"/>
                </w:tcPr>
                <w:p w14:paraId="03C1BF69">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aps w:val="0"/>
                      <w:color w:val="auto"/>
                      <w:spacing w:val="0"/>
                      <w:kern w:val="0"/>
                      <w:sz w:val="21"/>
                      <w:szCs w:val="21"/>
                      <w:u w:val="none"/>
                      <w:lang w:val="en-US" w:eastAsia="zh-CN" w:bidi="ar"/>
                    </w:rPr>
                    <w:t>旋风除尘器+布袋除尘器</w:t>
                  </w:r>
                </w:p>
              </w:tc>
              <w:tc>
                <w:tcPr>
                  <w:tcW w:w="887" w:type="dxa"/>
                  <w:tcBorders>
                    <w:tl2br w:val="nil"/>
                    <w:tr2bl w:val="nil"/>
                  </w:tcBorders>
                  <w:noWrap w:val="0"/>
                  <w:vAlign w:val="center"/>
                </w:tcPr>
                <w:p w14:paraId="6725C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5325C5AE">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vMerge w:val="restart"/>
                  <w:tcBorders>
                    <w:tl2br w:val="nil"/>
                    <w:tr2bl w:val="nil"/>
                  </w:tcBorders>
                  <w:noWrap w:val="0"/>
                  <w:vAlign w:val="center"/>
                </w:tcPr>
                <w:p w14:paraId="7F1605B3">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olor w:val="auto"/>
                      <w:kern w:val="0"/>
                      <w:sz w:val="21"/>
                      <w:szCs w:val="21"/>
                      <w:u w:val="none"/>
                      <w:lang w:val="en-US" w:eastAsia="zh-CN" w:bidi="ar"/>
                    </w:rPr>
                    <w:t>30000</w:t>
                  </w:r>
                </w:p>
              </w:tc>
              <w:tc>
                <w:tcPr>
                  <w:tcW w:w="374" w:type="pct"/>
                  <w:tcBorders>
                    <w:tl2br w:val="nil"/>
                    <w:tr2bl w:val="nil"/>
                  </w:tcBorders>
                  <w:noWrap w:val="0"/>
                  <w:vAlign w:val="center"/>
                </w:tcPr>
                <w:p w14:paraId="36F19756">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0.062</w:t>
                  </w:r>
                </w:p>
              </w:tc>
              <w:tc>
                <w:tcPr>
                  <w:tcW w:w="403" w:type="pct"/>
                  <w:tcBorders>
                    <w:tl2br w:val="nil"/>
                    <w:tr2bl w:val="nil"/>
                  </w:tcBorders>
                  <w:noWrap w:val="0"/>
                  <w:vAlign w:val="center"/>
                </w:tcPr>
                <w:p w14:paraId="2F41AD85">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0.258</w:t>
                  </w:r>
                </w:p>
              </w:tc>
              <w:tc>
                <w:tcPr>
                  <w:tcW w:w="438" w:type="pct"/>
                  <w:tcBorders>
                    <w:tl2br w:val="nil"/>
                    <w:tr2bl w:val="nil"/>
                  </w:tcBorders>
                  <w:noWrap w:val="0"/>
                  <w:vAlign w:val="center"/>
                </w:tcPr>
                <w:p w14:paraId="64C28C0E">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8.6</w:t>
                  </w:r>
                </w:p>
              </w:tc>
              <w:tc>
                <w:tcPr>
                  <w:tcW w:w="296" w:type="pct"/>
                  <w:vMerge w:val="restart"/>
                  <w:tcBorders>
                    <w:tl2br w:val="nil"/>
                    <w:tr2bl w:val="nil"/>
                  </w:tcBorders>
                  <w:noWrap/>
                  <w:vAlign w:val="center"/>
                </w:tcPr>
                <w:p w14:paraId="7F04B856">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排气筒</w:t>
                  </w:r>
                  <w:r>
                    <w:rPr>
                      <w:rFonts w:hint="default" w:ascii="Times New Roman" w:hAnsi="Times New Roman" w:eastAsia="宋体" w:cs="Times New Roman"/>
                      <w:i w:val="0"/>
                      <w:iCs w:val="0"/>
                      <w:color w:val="auto"/>
                      <w:kern w:val="0"/>
                      <w:sz w:val="21"/>
                      <w:szCs w:val="21"/>
                      <w:u w:val="none"/>
                      <w:lang w:val="en-US" w:eastAsia="zh-CN" w:bidi="ar"/>
                    </w:rPr>
                    <w:t>P</w:t>
                  </w:r>
                  <w:r>
                    <w:rPr>
                      <w:rFonts w:hint="eastAsia" w:cs="Times New Roman"/>
                      <w:i w:val="0"/>
                      <w:iCs w:val="0"/>
                      <w:color w:val="auto"/>
                      <w:kern w:val="0"/>
                      <w:sz w:val="21"/>
                      <w:szCs w:val="21"/>
                      <w:u w:val="none"/>
                      <w:lang w:val="en-US" w:eastAsia="zh-CN" w:bidi="ar"/>
                    </w:rPr>
                    <w:t>1</w:t>
                  </w:r>
                </w:p>
              </w:tc>
            </w:tr>
            <w:tr w14:paraId="47635E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675C35BB">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ascii="Times New Roman" w:hAnsi="Times New Roman" w:eastAsia="宋体"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682404EC">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316" w:type="pct"/>
                  <w:tcBorders>
                    <w:tl2br w:val="nil"/>
                    <w:tr2bl w:val="nil"/>
                  </w:tcBorders>
                  <w:noWrap w:val="0"/>
                  <w:vAlign w:val="center"/>
                </w:tcPr>
                <w:p w14:paraId="1D723321">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0.043</w:t>
                  </w:r>
                </w:p>
              </w:tc>
              <w:tc>
                <w:tcPr>
                  <w:tcW w:w="374" w:type="pct"/>
                  <w:tcBorders>
                    <w:tl2br w:val="nil"/>
                    <w:tr2bl w:val="nil"/>
                  </w:tcBorders>
                  <w:noWrap w:val="0"/>
                  <w:vAlign w:val="center"/>
                </w:tcPr>
                <w:p w14:paraId="23439DC2">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0.179</w:t>
                  </w:r>
                </w:p>
              </w:tc>
              <w:tc>
                <w:tcPr>
                  <w:tcW w:w="386" w:type="pct"/>
                  <w:tcBorders>
                    <w:tl2br w:val="nil"/>
                    <w:tr2bl w:val="nil"/>
                  </w:tcBorders>
                  <w:noWrap w:val="0"/>
                  <w:vAlign w:val="center"/>
                </w:tcPr>
                <w:p w14:paraId="4E96251E">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5.97</w:t>
                  </w:r>
                </w:p>
              </w:tc>
              <w:tc>
                <w:tcPr>
                  <w:tcW w:w="304" w:type="pct"/>
                  <w:vMerge w:val="continue"/>
                  <w:tcBorders>
                    <w:tl2br w:val="nil"/>
                    <w:tr2bl w:val="nil"/>
                  </w:tcBorders>
                  <w:noWrap w:val="0"/>
                  <w:vAlign w:val="center"/>
                </w:tcPr>
                <w:p w14:paraId="214B30AB">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p>
              </w:tc>
              <w:tc>
                <w:tcPr>
                  <w:tcW w:w="569" w:type="pct"/>
                  <w:tcBorders>
                    <w:tl2br w:val="nil"/>
                    <w:tr2bl w:val="nil"/>
                  </w:tcBorders>
                  <w:noWrap w:val="0"/>
                  <w:vAlign w:val="center"/>
                </w:tcPr>
                <w:p w14:paraId="326E9450">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87" w:type="dxa"/>
                  <w:tcBorders>
                    <w:tl2br w:val="nil"/>
                    <w:tr2bl w:val="nil"/>
                  </w:tcBorders>
                  <w:noWrap w:val="0"/>
                  <w:vAlign w:val="center"/>
                </w:tcPr>
                <w:p w14:paraId="45ECF5DF">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0EBB7CF8">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vMerge w:val="continue"/>
                  <w:tcBorders>
                    <w:tl2br w:val="nil"/>
                    <w:tr2bl w:val="nil"/>
                  </w:tcBorders>
                  <w:noWrap w:val="0"/>
                  <w:vAlign w:val="center"/>
                </w:tcPr>
                <w:p w14:paraId="66C07D11">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p>
              </w:tc>
              <w:tc>
                <w:tcPr>
                  <w:tcW w:w="374" w:type="pct"/>
                  <w:tcBorders>
                    <w:tl2br w:val="nil"/>
                    <w:tr2bl w:val="nil"/>
                  </w:tcBorders>
                  <w:noWrap w:val="0"/>
                  <w:vAlign w:val="center"/>
                </w:tcPr>
                <w:p w14:paraId="292FD3FB">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0.043</w:t>
                  </w:r>
                </w:p>
              </w:tc>
              <w:tc>
                <w:tcPr>
                  <w:tcW w:w="403" w:type="pct"/>
                  <w:tcBorders>
                    <w:tl2br w:val="nil"/>
                    <w:tr2bl w:val="nil"/>
                  </w:tcBorders>
                  <w:noWrap w:val="0"/>
                  <w:vAlign w:val="center"/>
                </w:tcPr>
                <w:p w14:paraId="4AC744BE">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0.179</w:t>
                  </w:r>
                </w:p>
              </w:tc>
              <w:tc>
                <w:tcPr>
                  <w:tcW w:w="438" w:type="pct"/>
                  <w:tcBorders>
                    <w:tl2br w:val="nil"/>
                    <w:tr2bl w:val="nil"/>
                  </w:tcBorders>
                  <w:noWrap w:val="0"/>
                  <w:vAlign w:val="center"/>
                </w:tcPr>
                <w:p w14:paraId="484D06AF">
                  <w:pPr>
                    <w:keepNext w:val="0"/>
                    <w:keepLines w:val="0"/>
                    <w:widowControl/>
                    <w:suppressLineNumbers w:val="0"/>
                    <w:jc w:val="center"/>
                    <w:textAlignment w:val="center"/>
                    <w:rPr>
                      <w:rFonts w:hint="default" w:ascii="Times New Roman" w:hAnsi="Times New Roman" w:eastAsia="宋体" w:cs="Times New Roman"/>
                      <w:i w:val="0"/>
                      <w:iCs w:val="0"/>
                      <w:caps w:val="0"/>
                      <w:color w:val="0000FF"/>
                      <w:spacing w:val="0"/>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5.97</w:t>
                  </w:r>
                </w:p>
              </w:tc>
              <w:tc>
                <w:tcPr>
                  <w:tcW w:w="296" w:type="pct"/>
                  <w:vMerge w:val="continue"/>
                  <w:tcBorders>
                    <w:tl2br w:val="nil"/>
                    <w:tr2bl w:val="nil"/>
                  </w:tcBorders>
                  <w:noWrap/>
                  <w:vAlign w:val="center"/>
                </w:tcPr>
                <w:p w14:paraId="780054F2">
                  <w:pPr>
                    <w:keepNext w:val="0"/>
                    <w:keepLines w:val="0"/>
                    <w:widowControl/>
                    <w:suppressLineNumbers w:val="0"/>
                    <w:jc w:val="center"/>
                    <w:textAlignment w:val="center"/>
                    <w:rPr>
                      <w:rFonts w:hint="default" w:ascii="Times New Roman" w:hAnsi="Times New Roman" w:eastAsia="宋体" w:cs="Times New Roman"/>
                      <w:i w:val="0"/>
                      <w:iCs w:val="0"/>
                      <w:caps w:val="0"/>
                      <w:color w:val="auto"/>
                      <w:spacing w:val="0"/>
                      <w:kern w:val="0"/>
                      <w:sz w:val="21"/>
                      <w:szCs w:val="21"/>
                      <w:u w:val="none"/>
                      <w:lang w:val="en-US" w:eastAsia="zh-CN" w:bidi="ar"/>
                    </w:rPr>
                  </w:pPr>
                </w:p>
              </w:tc>
            </w:tr>
            <w:tr w14:paraId="37D34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08C694D3">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ascii="Times New Roman" w:hAnsi="Times New Roman" w:eastAsia="宋体"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2F595424">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NOx</w:t>
                  </w:r>
                </w:p>
              </w:tc>
              <w:tc>
                <w:tcPr>
                  <w:tcW w:w="316" w:type="pct"/>
                  <w:tcBorders>
                    <w:tl2br w:val="nil"/>
                    <w:tr2bl w:val="nil"/>
                  </w:tcBorders>
                  <w:noWrap w:val="0"/>
                  <w:vAlign w:val="center"/>
                </w:tcPr>
                <w:p w14:paraId="07AFF85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0.066</w:t>
                  </w:r>
                </w:p>
              </w:tc>
              <w:tc>
                <w:tcPr>
                  <w:tcW w:w="374" w:type="pct"/>
                  <w:tcBorders>
                    <w:tl2br w:val="nil"/>
                    <w:tr2bl w:val="nil"/>
                  </w:tcBorders>
                  <w:noWrap w:val="0"/>
                  <w:vAlign w:val="center"/>
                </w:tcPr>
                <w:p w14:paraId="2B66F34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0.275</w:t>
                  </w:r>
                </w:p>
              </w:tc>
              <w:tc>
                <w:tcPr>
                  <w:tcW w:w="386" w:type="pct"/>
                  <w:tcBorders>
                    <w:tl2br w:val="nil"/>
                    <w:tr2bl w:val="nil"/>
                  </w:tcBorders>
                  <w:noWrap w:val="0"/>
                  <w:vAlign w:val="center"/>
                </w:tcPr>
                <w:p w14:paraId="119FD97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9.17</w:t>
                  </w:r>
                </w:p>
              </w:tc>
              <w:tc>
                <w:tcPr>
                  <w:tcW w:w="304" w:type="pct"/>
                  <w:vMerge w:val="continue"/>
                  <w:tcBorders>
                    <w:tl2br w:val="nil"/>
                    <w:tr2bl w:val="nil"/>
                  </w:tcBorders>
                  <w:noWrap w:val="0"/>
                  <w:vAlign w:val="center"/>
                </w:tcPr>
                <w:p w14:paraId="26143E6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tcBorders>
                    <w:tl2br w:val="nil"/>
                    <w:tr2bl w:val="nil"/>
                  </w:tcBorders>
                  <w:noWrap w:val="0"/>
                  <w:vAlign w:val="center"/>
                </w:tcPr>
                <w:p w14:paraId="12010E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低氮燃烧</w:t>
                  </w:r>
                </w:p>
              </w:tc>
              <w:tc>
                <w:tcPr>
                  <w:tcW w:w="887" w:type="dxa"/>
                  <w:tcBorders>
                    <w:tl2br w:val="nil"/>
                    <w:tr2bl w:val="nil"/>
                  </w:tcBorders>
                  <w:noWrap w:val="0"/>
                  <w:vAlign w:val="center"/>
                </w:tcPr>
                <w:p w14:paraId="4A4EDE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7EE67C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vMerge w:val="continue"/>
                  <w:tcBorders>
                    <w:tl2br w:val="nil"/>
                    <w:tr2bl w:val="nil"/>
                  </w:tcBorders>
                  <w:noWrap w:val="0"/>
                  <w:vAlign w:val="center"/>
                </w:tcPr>
                <w:p w14:paraId="7DF894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4" w:type="pct"/>
                  <w:tcBorders>
                    <w:tl2br w:val="nil"/>
                    <w:tr2bl w:val="nil"/>
                  </w:tcBorders>
                  <w:noWrap w:val="0"/>
                  <w:vAlign w:val="center"/>
                </w:tcPr>
                <w:p w14:paraId="21F7A3F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0.066</w:t>
                  </w:r>
                </w:p>
              </w:tc>
              <w:tc>
                <w:tcPr>
                  <w:tcW w:w="403" w:type="pct"/>
                  <w:tcBorders>
                    <w:tl2br w:val="nil"/>
                    <w:tr2bl w:val="nil"/>
                  </w:tcBorders>
                  <w:noWrap w:val="0"/>
                  <w:vAlign w:val="center"/>
                </w:tcPr>
                <w:p w14:paraId="0705AFE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0.275</w:t>
                  </w:r>
                </w:p>
              </w:tc>
              <w:tc>
                <w:tcPr>
                  <w:tcW w:w="438" w:type="pct"/>
                  <w:tcBorders>
                    <w:tl2br w:val="nil"/>
                    <w:tr2bl w:val="nil"/>
                  </w:tcBorders>
                  <w:noWrap w:val="0"/>
                  <w:vAlign w:val="center"/>
                </w:tcPr>
                <w:p w14:paraId="541E70F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9.17</w:t>
                  </w:r>
                </w:p>
              </w:tc>
              <w:tc>
                <w:tcPr>
                  <w:tcW w:w="296" w:type="pct"/>
                  <w:vMerge w:val="continue"/>
                  <w:tcBorders>
                    <w:tl2br w:val="nil"/>
                    <w:tr2bl w:val="nil"/>
                  </w:tcBorders>
                  <w:noWrap/>
                  <w:vAlign w:val="center"/>
                </w:tcPr>
                <w:p w14:paraId="62E7DC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439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547BAFE0">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ascii="Times New Roman" w:hAnsi="Times New Roman" w:eastAsia="宋体"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4637C51F">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cs="Times New Roman"/>
                      <w:color w:val="auto"/>
                      <w:sz w:val="21"/>
                      <w:szCs w:val="21"/>
                      <w:lang w:val="en-US" w:eastAsia="zh-CN"/>
                    </w:rPr>
                    <w:t>颗粒物</w:t>
                  </w:r>
                </w:p>
              </w:tc>
              <w:tc>
                <w:tcPr>
                  <w:tcW w:w="316" w:type="pct"/>
                  <w:tcBorders>
                    <w:tl2br w:val="nil"/>
                    <w:tr2bl w:val="nil"/>
                  </w:tcBorders>
                  <w:noWrap w:val="0"/>
                  <w:vAlign w:val="center"/>
                </w:tcPr>
                <w:p w14:paraId="2550648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0.024</w:t>
                  </w:r>
                </w:p>
              </w:tc>
              <w:tc>
                <w:tcPr>
                  <w:tcW w:w="374" w:type="pct"/>
                  <w:tcBorders>
                    <w:tl2br w:val="nil"/>
                    <w:tr2bl w:val="nil"/>
                  </w:tcBorders>
                  <w:noWrap w:val="0"/>
                  <w:vAlign w:val="center"/>
                </w:tcPr>
                <w:p w14:paraId="4EDC949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w:t>
                  </w:r>
                </w:p>
              </w:tc>
              <w:tc>
                <w:tcPr>
                  <w:tcW w:w="386" w:type="pct"/>
                  <w:tcBorders>
                    <w:tl2br w:val="nil"/>
                    <w:tr2bl w:val="nil"/>
                  </w:tcBorders>
                  <w:noWrap w:val="0"/>
                  <w:vAlign w:val="center"/>
                </w:tcPr>
                <w:p w14:paraId="291C896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304" w:type="pct"/>
                  <w:tcBorders>
                    <w:tl2br w:val="nil"/>
                    <w:tr2bl w:val="nil"/>
                  </w:tcBorders>
                  <w:noWrap w:val="0"/>
                  <w:vAlign w:val="center"/>
                </w:tcPr>
                <w:p w14:paraId="01165A5E">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无组织</w:t>
                  </w:r>
                </w:p>
              </w:tc>
              <w:tc>
                <w:tcPr>
                  <w:tcW w:w="569" w:type="pct"/>
                  <w:tcBorders>
                    <w:tl2br w:val="nil"/>
                    <w:tr2bl w:val="nil"/>
                  </w:tcBorders>
                  <w:noWrap w:val="0"/>
                  <w:vAlign w:val="center"/>
                </w:tcPr>
                <w:p w14:paraId="0E363C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87" w:type="dxa"/>
                  <w:tcBorders>
                    <w:tl2br w:val="nil"/>
                    <w:tr2bl w:val="nil"/>
                  </w:tcBorders>
                  <w:noWrap w:val="0"/>
                  <w:vAlign w:val="center"/>
                </w:tcPr>
                <w:p w14:paraId="7FABC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w:t>
                  </w:r>
                </w:p>
              </w:tc>
              <w:tc>
                <w:tcPr>
                  <w:tcW w:w="245" w:type="pct"/>
                  <w:tcBorders>
                    <w:tl2br w:val="nil"/>
                    <w:tr2bl w:val="nil"/>
                  </w:tcBorders>
                  <w:noWrap w:val="0"/>
                  <w:vAlign w:val="center"/>
                </w:tcPr>
                <w:p w14:paraId="3FEC4F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5356C5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6DECEB9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0.024</w:t>
                  </w:r>
                </w:p>
              </w:tc>
              <w:tc>
                <w:tcPr>
                  <w:tcW w:w="403" w:type="pct"/>
                  <w:tcBorders>
                    <w:tl2br w:val="nil"/>
                    <w:tr2bl w:val="nil"/>
                  </w:tcBorders>
                  <w:noWrap w:val="0"/>
                  <w:vAlign w:val="center"/>
                </w:tcPr>
                <w:p w14:paraId="2FE40E1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w:t>
                  </w:r>
                </w:p>
              </w:tc>
              <w:tc>
                <w:tcPr>
                  <w:tcW w:w="438" w:type="pct"/>
                  <w:tcBorders>
                    <w:tl2br w:val="nil"/>
                    <w:tr2bl w:val="nil"/>
                  </w:tcBorders>
                  <w:noWrap w:val="0"/>
                  <w:vAlign w:val="center"/>
                </w:tcPr>
                <w:p w14:paraId="1E60323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296" w:type="pct"/>
                  <w:tcBorders>
                    <w:tl2br w:val="nil"/>
                    <w:tr2bl w:val="nil"/>
                  </w:tcBorders>
                  <w:noWrap/>
                  <w:vAlign w:val="center"/>
                </w:tcPr>
                <w:p w14:paraId="292569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3F4A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restart"/>
                  <w:tcBorders>
                    <w:tl2br w:val="nil"/>
                    <w:tr2bl w:val="nil"/>
                  </w:tcBorders>
                  <w:noWrap w:val="0"/>
                  <w:vAlign w:val="center"/>
                </w:tcPr>
                <w:p w14:paraId="60E455F8">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i w:val="0"/>
                      <w:iCs w:val="0"/>
                      <w:caps w:val="0"/>
                      <w:color w:val="auto"/>
                      <w:spacing w:val="0"/>
                      <w:kern w:val="0"/>
                      <w:position w:val="0"/>
                      <w:sz w:val="21"/>
                      <w:szCs w:val="21"/>
                      <w:u w:val="none"/>
                      <w:lang w:val="en-US" w:eastAsia="zh-CN"/>
                    </w:rPr>
                  </w:pPr>
                  <w:r>
                    <w:rPr>
                      <w:rFonts w:hint="eastAsia" w:cs="Times New Roman"/>
                      <w:i w:val="0"/>
                      <w:iCs w:val="0"/>
                      <w:caps w:val="0"/>
                      <w:color w:val="auto"/>
                      <w:spacing w:val="0"/>
                      <w:kern w:val="0"/>
                      <w:position w:val="0"/>
                      <w:sz w:val="21"/>
                      <w:szCs w:val="21"/>
                      <w:u w:val="none"/>
                      <w:lang w:val="en-US" w:eastAsia="zh-CN"/>
                    </w:rPr>
                    <w:t>天然气导热油炉</w:t>
                  </w:r>
                </w:p>
              </w:tc>
              <w:tc>
                <w:tcPr>
                  <w:tcW w:w="386" w:type="pct"/>
                  <w:tcBorders>
                    <w:tl2br w:val="nil"/>
                    <w:tr2bl w:val="nil"/>
                  </w:tcBorders>
                  <w:noWrap w:val="0"/>
                  <w:vAlign w:val="center"/>
                </w:tcPr>
                <w:p w14:paraId="3B4BFE02">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color w:val="auto"/>
                      <w:sz w:val="21"/>
                      <w:szCs w:val="21"/>
                      <w:lang w:val="en-US" w:eastAsia="zh-CN"/>
                    </w:rPr>
                    <w:t>颗粒物</w:t>
                  </w:r>
                </w:p>
              </w:tc>
              <w:tc>
                <w:tcPr>
                  <w:tcW w:w="316" w:type="pct"/>
                  <w:tcBorders>
                    <w:tl2br w:val="nil"/>
                    <w:tr2bl w:val="nil"/>
                  </w:tcBorders>
                  <w:noWrap w:val="0"/>
                  <w:vAlign w:val="center"/>
                </w:tcPr>
                <w:p w14:paraId="2D32B4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374" w:type="pct"/>
                  <w:tcBorders>
                    <w:tl2br w:val="nil"/>
                    <w:tr2bl w:val="nil"/>
                  </w:tcBorders>
                  <w:noWrap w:val="0"/>
                  <w:vAlign w:val="center"/>
                </w:tcPr>
                <w:p w14:paraId="4A7547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63713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9.98</w:t>
                  </w:r>
                </w:p>
              </w:tc>
              <w:tc>
                <w:tcPr>
                  <w:tcW w:w="304" w:type="pct"/>
                  <w:vMerge w:val="restart"/>
                  <w:tcBorders>
                    <w:tl2br w:val="nil"/>
                    <w:tr2bl w:val="nil"/>
                  </w:tcBorders>
                  <w:noWrap w:val="0"/>
                  <w:vAlign w:val="center"/>
                </w:tcPr>
                <w:p w14:paraId="53CDA01A">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有组织</w:t>
                  </w:r>
                </w:p>
              </w:tc>
              <w:tc>
                <w:tcPr>
                  <w:tcW w:w="569" w:type="pct"/>
                  <w:tcBorders>
                    <w:tl2br w:val="nil"/>
                    <w:tr2bl w:val="nil"/>
                  </w:tcBorders>
                  <w:noWrap w:val="0"/>
                  <w:vAlign w:val="center"/>
                </w:tcPr>
                <w:p w14:paraId="24341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87" w:type="dxa"/>
                  <w:tcBorders>
                    <w:tl2br w:val="nil"/>
                    <w:tr2bl w:val="nil"/>
                  </w:tcBorders>
                  <w:noWrap w:val="0"/>
                  <w:vAlign w:val="center"/>
                </w:tcPr>
                <w:p w14:paraId="2AC552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1240</w:t>
                  </w:r>
                </w:p>
              </w:tc>
              <w:tc>
                <w:tcPr>
                  <w:tcW w:w="245" w:type="pct"/>
                  <w:tcBorders>
                    <w:tl2br w:val="nil"/>
                    <w:tr2bl w:val="nil"/>
                  </w:tcBorders>
                  <w:noWrap w:val="0"/>
                  <w:vAlign w:val="center"/>
                </w:tcPr>
                <w:p w14:paraId="29EB63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0B5A25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16963F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403" w:type="pct"/>
                  <w:tcBorders>
                    <w:tl2br w:val="nil"/>
                    <w:tr2bl w:val="nil"/>
                  </w:tcBorders>
                  <w:noWrap w:val="0"/>
                  <w:vAlign w:val="center"/>
                </w:tcPr>
                <w:p w14:paraId="3F3A4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5EE82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9.98</w:t>
                  </w:r>
                </w:p>
              </w:tc>
              <w:tc>
                <w:tcPr>
                  <w:tcW w:w="296" w:type="pct"/>
                  <w:vMerge w:val="restart"/>
                  <w:tcBorders>
                    <w:tl2br w:val="nil"/>
                    <w:tr2bl w:val="nil"/>
                  </w:tcBorders>
                  <w:noWrap/>
                  <w:vAlign w:val="center"/>
                </w:tcPr>
                <w:p w14:paraId="1C55ED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排气筒P2</w:t>
                  </w:r>
                </w:p>
              </w:tc>
            </w:tr>
            <w:tr w14:paraId="66B36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1DF0989E">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533F9968">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316" w:type="pct"/>
                  <w:tcBorders>
                    <w:tl2br w:val="nil"/>
                    <w:tr2bl w:val="nil"/>
                  </w:tcBorders>
                  <w:noWrap w:val="0"/>
                  <w:vAlign w:val="center"/>
                </w:tcPr>
                <w:p w14:paraId="75A3F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374" w:type="pct"/>
                  <w:tcBorders>
                    <w:tl2br w:val="nil"/>
                    <w:tr2bl w:val="nil"/>
                  </w:tcBorders>
                  <w:noWrap w:val="0"/>
                  <w:vAlign w:val="center"/>
                </w:tcPr>
                <w:p w14:paraId="170A81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7C532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18.96</w:t>
                  </w:r>
                </w:p>
              </w:tc>
              <w:tc>
                <w:tcPr>
                  <w:tcW w:w="304" w:type="pct"/>
                  <w:vMerge w:val="continue"/>
                  <w:tcBorders>
                    <w:tl2br w:val="nil"/>
                    <w:tr2bl w:val="nil"/>
                  </w:tcBorders>
                  <w:noWrap w:val="0"/>
                  <w:vAlign w:val="center"/>
                </w:tcPr>
                <w:p w14:paraId="44C748A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tcBorders>
                    <w:tl2br w:val="nil"/>
                    <w:tr2bl w:val="nil"/>
                  </w:tcBorders>
                  <w:noWrap w:val="0"/>
                  <w:vAlign w:val="center"/>
                </w:tcPr>
                <w:p w14:paraId="787E1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87" w:type="dxa"/>
                  <w:tcBorders>
                    <w:tl2br w:val="nil"/>
                    <w:tr2bl w:val="nil"/>
                  </w:tcBorders>
                  <w:noWrap w:val="0"/>
                  <w:vAlign w:val="center"/>
                </w:tcPr>
                <w:p w14:paraId="11392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1240</w:t>
                  </w:r>
                </w:p>
              </w:tc>
              <w:tc>
                <w:tcPr>
                  <w:tcW w:w="245" w:type="pct"/>
                  <w:tcBorders>
                    <w:tl2br w:val="nil"/>
                    <w:tr2bl w:val="nil"/>
                  </w:tcBorders>
                  <w:noWrap w:val="0"/>
                  <w:vAlign w:val="center"/>
                </w:tcPr>
                <w:p w14:paraId="00E3B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0462D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1ED131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403" w:type="pct"/>
                  <w:tcBorders>
                    <w:tl2br w:val="nil"/>
                    <w:tr2bl w:val="nil"/>
                  </w:tcBorders>
                  <w:noWrap w:val="0"/>
                  <w:vAlign w:val="center"/>
                </w:tcPr>
                <w:p w14:paraId="64CF23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09EF37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18.96</w:t>
                  </w:r>
                </w:p>
              </w:tc>
              <w:tc>
                <w:tcPr>
                  <w:tcW w:w="296" w:type="pct"/>
                  <w:vMerge w:val="continue"/>
                  <w:tcBorders>
                    <w:tl2br w:val="nil"/>
                    <w:tr2bl w:val="nil"/>
                  </w:tcBorders>
                  <w:noWrap/>
                  <w:vAlign w:val="center"/>
                </w:tcPr>
                <w:p w14:paraId="6C1985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A52D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5004A862">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41850097">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NOx</w:t>
                  </w:r>
                </w:p>
              </w:tc>
              <w:tc>
                <w:tcPr>
                  <w:tcW w:w="316" w:type="pct"/>
                  <w:tcBorders>
                    <w:tl2br w:val="nil"/>
                    <w:tr2bl w:val="nil"/>
                  </w:tcBorders>
                  <w:noWrap w:val="0"/>
                  <w:vAlign w:val="center"/>
                </w:tcPr>
                <w:p w14:paraId="3483F4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374" w:type="pct"/>
                  <w:tcBorders>
                    <w:tl2br w:val="nil"/>
                    <w:tr2bl w:val="nil"/>
                  </w:tcBorders>
                  <w:noWrap w:val="0"/>
                  <w:vAlign w:val="center"/>
                </w:tcPr>
                <w:p w14:paraId="2F88E1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3137C2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27.94</w:t>
                  </w:r>
                </w:p>
              </w:tc>
              <w:tc>
                <w:tcPr>
                  <w:tcW w:w="304" w:type="pct"/>
                  <w:vMerge w:val="continue"/>
                  <w:tcBorders>
                    <w:tl2br w:val="nil"/>
                    <w:tr2bl w:val="nil"/>
                  </w:tcBorders>
                  <w:noWrap w:val="0"/>
                  <w:vAlign w:val="center"/>
                </w:tcPr>
                <w:p w14:paraId="6765B95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tcBorders>
                    <w:tl2br w:val="nil"/>
                    <w:tr2bl w:val="nil"/>
                  </w:tcBorders>
                  <w:noWrap w:val="0"/>
                  <w:vAlign w:val="center"/>
                </w:tcPr>
                <w:p w14:paraId="23A3DC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低氮燃烧</w:t>
                  </w:r>
                </w:p>
              </w:tc>
              <w:tc>
                <w:tcPr>
                  <w:tcW w:w="887" w:type="dxa"/>
                  <w:tcBorders>
                    <w:tl2br w:val="nil"/>
                    <w:tr2bl w:val="nil"/>
                  </w:tcBorders>
                  <w:noWrap w:val="0"/>
                  <w:vAlign w:val="center"/>
                </w:tcPr>
                <w:p w14:paraId="458BA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1240</w:t>
                  </w:r>
                </w:p>
              </w:tc>
              <w:tc>
                <w:tcPr>
                  <w:tcW w:w="245" w:type="pct"/>
                  <w:tcBorders>
                    <w:tl2br w:val="nil"/>
                    <w:tr2bl w:val="nil"/>
                  </w:tcBorders>
                  <w:noWrap w:val="0"/>
                  <w:vAlign w:val="center"/>
                </w:tcPr>
                <w:p w14:paraId="49F94F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65F00F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2212F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403" w:type="pct"/>
                  <w:tcBorders>
                    <w:tl2br w:val="nil"/>
                    <w:tr2bl w:val="nil"/>
                  </w:tcBorders>
                  <w:noWrap w:val="0"/>
                  <w:vAlign w:val="center"/>
                </w:tcPr>
                <w:p w14:paraId="4E030C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4F5DD0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27.94</w:t>
                  </w:r>
                </w:p>
              </w:tc>
              <w:tc>
                <w:tcPr>
                  <w:tcW w:w="296" w:type="pct"/>
                  <w:vMerge w:val="continue"/>
                  <w:tcBorders>
                    <w:tl2br w:val="nil"/>
                    <w:tr2bl w:val="nil"/>
                  </w:tcBorders>
                  <w:noWrap/>
                  <w:vAlign w:val="center"/>
                </w:tcPr>
                <w:p w14:paraId="7D4CC9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1DD3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26" w:type="pct"/>
                  <w:vMerge w:val="continue"/>
                  <w:tcBorders>
                    <w:tl2br w:val="nil"/>
                    <w:tr2bl w:val="nil"/>
                  </w:tcBorders>
                  <w:noWrap w:val="0"/>
                  <w:vAlign w:val="center"/>
                </w:tcPr>
                <w:p w14:paraId="1A131767">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eastAsia" w:cs="Times New Roman"/>
                      <w:i w:val="0"/>
                      <w:iCs w:val="0"/>
                      <w:caps w:val="0"/>
                      <w:color w:val="auto"/>
                      <w:spacing w:val="0"/>
                      <w:kern w:val="0"/>
                      <w:position w:val="0"/>
                      <w:sz w:val="21"/>
                      <w:szCs w:val="21"/>
                      <w:u w:val="none"/>
                      <w:lang w:val="en-US" w:eastAsia="zh-CN"/>
                    </w:rPr>
                  </w:pPr>
                </w:p>
              </w:tc>
              <w:tc>
                <w:tcPr>
                  <w:tcW w:w="386" w:type="pct"/>
                  <w:tcBorders>
                    <w:tl2br w:val="nil"/>
                    <w:tr2bl w:val="nil"/>
                  </w:tcBorders>
                  <w:noWrap w:val="0"/>
                  <w:vAlign w:val="center"/>
                </w:tcPr>
                <w:p w14:paraId="50050152">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cs="Times New Roman"/>
                      <w:color w:val="auto"/>
                      <w:sz w:val="21"/>
                      <w:szCs w:val="21"/>
                      <w:lang w:val="en-US" w:eastAsia="zh-CN"/>
                    </w:rPr>
                    <w:t>林格曼黑度</w:t>
                  </w:r>
                </w:p>
              </w:tc>
              <w:tc>
                <w:tcPr>
                  <w:tcW w:w="316" w:type="pct"/>
                  <w:tcBorders>
                    <w:tl2br w:val="nil"/>
                    <w:tr2bl w:val="nil"/>
                  </w:tcBorders>
                  <w:noWrap w:val="0"/>
                  <w:vAlign w:val="center"/>
                </w:tcPr>
                <w:p w14:paraId="246517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2E647F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86" w:type="pct"/>
                  <w:tcBorders>
                    <w:tl2br w:val="nil"/>
                    <w:tr2bl w:val="nil"/>
                  </w:tcBorders>
                  <w:noWrap w:val="0"/>
                  <w:vAlign w:val="center"/>
                </w:tcPr>
                <w:p w14:paraId="5B8EB1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04" w:type="pct"/>
                  <w:vMerge w:val="continue"/>
                  <w:tcBorders>
                    <w:tl2br w:val="nil"/>
                    <w:tr2bl w:val="nil"/>
                  </w:tcBorders>
                  <w:noWrap w:val="0"/>
                  <w:vAlign w:val="center"/>
                </w:tcPr>
                <w:p w14:paraId="790C1C1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569" w:type="pct"/>
                  <w:tcBorders>
                    <w:tl2br w:val="nil"/>
                    <w:tr2bl w:val="nil"/>
                  </w:tcBorders>
                  <w:noWrap w:val="0"/>
                  <w:vAlign w:val="center"/>
                </w:tcPr>
                <w:p w14:paraId="63FC1D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87" w:type="dxa"/>
                  <w:tcBorders>
                    <w:tl2br w:val="nil"/>
                    <w:tr2bl w:val="nil"/>
                  </w:tcBorders>
                  <w:noWrap w:val="0"/>
                  <w:vAlign w:val="center"/>
                </w:tcPr>
                <w:p w14:paraId="2F2193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1240</w:t>
                  </w:r>
                </w:p>
              </w:tc>
              <w:tc>
                <w:tcPr>
                  <w:tcW w:w="245" w:type="pct"/>
                  <w:tcBorders>
                    <w:tl2br w:val="nil"/>
                    <w:tr2bl w:val="nil"/>
                  </w:tcBorders>
                  <w:noWrap w:val="0"/>
                  <w:vAlign w:val="center"/>
                </w:tcPr>
                <w:p w14:paraId="5B78C8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74" w:type="pct"/>
                  <w:tcBorders>
                    <w:tl2br w:val="nil"/>
                    <w:tr2bl w:val="nil"/>
                  </w:tcBorders>
                  <w:noWrap w:val="0"/>
                  <w:vAlign w:val="center"/>
                </w:tcPr>
                <w:p w14:paraId="64506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1002103</w:t>
                  </w:r>
                </w:p>
              </w:tc>
              <w:tc>
                <w:tcPr>
                  <w:tcW w:w="374" w:type="pct"/>
                  <w:tcBorders>
                    <w:tl2br w:val="nil"/>
                    <w:tr2bl w:val="nil"/>
                  </w:tcBorders>
                  <w:noWrap w:val="0"/>
                  <w:vAlign w:val="center"/>
                </w:tcPr>
                <w:p w14:paraId="752A55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3" w:type="pct"/>
                  <w:tcBorders>
                    <w:tl2br w:val="nil"/>
                    <w:tr2bl w:val="nil"/>
                  </w:tcBorders>
                  <w:noWrap w:val="0"/>
                  <w:vAlign w:val="center"/>
                </w:tcPr>
                <w:p w14:paraId="42AC90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38" w:type="pct"/>
                  <w:tcBorders>
                    <w:tl2br w:val="nil"/>
                    <w:tr2bl w:val="nil"/>
                  </w:tcBorders>
                  <w:noWrap w:val="0"/>
                  <w:vAlign w:val="center"/>
                </w:tcPr>
                <w:p w14:paraId="61B35B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≦1（级）</w:t>
                  </w:r>
                </w:p>
              </w:tc>
              <w:tc>
                <w:tcPr>
                  <w:tcW w:w="296" w:type="pct"/>
                  <w:vMerge w:val="continue"/>
                  <w:tcBorders>
                    <w:tl2br w:val="nil"/>
                    <w:tr2bl w:val="nil"/>
                  </w:tcBorders>
                  <w:noWrap/>
                  <w:vAlign w:val="center"/>
                </w:tcPr>
                <w:p w14:paraId="63D37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40088BB3">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废气排放口基本情况</w:t>
            </w:r>
          </w:p>
          <w:tbl>
            <w:tblPr>
              <w:tblStyle w:val="24"/>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79"/>
              <w:gridCol w:w="1205"/>
              <w:gridCol w:w="931"/>
              <w:gridCol w:w="1063"/>
              <w:gridCol w:w="1028"/>
              <w:gridCol w:w="1320"/>
              <w:gridCol w:w="2229"/>
              <w:gridCol w:w="2331"/>
              <w:gridCol w:w="3566"/>
            </w:tblGrid>
            <w:tr w14:paraId="69918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tcBorders>
                    <w:tl2br w:val="nil"/>
                    <w:tr2bl w:val="nil"/>
                  </w:tcBorders>
                  <w:noWrap w:val="0"/>
                  <w:vAlign w:val="center"/>
                </w:tcPr>
                <w:p w14:paraId="103DA69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编号</w:t>
                  </w:r>
                </w:p>
              </w:tc>
              <w:tc>
                <w:tcPr>
                  <w:tcW w:w="411" w:type="pct"/>
                  <w:tcBorders>
                    <w:tl2br w:val="nil"/>
                    <w:tr2bl w:val="nil"/>
                  </w:tcBorders>
                  <w:noWrap w:val="0"/>
                  <w:vAlign w:val="center"/>
                </w:tcPr>
                <w:p w14:paraId="16DB43A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名称</w:t>
                  </w:r>
                </w:p>
              </w:tc>
              <w:tc>
                <w:tcPr>
                  <w:tcW w:w="317" w:type="pct"/>
                  <w:tcBorders>
                    <w:tl2br w:val="nil"/>
                    <w:tr2bl w:val="nil"/>
                  </w:tcBorders>
                  <w:noWrap w:val="0"/>
                  <w:vAlign w:val="center"/>
                </w:tcPr>
                <w:p w14:paraId="64AB7B4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高度</w:t>
                  </w:r>
                  <w:r>
                    <w:rPr>
                      <w:rStyle w:val="60"/>
                      <w:rFonts w:hint="default" w:ascii="Times New Roman" w:hAnsi="Times New Roman" w:eastAsia="宋体" w:cs="Times New Roman"/>
                      <w:caps w:val="0"/>
                      <w:color w:val="auto"/>
                      <w:spacing w:val="0"/>
                      <w:kern w:val="0"/>
                      <w:position w:val="0"/>
                      <w:sz w:val="21"/>
                      <w:szCs w:val="21"/>
                      <w:lang w:val="en-US" w:eastAsia="zh-CN" w:bidi="ar"/>
                    </w:rPr>
                    <w:t>m</w:t>
                  </w:r>
                </w:p>
              </w:tc>
              <w:tc>
                <w:tcPr>
                  <w:tcW w:w="362" w:type="pct"/>
                  <w:tcBorders>
                    <w:tl2br w:val="nil"/>
                    <w:tr2bl w:val="nil"/>
                  </w:tcBorders>
                  <w:noWrap w:val="0"/>
                  <w:vAlign w:val="center"/>
                </w:tcPr>
                <w:p w14:paraId="7091A7E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内径</w:t>
                  </w:r>
                  <w:r>
                    <w:rPr>
                      <w:rStyle w:val="60"/>
                      <w:rFonts w:hint="default" w:ascii="Times New Roman" w:hAnsi="Times New Roman" w:eastAsia="宋体" w:cs="Times New Roman"/>
                      <w:caps w:val="0"/>
                      <w:color w:val="auto"/>
                      <w:spacing w:val="0"/>
                      <w:kern w:val="0"/>
                      <w:position w:val="0"/>
                      <w:sz w:val="21"/>
                      <w:szCs w:val="21"/>
                      <w:lang w:val="en-US" w:eastAsia="zh-CN" w:bidi="ar"/>
                    </w:rPr>
                    <w:t>m</w:t>
                  </w:r>
                </w:p>
              </w:tc>
              <w:tc>
                <w:tcPr>
                  <w:tcW w:w="350" w:type="pct"/>
                  <w:tcBorders>
                    <w:tl2br w:val="nil"/>
                    <w:tr2bl w:val="nil"/>
                  </w:tcBorders>
                  <w:noWrap w:val="0"/>
                  <w:vAlign w:val="center"/>
                </w:tcPr>
                <w:p w14:paraId="37ADB2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烟温℃</w:t>
                  </w:r>
                </w:p>
              </w:tc>
              <w:tc>
                <w:tcPr>
                  <w:tcW w:w="450" w:type="pct"/>
                  <w:tcBorders>
                    <w:tl2br w:val="nil"/>
                    <w:tr2bl w:val="nil"/>
                  </w:tcBorders>
                  <w:noWrap w:val="0"/>
                  <w:vAlign w:val="center"/>
                </w:tcPr>
                <w:p w14:paraId="1F7CE70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类型</w:t>
                  </w:r>
                </w:p>
              </w:tc>
              <w:tc>
                <w:tcPr>
                  <w:tcW w:w="760" w:type="pct"/>
                  <w:tcBorders>
                    <w:top w:val="single" w:color="auto" w:sz="4" w:space="0"/>
                    <w:tl2br w:val="nil"/>
                    <w:tr2bl w:val="nil"/>
                  </w:tcBorders>
                  <w:noWrap w:val="0"/>
                  <w:vAlign w:val="center"/>
                </w:tcPr>
                <w:p w14:paraId="37B3A49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地理坐标</w:t>
                  </w:r>
                </w:p>
              </w:tc>
              <w:tc>
                <w:tcPr>
                  <w:tcW w:w="795" w:type="pct"/>
                  <w:tcBorders>
                    <w:top w:val="single" w:color="auto" w:sz="4" w:space="0"/>
                    <w:tl2br w:val="nil"/>
                    <w:tr2bl w:val="nil"/>
                  </w:tcBorders>
                  <w:noWrap w:val="0"/>
                  <w:vAlign w:val="center"/>
                </w:tcPr>
                <w:p w14:paraId="15A6C27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污染因子</w:t>
                  </w:r>
                </w:p>
              </w:tc>
              <w:tc>
                <w:tcPr>
                  <w:tcW w:w="1216" w:type="pct"/>
                  <w:tcBorders>
                    <w:top w:val="single" w:color="auto" w:sz="4" w:space="0"/>
                    <w:tl2br w:val="nil"/>
                    <w:tr2bl w:val="nil"/>
                  </w:tcBorders>
                  <w:noWrap w:val="0"/>
                  <w:vAlign w:val="center"/>
                </w:tcPr>
                <w:p w14:paraId="5A633AC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排放标准</w:t>
                  </w:r>
                </w:p>
              </w:tc>
            </w:tr>
            <w:tr w14:paraId="6D0B0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restart"/>
                  <w:tcBorders>
                    <w:tl2br w:val="nil"/>
                    <w:tr2bl w:val="nil"/>
                  </w:tcBorders>
                  <w:noWrap w:val="0"/>
                  <w:vAlign w:val="center"/>
                </w:tcPr>
                <w:p w14:paraId="0A1B4E7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DA00</w:t>
                  </w:r>
                  <w:r>
                    <w:rPr>
                      <w:rFonts w:hint="eastAsia" w:cs="Times New Roman"/>
                      <w:i w:val="0"/>
                      <w:iCs w:val="0"/>
                      <w:caps w:val="0"/>
                      <w:color w:val="auto"/>
                      <w:spacing w:val="0"/>
                      <w:kern w:val="0"/>
                      <w:position w:val="0"/>
                      <w:sz w:val="21"/>
                      <w:szCs w:val="21"/>
                      <w:u w:val="none"/>
                      <w:lang w:val="en-US" w:eastAsia="zh-CN" w:bidi="ar"/>
                    </w:rPr>
                    <w:t>1</w:t>
                  </w:r>
                </w:p>
              </w:tc>
              <w:tc>
                <w:tcPr>
                  <w:tcW w:w="411" w:type="pct"/>
                  <w:vMerge w:val="restart"/>
                  <w:tcBorders>
                    <w:tl2br w:val="nil"/>
                    <w:tr2bl w:val="nil"/>
                  </w:tcBorders>
                  <w:noWrap w:val="0"/>
                  <w:vAlign w:val="center"/>
                </w:tcPr>
                <w:p w14:paraId="3D1A9C6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排气筒P</w:t>
                  </w:r>
                  <w:r>
                    <w:rPr>
                      <w:rFonts w:hint="eastAsia" w:cs="Times New Roman"/>
                      <w:i w:val="0"/>
                      <w:iCs w:val="0"/>
                      <w:caps w:val="0"/>
                      <w:color w:val="auto"/>
                      <w:spacing w:val="0"/>
                      <w:kern w:val="0"/>
                      <w:position w:val="0"/>
                      <w:sz w:val="21"/>
                      <w:szCs w:val="21"/>
                      <w:u w:val="none"/>
                      <w:lang w:val="en-US" w:eastAsia="zh-CN" w:bidi="ar"/>
                    </w:rPr>
                    <w:t>1</w:t>
                  </w:r>
                </w:p>
              </w:tc>
              <w:tc>
                <w:tcPr>
                  <w:tcW w:w="317" w:type="pct"/>
                  <w:vMerge w:val="restart"/>
                  <w:tcBorders>
                    <w:tl2br w:val="nil"/>
                    <w:tr2bl w:val="nil"/>
                  </w:tcBorders>
                  <w:noWrap w:val="0"/>
                  <w:vAlign w:val="center"/>
                </w:tcPr>
                <w:p w14:paraId="4A0DB47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15</w:t>
                  </w:r>
                </w:p>
              </w:tc>
              <w:tc>
                <w:tcPr>
                  <w:tcW w:w="362" w:type="pct"/>
                  <w:vMerge w:val="restart"/>
                  <w:tcBorders>
                    <w:tl2br w:val="nil"/>
                    <w:tr2bl w:val="nil"/>
                  </w:tcBorders>
                  <w:noWrap w:val="0"/>
                  <w:vAlign w:val="center"/>
                </w:tcPr>
                <w:p w14:paraId="28E17EA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1.2</w:t>
                  </w:r>
                </w:p>
              </w:tc>
              <w:tc>
                <w:tcPr>
                  <w:tcW w:w="350" w:type="pct"/>
                  <w:vMerge w:val="restart"/>
                  <w:tcBorders>
                    <w:tl2br w:val="nil"/>
                    <w:tr2bl w:val="nil"/>
                  </w:tcBorders>
                  <w:noWrap w:val="0"/>
                  <w:vAlign w:val="center"/>
                </w:tcPr>
                <w:p w14:paraId="63092CE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60</w:t>
                  </w:r>
                </w:p>
              </w:tc>
              <w:tc>
                <w:tcPr>
                  <w:tcW w:w="450" w:type="pct"/>
                  <w:vMerge w:val="restart"/>
                  <w:tcBorders>
                    <w:tl2br w:val="nil"/>
                    <w:tr2bl w:val="nil"/>
                  </w:tcBorders>
                  <w:noWrap w:val="0"/>
                  <w:vAlign w:val="center"/>
                </w:tcPr>
                <w:p w14:paraId="7AD6172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一般排放口</w:t>
                  </w:r>
                </w:p>
              </w:tc>
              <w:tc>
                <w:tcPr>
                  <w:tcW w:w="760" w:type="pct"/>
                  <w:vMerge w:val="restart"/>
                  <w:tcBorders>
                    <w:tl2br w:val="nil"/>
                    <w:tr2bl w:val="nil"/>
                  </w:tcBorders>
                  <w:noWrap/>
                  <w:vAlign w:val="center"/>
                </w:tcPr>
                <w:p w14:paraId="6536304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E116.3173840262</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w:t>
                  </w:r>
                </w:p>
                <w:p w14:paraId="4AEA036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N35.3816909919</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w:t>
                  </w:r>
                </w:p>
              </w:tc>
              <w:tc>
                <w:tcPr>
                  <w:tcW w:w="795" w:type="pct"/>
                  <w:tcBorders>
                    <w:bottom w:val="single" w:color="auto" w:sz="4" w:space="0"/>
                    <w:tl2br w:val="nil"/>
                    <w:tr2bl w:val="nil"/>
                  </w:tcBorders>
                  <w:noWrap/>
                  <w:vAlign w:val="center"/>
                </w:tcPr>
                <w:p w14:paraId="7F734E60">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SA"/>
                    </w:rPr>
                  </w:pPr>
                  <w:r>
                    <w:rPr>
                      <w:rFonts w:hint="default" w:ascii="Times New Roman" w:hAnsi="Times New Roman" w:eastAsia="宋体" w:cs="Times New Roman"/>
                      <w:color w:val="auto"/>
                      <w:spacing w:val="0"/>
                      <w:kern w:val="0"/>
                      <w:position w:val="0"/>
                      <w:sz w:val="21"/>
                      <w:szCs w:val="21"/>
                    </w:rPr>
                    <w:t>颗粒物</w:t>
                  </w:r>
                </w:p>
              </w:tc>
              <w:tc>
                <w:tcPr>
                  <w:tcW w:w="1216" w:type="pct"/>
                  <w:tcBorders>
                    <w:bottom w:val="single" w:color="auto" w:sz="4" w:space="0"/>
                    <w:tl2br w:val="nil"/>
                    <w:tr2bl w:val="nil"/>
                  </w:tcBorders>
                  <w:noWrap/>
                  <w:vAlign w:val="center"/>
                </w:tcPr>
                <w:p w14:paraId="573F47E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1</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46EF1B8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3.5kg/h</w:t>
                  </w:r>
                </w:p>
              </w:tc>
            </w:tr>
            <w:tr w14:paraId="15BDF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01F2291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53BABFC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7EFBE99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0DEF8CE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343ECDC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12A85AA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3CCE163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6245ED25">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lang w:eastAsia="zh-CN"/>
                    </w:rPr>
                    <w:t>SO</w:t>
                  </w:r>
                  <w:r>
                    <w:rPr>
                      <w:rFonts w:hint="default" w:ascii="Times New Roman" w:hAnsi="Times New Roman" w:eastAsia="宋体" w:cs="Times New Roman"/>
                      <w:color w:val="auto"/>
                      <w:spacing w:val="0"/>
                      <w:kern w:val="0"/>
                      <w:position w:val="0"/>
                      <w:sz w:val="21"/>
                      <w:szCs w:val="21"/>
                      <w:vertAlign w:val="subscript"/>
                      <w:lang w:eastAsia="zh-CN"/>
                    </w:rPr>
                    <w:t>2</w:t>
                  </w:r>
                </w:p>
              </w:tc>
              <w:tc>
                <w:tcPr>
                  <w:tcW w:w="1216" w:type="pct"/>
                  <w:tcBorders>
                    <w:top w:val="single" w:color="auto" w:sz="4" w:space="0"/>
                    <w:bottom w:val="single" w:color="auto" w:sz="4" w:space="0"/>
                    <w:tl2br w:val="nil"/>
                    <w:tr2bl w:val="nil"/>
                  </w:tcBorders>
                  <w:noWrap/>
                  <w:vAlign w:val="center"/>
                </w:tcPr>
                <w:p w14:paraId="1EFA8C8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65900BD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2.6</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5B959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79A13D3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6828C1D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54BAA45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75CC960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7B5778A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26CF89B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7091008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3A31BC72">
                  <w:pPr>
                    <w:pStyle w:val="47"/>
                    <w:keepNext w:val="0"/>
                    <w:keepLines w:val="0"/>
                    <w:pageBreakBefore w:val="0"/>
                    <w:widowControl w:val="0"/>
                    <w:kinsoku/>
                    <w:wordWrap/>
                    <w:overflowPunct/>
                    <w:topLinePunct w:val="0"/>
                    <w:bidi w:val="0"/>
                    <w:adjustRightInd w:val="0"/>
                    <w:snapToGrid w:val="0"/>
                    <w:jc w:val="center"/>
                    <w:textAlignment w:val="auto"/>
                    <w:rPr>
                      <w:rFonts w:hint="eastAsia" w:ascii="宋体" w:hAnsi="宋体" w:eastAsia="宋体" w:cs="宋体"/>
                      <w:i w:val="0"/>
                      <w:iC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lang w:eastAsia="zh-CN"/>
                    </w:rPr>
                    <w:t>NOx</w:t>
                  </w:r>
                </w:p>
              </w:tc>
              <w:tc>
                <w:tcPr>
                  <w:tcW w:w="1216" w:type="pct"/>
                  <w:tcBorders>
                    <w:top w:val="single" w:color="auto" w:sz="4" w:space="0"/>
                    <w:bottom w:val="single" w:color="auto" w:sz="4" w:space="0"/>
                    <w:tl2br w:val="nil"/>
                    <w:tr2bl w:val="nil"/>
                  </w:tcBorders>
                  <w:noWrap/>
                  <w:vAlign w:val="center"/>
                </w:tcPr>
                <w:p w14:paraId="0BC9379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26C6CF9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0.77</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2830F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3CD3C3B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69F4438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54BD72B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77C152B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2906DD8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01DA100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75E9040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640D2091">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i w:val="0"/>
                      <w:iCs w:val="0"/>
                      <w:color w:val="auto"/>
                      <w:spacing w:val="0"/>
                      <w:kern w:val="0"/>
                      <w:position w:val="0"/>
                      <w:sz w:val="21"/>
                      <w:szCs w:val="21"/>
                      <w:u w:val="none"/>
                      <w:lang w:val="en-US" w:eastAsia="zh-CN" w:bidi="ar"/>
                    </w:rPr>
                  </w:pPr>
                  <w:r>
                    <w:rPr>
                      <w:rFonts w:hint="eastAsia" w:ascii="Times New Roman" w:hAnsi="Times New Roman" w:eastAsia="宋体" w:cs="Times New Roman"/>
                      <w:color w:val="auto"/>
                      <w:spacing w:val="0"/>
                      <w:kern w:val="0"/>
                      <w:position w:val="0"/>
                      <w:sz w:val="21"/>
                      <w:szCs w:val="21"/>
                      <w:lang w:val="en-US" w:eastAsia="zh-CN"/>
                    </w:rPr>
                    <w:t>林格曼黑度</w:t>
                  </w:r>
                </w:p>
              </w:tc>
              <w:tc>
                <w:tcPr>
                  <w:tcW w:w="1216" w:type="pct"/>
                  <w:tcBorders>
                    <w:top w:val="single" w:color="auto" w:sz="4" w:space="0"/>
                    <w:bottom w:val="single" w:color="auto" w:sz="4" w:space="0"/>
                    <w:tl2br w:val="nil"/>
                    <w:tr2bl w:val="nil"/>
                  </w:tcBorders>
                  <w:noWrap/>
                  <w:vAlign w:val="center"/>
                </w:tcPr>
                <w:p w14:paraId="6D00973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1（级）</w:t>
                  </w:r>
                </w:p>
              </w:tc>
            </w:tr>
            <w:tr w14:paraId="4C7707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0E6A7F1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410F4DF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3F6A99E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06871D2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12811AC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1F808CB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1352D2A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1FB11132">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i w:val="0"/>
                      <w:iC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rPr>
                    <w:t>沥青烟</w:t>
                  </w:r>
                </w:p>
              </w:tc>
              <w:tc>
                <w:tcPr>
                  <w:tcW w:w="1216" w:type="pct"/>
                  <w:tcBorders>
                    <w:top w:val="single" w:color="auto" w:sz="4" w:space="0"/>
                    <w:bottom w:val="single" w:color="auto" w:sz="4" w:space="0"/>
                    <w:tl2br w:val="nil"/>
                    <w:tr2bl w:val="nil"/>
                  </w:tcBorders>
                  <w:noWrap/>
                  <w:vAlign w:val="center"/>
                </w:tcPr>
                <w:p w14:paraId="455CEBF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75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2592B5D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0.18</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5BAA2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6FE5B68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45BD550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559E90A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3A06411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24C286D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708A2F1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1DEC07C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6CD5AA2D">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rPr>
                    <w:t>苯并[a]芘</w:t>
                  </w:r>
                </w:p>
              </w:tc>
              <w:tc>
                <w:tcPr>
                  <w:tcW w:w="1216" w:type="pct"/>
                  <w:tcBorders>
                    <w:top w:val="single" w:color="auto" w:sz="4" w:space="0"/>
                    <w:bottom w:val="single" w:color="auto" w:sz="4" w:space="0"/>
                    <w:tl2br w:val="nil"/>
                    <w:tr2bl w:val="nil"/>
                  </w:tcBorders>
                  <w:noWrap/>
                  <w:vAlign w:val="center"/>
                </w:tcPr>
                <w:p w14:paraId="297E633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0.0003</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7A611E6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eastAsia" w:cs="Times New Roman"/>
                      <w:i w:val="0"/>
                      <w:iCs w:val="0"/>
                      <w:caps w:val="0"/>
                      <w:color w:val="auto"/>
                      <w:spacing w:val="0"/>
                      <w:kern w:val="0"/>
                      <w:position w:val="0"/>
                      <w:sz w:val="21"/>
                      <w:szCs w:val="21"/>
                      <w:u w:val="none"/>
                      <w:lang w:val="en-US" w:eastAsia="zh-CN" w:bidi="ar"/>
                    </w:rPr>
                    <w:t>0.00005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kg/h</w:t>
                  </w:r>
                </w:p>
              </w:tc>
            </w:tr>
            <w:tr w14:paraId="60A74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6BD63E0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04817D6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6DAA9A3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01C912A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639BED3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79B797F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6CA1055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bottom w:val="single" w:color="auto" w:sz="4" w:space="0"/>
                    <w:tl2br w:val="nil"/>
                    <w:tr2bl w:val="nil"/>
                  </w:tcBorders>
                  <w:noWrap/>
                  <w:vAlign w:val="center"/>
                </w:tcPr>
                <w:p w14:paraId="426111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i w:val="0"/>
                      <w:iC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rPr>
                    <w:t>VOCs</w:t>
                  </w:r>
                </w:p>
              </w:tc>
              <w:tc>
                <w:tcPr>
                  <w:tcW w:w="1216" w:type="pct"/>
                  <w:tcBorders>
                    <w:top w:val="single" w:color="auto" w:sz="4" w:space="0"/>
                    <w:bottom w:val="single" w:color="auto" w:sz="4" w:space="0"/>
                    <w:tl2br w:val="nil"/>
                    <w:tr2bl w:val="nil"/>
                  </w:tcBorders>
                  <w:noWrap/>
                  <w:vAlign w:val="center"/>
                </w:tcPr>
                <w:p w14:paraId="5E568D4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2</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p w14:paraId="2EB7491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速率：</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3kg/h</w:t>
                  </w:r>
                </w:p>
              </w:tc>
            </w:tr>
            <w:tr w14:paraId="15C6D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tcBorders>
                    <w:tl2br w:val="nil"/>
                    <w:tr2bl w:val="nil"/>
                  </w:tcBorders>
                  <w:noWrap w:val="0"/>
                  <w:vAlign w:val="center"/>
                </w:tcPr>
                <w:p w14:paraId="1EA7531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tcBorders>
                    <w:tl2br w:val="nil"/>
                    <w:tr2bl w:val="nil"/>
                  </w:tcBorders>
                  <w:noWrap w:val="0"/>
                  <w:vAlign w:val="center"/>
                </w:tcPr>
                <w:p w14:paraId="40FAE10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tcBorders>
                    <w:tl2br w:val="nil"/>
                    <w:tr2bl w:val="nil"/>
                  </w:tcBorders>
                  <w:noWrap w:val="0"/>
                  <w:vAlign w:val="center"/>
                </w:tcPr>
                <w:p w14:paraId="6A4C4AB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tcBorders>
                    <w:tl2br w:val="nil"/>
                    <w:tr2bl w:val="nil"/>
                  </w:tcBorders>
                  <w:noWrap w:val="0"/>
                  <w:vAlign w:val="center"/>
                </w:tcPr>
                <w:p w14:paraId="24A5743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tcBorders>
                    <w:tl2br w:val="nil"/>
                    <w:tr2bl w:val="nil"/>
                  </w:tcBorders>
                  <w:noWrap w:val="0"/>
                  <w:vAlign w:val="center"/>
                </w:tcPr>
                <w:p w14:paraId="26655FA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tcBorders>
                    <w:tl2br w:val="nil"/>
                    <w:tr2bl w:val="nil"/>
                  </w:tcBorders>
                  <w:noWrap w:val="0"/>
                  <w:vAlign w:val="center"/>
                </w:tcPr>
                <w:p w14:paraId="03942C5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tcBorders>
                    <w:tl2br w:val="nil"/>
                    <w:tr2bl w:val="nil"/>
                  </w:tcBorders>
                  <w:noWrap/>
                  <w:vAlign w:val="center"/>
                </w:tcPr>
                <w:p w14:paraId="296510C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tcBorders>
                    <w:top w:val="single" w:color="auto" w:sz="4" w:space="0"/>
                    <w:tl2br w:val="nil"/>
                    <w:tr2bl w:val="nil"/>
                  </w:tcBorders>
                  <w:noWrap/>
                  <w:vAlign w:val="center"/>
                </w:tcPr>
                <w:p w14:paraId="73A1F18B">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i w:val="0"/>
                      <w:iC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rPr>
                    <w:t>臭气浓度</w:t>
                  </w:r>
                </w:p>
              </w:tc>
              <w:tc>
                <w:tcPr>
                  <w:tcW w:w="1216" w:type="pct"/>
                  <w:tcBorders>
                    <w:top w:val="single" w:color="auto" w:sz="4" w:space="0"/>
                    <w:tl2br w:val="nil"/>
                    <w:tr2bl w:val="nil"/>
                  </w:tcBorders>
                  <w:noWrap/>
                  <w:vAlign w:val="center"/>
                </w:tcPr>
                <w:p w14:paraId="7596200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200</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60F8BF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restart"/>
                  <w:tcBorders>
                    <w:tl2br w:val="nil"/>
                    <w:tr2bl w:val="nil"/>
                  </w:tcBorders>
                  <w:noWrap w:val="0"/>
                  <w:vAlign w:val="center"/>
                </w:tcPr>
                <w:p w14:paraId="482CB0B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DA00</w:t>
                  </w:r>
                  <w:r>
                    <w:rPr>
                      <w:rFonts w:hint="eastAsia" w:cs="Times New Roman"/>
                      <w:i w:val="0"/>
                      <w:iCs w:val="0"/>
                      <w:caps w:val="0"/>
                      <w:color w:val="auto"/>
                      <w:spacing w:val="0"/>
                      <w:kern w:val="0"/>
                      <w:position w:val="0"/>
                      <w:sz w:val="21"/>
                      <w:szCs w:val="21"/>
                      <w:u w:val="none"/>
                      <w:lang w:val="en-US" w:eastAsia="zh-CN" w:bidi="ar"/>
                    </w:rPr>
                    <w:t>2</w:t>
                  </w:r>
                </w:p>
              </w:tc>
              <w:tc>
                <w:tcPr>
                  <w:tcW w:w="411" w:type="pct"/>
                  <w:vMerge w:val="restart"/>
                  <w:tcBorders>
                    <w:tl2br w:val="nil"/>
                    <w:tr2bl w:val="nil"/>
                  </w:tcBorders>
                  <w:noWrap w:val="0"/>
                  <w:vAlign w:val="center"/>
                </w:tcPr>
                <w:p w14:paraId="63B4F61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排气筒P</w:t>
                  </w:r>
                  <w:r>
                    <w:rPr>
                      <w:rFonts w:hint="eastAsia" w:cs="Times New Roman"/>
                      <w:i w:val="0"/>
                      <w:iCs w:val="0"/>
                      <w:caps w:val="0"/>
                      <w:color w:val="auto"/>
                      <w:spacing w:val="0"/>
                      <w:kern w:val="0"/>
                      <w:position w:val="0"/>
                      <w:sz w:val="21"/>
                      <w:szCs w:val="21"/>
                      <w:u w:val="none"/>
                      <w:lang w:val="en-US" w:eastAsia="zh-CN" w:bidi="ar"/>
                    </w:rPr>
                    <w:t>2</w:t>
                  </w:r>
                </w:p>
              </w:tc>
              <w:tc>
                <w:tcPr>
                  <w:tcW w:w="317" w:type="pct"/>
                  <w:vMerge w:val="restart"/>
                  <w:tcBorders>
                    <w:tl2br w:val="nil"/>
                    <w:tr2bl w:val="nil"/>
                  </w:tcBorders>
                  <w:noWrap w:val="0"/>
                  <w:vAlign w:val="center"/>
                </w:tcPr>
                <w:p w14:paraId="5598E19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15</w:t>
                  </w:r>
                </w:p>
              </w:tc>
              <w:tc>
                <w:tcPr>
                  <w:tcW w:w="362" w:type="pct"/>
                  <w:vMerge w:val="restart"/>
                  <w:tcBorders>
                    <w:tl2br w:val="nil"/>
                    <w:tr2bl w:val="nil"/>
                  </w:tcBorders>
                  <w:noWrap w:val="0"/>
                  <w:vAlign w:val="center"/>
                </w:tcPr>
                <w:p w14:paraId="214768B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0.3</w:t>
                  </w:r>
                </w:p>
              </w:tc>
              <w:tc>
                <w:tcPr>
                  <w:tcW w:w="350" w:type="pct"/>
                  <w:vMerge w:val="restart"/>
                  <w:tcBorders>
                    <w:tl2br w:val="nil"/>
                    <w:tr2bl w:val="nil"/>
                  </w:tcBorders>
                  <w:noWrap w:val="0"/>
                  <w:vAlign w:val="center"/>
                </w:tcPr>
                <w:p w14:paraId="7A94456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50</w:t>
                  </w:r>
                </w:p>
              </w:tc>
              <w:tc>
                <w:tcPr>
                  <w:tcW w:w="450" w:type="pct"/>
                  <w:vMerge w:val="restart"/>
                  <w:tcBorders>
                    <w:tl2br w:val="nil"/>
                    <w:tr2bl w:val="nil"/>
                  </w:tcBorders>
                  <w:noWrap w:val="0"/>
                  <w:vAlign w:val="center"/>
                </w:tcPr>
                <w:p w14:paraId="6C44022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一般排放口</w:t>
                  </w:r>
                </w:p>
              </w:tc>
              <w:tc>
                <w:tcPr>
                  <w:tcW w:w="760" w:type="pct"/>
                  <w:vMerge w:val="restart"/>
                  <w:tcBorders>
                    <w:tl2br w:val="nil"/>
                    <w:tr2bl w:val="nil"/>
                  </w:tcBorders>
                  <w:noWrap/>
                  <w:vAlign w:val="center"/>
                </w:tcPr>
                <w:p w14:paraId="6DF1D26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E116.3175857051</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w:t>
                  </w:r>
                </w:p>
                <w:p w14:paraId="1C5E49A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N35.3815339825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w:t>
                  </w:r>
                </w:p>
              </w:tc>
              <w:tc>
                <w:tcPr>
                  <w:tcW w:w="795" w:type="pct"/>
                  <w:tcBorders>
                    <w:tl2br w:val="nil"/>
                    <w:tr2bl w:val="nil"/>
                  </w:tcBorders>
                  <w:noWrap/>
                  <w:vAlign w:val="center"/>
                </w:tcPr>
                <w:p w14:paraId="3B13D5B6">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color w:val="auto"/>
                      <w:spacing w:val="0"/>
                      <w:kern w:val="0"/>
                      <w:position w:val="0"/>
                      <w:sz w:val="21"/>
                      <w:szCs w:val="21"/>
                      <w:lang w:val="en-US" w:eastAsia="zh-CN"/>
                    </w:rPr>
                    <w:t>颗粒物</w:t>
                  </w:r>
                </w:p>
              </w:tc>
              <w:tc>
                <w:tcPr>
                  <w:tcW w:w="1216" w:type="pct"/>
                  <w:tcBorders>
                    <w:tl2br w:val="nil"/>
                    <w:tr2bl w:val="nil"/>
                  </w:tcBorders>
                  <w:noWrap/>
                  <w:vAlign w:val="center"/>
                </w:tcPr>
                <w:p w14:paraId="6FCBBB2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ascii="Times New Roman" w:hAnsi="Times New Roman" w:eastAsia="宋体" w:cs="Times New Roman"/>
                      <w:i w:val="0"/>
                      <w:iCs w:val="0"/>
                      <w:caps w:val="0"/>
                      <w:color w:val="auto"/>
                      <w:spacing w:val="0"/>
                      <w:kern w:val="0"/>
                      <w:position w:val="0"/>
                      <w:sz w:val="21"/>
                      <w:szCs w:val="21"/>
                      <w:u w:val="none"/>
                      <w:lang w:val="en-US" w:eastAsia="zh-CN" w:bidi="ar"/>
                    </w:rPr>
                    <w:t>1</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46423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72A7184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4E93B5A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3FD72E1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63FF414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06C4098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4754B0E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051C7DD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vAlign w:val="center"/>
                </w:tcPr>
                <w:p w14:paraId="3D5D8082">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lang w:eastAsia="zh-CN"/>
                    </w:rPr>
                    <w:t>SO</w:t>
                  </w:r>
                  <w:r>
                    <w:rPr>
                      <w:rFonts w:hint="default" w:ascii="Times New Roman" w:hAnsi="Times New Roman" w:eastAsia="宋体" w:cs="Times New Roman"/>
                      <w:color w:val="auto"/>
                      <w:spacing w:val="0"/>
                      <w:kern w:val="0"/>
                      <w:position w:val="0"/>
                      <w:sz w:val="21"/>
                      <w:szCs w:val="21"/>
                      <w:vertAlign w:val="subscript"/>
                      <w:lang w:eastAsia="zh-CN"/>
                    </w:rPr>
                    <w:t>2</w:t>
                  </w:r>
                </w:p>
              </w:tc>
              <w:tc>
                <w:tcPr>
                  <w:tcW w:w="1216" w:type="pct"/>
                  <w:vAlign w:val="center"/>
                </w:tcPr>
                <w:p w14:paraId="7077665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519A53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689ACF3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1BE717C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4AF7B7A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04E9F82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2AB2EF8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7DA8CBE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13CC373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vAlign w:val="center"/>
                </w:tcPr>
                <w:p w14:paraId="7ED62828">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pacing w:val="0"/>
                      <w:kern w:val="0"/>
                      <w:position w:val="0"/>
                      <w:sz w:val="21"/>
                      <w:szCs w:val="21"/>
                      <w:lang w:eastAsia="zh-CN"/>
                    </w:rPr>
                    <w:t>NOx</w:t>
                  </w:r>
                </w:p>
              </w:tc>
              <w:tc>
                <w:tcPr>
                  <w:tcW w:w="1216" w:type="pct"/>
                  <w:vAlign w:val="center"/>
                </w:tcPr>
                <w:p w14:paraId="1881D58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0mg/m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1F749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6C73E66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65E99FC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674EA00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68D0736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6E9FC93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eastAsia="宋体"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38E58F5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1536635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p>
              </w:tc>
              <w:tc>
                <w:tcPr>
                  <w:tcW w:w="795" w:type="pct"/>
                  <w:vAlign w:val="center"/>
                </w:tcPr>
                <w:p w14:paraId="1B8D2350">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color w:val="auto"/>
                      <w:spacing w:val="0"/>
                      <w:kern w:val="0"/>
                      <w:position w:val="0"/>
                      <w:sz w:val="21"/>
                      <w:szCs w:val="21"/>
                      <w:lang w:val="en-US" w:eastAsia="zh-CN"/>
                    </w:rPr>
                    <w:t>林格曼黑度</w:t>
                  </w:r>
                </w:p>
              </w:tc>
              <w:tc>
                <w:tcPr>
                  <w:tcW w:w="1216" w:type="pct"/>
                  <w:vAlign w:val="center"/>
                </w:tcPr>
                <w:p w14:paraId="61A0B62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eastAsia="宋体" w:cs="Times New Roman"/>
                      <w:i w:val="0"/>
                      <w:iCs w:val="0"/>
                      <w:caps w:val="0"/>
                      <w:color w:val="auto"/>
                      <w:spacing w:val="0"/>
                      <w:kern w:val="0"/>
                      <w:position w:val="0"/>
                      <w:sz w:val="21"/>
                      <w:szCs w:val="21"/>
                      <w:u w:val="none"/>
                      <w:lang w:val="en-US" w:eastAsia="zh-CN" w:bidi="ar"/>
                    </w:rPr>
                    <w:t>浓度：</w:t>
                  </w:r>
                  <w:r>
                    <w:rPr>
                      <w:rFonts w:hint="eastAsia" w:cs="Times New Roman"/>
                      <w:i w:val="0"/>
                      <w:iCs w:val="0"/>
                      <w:caps w:val="0"/>
                      <w:color w:val="auto"/>
                      <w:spacing w:val="0"/>
                      <w:kern w:val="0"/>
                      <w:position w:val="0"/>
                      <w:sz w:val="21"/>
                      <w:szCs w:val="21"/>
                      <w:u w:val="none"/>
                      <w:lang w:val="en-US" w:eastAsia="zh-CN" w:bidi="ar"/>
                    </w:rPr>
                    <w:t>1（级）</w:t>
                  </w:r>
                </w:p>
              </w:tc>
            </w:tr>
            <w:tr w14:paraId="77358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restart"/>
                  <w:vAlign w:val="center"/>
                </w:tcPr>
                <w:p w14:paraId="0DC1534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411" w:type="pct"/>
                  <w:vMerge w:val="restart"/>
                  <w:vAlign w:val="center"/>
                </w:tcPr>
                <w:p w14:paraId="417DC9D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厂界</w:t>
                  </w:r>
                </w:p>
              </w:tc>
              <w:tc>
                <w:tcPr>
                  <w:tcW w:w="317" w:type="pct"/>
                  <w:vMerge w:val="restart"/>
                  <w:vAlign w:val="center"/>
                </w:tcPr>
                <w:p w14:paraId="62D1E05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362" w:type="pct"/>
                  <w:vMerge w:val="restart"/>
                  <w:vAlign w:val="center"/>
                </w:tcPr>
                <w:p w14:paraId="25079A7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350" w:type="pct"/>
                  <w:vMerge w:val="restart"/>
                  <w:vAlign w:val="center"/>
                </w:tcPr>
                <w:p w14:paraId="0105D6E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450" w:type="pct"/>
                  <w:vMerge w:val="restart"/>
                  <w:vAlign w:val="center"/>
                </w:tcPr>
                <w:p w14:paraId="27A9AC6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760" w:type="pct"/>
                  <w:vMerge w:val="restart"/>
                  <w:vAlign w:val="center"/>
                </w:tcPr>
                <w:p w14:paraId="63C5488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795" w:type="pct"/>
                  <w:vAlign w:val="center"/>
                </w:tcPr>
                <w:p w14:paraId="44287D9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颗粒物</w:t>
                  </w:r>
                </w:p>
              </w:tc>
              <w:tc>
                <w:tcPr>
                  <w:tcW w:w="1216" w:type="pct"/>
                  <w:vAlign w:val="center"/>
                </w:tcPr>
                <w:p w14:paraId="44ADD64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0.5</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7B151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41B8F5B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39759B5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0223F62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4BDFBC4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4483981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5934CFA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6E76A92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95" w:type="pct"/>
                  <w:vAlign w:val="center"/>
                </w:tcPr>
                <w:p w14:paraId="54571AF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沥青烟</w:t>
                  </w:r>
                </w:p>
              </w:tc>
              <w:tc>
                <w:tcPr>
                  <w:tcW w:w="1216" w:type="pct"/>
                  <w:vAlign w:val="center"/>
                </w:tcPr>
                <w:p w14:paraId="777527B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生产设备不得有明显的无组织排放存在</w:t>
                  </w:r>
                </w:p>
              </w:tc>
            </w:tr>
            <w:tr w14:paraId="346D5D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3D30C7D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6AD4F81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5568D59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21B09A6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594DA94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614BA16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09E9768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95" w:type="pct"/>
                  <w:vAlign w:val="center"/>
                </w:tcPr>
                <w:p w14:paraId="329D905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苯并[a]芘</w:t>
                  </w:r>
                </w:p>
              </w:tc>
              <w:tc>
                <w:tcPr>
                  <w:tcW w:w="1216" w:type="pct"/>
                  <w:vAlign w:val="center"/>
                </w:tcPr>
                <w:p w14:paraId="650D863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0.000008</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02DD00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5B1D7E0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52213CD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0226817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3857EB2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0B9502A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2758278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5BA2BF9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95" w:type="pct"/>
                  <w:vAlign w:val="center"/>
                </w:tcPr>
                <w:p w14:paraId="6F7519F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VOCs</w:t>
                  </w:r>
                </w:p>
              </w:tc>
              <w:tc>
                <w:tcPr>
                  <w:tcW w:w="1216" w:type="pct"/>
                  <w:vAlign w:val="center"/>
                </w:tcPr>
                <w:p w14:paraId="1A69F7B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2</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p>
              </w:tc>
            </w:tr>
            <w:tr w14:paraId="61456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25A29C8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2BDB7BD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377A7F1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63B4D1B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1A099DD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29BA90D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48B1A9C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95" w:type="pct"/>
                  <w:vAlign w:val="center"/>
                </w:tcPr>
                <w:p w14:paraId="56832CB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臭气浓度</w:t>
                  </w:r>
                </w:p>
              </w:tc>
              <w:tc>
                <w:tcPr>
                  <w:tcW w:w="1216" w:type="pct"/>
                  <w:vAlign w:val="center"/>
                </w:tcPr>
                <w:p w14:paraId="319970E8">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16（无量纲）</w:t>
                  </w:r>
                </w:p>
              </w:tc>
            </w:tr>
            <w:tr w14:paraId="22F4F1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restart"/>
                  <w:vAlign w:val="center"/>
                </w:tcPr>
                <w:p w14:paraId="175C783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411" w:type="pct"/>
                  <w:vMerge w:val="restart"/>
                  <w:vAlign w:val="center"/>
                </w:tcPr>
                <w:p w14:paraId="7666FD6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厂房外厂界内</w:t>
                  </w:r>
                </w:p>
              </w:tc>
              <w:tc>
                <w:tcPr>
                  <w:tcW w:w="317" w:type="pct"/>
                  <w:vMerge w:val="restart"/>
                  <w:vAlign w:val="center"/>
                </w:tcPr>
                <w:p w14:paraId="0B77D3E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362" w:type="pct"/>
                  <w:vMerge w:val="restart"/>
                  <w:vAlign w:val="center"/>
                </w:tcPr>
                <w:p w14:paraId="4742DA2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350" w:type="pct"/>
                  <w:vMerge w:val="restart"/>
                  <w:vAlign w:val="center"/>
                </w:tcPr>
                <w:p w14:paraId="207B5C1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450" w:type="pct"/>
                  <w:vMerge w:val="restart"/>
                  <w:vAlign w:val="center"/>
                </w:tcPr>
                <w:p w14:paraId="4086837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760" w:type="pct"/>
                  <w:vMerge w:val="restart"/>
                  <w:vAlign w:val="center"/>
                </w:tcPr>
                <w:p w14:paraId="14FFBBA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w:t>
                  </w:r>
                </w:p>
              </w:tc>
              <w:tc>
                <w:tcPr>
                  <w:tcW w:w="795" w:type="pct"/>
                  <w:vMerge w:val="restart"/>
                  <w:vAlign w:val="center"/>
                </w:tcPr>
                <w:p w14:paraId="31C123D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VOCs</w:t>
                  </w:r>
                </w:p>
              </w:tc>
              <w:tc>
                <w:tcPr>
                  <w:tcW w:w="3566" w:type="dxa"/>
                  <w:tcBorders>
                    <w:bottom w:val="single" w:color="auto" w:sz="4" w:space="0"/>
                  </w:tcBorders>
                  <w:vAlign w:val="center"/>
                </w:tcPr>
                <w:p w14:paraId="7C0D9A9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6</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r>
                    <w:rPr>
                      <w:rFonts w:hint="eastAsia" w:cs="Times New Roman"/>
                      <w:i w:val="0"/>
                      <w:iCs w:val="0"/>
                      <w:caps w:val="0"/>
                      <w:color w:val="auto"/>
                      <w:spacing w:val="0"/>
                      <w:kern w:val="0"/>
                      <w:position w:val="0"/>
                      <w:sz w:val="21"/>
                      <w:szCs w:val="21"/>
                      <w:u w:val="none"/>
                      <w:lang w:val="en-US" w:eastAsia="zh-CN" w:bidi="ar"/>
                    </w:rPr>
                    <w:t>（监控点处1h平均浓度值）</w:t>
                  </w:r>
                </w:p>
              </w:tc>
            </w:tr>
            <w:tr w14:paraId="3C9D3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34" w:type="pct"/>
                  <w:vMerge w:val="continue"/>
                  <w:vAlign w:val="center"/>
                </w:tcPr>
                <w:p w14:paraId="0AFC70B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11" w:type="pct"/>
                  <w:vMerge w:val="continue"/>
                  <w:vAlign w:val="center"/>
                </w:tcPr>
                <w:p w14:paraId="4BC0C1A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17" w:type="pct"/>
                  <w:vMerge w:val="continue"/>
                  <w:vAlign w:val="center"/>
                </w:tcPr>
                <w:p w14:paraId="5260A12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62" w:type="pct"/>
                  <w:vMerge w:val="continue"/>
                  <w:vAlign w:val="center"/>
                </w:tcPr>
                <w:p w14:paraId="7FF0A3F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0" w:type="pct"/>
                  <w:vMerge w:val="continue"/>
                  <w:vAlign w:val="center"/>
                </w:tcPr>
                <w:p w14:paraId="574DCA6E">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450" w:type="pct"/>
                  <w:vMerge w:val="continue"/>
                  <w:vAlign w:val="center"/>
                </w:tcPr>
                <w:p w14:paraId="7729533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60" w:type="pct"/>
                  <w:vMerge w:val="continue"/>
                  <w:vAlign w:val="center"/>
                </w:tcPr>
                <w:p w14:paraId="69B7CC69">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795" w:type="pct"/>
                  <w:vMerge w:val="continue"/>
                  <w:vAlign w:val="center"/>
                </w:tcPr>
                <w:p w14:paraId="353A22A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p>
              </w:tc>
              <w:tc>
                <w:tcPr>
                  <w:tcW w:w="3566" w:type="dxa"/>
                  <w:tcBorders>
                    <w:top w:val="single" w:color="auto" w:sz="4" w:space="0"/>
                  </w:tcBorders>
                  <w:vAlign w:val="center"/>
                </w:tcPr>
                <w:p w14:paraId="79FCCDB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i w:val="0"/>
                      <w:iCs w:val="0"/>
                      <w:caps w:val="0"/>
                      <w:color w:val="auto"/>
                      <w:spacing w:val="0"/>
                      <w:kern w:val="0"/>
                      <w:position w:val="0"/>
                      <w:sz w:val="21"/>
                      <w:szCs w:val="21"/>
                      <w:u w:val="none"/>
                      <w:lang w:val="en-US" w:eastAsia="zh-CN" w:bidi="ar"/>
                    </w:rPr>
                  </w:pPr>
                  <w:r>
                    <w:rPr>
                      <w:rFonts w:hint="eastAsia" w:cs="Times New Roman"/>
                      <w:i w:val="0"/>
                      <w:iCs w:val="0"/>
                      <w:caps w:val="0"/>
                      <w:color w:val="auto"/>
                      <w:spacing w:val="0"/>
                      <w:kern w:val="0"/>
                      <w:position w:val="0"/>
                      <w:sz w:val="21"/>
                      <w:szCs w:val="21"/>
                      <w:u w:val="none"/>
                      <w:lang w:val="en-US" w:eastAsia="zh-CN" w:bidi="ar"/>
                    </w:rPr>
                    <w:t>20</w:t>
                  </w:r>
                  <w:r>
                    <w:rPr>
                      <w:rFonts w:hint="default" w:ascii="Times New Roman" w:hAnsi="Times New Roman" w:eastAsia="宋体" w:cs="Times New Roman"/>
                      <w:i w:val="0"/>
                      <w:iCs w:val="0"/>
                      <w:caps w:val="0"/>
                      <w:color w:val="auto"/>
                      <w:spacing w:val="0"/>
                      <w:kern w:val="0"/>
                      <w:position w:val="0"/>
                      <w:sz w:val="21"/>
                      <w:szCs w:val="21"/>
                      <w:u w:val="none"/>
                      <w:lang w:val="en-US" w:eastAsia="zh-CN" w:bidi="ar"/>
                    </w:rPr>
                    <w:t>mg/m</w:t>
                  </w:r>
                  <w:r>
                    <w:rPr>
                      <w:rFonts w:hint="default" w:ascii="Times New Roman" w:hAnsi="Times New Roman" w:eastAsia="宋体" w:cs="Times New Roman"/>
                      <w:i w:val="0"/>
                      <w:iCs w:val="0"/>
                      <w:caps w:val="0"/>
                      <w:color w:val="auto"/>
                      <w:spacing w:val="0"/>
                      <w:kern w:val="0"/>
                      <w:position w:val="0"/>
                      <w:sz w:val="21"/>
                      <w:szCs w:val="21"/>
                      <w:u w:val="none"/>
                      <w:vertAlign w:val="superscript"/>
                      <w:lang w:val="en-US" w:eastAsia="zh-CN" w:bidi="ar"/>
                    </w:rPr>
                    <w:t>3</w:t>
                  </w:r>
                  <w:r>
                    <w:rPr>
                      <w:rFonts w:hint="eastAsia" w:cs="Times New Roman"/>
                      <w:i w:val="0"/>
                      <w:iCs w:val="0"/>
                      <w:caps w:val="0"/>
                      <w:color w:val="auto"/>
                      <w:spacing w:val="0"/>
                      <w:kern w:val="0"/>
                      <w:position w:val="0"/>
                      <w:sz w:val="21"/>
                      <w:szCs w:val="21"/>
                      <w:u w:val="none"/>
                      <w:lang w:val="en-US" w:eastAsia="zh-CN" w:bidi="ar"/>
                    </w:rPr>
                    <w:t>（监控点处任意一次浓度值）</w:t>
                  </w:r>
                </w:p>
              </w:tc>
            </w:tr>
          </w:tbl>
          <w:p w14:paraId="3C678A04">
            <w:pPr>
              <w:pStyle w:val="6"/>
              <w:keepNext w:val="0"/>
              <w:keepLines w:val="0"/>
              <w:pageBreakBefore w:val="0"/>
              <w:widowControl w:val="0"/>
              <w:tabs>
                <w:tab w:val="center" w:pos="105"/>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aps w:val="0"/>
                <w:color w:val="auto"/>
                <w:spacing w:val="0"/>
                <w:kern w:val="0"/>
                <w:sz w:val="24"/>
                <w:szCs w:val="24"/>
                <w:highlight w:val="none"/>
              </w:rPr>
            </w:pPr>
          </w:p>
        </w:tc>
      </w:tr>
    </w:tbl>
    <w:p w14:paraId="4FCA4066">
      <w:pPr>
        <w:adjustRightInd w:val="0"/>
        <w:snapToGrid w:val="0"/>
        <w:spacing w:line="360" w:lineRule="auto"/>
        <w:jc w:val="center"/>
        <w:rPr>
          <w:rFonts w:hint="default" w:ascii="Times New Roman" w:hAnsi="Times New Roman" w:eastAsia="宋体" w:cs="Times New Roman"/>
          <w:b/>
          <w:color w:val="auto"/>
          <w:kern w:val="0"/>
          <w:sz w:val="21"/>
          <w:szCs w:val="21"/>
        </w:rPr>
        <w:sectPr>
          <w:pgSz w:w="16840" w:h="11907"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0"/>
        <w:gridCol w:w="8115"/>
      </w:tblGrid>
      <w:tr w14:paraId="63046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0" w:type="pct"/>
            <w:noWrap w:val="0"/>
            <w:tcMar>
              <w:left w:w="28" w:type="dxa"/>
              <w:right w:w="28" w:type="dxa"/>
            </w:tcMar>
            <w:vAlign w:val="center"/>
          </w:tcPr>
          <w:p w14:paraId="0FB422AB">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3AA8C190">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05F2686F">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38867F28">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16C9B111">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2C1CFE9B">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4809" w:type="pct"/>
            <w:noWrap w:val="0"/>
            <w:vAlign w:val="center"/>
          </w:tcPr>
          <w:p w14:paraId="1144D49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lang w:val="en-US" w:eastAsia="zh-CN"/>
              </w:rPr>
            </w:pPr>
            <w:r>
              <w:rPr>
                <w:rFonts w:hint="default" w:ascii="Times New Roman" w:hAnsi="Times New Roman" w:eastAsia="宋体" w:cs="Times New Roman"/>
                <w:b/>
                <w:bCs/>
                <w:caps w:val="0"/>
                <w:color w:val="auto"/>
                <w:spacing w:val="0"/>
                <w:kern w:val="0"/>
                <w:position w:val="0"/>
                <w:sz w:val="24"/>
                <w:szCs w:val="24"/>
                <w:highlight w:val="none"/>
                <w:lang w:val="en-US" w:eastAsia="zh-CN"/>
              </w:rPr>
              <w:t>2、废气达标排放情况</w:t>
            </w:r>
          </w:p>
          <w:p w14:paraId="237CAF6D">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default" w:ascii="Times New Roman" w:hAnsi="Times New Roman" w:eastAsia="宋体" w:cs="Times New Roman"/>
                <w:caps w:val="0"/>
                <w:color w:val="auto"/>
                <w:spacing w:val="0"/>
                <w:kern w:val="0"/>
                <w:position w:val="0"/>
                <w:sz w:val="24"/>
                <w:szCs w:val="24"/>
                <w:highlight w:val="none"/>
                <w:lang w:val="en-US" w:eastAsia="zh-CN"/>
              </w:rPr>
            </w:pPr>
            <w:r>
              <w:rPr>
                <w:rFonts w:hint="default" w:ascii="Times New Roman" w:hAnsi="Times New Roman" w:eastAsia="宋体" w:cs="Times New Roman"/>
                <w:caps w:val="0"/>
                <w:color w:val="auto"/>
                <w:spacing w:val="0"/>
                <w:kern w:val="0"/>
                <w:position w:val="0"/>
                <w:sz w:val="24"/>
                <w:szCs w:val="24"/>
                <w:highlight w:val="none"/>
                <w:lang w:val="en-US" w:eastAsia="zh-CN"/>
              </w:rPr>
              <w:t>根据以上分析，排气筒DA001排放的</w:t>
            </w:r>
            <w:r>
              <w:rPr>
                <w:rFonts w:hint="default" w:ascii="Times New Roman" w:hAnsi="Times New Roman" w:eastAsia="宋体" w:cs="Times New Roman"/>
                <w:color w:val="auto"/>
                <w:sz w:val="24"/>
                <w:szCs w:val="24"/>
                <w:highlight w:val="none"/>
                <w:lang w:val="en-US" w:eastAsia="zh-CN"/>
              </w:rPr>
              <w:t>沥青烟和</w:t>
            </w:r>
            <w:r>
              <w:rPr>
                <w:rFonts w:hint="default" w:ascii="Times New Roman" w:hAnsi="Times New Roman" w:eastAsia="宋体" w:cs="Times New Roman"/>
                <w:snapToGrid/>
                <w:color w:val="auto"/>
                <w:sz w:val="24"/>
                <w:szCs w:val="24"/>
                <w:highlight w:val="none"/>
                <w:lang w:val="en-US" w:eastAsia="zh-CN"/>
              </w:rPr>
              <w:t>苯并[a]芘</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满足《大气污染物综合排放标准》（GB16297-1996）表2二级标准要求；VOCs满足《挥发性有机物排放标准第7部分：其他行业》（DB37/2801.7-2019）表1Ⅱ时段</w:t>
            </w:r>
            <w:r>
              <w:rPr>
                <w:rFonts w:hint="eastAsia" w:cs="Times New Roman"/>
                <w:i w:val="0"/>
                <w:iCs w:val="0"/>
                <w:caps w:val="0"/>
                <w:color w:val="auto"/>
                <w:spacing w:val="0"/>
                <w:kern w:val="0"/>
                <w:sz w:val="24"/>
                <w:szCs w:val="24"/>
                <w:shd w:val="clear" w:color="auto" w:fill="FFFFFF"/>
                <w:lang w:val="en-US" w:eastAsia="zh-CN" w:bidi="ar"/>
              </w:rPr>
              <w:t>标准</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要求；臭气浓度满足《恶臭污染物排放标准》（GB14554-93）表2</w:t>
            </w:r>
            <w:r>
              <w:rPr>
                <w:rFonts w:hint="eastAsia" w:cs="Times New Roman"/>
                <w:i w:val="0"/>
                <w:iCs w:val="0"/>
                <w:caps w:val="0"/>
                <w:color w:val="auto"/>
                <w:spacing w:val="0"/>
                <w:kern w:val="0"/>
                <w:sz w:val="24"/>
                <w:szCs w:val="24"/>
                <w:shd w:val="clear" w:color="auto" w:fill="FFFFFF"/>
                <w:lang w:val="en-US" w:eastAsia="zh-CN" w:bidi="ar"/>
              </w:rPr>
              <w:t>标准要求</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。上料、干燥粉尘满足</w:t>
            </w:r>
            <w:r>
              <w:rPr>
                <w:rFonts w:hint="default" w:ascii="Times New Roman" w:hAnsi="Times New Roman" w:eastAsia="宋体" w:cs="Times New Roman"/>
                <w:color w:val="auto"/>
                <w:sz w:val="24"/>
                <w:szCs w:val="24"/>
                <w:highlight w:val="none"/>
                <w:lang w:eastAsia="zh-CN"/>
              </w:rPr>
              <w:t>《区域性大气污染物综合排放标准》（DB37/2376-2019）表1</w:t>
            </w:r>
            <w:r>
              <w:rPr>
                <w:rFonts w:hint="default" w:ascii="Times New Roman" w:hAnsi="Times New Roman" w:eastAsia="宋体"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lang w:eastAsia="zh-CN"/>
              </w:rPr>
              <w:t>控制区</w:t>
            </w:r>
            <w:r>
              <w:rPr>
                <w:rFonts w:hint="default"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eastAsia="zh-CN"/>
              </w:rPr>
              <w:t>要求</w:t>
            </w:r>
            <w:r>
              <w:rPr>
                <w:rFonts w:hint="default" w:ascii="Times New Roman" w:hAnsi="Times New Roman" w:eastAsia="宋体" w:cs="Times New Roman"/>
                <w:color w:val="auto"/>
                <w:sz w:val="24"/>
                <w:szCs w:val="24"/>
                <w:lang w:val="en-US" w:eastAsia="zh-CN"/>
              </w:rPr>
              <w:t>和《大气污染物综合排放标准》（GB16297-1996）表2二级标准要求。排气筒DA002排放的天然气燃烧废气满足《锅炉大气污染物排放标准》（DB37/2374-2018）表2重点</w:t>
            </w:r>
            <w:r>
              <w:rPr>
                <w:rFonts w:hint="default" w:ascii="Times New Roman" w:hAnsi="Times New Roman" w:eastAsia="宋体" w:cs="Times New Roman"/>
                <w:color w:val="auto"/>
                <w:kern w:val="0"/>
                <w:sz w:val="24"/>
                <w:szCs w:val="24"/>
                <w:lang w:val="en-US" w:eastAsia="zh-CN" w:bidi="ar"/>
              </w:rPr>
              <w:t>控制区</w:t>
            </w:r>
            <w:r>
              <w:rPr>
                <w:rFonts w:hint="default" w:ascii="Times New Roman" w:hAnsi="Times New Roman" w:eastAsia="宋体" w:cs="Times New Roman"/>
                <w:color w:val="auto"/>
                <w:sz w:val="24"/>
                <w:szCs w:val="24"/>
                <w:lang w:val="en-US" w:eastAsia="zh-CN"/>
              </w:rPr>
              <w:t>标准要求，同时氮氧化物满足《关于印发济宁市2018年大气污染防治工作方案的通知》（济气综治办发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43号）要求</w:t>
            </w:r>
            <w:r>
              <w:rPr>
                <w:rFonts w:hint="default" w:ascii="Times New Roman" w:hAnsi="Times New Roman" w:eastAsia="宋体" w:cs="Times New Roman"/>
                <w:color w:val="auto"/>
                <w:sz w:val="24"/>
                <w:szCs w:val="24"/>
                <w:highlight w:val="none"/>
                <w:lang w:val="en-US" w:eastAsia="zh-CN"/>
              </w:rPr>
              <w:t>。</w:t>
            </w:r>
          </w:p>
          <w:p w14:paraId="0C7CA9A3">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default" w:ascii="Times New Roman" w:hAnsi="Times New Roman" w:eastAsia="宋体" w:cs="Times New Roman"/>
                <w:bCs/>
                <w:caps w:val="0"/>
                <w:color w:val="auto"/>
                <w:spacing w:val="0"/>
                <w:kern w:val="0"/>
                <w:position w:val="0"/>
                <w:sz w:val="24"/>
                <w:szCs w:val="24"/>
                <w:highlight w:val="none"/>
                <w:lang w:val="en-US" w:eastAsia="zh-CN" w:bidi="zh-CN"/>
              </w:rPr>
            </w:pPr>
            <w:r>
              <w:rPr>
                <w:rFonts w:hint="default" w:ascii="Times New Roman" w:hAnsi="Times New Roman" w:eastAsia="宋体" w:cs="Times New Roman"/>
                <w:caps w:val="0"/>
                <w:color w:val="auto"/>
                <w:spacing w:val="0"/>
                <w:kern w:val="0"/>
                <w:position w:val="0"/>
                <w:sz w:val="24"/>
                <w:szCs w:val="24"/>
                <w:highlight w:val="none"/>
                <w:lang w:val="en-US" w:eastAsia="zh-CN"/>
              </w:rPr>
              <w:t>经大气扩散，</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厂界</w:t>
            </w:r>
            <w:r>
              <w:rPr>
                <w:rFonts w:hint="default" w:ascii="Times New Roman" w:hAnsi="Times New Roman" w:eastAsia="宋体" w:cs="Times New Roman"/>
                <w:color w:val="auto"/>
                <w:sz w:val="24"/>
                <w:szCs w:val="24"/>
                <w:highlight w:val="none"/>
                <w:lang w:eastAsia="zh-CN"/>
              </w:rPr>
              <w:t>无组织</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eastAsia="zh-CN"/>
              </w:rPr>
              <w:t>浓度</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eastAsia="zh-CN"/>
              </w:rPr>
              <w:t>《建材工业大气污染物排放标准》（DB37/2373-2018）表</w:t>
            </w:r>
            <w:r>
              <w:rPr>
                <w:rFonts w:hint="default" w:ascii="Times New Roman" w:hAnsi="Times New Roman" w:eastAsia="宋体" w:cs="Times New Roman"/>
                <w:color w:val="auto"/>
                <w:sz w:val="24"/>
                <w:szCs w:val="24"/>
                <w:highlight w:val="none"/>
                <w:lang w:val="en-US" w:eastAsia="zh-CN"/>
              </w:rPr>
              <w:t>3标准</w:t>
            </w:r>
            <w:r>
              <w:rPr>
                <w:rFonts w:hint="default" w:ascii="Times New Roman" w:hAnsi="Times New Roman" w:eastAsia="宋体" w:cs="Times New Roman"/>
                <w:color w:val="auto"/>
                <w:sz w:val="24"/>
                <w:szCs w:val="24"/>
                <w:highlight w:val="none"/>
                <w:lang w:eastAsia="zh-CN"/>
              </w:rPr>
              <w:t>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水泥行业</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厂界</w:t>
            </w:r>
            <w:r>
              <w:rPr>
                <w:rFonts w:hint="default" w:ascii="Times New Roman" w:hAnsi="Times New Roman" w:eastAsia="宋体" w:cs="Times New Roman"/>
                <w:color w:val="auto"/>
                <w:sz w:val="24"/>
                <w:szCs w:val="24"/>
                <w:highlight w:val="none"/>
                <w:lang w:eastAsia="zh-CN"/>
              </w:rPr>
              <w:t>无组织</w:t>
            </w:r>
            <w:r>
              <w:rPr>
                <w:rFonts w:hint="default" w:ascii="Times New Roman" w:hAnsi="Times New Roman" w:eastAsia="宋体" w:cs="Times New Roman"/>
                <w:color w:val="auto"/>
                <w:sz w:val="24"/>
                <w:szCs w:val="24"/>
                <w:highlight w:val="none"/>
                <w:lang w:val="en-US" w:eastAsia="zh-CN"/>
              </w:rPr>
              <w:t>沥青烟和</w:t>
            </w:r>
            <w:r>
              <w:rPr>
                <w:rFonts w:hint="default" w:ascii="Times New Roman" w:hAnsi="Times New Roman" w:eastAsia="宋体" w:cs="Times New Roman"/>
                <w:snapToGrid/>
                <w:color w:val="auto"/>
                <w:sz w:val="24"/>
                <w:szCs w:val="24"/>
                <w:highlight w:val="none"/>
                <w:lang w:val="en-US" w:eastAsia="zh-CN"/>
              </w:rPr>
              <w:t>苯并[a]芘</w:t>
            </w:r>
            <w:r>
              <w:rPr>
                <w:rFonts w:hint="default" w:ascii="Times New Roman" w:hAnsi="Times New Roman" w:eastAsia="宋体" w:cs="Times New Roman"/>
                <w:color w:val="auto"/>
                <w:sz w:val="24"/>
                <w:szCs w:val="24"/>
                <w:highlight w:val="none"/>
                <w:lang w:eastAsia="zh-CN"/>
              </w:rPr>
              <w:t>浓度满足《大气污染物综合排放标准》（GB16297-1996）表</w:t>
            </w:r>
            <w:r>
              <w:rPr>
                <w:rFonts w:hint="default" w:ascii="Times New Roman" w:hAnsi="Times New Roman" w:eastAsia="宋体" w:cs="Times New Roman"/>
                <w:color w:val="auto"/>
                <w:sz w:val="24"/>
                <w:szCs w:val="24"/>
                <w:highlight w:val="none"/>
                <w:lang w:val="en-US" w:eastAsia="zh-CN"/>
              </w:rPr>
              <w:t>2标准</w:t>
            </w:r>
            <w:r>
              <w:rPr>
                <w:rFonts w:hint="default" w:ascii="Times New Roman" w:hAnsi="Times New Roman" w:eastAsia="宋体" w:cs="Times New Roman"/>
                <w:color w:val="auto"/>
                <w:sz w:val="24"/>
                <w:szCs w:val="24"/>
                <w:highlight w:val="none"/>
                <w:lang w:eastAsia="zh-CN"/>
              </w:rPr>
              <w:t>要求。</w:t>
            </w:r>
            <w:r>
              <w:rPr>
                <w:rFonts w:hint="default" w:ascii="Times New Roman" w:hAnsi="Times New Roman" w:eastAsia="宋体" w:cs="Times New Roman"/>
                <w:color w:val="auto"/>
                <w:sz w:val="24"/>
                <w:szCs w:val="24"/>
                <w:highlight w:val="none"/>
                <w:lang w:val="en-US" w:eastAsia="zh-CN"/>
              </w:rPr>
              <w:t>厂界VOCs浓度和臭气浓度执行</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《挥发性有机物排放标准第7部分：其他行业》（DB37/2801.7-2019）表2标准要求</w:t>
            </w:r>
            <w:r>
              <w:rPr>
                <w:rFonts w:hint="default" w:ascii="Times New Roman" w:hAnsi="Times New Roman" w:eastAsia="宋体" w:cs="Times New Roman"/>
                <w:color w:val="auto"/>
                <w:sz w:val="24"/>
                <w:szCs w:val="24"/>
                <w:lang w:val="en-US" w:eastAsia="zh-CN"/>
              </w:rPr>
              <w:t>。厂房外厂界内VOCs</w:t>
            </w:r>
            <w:r>
              <w:rPr>
                <w:rFonts w:hint="default" w:ascii="Times New Roman" w:hAnsi="Times New Roman" w:eastAsia="宋体" w:cs="Times New Roman"/>
                <w:color w:val="auto"/>
                <w:sz w:val="24"/>
                <w:szCs w:val="24"/>
                <w:highlight w:val="none"/>
                <w:lang w:val="en-US" w:eastAsia="zh-CN"/>
              </w:rPr>
              <w:t>浓度执行《挥发性有机物无组织排放控制标准》（GB37822-2019）表A.1规定的特别排放限值</w:t>
            </w:r>
            <w:r>
              <w:rPr>
                <w:rFonts w:hint="default" w:ascii="Times New Roman" w:hAnsi="Times New Roman" w:eastAsia="宋体" w:cs="Times New Roman"/>
                <w:color w:val="auto"/>
                <w:kern w:val="0"/>
                <w:sz w:val="24"/>
                <w:szCs w:val="24"/>
                <w:lang w:eastAsia="zh-CN"/>
              </w:rPr>
              <w:t>。</w:t>
            </w:r>
          </w:p>
          <w:p w14:paraId="7D33947A">
            <w:pPr>
              <w:pStyle w:val="6"/>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caps w:val="0"/>
                <w:color w:val="auto"/>
                <w:spacing w:val="0"/>
                <w:kern w:val="0"/>
                <w:position w:val="0"/>
                <w:sz w:val="24"/>
                <w:szCs w:val="24"/>
                <w:highlight w:val="none"/>
              </w:rPr>
            </w:pPr>
            <w:r>
              <w:rPr>
                <w:rFonts w:hint="default" w:ascii="Times New Roman" w:hAnsi="Times New Roman" w:eastAsia="宋体" w:cs="Times New Roman"/>
                <w:b/>
                <w:caps w:val="0"/>
                <w:color w:val="auto"/>
                <w:spacing w:val="0"/>
                <w:kern w:val="0"/>
                <w:position w:val="0"/>
                <w:sz w:val="24"/>
                <w:szCs w:val="24"/>
                <w:highlight w:val="none"/>
                <w:lang w:val="en-US" w:eastAsia="zh-CN"/>
              </w:rPr>
              <w:t>3</w:t>
            </w:r>
            <w:r>
              <w:rPr>
                <w:rFonts w:hint="default" w:ascii="Times New Roman" w:hAnsi="Times New Roman" w:eastAsia="宋体" w:cs="Times New Roman"/>
                <w:b/>
                <w:caps w:val="0"/>
                <w:color w:val="auto"/>
                <w:spacing w:val="0"/>
                <w:kern w:val="0"/>
                <w:position w:val="0"/>
                <w:sz w:val="24"/>
                <w:szCs w:val="24"/>
                <w:highlight w:val="none"/>
              </w:rPr>
              <w:t>、废气污染防治设施可行性分析</w:t>
            </w:r>
          </w:p>
          <w:p w14:paraId="49F6B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aps w:val="0"/>
                <w:color w:val="auto"/>
                <w:spacing w:val="0"/>
                <w:kern w:val="0"/>
                <w:position w:val="0"/>
                <w:sz w:val="24"/>
                <w:szCs w:val="24"/>
                <w:lang w:val="en-US" w:eastAsia="zh-CN" w:bidi="ar"/>
              </w:rPr>
            </w:pPr>
            <w:r>
              <w:rPr>
                <w:rFonts w:hint="default" w:ascii="Times New Roman" w:hAnsi="Times New Roman" w:eastAsia="宋体" w:cs="Times New Roman"/>
                <w:bCs/>
                <w:caps w:val="0"/>
                <w:color w:val="auto"/>
                <w:spacing w:val="0"/>
                <w:kern w:val="0"/>
                <w:position w:val="0"/>
                <w:sz w:val="24"/>
                <w:szCs w:val="24"/>
                <w:lang w:eastAsia="zh-CN" w:bidi="ar"/>
              </w:rPr>
              <w:t>参考《排污许可证申请与核发技术规范 石墨及其他非金属矿物制品制造》（HJ1119-2020）、《排污许可证申请与核发技术规范 锅炉》（HJ953</w:t>
            </w:r>
            <w:r>
              <w:rPr>
                <w:rFonts w:hint="eastAsia" w:ascii="Times New Roman" w:hAnsi="Times New Roman" w:eastAsia="宋体" w:cs="Times New Roman"/>
                <w:bCs/>
                <w:caps w:val="0"/>
                <w:color w:val="auto"/>
                <w:spacing w:val="0"/>
                <w:kern w:val="0"/>
                <w:position w:val="0"/>
                <w:sz w:val="24"/>
                <w:szCs w:val="24"/>
                <w:lang w:val="en-US" w:eastAsia="zh-CN" w:bidi="ar"/>
              </w:rPr>
              <w:t>-</w:t>
            </w:r>
            <w:r>
              <w:rPr>
                <w:rFonts w:hint="default" w:ascii="Times New Roman" w:hAnsi="Times New Roman" w:eastAsia="宋体" w:cs="Times New Roman"/>
                <w:bCs/>
                <w:caps w:val="0"/>
                <w:color w:val="auto"/>
                <w:spacing w:val="0"/>
                <w:kern w:val="0"/>
                <w:position w:val="0"/>
                <w:sz w:val="24"/>
                <w:szCs w:val="24"/>
                <w:lang w:eastAsia="zh-CN" w:bidi="ar"/>
              </w:rPr>
              <w:t>2018）</w:t>
            </w:r>
            <w:r>
              <w:rPr>
                <w:rFonts w:hint="eastAsia" w:ascii="Times New Roman" w:hAnsi="Times New Roman" w:eastAsia="宋体" w:cs="Times New Roman"/>
                <w:bCs/>
                <w:caps w:val="0"/>
                <w:color w:val="auto"/>
                <w:spacing w:val="0"/>
                <w:kern w:val="0"/>
                <w:position w:val="0"/>
                <w:sz w:val="24"/>
                <w:szCs w:val="24"/>
                <w:lang w:eastAsia="zh-CN" w:bidi="ar"/>
              </w:rPr>
              <w:t>，废气污染防治设施可行性分析</w:t>
            </w:r>
            <w:r>
              <w:rPr>
                <w:rFonts w:hint="eastAsia" w:ascii="Times New Roman" w:hAnsi="Times New Roman" w:eastAsia="宋体" w:cs="Times New Roman"/>
                <w:bCs/>
                <w:caps w:val="0"/>
                <w:color w:val="auto"/>
                <w:spacing w:val="0"/>
                <w:kern w:val="0"/>
                <w:position w:val="0"/>
                <w:sz w:val="24"/>
                <w:szCs w:val="24"/>
                <w:lang w:val="en-US" w:eastAsia="zh-CN" w:bidi="ar"/>
              </w:rPr>
              <w:t>见下表。</w:t>
            </w:r>
          </w:p>
          <w:p w14:paraId="118BFD9A">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color w:val="auto"/>
                <w:sz w:val="24"/>
                <w:szCs w:val="24"/>
              </w:rPr>
            </w:pPr>
            <w:r>
              <w:rPr>
                <w:rFonts w:hint="eastAsia" w:cs="Times New Roman"/>
                <w:b/>
                <w:bCs/>
                <w:caps w:val="0"/>
                <w:snapToGrid w:val="0"/>
                <w:color w:val="auto"/>
                <w:spacing w:val="0"/>
                <w:kern w:val="0"/>
                <w:sz w:val="24"/>
                <w:szCs w:val="24"/>
                <w:highlight w:val="none"/>
                <w:lang w:val="en-US" w:eastAsia="zh-CN" w:bidi="ar-SA"/>
              </w:rPr>
              <w:t>废气治理</w:t>
            </w: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可行技术</w:t>
            </w:r>
          </w:p>
          <w:tbl>
            <w:tblPr>
              <w:tblStyle w:val="4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44"/>
              <w:gridCol w:w="1920"/>
              <w:gridCol w:w="2114"/>
              <w:gridCol w:w="2035"/>
              <w:gridCol w:w="973"/>
            </w:tblGrid>
            <w:tr w14:paraId="00838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tcBorders>
                    <w:tl2br w:val="nil"/>
                    <w:tr2bl w:val="nil"/>
                  </w:tcBorders>
                  <w:vAlign w:val="center"/>
                </w:tcPr>
                <w:p w14:paraId="583302C0">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类别</w:t>
                  </w:r>
                </w:p>
              </w:tc>
              <w:tc>
                <w:tcPr>
                  <w:tcW w:w="1217" w:type="pct"/>
                  <w:tcBorders>
                    <w:tl2br w:val="nil"/>
                    <w:tr2bl w:val="nil"/>
                  </w:tcBorders>
                  <w:vAlign w:val="center"/>
                </w:tcPr>
                <w:p w14:paraId="69BFAEF5">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主要污染物</w:t>
                  </w:r>
                </w:p>
              </w:tc>
              <w:tc>
                <w:tcPr>
                  <w:tcW w:w="1340" w:type="pct"/>
                  <w:tcBorders>
                    <w:tl2br w:val="nil"/>
                    <w:tr2bl w:val="nil"/>
                  </w:tcBorders>
                  <w:vAlign w:val="center"/>
                </w:tcPr>
                <w:p w14:paraId="26CD34F3">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推荐</w:t>
                  </w: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可行技术</w:t>
                  </w:r>
                </w:p>
              </w:tc>
              <w:tc>
                <w:tcPr>
                  <w:tcW w:w="1290" w:type="pct"/>
                  <w:tcBorders>
                    <w:tl2br w:val="nil"/>
                    <w:tr2bl w:val="nil"/>
                  </w:tcBorders>
                  <w:vAlign w:val="center"/>
                </w:tcPr>
                <w:p w14:paraId="41BAAA87">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本项目处理措施</w:t>
                  </w:r>
                </w:p>
              </w:tc>
              <w:tc>
                <w:tcPr>
                  <w:tcW w:w="616" w:type="pct"/>
                  <w:tcBorders>
                    <w:tl2br w:val="nil"/>
                    <w:tr2bl w:val="nil"/>
                  </w:tcBorders>
                  <w:vAlign w:val="center"/>
                </w:tcPr>
                <w:p w14:paraId="115546C3">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是否符合</w:t>
                  </w:r>
                </w:p>
              </w:tc>
            </w:tr>
            <w:tr w14:paraId="548F6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tcBorders>
                    <w:tl2br w:val="nil"/>
                    <w:tr2bl w:val="nil"/>
                  </w:tcBorders>
                  <w:vAlign w:val="center"/>
                </w:tcPr>
                <w:p w14:paraId="34DB6C0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沥青烟气</w:t>
                  </w:r>
                </w:p>
              </w:tc>
              <w:tc>
                <w:tcPr>
                  <w:tcW w:w="1217" w:type="pct"/>
                  <w:tcBorders>
                    <w:tl2br w:val="nil"/>
                    <w:tr2bl w:val="nil"/>
                  </w:tcBorders>
                  <w:vAlign w:val="center"/>
                </w:tcPr>
                <w:p w14:paraId="2F87D63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沥青烟、苯并[a]芘</w:t>
                  </w:r>
                  <w:r>
                    <w:rPr>
                      <w:rFonts w:hint="eastAsia" w:cs="Times New Roman"/>
                      <w:i w:val="0"/>
                      <w:iCs w:val="0"/>
                      <w:caps w:val="0"/>
                      <w:snapToGrid w:val="0"/>
                      <w:color w:val="auto"/>
                      <w:spacing w:val="0"/>
                      <w:kern w:val="0"/>
                      <w:position w:val="0"/>
                      <w:sz w:val="21"/>
                      <w:szCs w:val="21"/>
                      <w:highlight w:val="none"/>
                      <w:u w:val="none"/>
                      <w:lang w:val="en-US" w:eastAsia="zh-CN" w:bidi="ar"/>
                    </w:rPr>
                    <w:t>、VOCs、臭气浓度</w:t>
                  </w:r>
                </w:p>
              </w:tc>
              <w:tc>
                <w:tcPr>
                  <w:tcW w:w="1340" w:type="pct"/>
                  <w:tcBorders>
                    <w:tl2br w:val="nil"/>
                    <w:tr2bl w:val="nil"/>
                  </w:tcBorders>
                  <w:vAlign w:val="center"/>
                </w:tcPr>
                <w:p w14:paraId="7EB7BE02">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活性炭吸附、电捕焦油器、电捕焦油器+活性炭吸附</w:t>
                  </w:r>
                </w:p>
              </w:tc>
              <w:tc>
                <w:tcPr>
                  <w:tcW w:w="1290" w:type="pct"/>
                  <w:tcBorders>
                    <w:tl2br w:val="nil"/>
                    <w:tr2bl w:val="nil"/>
                  </w:tcBorders>
                  <w:vAlign w:val="center"/>
                </w:tcPr>
                <w:p w14:paraId="39A5163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水喷淋+电捕焦油器+二级活性炭吸附</w:t>
                  </w:r>
                </w:p>
              </w:tc>
              <w:tc>
                <w:tcPr>
                  <w:tcW w:w="616" w:type="pct"/>
                  <w:tcBorders>
                    <w:tl2br w:val="nil"/>
                    <w:tr2bl w:val="nil"/>
                  </w:tcBorders>
                  <w:vAlign w:val="center"/>
                </w:tcPr>
                <w:p w14:paraId="66C68BE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符合</w:t>
                  </w:r>
                </w:p>
              </w:tc>
            </w:tr>
            <w:tr w14:paraId="45296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restart"/>
                  <w:tcBorders>
                    <w:tl2br w:val="nil"/>
                    <w:tr2bl w:val="nil"/>
                  </w:tcBorders>
                  <w:vAlign w:val="center"/>
                </w:tcPr>
                <w:p w14:paraId="0E0E039C">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上料、干燥粉尘</w:t>
                  </w:r>
                </w:p>
              </w:tc>
              <w:tc>
                <w:tcPr>
                  <w:tcW w:w="1217" w:type="pct"/>
                  <w:tcBorders>
                    <w:tl2br w:val="nil"/>
                    <w:tr2bl w:val="nil"/>
                  </w:tcBorders>
                  <w:vAlign w:val="center"/>
                </w:tcPr>
                <w:p w14:paraId="4749DAD9">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颗粒物</w:t>
                  </w:r>
                </w:p>
              </w:tc>
              <w:tc>
                <w:tcPr>
                  <w:tcW w:w="1340" w:type="pct"/>
                  <w:tcBorders>
                    <w:tl2br w:val="nil"/>
                    <w:tr2bl w:val="nil"/>
                  </w:tcBorders>
                  <w:vAlign w:val="center"/>
                </w:tcPr>
                <w:p w14:paraId="5E7AC76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旋风除尘+布袋除尘、旋风除尘+静电除尘</w:t>
                  </w:r>
                </w:p>
              </w:tc>
              <w:tc>
                <w:tcPr>
                  <w:tcW w:w="1290" w:type="pct"/>
                  <w:tcBorders>
                    <w:tl2br w:val="nil"/>
                    <w:tr2bl w:val="nil"/>
                  </w:tcBorders>
                  <w:vAlign w:val="center"/>
                </w:tcPr>
                <w:p w14:paraId="57960A1E">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旋风除尘器+布袋除尘器</w:t>
                  </w:r>
                </w:p>
              </w:tc>
              <w:tc>
                <w:tcPr>
                  <w:tcW w:w="616" w:type="pct"/>
                  <w:tcBorders>
                    <w:tl2br w:val="nil"/>
                    <w:tr2bl w:val="nil"/>
                  </w:tcBorders>
                  <w:vAlign w:val="center"/>
                </w:tcPr>
                <w:p w14:paraId="1554E4D2">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符合</w:t>
                  </w:r>
                </w:p>
              </w:tc>
            </w:tr>
            <w:tr w14:paraId="5DB49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vAlign w:val="center"/>
                </w:tcPr>
                <w:p w14:paraId="08586FDF">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cs="Times New Roman"/>
                      <w:i w:val="0"/>
                      <w:iCs w:val="0"/>
                      <w:caps w:val="0"/>
                      <w:snapToGrid w:val="0"/>
                      <w:color w:val="auto"/>
                      <w:spacing w:val="0"/>
                      <w:kern w:val="0"/>
                      <w:position w:val="0"/>
                      <w:sz w:val="21"/>
                      <w:szCs w:val="21"/>
                      <w:highlight w:val="none"/>
                      <w:u w:val="none"/>
                      <w:lang w:val="en-US" w:eastAsia="zh-CN" w:bidi="ar"/>
                    </w:rPr>
                  </w:pPr>
                </w:p>
              </w:tc>
              <w:tc>
                <w:tcPr>
                  <w:tcW w:w="1217" w:type="pct"/>
                  <w:tcBorders>
                    <w:tl2br w:val="nil"/>
                    <w:tr2bl w:val="nil"/>
                  </w:tcBorders>
                  <w:vAlign w:val="center"/>
                </w:tcPr>
                <w:p w14:paraId="75154179">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1340" w:type="pct"/>
                  <w:tcBorders>
                    <w:tl2br w:val="nil"/>
                    <w:tr2bl w:val="nil"/>
                  </w:tcBorders>
                  <w:vAlign w:val="center"/>
                </w:tcPr>
                <w:p w14:paraId="28510A57">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c>
                <w:tcPr>
                  <w:tcW w:w="1290" w:type="pct"/>
                  <w:tcBorders>
                    <w:tl2br w:val="nil"/>
                    <w:tr2bl w:val="nil"/>
                  </w:tcBorders>
                  <w:vAlign w:val="center"/>
                </w:tcPr>
                <w:p w14:paraId="6A28533C">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16" w:type="pct"/>
                  <w:tcBorders>
                    <w:tl2br w:val="nil"/>
                    <w:tr2bl w:val="nil"/>
                  </w:tcBorders>
                  <w:vAlign w:val="center"/>
                </w:tcPr>
                <w:p w14:paraId="49C9B756">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r>
            <w:tr w14:paraId="1B8B9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vAlign w:val="center"/>
                </w:tcPr>
                <w:p w14:paraId="2A21E2D9">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cs="Times New Roman"/>
                      <w:i w:val="0"/>
                      <w:iCs w:val="0"/>
                      <w:caps w:val="0"/>
                      <w:snapToGrid w:val="0"/>
                      <w:color w:val="auto"/>
                      <w:spacing w:val="0"/>
                      <w:kern w:val="0"/>
                      <w:position w:val="0"/>
                      <w:sz w:val="21"/>
                      <w:szCs w:val="21"/>
                      <w:highlight w:val="none"/>
                      <w:u w:val="none"/>
                      <w:lang w:val="en-US" w:eastAsia="zh-CN" w:bidi="ar"/>
                    </w:rPr>
                  </w:pPr>
                </w:p>
              </w:tc>
              <w:tc>
                <w:tcPr>
                  <w:tcW w:w="1217" w:type="pct"/>
                  <w:tcBorders>
                    <w:tl2br w:val="nil"/>
                    <w:tr2bl w:val="nil"/>
                  </w:tcBorders>
                  <w:vAlign w:val="center"/>
                </w:tcPr>
                <w:p w14:paraId="7760DA84">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auto"/>
                      <w:sz w:val="21"/>
                      <w:szCs w:val="21"/>
                      <w:lang w:eastAsia="zh-CN"/>
                    </w:rPr>
                    <w:t>NOx</w:t>
                  </w:r>
                </w:p>
              </w:tc>
              <w:tc>
                <w:tcPr>
                  <w:tcW w:w="1340" w:type="pct"/>
                  <w:tcBorders>
                    <w:tl2br w:val="nil"/>
                    <w:tr2bl w:val="nil"/>
                  </w:tcBorders>
                  <w:vAlign w:val="center"/>
                </w:tcPr>
                <w:p w14:paraId="43D0D72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低氮燃烧技术、低氮燃烧+SCR脱硝技术</w:t>
                  </w:r>
                </w:p>
              </w:tc>
              <w:tc>
                <w:tcPr>
                  <w:tcW w:w="1290" w:type="pct"/>
                  <w:tcBorders>
                    <w:tl2br w:val="nil"/>
                    <w:tr2bl w:val="nil"/>
                  </w:tcBorders>
                  <w:vAlign w:val="center"/>
                </w:tcPr>
                <w:p w14:paraId="152360AF">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低氮燃烧</w:t>
                  </w:r>
                </w:p>
              </w:tc>
              <w:tc>
                <w:tcPr>
                  <w:tcW w:w="616" w:type="pct"/>
                  <w:tcBorders>
                    <w:tl2br w:val="nil"/>
                    <w:tr2bl w:val="nil"/>
                  </w:tcBorders>
                  <w:vAlign w:val="center"/>
                </w:tcPr>
                <w:p w14:paraId="3F1972E8">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符合</w:t>
                  </w:r>
                </w:p>
              </w:tc>
            </w:tr>
            <w:tr w14:paraId="11499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restart"/>
                  <w:tcBorders>
                    <w:tl2br w:val="nil"/>
                    <w:tr2bl w:val="nil"/>
                  </w:tcBorders>
                  <w:vAlign w:val="center"/>
                </w:tcPr>
                <w:p w14:paraId="4BE092CC">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导热油炉</w:t>
                  </w:r>
                  <w:r>
                    <w:rPr>
                      <w:rFonts w:hint="eastAsia" w:cs="Times New Roman"/>
                      <w:i w:val="0"/>
                      <w:iCs w:val="0"/>
                      <w:caps w:val="0"/>
                      <w:snapToGrid w:val="0"/>
                      <w:color w:val="auto"/>
                      <w:spacing w:val="0"/>
                      <w:kern w:val="0"/>
                      <w:position w:val="0"/>
                      <w:sz w:val="21"/>
                      <w:szCs w:val="21"/>
                      <w:highlight w:val="none"/>
                      <w:u w:val="none"/>
                      <w:lang w:val="en-US" w:eastAsia="zh-CN" w:bidi="ar"/>
                    </w:rPr>
                    <w:t>废气</w:t>
                  </w:r>
                </w:p>
              </w:tc>
              <w:tc>
                <w:tcPr>
                  <w:tcW w:w="1217" w:type="pct"/>
                  <w:tcBorders>
                    <w:tl2br w:val="nil"/>
                    <w:tr2bl w:val="nil"/>
                  </w:tcBorders>
                  <w:vAlign w:val="center"/>
                </w:tcPr>
                <w:p w14:paraId="60B4FD0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颗粒物</w:t>
                  </w:r>
                </w:p>
              </w:tc>
              <w:tc>
                <w:tcPr>
                  <w:tcW w:w="1340" w:type="pct"/>
                  <w:tcBorders>
                    <w:tl2br w:val="nil"/>
                    <w:tr2bl w:val="nil"/>
                  </w:tcBorders>
                  <w:vAlign w:val="center"/>
                </w:tcPr>
                <w:p w14:paraId="4F7D678F">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c>
                <w:tcPr>
                  <w:tcW w:w="1290" w:type="pct"/>
                  <w:tcBorders>
                    <w:tl2br w:val="nil"/>
                    <w:tr2bl w:val="nil"/>
                  </w:tcBorders>
                  <w:vAlign w:val="center"/>
                </w:tcPr>
                <w:p w14:paraId="7E757F52">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c>
                <w:tcPr>
                  <w:tcW w:w="616" w:type="pct"/>
                  <w:tcBorders>
                    <w:tl2br w:val="nil"/>
                    <w:tr2bl w:val="nil"/>
                  </w:tcBorders>
                  <w:vAlign w:val="center"/>
                </w:tcPr>
                <w:p w14:paraId="525C845E">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r>
            <w:tr w14:paraId="64E85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vAlign w:val="center"/>
                </w:tcPr>
                <w:p w14:paraId="76FA10B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1217" w:type="pct"/>
                  <w:tcBorders>
                    <w:tl2br w:val="nil"/>
                    <w:tr2bl w:val="nil"/>
                  </w:tcBorders>
                  <w:vAlign w:val="center"/>
                </w:tcPr>
                <w:p w14:paraId="471CFA6D">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1340" w:type="pct"/>
                  <w:tcBorders>
                    <w:tl2br w:val="nil"/>
                    <w:tr2bl w:val="nil"/>
                  </w:tcBorders>
                  <w:vAlign w:val="center"/>
                </w:tcPr>
                <w:p w14:paraId="5F92481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c>
                <w:tcPr>
                  <w:tcW w:w="1290" w:type="pct"/>
                  <w:tcBorders>
                    <w:tl2br w:val="nil"/>
                    <w:tr2bl w:val="nil"/>
                  </w:tcBorders>
                  <w:vAlign w:val="center"/>
                </w:tcPr>
                <w:p w14:paraId="26D656FD">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16" w:type="pct"/>
                  <w:tcBorders>
                    <w:tl2br w:val="nil"/>
                    <w:tr2bl w:val="nil"/>
                  </w:tcBorders>
                  <w:vAlign w:val="center"/>
                </w:tcPr>
                <w:p w14:paraId="67EFBCFF">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w:t>
                  </w:r>
                </w:p>
              </w:tc>
            </w:tr>
            <w:tr w14:paraId="3AF93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pct"/>
                  <w:vMerge w:val="continue"/>
                  <w:tcBorders>
                    <w:tl2br w:val="nil"/>
                    <w:tr2bl w:val="nil"/>
                  </w:tcBorders>
                  <w:vAlign w:val="center"/>
                </w:tcPr>
                <w:p w14:paraId="5C46C00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1217" w:type="pct"/>
                  <w:tcBorders>
                    <w:tl2br w:val="nil"/>
                    <w:tr2bl w:val="nil"/>
                  </w:tcBorders>
                  <w:vAlign w:val="center"/>
                </w:tcPr>
                <w:p w14:paraId="643F2926">
                  <w:pPr>
                    <w:pStyle w:val="47"/>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auto"/>
                      <w:sz w:val="21"/>
                      <w:szCs w:val="21"/>
                      <w:lang w:eastAsia="zh-CN"/>
                    </w:rPr>
                    <w:t>NOx</w:t>
                  </w:r>
                </w:p>
              </w:tc>
              <w:tc>
                <w:tcPr>
                  <w:tcW w:w="1340" w:type="pct"/>
                  <w:tcBorders>
                    <w:tl2br w:val="nil"/>
                    <w:tr2bl w:val="nil"/>
                  </w:tcBorders>
                  <w:vAlign w:val="center"/>
                </w:tcPr>
                <w:p w14:paraId="078064DD">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低氮燃烧技术、低氮燃烧+SCR脱硝技术</w:t>
                  </w:r>
                </w:p>
              </w:tc>
              <w:tc>
                <w:tcPr>
                  <w:tcW w:w="1290" w:type="pct"/>
                  <w:tcBorders>
                    <w:tl2br w:val="nil"/>
                    <w:tr2bl w:val="nil"/>
                  </w:tcBorders>
                  <w:vAlign w:val="center"/>
                </w:tcPr>
                <w:p w14:paraId="6EBAF635">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color w:val="auto"/>
                      <w:spacing w:val="0"/>
                      <w:kern w:val="0"/>
                      <w:sz w:val="21"/>
                      <w:szCs w:val="21"/>
                      <w:shd w:val="clear" w:color="auto" w:fill="FFFFFF"/>
                      <w:lang w:val="en-US" w:eastAsia="zh-CN" w:bidi="ar"/>
                    </w:rPr>
                    <w:t>低氮燃烧</w:t>
                  </w:r>
                </w:p>
              </w:tc>
              <w:tc>
                <w:tcPr>
                  <w:tcW w:w="616" w:type="pct"/>
                  <w:tcBorders>
                    <w:tl2br w:val="nil"/>
                    <w:tr2bl w:val="nil"/>
                  </w:tcBorders>
                  <w:vAlign w:val="center"/>
                </w:tcPr>
                <w:p w14:paraId="08761D7D">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cs="Times New Roman"/>
                      <w:i w:val="0"/>
                      <w:iCs w:val="0"/>
                      <w:caps w:val="0"/>
                      <w:snapToGrid w:val="0"/>
                      <w:color w:val="auto"/>
                      <w:spacing w:val="0"/>
                      <w:kern w:val="0"/>
                      <w:position w:val="0"/>
                      <w:sz w:val="21"/>
                      <w:szCs w:val="21"/>
                      <w:highlight w:val="none"/>
                      <w:u w:val="none"/>
                      <w:lang w:val="en-US" w:eastAsia="zh-CN" w:bidi="ar"/>
                    </w:rPr>
                    <w:t>符合</w:t>
                  </w:r>
                </w:p>
              </w:tc>
            </w:tr>
          </w:tbl>
          <w:p w14:paraId="41427C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aps w:val="0"/>
                <w:color w:val="auto"/>
                <w:spacing w:val="0"/>
                <w:kern w:val="0"/>
                <w:position w:val="0"/>
                <w:sz w:val="24"/>
                <w:szCs w:val="24"/>
              </w:rPr>
            </w:pPr>
            <w:r>
              <w:rPr>
                <w:rFonts w:hint="default" w:ascii="Times New Roman" w:hAnsi="Times New Roman" w:eastAsia="宋体" w:cs="Times New Roman"/>
                <w:b/>
                <w:caps w:val="0"/>
                <w:color w:val="auto"/>
                <w:spacing w:val="0"/>
                <w:kern w:val="0"/>
                <w:position w:val="0"/>
                <w:sz w:val="24"/>
                <w:szCs w:val="24"/>
                <w:lang w:val="en-US" w:eastAsia="zh-CN"/>
              </w:rPr>
              <w:t>4</w:t>
            </w:r>
            <w:r>
              <w:rPr>
                <w:rFonts w:hint="default" w:ascii="Times New Roman" w:hAnsi="Times New Roman" w:eastAsia="宋体" w:cs="Times New Roman"/>
                <w:b/>
                <w:caps w:val="0"/>
                <w:color w:val="auto"/>
                <w:spacing w:val="0"/>
                <w:kern w:val="0"/>
                <w:position w:val="0"/>
                <w:sz w:val="24"/>
                <w:szCs w:val="24"/>
              </w:rPr>
              <w:t>、非正常工况</w:t>
            </w:r>
          </w:p>
          <w:p w14:paraId="019F8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针对项目</w:t>
            </w:r>
            <w:r>
              <w:rPr>
                <w:rFonts w:hint="default" w:ascii="Times New Roman" w:hAnsi="Times New Roman" w:eastAsia="宋体" w:cs="Times New Roman"/>
                <w:bCs/>
                <w:caps w:val="0"/>
                <w:color w:val="auto"/>
                <w:spacing w:val="0"/>
                <w:kern w:val="0"/>
                <w:position w:val="0"/>
                <w:sz w:val="24"/>
                <w:szCs w:val="24"/>
                <w:lang w:val="en-US" w:eastAsia="zh-CN" w:bidi="ar"/>
              </w:rPr>
              <w:t>特点</w:t>
            </w: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，非正常工况下考虑</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废气处理设施</w:t>
            </w: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失效，</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其中</w:t>
            </w:r>
            <w:r>
              <w:rPr>
                <w:rFonts w:hint="eastAsia" w:cs="Times New Roman"/>
                <w:b w:val="0"/>
                <w:bCs w:val="0"/>
                <w:caps w:val="0"/>
                <w:color w:val="auto"/>
                <w:spacing w:val="0"/>
                <w:kern w:val="0"/>
                <w:position w:val="0"/>
                <w:sz w:val="24"/>
                <w:szCs w:val="24"/>
                <w:highlight w:val="none"/>
                <w:lang w:val="en-US" w:eastAsia="zh-CN"/>
              </w:rPr>
              <w:t>旋风除尘器+布袋除尘器和</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水喷淋+电捕焦油器+二级活性炭吸附</w:t>
            </w: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处理效率按0计算</w:t>
            </w:r>
            <w:r>
              <w:rPr>
                <w:rFonts w:hint="eastAsia" w:cs="Times New Roman"/>
                <w:b w:val="0"/>
                <w:bCs w:val="0"/>
                <w:caps w:val="0"/>
                <w:color w:val="auto"/>
                <w:spacing w:val="0"/>
                <w:kern w:val="0"/>
                <w:position w:val="0"/>
                <w:sz w:val="24"/>
                <w:szCs w:val="24"/>
                <w:highlight w:val="none"/>
                <w:lang w:val="en-US" w:eastAsia="zh-CN"/>
              </w:rPr>
              <w:t>。低氮燃烧器失效，</w:t>
            </w:r>
            <w:r>
              <w:rPr>
                <w:rFonts w:hint="eastAsia"/>
                <w:color w:val="auto"/>
                <w:kern w:val="0"/>
                <w:sz w:val="24"/>
                <w:szCs w:val="24"/>
              </w:rPr>
              <w:t>氮氧化物产生量按《排污许可证申请与核发技术规范 锅炉（HJ953-2018）》中的无低氮燃烧，产污系数为18.71</w:t>
            </w:r>
            <w:r>
              <w:rPr>
                <w:color w:val="auto"/>
                <w:sz w:val="24"/>
                <w:szCs w:val="24"/>
              </w:rPr>
              <w:t>kg/万m</w:t>
            </w:r>
            <w:r>
              <w:rPr>
                <w:color w:val="auto"/>
                <w:sz w:val="24"/>
                <w:szCs w:val="24"/>
                <w:vertAlign w:val="superscript"/>
              </w:rPr>
              <w:t>3</w:t>
            </w:r>
            <w:r>
              <w:rPr>
                <w:color w:val="auto"/>
                <w:sz w:val="24"/>
                <w:szCs w:val="24"/>
              </w:rPr>
              <w:t>-原料</w:t>
            </w:r>
            <w:r>
              <w:rPr>
                <w:rFonts w:hint="eastAsia"/>
                <w:color w:val="auto"/>
                <w:sz w:val="24"/>
                <w:szCs w:val="24"/>
                <w:lang w:eastAsia="zh-CN"/>
              </w:rPr>
              <w:t>。</w:t>
            </w: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发生频次按每年一次，非正常工况下废气排放情况见下表。</w:t>
            </w:r>
          </w:p>
          <w:p w14:paraId="1C768FA3">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非正常工况下废气污染物排放情况一览表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123"/>
              <w:gridCol w:w="1305"/>
              <w:gridCol w:w="1111"/>
              <w:gridCol w:w="1019"/>
              <w:gridCol w:w="1167"/>
              <w:gridCol w:w="1317"/>
            </w:tblGrid>
            <w:tr w14:paraId="78D5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noWrap w:val="0"/>
                  <w:vAlign w:val="center"/>
                </w:tcPr>
                <w:p w14:paraId="14393900">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排放源</w:t>
                  </w:r>
                </w:p>
              </w:tc>
              <w:tc>
                <w:tcPr>
                  <w:tcW w:w="712" w:type="pct"/>
                  <w:noWrap w:val="0"/>
                  <w:vAlign w:val="center"/>
                </w:tcPr>
                <w:p w14:paraId="3AA1DBF2">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污染物</w:t>
                  </w:r>
                </w:p>
              </w:tc>
              <w:tc>
                <w:tcPr>
                  <w:tcW w:w="827" w:type="pct"/>
                  <w:noWrap w:val="0"/>
                  <w:vAlign w:val="center"/>
                </w:tcPr>
                <w:p w14:paraId="407F6831">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排放速率</w:t>
                  </w:r>
                </w:p>
                <w:p w14:paraId="445F9985">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kg/h</w:t>
                  </w:r>
                </w:p>
              </w:tc>
              <w:tc>
                <w:tcPr>
                  <w:tcW w:w="704" w:type="pct"/>
                  <w:noWrap w:val="0"/>
                  <w:vAlign w:val="center"/>
                </w:tcPr>
                <w:p w14:paraId="3886A299">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持续时间</w:t>
                  </w:r>
                </w:p>
                <w:p w14:paraId="08C7E912">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h</w:t>
                  </w:r>
                </w:p>
              </w:tc>
              <w:tc>
                <w:tcPr>
                  <w:tcW w:w="646" w:type="pct"/>
                  <w:noWrap w:val="0"/>
                  <w:vAlign w:val="center"/>
                </w:tcPr>
                <w:p w14:paraId="386FC2F0">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排放量</w:t>
                  </w:r>
                </w:p>
                <w:p w14:paraId="0984931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40" w:type="pct"/>
                  <w:noWrap w:val="0"/>
                  <w:vAlign w:val="center"/>
                </w:tcPr>
                <w:p w14:paraId="1D131DEA">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排放浓度</w:t>
                  </w:r>
                </w:p>
                <w:p w14:paraId="100CB09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35" w:type="pct"/>
                  <w:noWrap w:val="0"/>
                  <w:vAlign w:val="center"/>
                </w:tcPr>
                <w:p w14:paraId="211ED1F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vertAlign w:val="baseline"/>
                      <w:lang w:val="en-US" w:eastAsia="zh-CN"/>
                    </w:rPr>
                    <w:t>措施</w:t>
                  </w:r>
                </w:p>
              </w:tc>
            </w:tr>
            <w:tr w14:paraId="44E5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restart"/>
                  <w:noWrap w:val="0"/>
                  <w:vAlign w:val="center"/>
                </w:tcPr>
                <w:p w14:paraId="7AA9E149">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DA001</w:t>
                  </w:r>
                </w:p>
              </w:tc>
              <w:tc>
                <w:tcPr>
                  <w:tcW w:w="712" w:type="pct"/>
                  <w:noWrap w:val="0"/>
                  <w:vAlign w:val="center"/>
                </w:tcPr>
                <w:p w14:paraId="625B7949">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auto"/>
                      <w:sz w:val="21"/>
                      <w:szCs w:val="21"/>
                      <w:lang w:val="en-US" w:eastAsia="zh-CN"/>
                    </w:rPr>
                    <w:t>沥青烟</w:t>
                  </w:r>
                </w:p>
              </w:tc>
              <w:tc>
                <w:tcPr>
                  <w:tcW w:w="1305" w:type="dxa"/>
                  <w:noWrap w:val="0"/>
                  <w:vAlign w:val="center"/>
                </w:tcPr>
                <w:p w14:paraId="4A91249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19.258</w:t>
                  </w:r>
                </w:p>
              </w:tc>
              <w:tc>
                <w:tcPr>
                  <w:tcW w:w="704" w:type="pct"/>
                  <w:noWrap w:val="0"/>
                  <w:vAlign w:val="center"/>
                </w:tcPr>
                <w:p w14:paraId="4F6EFF83">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5E89F744">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19.258</w:t>
                  </w:r>
                </w:p>
              </w:tc>
              <w:tc>
                <w:tcPr>
                  <w:tcW w:w="1167" w:type="dxa"/>
                  <w:noWrap w:val="0"/>
                  <w:vAlign w:val="center"/>
                </w:tcPr>
                <w:p w14:paraId="61F49402">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641.93</w:t>
                  </w:r>
                </w:p>
              </w:tc>
              <w:tc>
                <w:tcPr>
                  <w:tcW w:w="835" w:type="pct"/>
                  <w:vMerge w:val="restart"/>
                  <w:noWrap w:val="0"/>
                  <w:vAlign w:val="center"/>
                </w:tcPr>
                <w:p w14:paraId="1E251E94">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caps w:val="0"/>
                      <w:color w:val="auto"/>
                      <w:spacing w:val="0"/>
                      <w:kern w:val="0"/>
                      <w:position w:val="0"/>
                      <w:sz w:val="21"/>
                      <w:szCs w:val="21"/>
                      <w:highlight w:val="none"/>
                      <w:lang w:eastAsia="zh-CN"/>
                    </w:rPr>
                    <w:t>立即停产，</w:t>
                  </w:r>
                  <w:r>
                    <w:rPr>
                      <w:rFonts w:hint="default" w:ascii="Times New Roman" w:hAnsi="Times New Roman" w:eastAsia="宋体" w:cs="Times New Roman"/>
                      <w:caps w:val="0"/>
                      <w:color w:val="auto"/>
                      <w:spacing w:val="0"/>
                      <w:kern w:val="0"/>
                      <w:position w:val="0"/>
                      <w:sz w:val="21"/>
                      <w:szCs w:val="21"/>
                      <w:highlight w:val="none"/>
                    </w:rPr>
                    <w:t>联系维修人员进行检修，修复后进行监测</w:t>
                  </w:r>
                </w:p>
              </w:tc>
            </w:tr>
            <w:tr w14:paraId="6E62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noWrap w:val="0"/>
                  <w:vAlign w:val="center"/>
                </w:tcPr>
                <w:p w14:paraId="3DA63E24">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712" w:type="pct"/>
                  <w:noWrap w:val="0"/>
                  <w:vAlign w:val="center"/>
                </w:tcPr>
                <w:p w14:paraId="597C904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Cs/>
                      <w:color w:val="auto"/>
                      <w:spacing w:val="0"/>
                      <w:kern w:val="0"/>
                      <w:sz w:val="21"/>
                      <w:szCs w:val="21"/>
                      <w:lang w:val="en-US" w:eastAsia="zh-CN"/>
                    </w:rPr>
                    <w:t>苯并[a]芘</w:t>
                  </w:r>
                </w:p>
              </w:tc>
              <w:tc>
                <w:tcPr>
                  <w:tcW w:w="1305" w:type="dxa"/>
                  <w:noWrap w:val="0"/>
                  <w:vAlign w:val="center"/>
                </w:tcPr>
                <w:p w14:paraId="5553E55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2.44E-04</w:t>
                  </w:r>
                </w:p>
              </w:tc>
              <w:tc>
                <w:tcPr>
                  <w:tcW w:w="704" w:type="pct"/>
                  <w:noWrap w:val="0"/>
                  <w:vAlign w:val="center"/>
                </w:tcPr>
                <w:p w14:paraId="6F4D9884">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14E4ADED">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2.44E-04</w:t>
                  </w:r>
                </w:p>
              </w:tc>
              <w:tc>
                <w:tcPr>
                  <w:tcW w:w="1167" w:type="dxa"/>
                  <w:noWrap w:val="0"/>
                  <w:vAlign w:val="center"/>
                </w:tcPr>
                <w:p w14:paraId="3332F076">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8.13E-03</w:t>
                  </w:r>
                </w:p>
              </w:tc>
              <w:tc>
                <w:tcPr>
                  <w:tcW w:w="835" w:type="pct"/>
                  <w:vMerge w:val="continue"/>
                  <w:noWrap w:val="0"/>
                  <w:vAlign w:val="center"/>
                </w:tcPr>
                <w:p w14:paraId="380B1648">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aps w:val="0"/>
                      <w:color w:val="auto"/>
                      <w:spacing w:val="0"/>
                      <w:kern w:val="0"/>
                      <w:position w:val="0"/>
                      <w:sz w:val="21"/>
                      <w:szCs w:val="21"/>
                      <w:highlight w:val="none"/>
                      <w:lang w:eastAsia="zh-CN"/>
                    </w:rPr>
                  </w:pPr>
                </w:p>
              </w:tc>
            </w:tr>
            <w:tr w14:paraId="6C62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noWrap w:val="0"/>
                  <w:vAlign w:val="center"/>
                </w:tcPr>
                <w:p w14:paraId="5F140C5F">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712" w:type="pct"/>
                  <w:noWrap w:val="0"/>
                  <w:vAlign w:val="center"/>
                </w:tcPr>
                <w:p w14:paraId="6107BD3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lang w:val="en-US" w:eastAsia="zh-CN"/>
                    </w:rPr>
                    <w:t>VOCs</w:t>
                  </w:r>
                </w:p>
              </w:tc>
              <w:tc>
                <w:tcPr>
                  <w:tcW w:w="1305" w:type="dxa"/>
                  <w:noWrap w:val="0"/>
                  <w:vAlign w:val="center"/>
                </w:tcPr>
                <w:p w14:paraId="4792692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13.479</w:t>
                  </w:r>
                </w:p>
              </w:tc>
              <w:tc>
                <w:tcPr>
                  <w:tcW w:w="704" w:type="pct"/>
                  <w:noWrap w:val="0"/>
                  <w:vAlign w:val="center"/>
                </w:tcPr>
                <w:p w14:paraId="00DABF30">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7BD087D5">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13.479</w:t>
                  </w:r>
                </w:p>
              </w:tc>
              <w:tc>
                <w:tcPr>
                  <w:tcW w:w="1167" w:type="dxa"/>
                  <w:noWrap w:val="0"/>
                  <w:vAlign w:val="center"/>
                </w:tcPr>
                <w:p w14:paraId="1355C883">
                  <w:pPr>
                    <w:keepNext w:val="0"/>
                    <w:keepLines w:val="0"/>
                    <w:widowControl/>
                    <w:suppressLineNumbers w:val="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449.3</w:t>
                  </w:r>
                </w:p>
              </w:tc>
              <w:tc>
                <w:tcPr>
                  <w:tcW w:w="835" w:type="pct"/>
                  <w:vMerge w:val="continue"/>
                  <w:noWrap w:val="0"/>
                  <w:vAlign w:val="center"/>
                </w:tcPr>
                <w:p w14:paraId="78E51944">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aps w:val="0"/>
                      <w:color w:val="auto"/>
                      <w:spacing w:val="0"/>
                      <w:kern w:val="0"/>
                      <w:position w:val="0"/>
                      <w:sz w:val="21"/>
                      <w:szCs w:val="21"/>
                      <w:highlight w:val="none"/>
                      <w:lang w:eastAsia="zh-CN"/>
                    </w:rPr>
                  </w:pPr>
                </w:p>
              </w:tc>
            </w:tr>
            <w:tr w14:paraId="0664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noWrap w:val="0"/>
                  <w:vAlign w:val="center"/>
                </w:tcPr>
                <w:p w14:paraId="37826782">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712" w:type="pct"/>
                  <w:noWrap w:val="0"/>
                  <w:vAlign w:val="center"/>
                </w:tcPr>
                <w:p w14:paraId="6A39DBFF">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827" w:type="pct"/>
                  <w:noWrap w:val="0"/>
                  <w:vAlign w:val="center"/>
                </w:tcPr>
                <w:p w14:paraId="6E41FA4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51.454</w:t>
                  </w:r>
                </w:p>
              </w:tc>
              <w:tc>
                <w:tcPr>
                  <w:tcW w:w="704" w:type="pct"/>
                  <w:noWrap w:val="0"/>
                  <w:vAlign w:val="center"/>
                </w:tcPr>
                <w:p w14:paraId="7CDA92DB">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23FCAC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51.454</w:t>
                  </w:r>
                </w:p>
              </w:tc>
              <w:tc>
                <w:tcPr>
                  <w:tcW w:w="1167" w:type="dxa"/>
                  <w:noWrap w:val="0"/>
                  <w:vAlign w:val="center"/>
                </w:tcPr>
                <w:p w14:paraId="4EA5B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1715.13</w:t>
                  </w:r>
                </w:p>
              </w:tc>
              <w:tc>
                <w:tcPr>
                  <w:tcW w:w="835" w:type="pct"/>
                  <w:vMerge w:val="continue"/>
                  <w:noWrap w:val="0"/>
                  <w:vAlign w:val="center"/>
                </w:tcPr>
                <w:p w14:paraId="0A21E801">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aps w:val="0"/>
                      <w:color w:val="auto"/>
                      <w:spacing w:val="0"/>
                      <w:kern w:val="0"/>
                      <w:position w:val="0"/>
                      <w:sz w:val="21"/>
                      <w:szCs w:val="21"/>
                      <w:highlight w:val="none"/>
                      <w:lang w:eastAsia="zh-CN"/>
                    </w:rPr>
                  </w:pPr>
                </w:p>
              </w:tc>
            </w:tr>
            <w:tr w14:paraId="59D2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noWrap w:val="0"/>
                  <w:vAlign w:val="center"/>
                </w:tcPr>
                <w:p w14:paraId="608CBAB8">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p>
              </w:tc>
              <w:tc>
                <w:tcPr>
                  <w:tcW w:w="712" w:type="pct"/>
                  <w:noWrap w:val="0"/>
                  <w:vAlign w:val="center"/>
                </w:tcPr>
                <w:p w14:paraId="02EF2035">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default" w:ascii="Times New Roman" w:hAnsi="Times New Roman" w:eastAsia="宋体" w:cs="Times New Roman"/>
                      <w:color w:val="auto"/>
                      <w:sz w:val="21"/>
                      <w:szCs w:val="21"/>
                      <w:lang w:eastAsia="zh-CN"/>
                    </w:rPr>
                    <w:t>NOx</w:t>
                  </w:r>
                </w:p>
              </w:tc>
              <w:tc>
                <w:tcPr>
                  <w:tcW w:w="827" w:type="pct"/>
                  <w:noWrap w:val="0"/>
                  <w:vAlign w:val="center"/>
                </w:tcPr>
                <w:p w14:paraId="6D71E66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1.692</w:t>
                  </w:r>
                </w:p>
              </w:tc>
              <w:tc>
                <w:tcPr>
                  <w:tcW w:w="704" w:type="pct"/>
                  <w:noWrap w:val="0"/>
                  <w:vAlign w:val="center"/>
                </w:tcPr>
                <w:p w14:paraId="04A8112E">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27467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1.692</w:t>
                  </w:r>
                </w:p>
              </w:tc>
              <w:tc>
                <w:tcPr>
                  <w:tcW w:w="740" w:type="pct"/>
                  <w:noWrap w:val="0"/>
                  <w:vAlign w:val="center"/>
                </w:tcPr>
                <w:p w14:paraId="0A4DA1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FF"/>
                      <w:kern w:val="0"/>
                      <w:sz w:val="21"/>
                      <w:szCs w:val="21"/>
                      <w:u w:val="none"/>
                      <w:lang w:val="en-US" w:eastAsia="zh-CN" w:bidi="ar"/>
                    </w:rPr>
                    <w:t>56.4</w:t>
                  </w:r>
                </w:p>
              </w:tc>
              <w:tc>
                <w:tcPr>
                  <w:tcW w:w="835" w:type="pct"/>
                  <w:vMerge w:val="continue"/>
                  <w:noWrap w:val="0"/>
                  <w:vAlign w:val="center"/>
                </w:tcPr>
                <w:p w14:paraId="58AF7661">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aps w:val="0"/>
                      <w:color w:val="auto"/>
                      <w:spacing w:val="0"/>
                      <w:kern w:val="0"/>
                      <w:position w:val="0"/>
                      <w:sz w:val="21"/>
                      <w:szCs w:val="21"/>
                      <w:highlight w:val="none"/>
                      <w:lang w:eastAsia="zh-CN"/>
                    </w:rPr>
                  </w:pPr>
                </w:p>
              </w:tc>
            </w:tr>
            <w:tr w14:paraId="4B5D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noWrap w:val="0"/>
                  <w:vAlign w:val="center"/>
                </w:tcPr>
                <w:p w14:paraId="08C8FFD1">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DA002</w:t>
                  </w:r>
                </w:p>
              </w:tc>
              <w:tc>
                <w:tcPr>
                  <w:tcW w:w="712" w:type="pct"/>
                  <w:noWrap w:val="0"/>
                  <w:vAlign w:val="center"/>
                </w:tcPr>
                <w:p w14:paraId="3C06F94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NOx</w:t>
                  </w:r>
                </w:p>
              </w:tc>
              <w:tc>
                <w:tcPr>
                  <w:tcW w:w="827" w:type="pct"/>
                  <w:noWrap w:val="0"/>
                  <w:vAlign w:val="center"/>
                </w:tcPr>
                <w:p w14:paraId="0E8C3B2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0.14</w:t>
                  </w:r>
                </w:p>
              </w:tc>
              <w:tc>
                <w:tcPr>
                  <w:tcW w:w="704" w:type="pct"/>
                  <w:noWrap w:val="0"/>
                  <w:vAlign w:val="center"/>
                </w:tcPr>
                <w:p w14:paraId="3B923698">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pPr>
                  <w:r>
                    <w:rPr>
                      <w:rFonts w:hint="eastAsia" w:ascii="Times New Roman" w:hAnsi="Times New Roman" w:eastAsia="宋体" w:cs="Times New Roman"/>
                      <w:i w:val="0"/>
                      <w:iCs w:val="0"/>
                      <w:caps w:val="0"/>
                      <w:snapToGrid w:val="0"/>
                      <w:color w:val="auto"/>
                      <w:spacing w:val="0"/>
                      <w:kern w:val="0"/>
                      <w:position w:val="0"/>
                      <w:sz w:val="21"/>
                      <w:szCs w:val="21"/>
                      <w:highlight w:val="none"/>
                      <w:u w:val="none"/>
                      <w:lang w:val="en-US" w:eastAsia="zh-CN" w:bidi="ar"/>
                    </w:rPr>
                    <w:t>1</w:t>
                  </w:r>
                </w:p>
              </w:tc>
              <w:tc>
                <w:tcPr>
                  <w:tcW w:w="1019" w:type="dxa"/>
                  <w:noWrap w:val="0"/>
                  <w:vAlign w:val="center"/>
                </w:tcPr>
                <w:p w14:paraId="0C35980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0.14</w:t>
                  </w:r>
                </w:p>
              </w:tc>
              <w:tc>
                <w:tcPr>
                  <w:tcW w:w="740" w:type="pct"/>
                  <w:noWrap w:val="0"/>
                  <w:vAlign w:val="center"/>
                </w:tcPr>
                <w:p w14:paraId="58C4B47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173.63</w:t>
                  </w:r>
                </w:p>
              </w:tc>
              <w:tc>
                <w:tcPr>
                  <w:tcW w:w="835" w:type="pct"/>
                  <w:vMerge w:val="continue"/>
                  <w:noWrap w:val="0"/>
                  <w:vAlign w:val="center"/>
                </w:tcPr>
                <w:p w14:paraId="587DF3FA">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aps w:val="0"/>
                      <w:color w:val="auto"/>
                      <w:spacing w:val="0"/>
                      <w:kern w:val="0"/>
                      <w:position w:val="0"/>
                      <w:sz w:val="21"/>
                      <w:szCs w:val="21"/>
                      <w:highlight w:val="none"/>
                      <w:lang w:eastAsia="zh-CN"/>
                    </w:rPr>
                  </w:pPr>
                </w:p>
              </w:tc>
            </w:tr>
          </w:tbl>
          <w:p w14:paraId="52B704D9">
            <w:pPr>
              <w:pStyle w:val="6"/>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aps w:val="0"/>
                <w:color w:val="auto"/>
                <w:spacing w:val="0"/>
                <w:kern w:val="0"/>
                <w:position w:val="0"/>
                <w:sz w:val="24"/>
                <w:szCs w:val="24"/>
                <w:highlight w:val="none"/>
              </w:rPr>
            </w:pPr>
            <w:r>
              <w:rPr>
                <w:rFonts w:hint="default" w:ascii="Times New Roman" w:hAnsi="Times New Roman" w:eastAsia="宋体" w:cs="Times New Roman"/>
                <w:b/>
                <w:caps w:val="0"/>
                <w:color w:val="auto"/>
                <w:spacing w:val="0"/>
                <w:kern w:val="0"/>
                <w:position w:val="0"/>
                <w:sz w:val="24"/>
                <w:szCs w:val="24"/>
                <w:highlight w:val="none"/>
                <w:lang w:val="en-US" w:eastAsia="zh-CN"/>
              </w:rPr>
              <w:t>5</w:t>
            </w:r>
            <w:r>
              <w:rPr>
                <w:rFonts w:hint="default" w:ascii="Times New Roman" w:hAnsi="Times New Roman" w:eastAsia="宋体" w:cs="Times New Roman"/>
                <w:b/>
                <w:caps w:val="0"/>
                <w:color w:val="auto"/>
                <w:spacing w:val="0"/>
                <w:kern w:val="0"/>
                <w:position w:val="0"/>
                <w:sz w:val="24"/>
                <w:szCs w:val="24"/>
                <w:highlight w:val="none"/>
              </w:rPr>
              <w:t>、监测</w:t>
            </w:r>
            <w:r>
              <w:rPr>
                <w:rFonts w:hint="default" w:ascii="Times New Roman" w:hAnsi="Times New Roman" w:eastAsia="宋体" w:cs="Times New Roman"/>
                <w:b/>
                <w:caps w:val="0"/>
                <w:color w:val="auto"/>
                <w:spacing w:val="0"/>
                <w:kern w:val="0"/>
                <w:position w:val="0"/>
                <w:sz w:val="24"/>
                <w:szCs w:val="24"/>
                <w:highlight w:val="none"/>
                <w:lang w:eastAsia="zh-CN"/>
              </w:rPr>
              <w:t>要求</w:t>
            </w:r>
          </w:p>
          <w:p w14:paraId="2C2DF515">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aps w:val="0"/>
                <w:color w:val="auto"/>
                <w:spacing w:val="0"/>
                <w:kern w:val="0"/>
                <w:position w:val="0"/>
                <w:sz w:val="24"/>
                <w:szCs w:val="24"/>
                <w:lang w:val="en-US" w:eastAsia="zh-CN"/>
              </w:rPr>
            </w:pPr>
            <w:r>
              <w:rPr>
                <w:rFonts w:hint="default" w:ascii="Times New Roman" w:hAnsi="Times New Roman" w:eastAsia="宋体" w:cs="Times New Roman"/>
                <w:caps w:val="0"/>
                <w:color w:val="auto"/>
                <w:spacing w:val="0"/>
                <w:kern w:val="0"/>
                <w:position w:val="0"/>
                <w:sz w:val="24"/>
                <w:szCs w:val="24"/>
                <w:lang w:val="en-US" w:eastAsia="zh-CN"/>
              </w:rPr>
              <w:t>根据《排污单位自行监测技术指南总则》（HJ819-2017）、《排污许可证申请与核发技术规范石墨及其他非金属矿物制品制造》（HJ1119-2020）</w:t>
            </w:r>
            <w:r>
              <w:rPr>
                <w:rFonts w:hint="eastAsia" w:cs="Times New Roman"/>
                <w:caps w:val="0"/>
                <w:color w:val="auto"/>
                <w:spacing w:val="0"/>
                <w:kern w:val="0"/>
                <w:position w:val="0"/>
                <w:sz w:val="24"/>
                <w:szCs w:val="24"/>
                <w:lang w:val="en-US" w:eastAsia="zh-CN"/>
              </w:rPr>
              <w:t>、</w:t>
            </w:r>
            <w:r>
              <w:rPr>
                <w:rFonts w:hint="default" w:ascii="Times New Roman" w:hAnsi="Times New Roman" w:eastAsia="宋体" w:cs="Times New Roman"/>
                <w:caps w:val="0"/>
                <w:color w:val="auto"/>
                <w:spacing w:val="0"/>
                <w:kern w:val="0"/>
                <w:position w:val="0"/>
                <w:sz w:val="24"/>
                <w:szCs w:val="24"/>
                <w:lang w:val="en-US" w:eastAsia="zh-CN"/>
              </w:rPr>
              <w:t>《排污自行监测技术指南火力发电及锅炉》（HJ820-2017），</w:t>
            </w:r>
            <w:r>
              <w:rPr>
                <w:rFonts w:hint="eastAsia" w:cs="Times New Roman"/>
                <w:caps w:val="0"/>
                <w:color w:val="auto"/>
                <w:spacing w:val="0"/>
                <w:kern w:val="0"/>
                <w:position w:val="0"/>
                <w:sz w:val="24"/>
                <w:szCs w:val="24"/>
                <w:lang w:val="en-US" w:eastAsia="zh-CN"/>
              </w:rPr>
              <w:t>监测要求如下。</w:t>
            </w:r>
          </w:p>
          <w:p w14:paraId="3FA29AED">
            <w:pPr>
              <w:numPr>
                <w:ilvl w:val="0"/>
                <w:numId w:val="13"/>
              </w:numPr>
              <w:tabs>
                <w:tab w:val="center" w:pos="0"/>
              </w:tabs>
              <w:ind w:left="420" w:leftChars="0" w:hanging="420" w:firstLineChars="0"/>
              <w:jc w:val="center"/>
              <w:rPr>
                <w:rFonts w:hint="default" w:ascii="Times New Roman" w:hAnsi="Times New Roman" w:eastAsia="宋体" w:cs="Times New Roman"/>
                <w:b/>
                <w:bCs/>
                <w:caps w:val="0"/>
                <w:snapToGrid w:val="0"/>
                <w:color w:val="auto"/>
                <w:spacing w:val="0"/>
                <w:ker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废气监测要求一览表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2179"/>
              <w:gridCol w:w="2640"/>
              <w:gridCol w:w="1571"/>
            </w:tblGrid>
            <w:tr w14:paraId="317B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tcBorders>
                    <w:tl2br w:val="nil"/>
                    <w:tr2bl w:val="nil"/>
                  </w:tcBorders>
                  <w:noWrap w:val="0"/>
                  <w:vAlign w:val="center"/>
                </w:tcPr>
                <w:p w14:paraId="2EC4D7A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b/>
                      <w:caps w:val="0"/>
                      <w:color w:val="auto"/>
                      <w:spacing w:val="0"/>
                      <w:kern w:val="0"/>
                      <w:position w:val="0"/>
                      <w:sz w:val="21"/>
                      <w:szCs w:val="21"/>
                      <w:highlight w:val="none"/>
                    </w:rPr>
                  </w:pPr>
                  <w:r>
                    <w:rPr>
                      <w:rFonts w:hint="default" w:ascii="Times New Roman" w:hAnsi="Times New Roman" w:eastAsia="宋体" w:cs="Times New Roman"/>
                      <w:b/>
                      <w:caps w:val="0"/>
                      <w:color w:val="auto"/>
                      <w:spacing w:val="0"/>
                      <w:kern w:val="0"/>
                      <w:position w:val="0"/>
                      <w:sz w:val="21"/>
                      <w:szCs w:val="21"/>
                      <w:highlight w:val="none"/>
                    </w:rPr>
                    <w:t>类型</w:t>
                  </w:r>
                </w:p>
              </w:tc>
              <w:tc>
                <w:tcPr>
                  <w:tcW w:w="1381" w:type="pct"/>
                  <w:tcBorders>
                    <w:tl2br w:val="nil"/>
                    <w:tr2bl w:val="nil"/>
                  </w:tcBorders>
                  <w:noWrap w:val="0"/>
                  <w:vAlign w:val="center"/>
                </w:tcPr>
                <w:p w14:paraId="630BE38E">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b/>
                      <w:caps w:val="0"/>
                      <w:color w:val="auto"/>
                      <w:spacing w:val="0"/>
                      <w:kern w:val="0"/>
                      <w:position w:val="0"/>
                      <w:sz w:val="21"/>
                      <w:szCs w:val="21"/>
                      <w:highlight w:val="none"/>
                    </w:rPr>
                  </w:pPr>
                  <w:r>
                    <w:rPr>
                      <w:rFonts w:hint="default" w:ascii="Times New Roman" w:hAnsi="Times New Roman" w:eastAsia="宋体" w:cs="Times New Roman"/>
                      <w:b/>
                      <w:caps w:val="0"/>
                      <w:color w:val="auto"/>
                      <w:spacing w:val="0"/>
                      <w:kern w:val="0"/>
                      <w:position w:val="0"/>
                      <w:sz w:val="21"/>
                      <w:szCs w:val="21"/>
                      <w:highlight w:val="none"/>
                    </w:rPr>
                    <w:t>监测位置</w:t>
                  </w:r>
                </w:p>
              </w:tc>
              <w:tc>
                <w:tcPr>
                  <w:tcW w:w="1673" w:type="pct"/>
                  <w:tcBorders>
                    <w:tl2br w:val="nil"/>
                    <w:tr2bl w:val="nil"/>
                  </w:tcBorders>
                  <w:noWrap w:val="0"/>
                  <w:vAlign w:val="center"/>
                </w:tcPr>
                <w:p w14:paraId="68A1E626">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b/>
                      <w:caps w:val="0"/>
                      <w:color w:val="auto"/>
                      <w:spacing w:val="0"/>
                      <w:kern w:val="0"/>
                      <w:position w:val="0"/>
                      <w:sz w:val="21"/>
                      <w:szCs w:val="21"/>
                      <w:highlight w:val="none"/>
                    </w:rPr>
                  </w:pPr>
                  <w:r>
                    <w:rPr>
                      <w:rFonts w:hint="default" w:ascii="Times New Roman" w:hAnsi="Times New Roman" w:eastAsia="宋体" w:cs="Times New Roman"/>
                      <w:b/>
                      <w:caps w:val="0"/>
                      <w:color w:val="auto"/>
                      <w:spacing w:val="0"/>
                      <w:kern w:val="0"/>
                      <w:position w:val="0"/>
                      <w:sz w:val="21"/>
                      <w:szCs w:val="21"/>
                      <w:highlight w:val="none"/>
                    </w:rPr>
                    <w:t>监测项目</w:t>
                  </w:r>
                </w:p>
              </w:tc>
              <w:tc>
                <w:tcPr>
                  <w:tcW w:w="996" w:type="pct"/>
                  <w:tcBorders>
                    <w:tl2br w:val="nil"/>
                    <w:tr2bl w:val="nil"/>
                  </w:tcBorders>
                  <w:noWrap w:val="0"/>
                  <w:vAlign w:val="center"/>
                </w:tcPr>
                <w:p w14:paraId="561A2803">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b/>
                      <w:caps w:val="0"/>
                      <w:color w:val="auto"/>
                      <w:spacing w:val="0"/>
                      <w:kern w:val="0"/>
                      <w:position w:val="0"/>
                      <w:sz w:val="21"/>
                      <w:szCs w:val="21"/>
                      <w:highlight w:val="none"/>
                    </w:rPr>
                  </w:pPr>
                  <w:r>
                    <w:rPr>
                      <w:rFonts w:hint="default" w:ascii="Times New Roman" w:hAnsi="Times New Roman" w:eastAsia="宋体" w:cs="Times New Roman"/>
                      <w:b/>
                      <w:caps w:val="0"/>
                      <w:color w:val="auto"/>
                      <w:spacing w:val="0"/>
                      <w:kern w:val="0"/>
                      <w:position w:val="0"/>
                      <w:sz w:val="21"/>
                      <w:szCs w:val="21"/>
                      <w:highlight w:val="none"/>
                    </w:rPr>
                    <w:t>监测频次</w:t>
                  </w:r>
                </w:p>
              </w:tc>
            </w:tr>
            <w:tr w14:paraId="3DC0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restart"/>
                  <w:tcBorders>
                    <w:tl2br w:val="nil"/>
                    <w:tr2bl w:val="nil"/>
                  </w:tcBorders>
                  <w:noWrap w:val="0"/>
                  <w:vAlign w:val="center"/>
                </w:tcPr>
                <w:p w14:paraId="7BB02E2A">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rPr>
                    <w:t>无组织废气</w:t>
                  </w:r>
                </w:p>
              </w:tc>
              <w:tc>
                <w:tcPr>
                  <w:tcW w:w="1381" w:type="pct"/>
                  <w:tcBorders>
                    <w:tl2br w:val="nil"/>
                    <w:tr2bl w:val="nil"/>
                  </w:tcBorders>
                  <w:noWrap w:val="0"/>
                  <w:vAlign w:val="center"/>
                </w:tcPr>
                <w:p w14:paraId="10ECAF30">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eastAsia="zh-CN"/>
                    </w:rPr>
                    <w:t>厂界（</w:t>
                  </w:r>
                  <w:r>
                    <w:rPr>
                      <w:rFonts w:hint="default" w:ascii="Times New Roman" w:hAnsi="Times New Roman" w:eastAsia="宋体" w:cs="Times New Roman"/>
                      <w:caps w:val="0"/>
                      <w:color w:val="auto"/>
                      <w:spacing w:val="0"/>
                      <w:kern w:val="0"/>
                      <w:position w:val="0"/>
                      <w:sz w:val="21"/>
                      <w:szCs w:val="21"/>
                      <w:highlight w:val="none"/>
                      <w:lang w:val="en-US" w:eastAsia="zh-CN"/>
                    </w:rPr>
                    <w:t>上风向1个点，下风向3个点</w:t>
                  </w:r>
                  <w:r>
                    <w:rPr>
                      <w:rFonts w:hint="default" w:ascii="Times New Roman" w:hAnsi="Times New Roman" w:eastAsia="宋体" w:cs="Times New Roman"/>
                      <w:caps w:val="0"/>
                      <w:color w:val="auto"/>
                      <w:spacing w:val="0"/>
                      <w:kern w:val="0"/>
                      <w:position w:val="0"/>
                      <w:sz w:val="21"/>
                      <w:szCs w:val="21"/>
                      <w:highlight w:val="none"/>
                      <w:lang w:eastAsia="zh-CN"/>
                    </w:rPr>
                    <w:t>）</w:t>
                  </w:r>
                </w:p>
              </w:tc>
              <w:tc>
                <w:tcPr>
                  <w:tcW w:w="1673" w:type="pct"/>
                  <w:tcBorders>
                    <w:tl2br w:val="nil"/>
                    <w:tr2bl w:val="nil"/>
                  </w:tcBorders>
                  <w:noWrap w:val="0"/>
                  <w:vAlign w:val="center"/>
                </w:tcPr>
                <w:p w14:paraId="4EF91FB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eastAsia="zh-CN"/>
                    </w:rPr>
                    <w:t>颗粒物</w:t>
                  </w:r>
                  <w:r>
                    <w:rPr>
                      <w:rFonts w:hint="eastAsia" w:ascii="Times New Roman" w:hAnsi="Times New Roman" w:eastAsia="宋体" w:cs="Times New Roman"/>
                      <w:caps w:val="0"/>
                      <w:color w:val="auto"/>
                      <w:spacing w:val="0"/>
                      <w:kern w:val="0"/>
                      <w:position w:val="0"/>
                      <w:sz w:val="21"/>
                      <w:szCs w:val="21"/>
                      <w:highlight w:val="none"/>
                      <w:lang w:eastAsia="zh-CN"/>
                    </w:rPr>
                    <w:t>、</w:t>
                  </w:r>
                  <w:r>
                    <w:rPr>
                      <w:rFonts w:hint="eastAsia" w:ascii="Times New Roman" w:hAnsi="Times New Roman" w:eastAsia="宋体" w:cs="Times New Roman"/>
                      <w:caps w:val="0"/>
                      <w:color w:val="auto"/>
                      <w:spacing w:val="0"/>
                      <w:kern w:val="0"/>
                      <w:position w:val="0"/>
                      <w:sz w:val="21"/>
                      <w:szCs w:val="21"/>
                      <w:highlight w:val="none"/>
                      <w:lang w:val="en-US" w:eastAsia="zh-CN"/>
                    </w:rPr>
                    <w:t>沥青烟、</w:t>
                  </w:r>
                  <w:r>
                    <w:rPr>
                      <w:rFonts w:hint="default" w:ascii="Times New Roman" w:hAnsi="Times New Roman" w:eastAsia="宋体" w:cs="Times New Roman"/>
                      <w:bCs/>
                      <w:color w:val="auto"/>
                      <w:spacing w:val="0"/>
                      <w:kern w:val="0"/>
                      <w:sz w:val="21"/>
                      <w:szCs w:val="21"/>
                      <w:lang w:val="en-US" w:eastAsia="zh-CN"/>
                    </w:rPr>
                    <w:t>苯并[a]芘</w:t>
                  </w:r>
                  <w:r>
                    <w:rPr>
                      <w:rFonts w:hint="eastAsia" w:ascii="Times New Roman" w:cs="Times New Roman"/>
                      <w:bCs/>
                      <w:color w:val="auto"/>
                      <w:spacing w:val="0"/>
                      <w:kern w:val="0"/>
                      <w:sz w:val="21"/>
                      <w:szCs w:val="21"/>
                      <w:lang w:val="en-US" w:eastAsia="zh-CN"/>
                    </w:rPr>
                    <w:t>、VOCs、臭气浓度</w:t>
                  </w:r>
                </w:p>
              </w:tc>
              <w:tc>
                <w:tcPr>
                  <w:tcW w:w="996" w:type="pct"/>
                  <w:tcBorders>
                    <w:tl2br w:val="nil"/>
                    <w:tr2bl w:val="nil"/>
                  </w:tcBorders>
                  <w:noWrap w:val="0"/>
                  <w:vAlign w:val="center"/>
                </w:tcPr>
                <w:p w14:paraId="0E314C4E">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val="en-US" w:eastAsia="zh-CN"/>
                    </w:rPr>
                    <w:t>1次/年</w:t>
                  </w:r>
                </w:p>
              </w:tc>
            </w:tr>
            <w:tr w14:paraId="0505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51A378C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rPr>
                  </w:pPr>
                </w:p>
              </w:tc>
              <w:tc>
                <w:tcPr>
                  <w:tcW w:w="1381" w:type="pct"/>
                  <w:tcBorders>
                    <w:tl2br w:val="nil"/>
                    <w:tr2bl w:val="nil"/>
                  </w:tcBorders>
                  <w:noWrap w:val="0"/>
                  <w:vAlign w:val="center"/>
                </w:tcPr>
                <w:p w14:paraId="539C4A62">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eastAsia" w:ascii="Times New Roman" w:hAnsi="Times New Roman" w:eastAsia="宋体" w:cs="Times New Roman"/>
                      <w:caps w:val="0"/>
                      <w:color w:val="auto"/>
                      <w:spacing w:val="0"/>
                      <w:kern w:val="0"/>
                      <w:position w:val="0"/>
                      <w:sz w:val="21"/>
                      <w:szCs w:val="21"/>
                      <w:highlight w:val="none"/>
                      <w:lang w:val="en-US" w:eastAsia="zh-CN"/>
                    </w:rPr>
                    <w:t>厂房外厂界内1个点</w:t>
                  </w:r>
                </w:p>
              </w:tc>
              <w:tc>
                <w:tcPr>
                  <w:tcW w:w="1673" w:type="pct"/>
                  <w:tcBorders>
                    <w:tl2br w:val="nil"/>
                    <w:tr2bl w:val="nil"/>
                  </w:tcBorders>
                  <w:noWrap w:val="0"/>
                  <w:vAlign w:val="center"/>
                </w:tcPr>
                <w:p w14:paraId="3F10987E">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eastAsia" w:ascii="Times New Roman" w:hAnsi="Times New Roman" w:eastAsia="宋体" w:cs="Times New Roman"/>
                      <w:caps w:val="0"/>
                      <w:color w:val="auto"/>
                      <w:spacing w:val="0"/>
                      <w:kern w:val="0"/>
                      <w:position w:val="0"/>
                      <w:sz w:val="21"/>
                      <w:szCs w:val="21"/>
                      <w:highlight w:val="none"/>
                      <w:lang w:val="en-US" w:eastAsia="zh-CN"/>
                    </w:rPr>
                    <w:t>VOCs</w:t>
                  </w:r>
                </w:p>
              </w:tc>
              <w:tc>
                <w:tcPr>
                  <w:tcW w:w="996" w:type="pct"/>
                  <w:tcBorders>
                    <w:tl2br w:val="nil"/>
                    <w:tr2bl w:val="nil"/>
                  </w:tcBorders>
                  <w:noWrap w:val="0"/>
                  <w:vAlign w:val="center"/>
                </w:tcPr>
                <w:p w14:paraId="6277F2B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1次/年</w:t>
                  </w:r>
                </w:p>
              </w:tc>
            </w:tr>
            <w:tr w14:paraId="0B64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restart"/>
                  <w:tcBorders>
                    <w:tl2br w:val="nil"/>
                    <w:tr2bl w:val="nil"/>
                  </w:tcBorders>
                  <w:noWrap w:val="0"/>
                  <w:vAlign w:val="center"/>
                </w:tcPr>
                <w:p w14:paraId="05DCD6F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有组织废气</w:t>
                  </w:r>
                </w:p>
              </w:tc>
              <w:tc>
                <w:tcPr>
                  <w:tcW w:w="1381" w:type="pct"/>
                  <w:vMerge w:val="restart"/>
                  <w:tcBorders>
                    <w:tl2br w:val="nil"/>
                    <w:tr2bl w:val="nil"/>
                  </w:tcBorders>
                  <w:noWrap w:val="0"/>
                  <w:vAlign w:val="center"/>
                </w:tcPr>
                <w:p w14:paraId="510BD97A">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DA001</w:t>
                  </w:r>
                </w:p>
              </w:tc>
              <w:tc>
                <w:tcPr>
                  <w:tcW w:w="1673" w:type="pct"/>
                  <w:tcBorders>
                    <w:tl2br w:val="nil"/>
                    <w:tr2bl w:val="nil"/>
                  </w:tcBorders>
                  <w:noWrap w:val="0"/>
                  <w:vAlign w:val="center"/>
                </w:tcPr>
                <w:p w14:paraId="0B23003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val="en-US" w:eastAsia="zh-CN"/>
                    </w:rPr>
                    <w:t>沥青烟</w:t>
                  </w:r>
                </w:p>
              </w:tc>
              <w:tc>
                <w:tcPr>
                  <w:tcW w:w="996" w:type="pct"/>
                  <w:tcBorders>
                    <w:tl2br w:val="nil"/>
                    <w:tr2bl w:val="nil"/>
                  </w:tcBorders>
                  <w:noWrap w:val="0"/>
                  <w:vAlign w:val="center"/>
                </w:tcPr>
                <w:p w14:paraId="231F8DF9">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5651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55ED4416">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7DBFEB54">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30B8B392">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bCs/>
                      <w:color w:val="auto"/>
                      <w:spacing w:val="0"/>
                      <w:kern w:val="0"/>
                      <w:sz w:val="21"/>
                      <w:szCs w:val="21"/>
                      <w:lang w:val="en-US" w:eastAsia="zh-CN"/>
                    </w:rPr>
                    <w:t>苯并[a]芘</w:t>
                  </w:r>
                </w:p>
              </w:tc>
              <w:tc>
                <w:tcPr>
                  <w:tcW w:w="996" w:type="pct"/>
                  <w:tcBorders>
                    <w:tl2br w:val="nil"/>
                    <w:tr2bl w:val="nil"/>
                  </w:tcBorders>
                  <w:noWrap w:val="0"/>
                  <w:vAlign w:val="center"/>
                </w:tcPr>
                <w:p w14:paraId="731555D4">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7CBE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6B54FB1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01E2855E">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3DA9E036">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VOCs</w:t>
                  </w:r>
                </w:p>
              </w:tc>
              <w:tc>
                <w:tcPr>
                  <w:tcW w:w="996" w:type="pct"/>
                  <w:tcBorders>
                    <w:tl2br w:val="nil"/>
                    <w:tr2bl w:val="nil"/>
                  </w:tcBorders>
                  <w:noWrap w:val="0"/>
                  <w:vAlign w:val="center"/>
                </w:tcPr>
                <w:p w14:paraId="259E6DC9">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38AC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744E73BB">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20AD6F2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1BA5743B">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臭气浓度</w:t>
                  </w:r>
                </w:p>
              </w:tc>
              <w:tc>
                <w:tcPr>
                  <w:tcW w:w="996" w:type="pct"/>
                  <w:tcBorders>
                    <w:tl2br w:val="nil"/>
                    <w:tr2bl w:val="nil"/>
                  </w:tcBorders>
                  <w:noWrap w:val="0"/>
                  <w:vAlign w:val="center"/>
                </w:tcPr>
                <w:p w14:paraId="7BE53D02">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6F6B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441E1E39">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4F288DB6">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48F576C0">
                  <w:pPr>
                    <w:pStyle w:val="47"/>
                    <w:keepNext w:val="0"/>
                    <w:keepLines w:val="0"/>
                    <w:pageBreakBefore w:val="0"/>
                    <w:widowControl w:val="0"/>
                    <w:kinsoku/>
                    <w:wordWrap/>
                    <w:overflowPunct/>
                    <w:topLinePunct w:val="0"/>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颗粒物</w:t>
                  </w:r>
                </w:p>
              </w:tc>
              <w:tc>
                <w:tcPr>
                  <w:tcW w:w="996" w:type="pct"/>
                  <w:tcBorders>
                    <w:tl2br w:val="nil"/>
                    <w:tr2bl w:val="nil"/>
                  </w:tcBorders>
                  <w:noWrap w:val="0"/>
                  <w:vAlign w:val="center"/>
                </w:tcPr>
                <w:p w14:paraId="3909083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2E75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53C17C45">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7208D25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414464E0">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i w:val="0"/>
                      <w:iCs w:val="0"/>
                      <w:caps w:val="0"/>
                      <w:color w:val="auto"/>
                      <w:spacing w:val="0"/>
                      <w:kern w:val="0"/>
                      <w:position w:val="0"/>
                      <w:sz w:val="21"/>
                      <w:szCs w:val="21"/>
                      <w:u w:val="none"/>
                      <w:lang w:val="en-US" w:eastAsia="zh-CN" w:bidi="ar"/>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996" w:type="pct"/>
                  <w:tcBorders>
                    <w:tl2br w:val="nil"/>
                    <w:tr2bl w:val="nil"/>
                  </w:tcBorders>
                  <w:noWrap w:val="0"/>
                  <w:vAlign w:val="center"/>
                </w:tcPr>
                <w:p w14:paraId="53C83E16">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27BC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397E70A7">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0C1C9EE3">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67DA6FFE">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NOx</w:t>
                  </w:r>
                </w:p>
              </w:tc>
              <w:tc>
                <w:tcPr>
                  <w:tcW w:w="996" w:type="pct"/>
                  <w:tcBorders>
                    <w:tl2br w:val="nil"/>
                    <w:tr2bl w:val="nil"/>
                  </w:tcBorders>
                  <w:noWrap w:val="0"/>
                  <w:vAlign w:val="center"/>
                </w:tcPr>
                <w:p w14:paraId="00434343">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1次/半年</w:t>
                  </w:r>
                </w:p>
              </w:tc>
            </w:tr>
            <w:tr w14:paraId="1D45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26555F1B">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restart"/>
                  <w:tcBorders>
                    <w:tl2br w:val="nil"/>
                    <w:tr2bl w:val="nil"/>
                  </w:tcBorders>
                  <w:noWrap w:val="0"/>
                  <w:vAlign w:val="center"/>
                </w:tcPr>
                <w:p w14:paraId="3A842E41">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eastAsia" w:ascii="Times New Roman" w:hAnsi="Times New Roman" w:eastAsia="宋体" w:cs="Times New Roman"/>
                      <w:caps w:val="0"/>
                      <w:color w:val="auto"/>
                      <w:spacing w:val="0"/>
                      <w:kern w:val="0"/>
                      <w:position w:val="0"/>
                      <w:sz w:val="21"/>
                      <w:szCs w:val="21"/>
                      <w:highlight w:val="none"/>
                      <w:lang w:val="en-US" w:eastAsia="zh-CN"/>
                    </w:rPr>
                    <w:t>DA002</w:t>
                  </w:r>
                </w:p>
              </w:tc>
              <w:tc>
                <w:tcPr>
                  <w:tcW w:w="1673" w:type="pct"/>
                  <w:tcBorders>
                    <w:tl2br w:val="nil"/>
                    <w:tr2bl w:val="nil"/>
                  </w:tcBorders>
                  <w:noWrap w:val="0"/>
                  <w:vAlign w:val="center"/>
                </w:tcPr>
                <w:p w14:paraId="304D13C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颗粒物</w:t>
                  </w:r>
                </w:p>
              </w:tc>
              <w:tc>
                <w:tcPr>
                  <w:tcW w:w="996" w:type="pct"/>
                  <w:tcBorders>
                    <w:tl2br w:val="nil"/>
                    <w:tr2bl w:val="nil"/>
                  </w:tcBorders>
                  <w:noWrap w:val="0"/>
                  <w:vAlign w:val="center"/>
                </w:tcPr>
                <w:p w14:paraId="7D4FA1E4">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snapToGrid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val="en-US" w:eastAsia="zh-CN"/>
                    </w:rPr>
                    <w:t>1次/年</w:t>
                  </w:r>
                </w:p>
              </w:tc>
            </w:tr>
            <w:tr w14:paraId="74E2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7308EA7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38F92852">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eastAsia"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52AED831">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996" w:type="pct"/>
                  <w:tcBorders>
                    <w:tl2br w:val="nil"/>
                    <w:tr2bl w:val="nil"/>
                  </w:tcBorders>
                  <w:noWrap w:val="0"/>
                  <w:vAlign w:val="center"/>
                </w:tcPr>
                <w:p w14:paraId="0907B5C5">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snapToGrid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val="en-US" w:eastAsia="zh-CN"/>
                    </w:rPr>
                    <w:t>1次/年</w:t>
                  </w:r>
                </w:p>
              </w:tc>
            </w:tr>
            <w:tr w14:paraId="3305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634516F8">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3EE023CD">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eastAsia"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55EDA5AE">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NOx</w:t>
                  </w:r>
                </w:p>
              </w:tc>
              <w:tc>
                <w:tcPr>
                  <w:tcW w:w="996" w:type="pct"/>
                  <w:tcBorders>
                    <w:tl2br w:val="nil"/>
                    <w:tr2bl w:val="nil"/>
                  </w:tcBorders>
                  <w:noWrap w:val="0"/>
                  <w:vAlign w:val="center"/>
                </w:tcPr>
                <w:p w14:paraId="3588107B">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r>
                    <w:rPr>
                      <w:rFonts w:hint="default" w:ascii="Times New Roman" w:hAnsi="Times New Roman" w:eastAsia="宋体" w:cs="Times New Roman"/>
                      <w:caps w:val="0"/>
                      <w:color w:val="auto"/>
                      <w:spacing w:val="0"/>
                      <w:kern w:val="0"/>
                      <w:position w:val="0"/>
                      <w:sz w:val="21"/>
                      <w:szCs w:val="21"/>
                      <w:highlight w:val="none"/>
                      <w:lang w:val="en-US" w:eastAsia="zh-CN"/>
                    </w:rPr>
                    <w:t>1次/月</w:t>
                  </w:r>
                </w:p>
              </w:tc>
            </w:tr>
            <w:tr w14:paraId="416B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Borders>
                    <w:tl2br w:val="nil"/>
                    <w:tr2bl w:val="nil"/>
                  </w:tcBorders>
                  <w:noWrap w:val="0"/>
                  <w:vAlign w:val="center"/>
                </w:tcPr>
                <w:p w14:paraId="15246A80">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caps w:val="0"/>
                      <w:color w:val="auto"/>
                      <w:spacing w:val="0"/>
                      <w:kern w:val="0"/>
                      <w:position w:val="0"/>
                      <w:sz w:val="21"/>
                      <w:szCs w:val="21"/>
                      <w:highlight w:val="none"/>
                      <w:lang w:val="en-US" w:eastAsia="zh-CN"/>
                    </w:rPr>
                  </w:pPr>
                </w:p>
              </w:tc>
              <w:tc>
                <w:tcPr>
                  <w:tcW w:w="1381" w:type="pct"/>
                  <w:vMerge w:val="continue"/>
                  <w:tcBorders>
                    <w:tl2br w:val="nil"/>
                    <w:tr2bl w:val="nil"/>
                  </w:tcBorders>
                  <w:noWrap w:val="0"/>
                  <w:vAlign w:val="center"/>
                </w:tcPr>
                <w:p w14:paraId="476B3D1C">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firstLine="0" w:firstLineChars="0"/>
                    <w:jc w:val="center"/>
                    <w:textAlignment w:val="baseline"/>
                    <w:rPr>
                      <w:rFonts w:hint="eastAsia" w:ascii="Times New Roman" w:hAnsi="Times New Roman" w:eastAsia="宋体" w:cs="Times New Roman"/>
                      <w:caps w:val="0"/>
                      <w:color w:val="auto"/>
                      <w:spacing w:val="0"/>
                      <w:kern w:val="0"/>
                      <w:position w:val="0"/>
                      <w:sz w:val="21"/>
                      <w:szCs w:val="21"/>
                      <w:highlight w:val="none"/>
                      <w:lang w:val="en-US" w:eastAsia="zh-CN"/>
                    </w:rPr>
                  </w:pPr>
                </w:p>
              </w:tc>
              <w:tc>
                <w:tcPr>
                  <w:tcW w:w="1673" w:type="pct"/>
                  <w:tcBorders>
                    <w:tl2br w:val="nil"/>
                    <w:tr2bl w:val="nil"/>
                  </w:tcBorders>
                  <w:noWrap w:val="0"/>
                  <w:vAlign w:val="center"/>
                </w:tcPr>
                <w:p w14:paraId="7EBEBDBC">
                  <w:pPr>
                    <w:pStyle w:val="47"/>
                    <w:keepNext w:val="0"/>
                    <w:keepLines w:val="0"/>
                    <w:pageBreakBefore w:val="0"/>
                    <w:widowControl w:val="0"/>
                    <w:kinsoku/>
                    <w:wordWrap/>
                    <w:overflowPunct/>
                    <w:topLinePunct w:val="0"/>
                    <w:bidi w:val="0"/>
                    <w:adjustRightInd w:val="0"/>
                    <w:snapToGrid w:val="0"/>
                    <w:jc w:val="center"/>
                    <w:textAlignment w:val="auto"/>
                    <w:rPr>
                      <w:rFonts w:hint="default" w:ascii="宋体" w:hAnsi="宋体" w:eastAsia="宋体" w:cs="宋体"/>
                      <w:i w:val="0"/>
                      <w:iCs w:val="0"/>
                      <w:color w:val="auto"/>
                      <w:kern w:val="0"/>
                      <w:sz w:val="21"/>
                      <w:szCs w:val="21"/>
                      <w:u w:val="none"/>
                      <w:lang w:val="en-US" w:eastAsia="zh-CN" w:bidi="ar"/>
                    </w:rPr>
                  </w:pPr>
                  <w:r>
                    <w:rPr>
                      <w:rFonts w:hint="eastAsia" w:cs="Times New Roman"/>
                      <w:color w:val="auto"/>
                      <w:sz w:val="21"/>
                      <w:szCs w:val="21"/>
                      <w:lang w:val="en-US" w:eastAsia="zh-CN"/>
                    </w:rPr>
                    <w:t>林格曼黑度</w:t>
                  </w:r>
                </w:p>
              </w:tc>
              <w:tc>
                <w:tcPr>
                  <w:tcW w:w="996" w:type="pct"/>
                  <w:tcBorders>
                    <w:tl2br w:val="nil"/>
                    <w:tr2bl w:val="nil"/>
                  </w:tcBorders>
                  <w:noWrap w:val="0"/>
                  <w:vAlign w:val="center"/>
                </w:tcPr>
                <w:p w14:paraId="2346C396">
                  <w:pPr>
                    <w:pStyle w:val="62"/>
                    <w:keepNext w:val="0"/>
                    <w:keepLines w:val="0"/>
                    <w:pageBreakBefore w:val="0"/>
                    <w:widowControl w:val="0"/>
                    <w:kinsoku/>
                    <w:wordWrap/>
                    <w:overflowPunct w:val="0"/>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caps w:val="0"/>
                      <w:snapToGrid w:val="0"/>
                      <w:color w:val="auto"/>
                      <w:spacing w:val="0"/>
                      <w:kern w:val="0"/>
                      <w:position w:val="0"/>
                      <w:sz w:val="21"/>
                      <w:szCs w:val="21"/>
                      <w:highlight w:val="none"/>
                      <w:lang w:val="en-US" w:eastAsia="zh-CN" w:bidi="ar-SA"/>
                    </w:rPr>
                  </w:pPr>
                  <w:r>
                    <w:rPr>
                      <w:rFonts w:hint="default" w:ascii="Times New Roman" w:hAnsi="Times New Roman" w:eastAsia="宋体" w:cs="Times New Roman"/>
                      <w:caps w:val="0"/>
                      <w:color w:val="auto"/>
                      <w:spacing w:val="0"/>
                      <w:kern w:val="0"/>
                      <w:position w:val="0"/>
                      <w:sz w:val="21"/>
                      <w:szCs w:val="21"/>
                      <w:highlight w:val="none"/>
                      <w:lang w:val="en-US" w:eastAsia="zh-CN"/>
                    </w:rPr>
                    <w:t>1次/年</w:t>
                  </w:r>
                </w:p>
              </w:tc>
            </w:tr>
          </w:tbl>
          <w:p w14:paraId="77CD8ACF">
            <w:pPr>
              <w:pStyle w:val="16"/>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lang w:val="en-US" w:eastAsia="zh-CN"/>
              </w:rPr>
            </w:pPr>
            <w:r>
              <w:rPr>
                <w:rFonts w:hint="default" w:ascii="Times New Roman" w:hAnsi="Times New Roman" w:eastAsia="宋体" w:cs="Times New Roman"/>
                <w:b/>
                <w:bCs/>
                <w:caps w:val="0"/>
                <w:color w:val="auto"/>
                <w:spacing w:val="0"/>
                <w:kern w:val="0"/>
                <w:position w:val="0"/>
                <w:sz w:val="24"/>
                <w:szCs w:val="24"/>
                <w:highlight w:val="none"/>
                <w:lang w:val="en-US" w:eastAsia="zh-CN"/>
              </w:rPr>
              <w:t>6、环境影响分析</w:t>
            </w:r>
          </w:p>
          <w:p w14:paraId="08BEDB8A">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lang w:val="en-US" w:eastAsia="zh-CN"/>
              </w:rPr>
            </w:pPr>
            <w:r>
              <w:rPr>
                <w:rFonts w:hint="default" w:ascii="Times New Roman" w:hAnsi="Times New Roman" w:eastAsia="宋体" w:cs="Times New Roman"/>
                <w:caps w:val="0"/>
                <w:color w:val="auto"/>
                <w:spacing w:val="0"/>
                <w:kern w:val="0"/>
                <w:position w:val="0"/>
                <w:sz w:val="24"/>
                <w:szCs w:val="24"/>
                <w:highlight w:val="none"/>
              </w:rPr>
              <w:t>本项目所在区域属于环境空气不达标区，通过</w:t>
            </w:r>
            <w:r>
              <w:rPr>
                <w:rFonts w:hint="default" w:ascii="Times New Roman" w:hAnsi="Times New Roman" w:eastAsia="宋体" w:cs="Times New Roman"/>
                <w:caps w:val="0"/>
                <w:color w:val="auto"/>
                <w:spacing w:val="0"/>
                <w:kern w:val="0"/>
                <w:position w:val="0"/>
                <w:sz w:val="24"/>
                <w:szCs w:val="24"/>
              </w:rPr>
              <w:t>落实《山东省深入打好蓝天保卫战行动计划（2021</w:t>
            </w:r>
            <w:r>
              <w:rPr>
                <w:rFonts w:hint="default" w:ascii="Times New Roman" w:hAnsi="Times New Roman" w:eastAsia="宋体" w:cs="Times New Roman"/>
                <w:caps w:val="0"/>
                <w:color w:val="auto"/>
                <w:spacing w:val="0"/>
                <w:kern w:val="0"/>
                <w:position w:val="0"/>
                <w:sz w:val="24"/>
                <w:szCs w:val="24"/>
                <w:lang w:val="en-US" w:eastAsia="zh-CN"/>
              </w:rPr>
              <w:t>-</w:t>
            </w:r>
            <w:r>
              <w:rPr>
                <w:rFonts w:hint="default" w:ascii="Times New Roman" w:hAnsi="Times New Roman" w:eastAsia="宋体" w:cs="Times New Roman"/>
                <w:caps w:val="0"/>
                <w:color w:val="auto"/>
                <w:spacing w:val="0"/>
                <w:kern w:val="0"/>
                <w:position w:val="0"/>
                <w:sz w:val="24"/>
                <w:szCs w:val="24"/>
              </w:rPr>
              <w:t>2025年）》等文件要求，</w:t>
            </w:r>
            <w:r>
              <w:rPr>
                <w:rFonts w:hint="default" w:ascii="Times New Roman" w:hAnsi="Times New Roman" w:eastAsia="宋体" w:cs="Times New Roman"/>
                <w:caps w:val="0"/>
                <w:color w:val="auto"/>
                <w:spacing w:val="0"/>
                <w:kern w:val="0"/>
                <w:position w:val="0"/>
                <w:sz w:val="24"/>
                <w:szCs w:val="24"/>
                <w:highlight w:val="none"/>
              </w:rPr>
              <w:t>区域环境空气质量将逐步改善。本项目废气</w:t>
            </w:r>
            <w:r>
              <w:rPr>
                <w:rFonts w:hint="default" w:ascii="Times New Roman" w:hAnsi="Times New Roman" w:eastAsia="宋体" w:cs="Times New Roman"/>
                <w:caps w:val="0"/>
                <w:color w:val="auto"/>
                <w:spacing w:val="0"/>
                <w:kern w:val="0"/>
                <w:position w:val="0"/>
                <w:sz w:val="24"/>
                <w:szCs w:val="24"/>
                <w:highlight w:val="none"/>
                <w:lang w:val="en-US" w:eastAsia="zh-CN"/>
              </w:rPr>
              <w:t>污染物达标排放，排放量较少，相关污染物实施倍量替代的情况下，本项目对大气环境影响较小，</w:t>
            </w:r>
            <w:r>
              <w:rPr>
                <w:rFonts w:hint="default" w:ascii="Times New Roman" w:hAnsi="Times New Roman" w:eastAsia="宋体" w:cs="Times New Roman"/>
                <w:caps w:val="0"/>
                <w:color w:val="auto"/>
                <w:spacing w:val="0"/>
                <w:kern w:val="0"/>
                <w:position w:val="0"/>
                <w:sz w:val="24"/>
                <w:szCs w:val="24"/>
                <w:highlight w:val="none"/>
              </w:rPr>
              <w:t>对区域大气环境质量影响较小。</w:t>
            </w:r>
          </w:p>
          <w:p w14:paraId="2A8AAFCA">
            <w:pPr>
              <w:keepNext w:val="0"/>
              <w:keepLines w:val="0"/>
              <w:pageBreakBefore w:val="0"/>
              <w:widowControl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lang w:eastAsia="zh-CN"/>
              </w:rPr>
            </w:pPr>
            <w:r>
              <w:rPr>
                <w:rFonts w:hint="default" w:ascii="Times New Roman" w:hAnsi="Times New Roman" w:eastAsia="宋体" w:cs="Times New Roman"/>
                <w:b/>
                <w:bCs/>
                <w:caps w:val="0"/>
                <w:color w:val="auto"/>
                <w:spacing w:val="0"/>
                <w:kern w:val="0"/>
                <w:position w:val="0"/>
                <w:sz w:val="24"/>
                <w:szCs w:val="24"/>
                <w:lang w:eastAsia="zh-CN"/>
              </w:rPr>
              <w:t>二、废水</w:t>
            </w:r>
          </w:p>
          <w:p w14:paraId="691E3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pacing w:val="0"/>
                <w:kern w:val="0"/>
                <w:sz w:val="24"/>
                <w:szCs w:val="24"/>
                <w:lang w:val="en-US" w:eastAsia="zh-CN"/>
              </w:rPr>
            </w:pPr>
            <w:r>
              <w:rPr>
                <w:rFonts w:hint="default" w:ascii="Times New Roman" w:hAnsi="Times New Roman" w:eastAsia="宋体" w:cs="Times New Roman"/>
                <w:b/>
                <w:bCs/>
                <w:color w:val="auto"/>
                <w:spacing w:val="0"/>
                <w:kern w:val="0"/>
                <w:sz w:val="24"/>
                <w:szCs w:val="24"/>
                <w:lang w:val="en-US" w:eastAsia="zh-CN"/>
              </w:rPr>
              <w:t>1、废水的产生及排放情况</w:t>
            </w:r>
          </w:p>
          <w:p w14:paraId="543FA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highlight w:val="none"/>
                <w:lang w:val="en-US" w:eastAsia="zh-CN"/>
              </w:rPr>
              <w:t>本项目</w:t>
            </w:r>
            <w:r>
              <w:rPr>
                <w:rFonts w:hint="eastAsia" w:cs="Times New Roman"/>
                <w:bCs/>
                <w:color w:val="auto"/>
                <w:sz w:val="24"/>
                <w:szCs w:val="24"/>
                <w:vertAlign w:val="baseline"/>
                <w:lang w:val="en-US" w:eastAsia="zh-CN"/>
              </w:rPr>
              <w:t>喷淋塔废水经隔油沉淀处理后循环使用，洗车废水三级沉淀后循环使用，乳化沥青搅拌用水全部进入产品，无生产废水外排</w:t>
            </w:r>
            <w:r>
              <w:rPr>
                <w:rFonts w:hint="default" w:ascii="Times New Roman" w:hAnsi="Times New Roman" w:eastAsia="宋体" w:cs="Times New Roman"/>
                <w:bCs/>
                <w:color w:val="auto"/>
                <w:spacing w:val="0"/>
                <w:kern w:val="0"/>
                <w:sz w:val="24"/>
                <w:szCs w:val="24"/>
                <w:highlight w:val="none"/>
                <w:lang w:eastAsia="zh-CN"/>
              </w:rPr>
              <w:t>，</w:t>
            </w:r>
            <w:r>
              <w:rPr>
                <w:rFonts w:hint="default" w:ascii="Times New Roman" w:hAnsi="Times New Roman" w:eastAsia="宋体" w:cs="Times New Roman"/>
                <w:bCs/>
                <w:color w:val="auto"/>
                <w:spacing w:val="0"/>
                <w:kern w:val="0"/>
                <w:sz w:val="24"/>
                <w:szCs w:val="24"/>
                <w:highlight w:val="none"/>
                <w:lang w:val="en-US" w:eastAsia="zh-CN"/>
              </w:rPr>
              <w:t>生活污水经</w:t>
            </w:r>
            <w:r>
              <w:rPr>
                <w:rFonts w:hint="default" w:ascii="Times New Roman" w:hAnsi="Times New Roman" w:eastAsia="宋体" w:cs="Times New Roman"/>
                <w:color w:val="auto"/>
                <w:sz w:val="24"/>
                <w:szCs w:val="24"/>
                <w:highlight w:val="none"/>
                <w:lang w:val="en-US" w:eastAsia="zh-CN"/>
              </w:rPr>
              <w:t>化粪池处理后</w:t>
            </w:r>
            <w:r>
              <w:rPr>
                <w:rFonts w:hint="default" w:ascii="Times New Roman" w:hAnsi="Times New Roman" w:eastAsia="宋体" w:cs="Times New Roman"/>
                <w:bCs/>
                <w:color w:val="auto"/>
                <w:spacing w:val="0"/>
                <w:kern w:val="0"/>
                <w:sz w:val="24"/>
                <w:szCs w:val="24"/>
                <w:highlight w:val="none"/>
                <w:lang w:val="en-US" w:eastAsia="zh-CN"/>
              </w:rPr>
              <w:t>排入</w:t>
            </w:r>
            <w:r>
              <w:rPr>
                <w:rFonts w:hint="eastAsia" w:ascii="Times New Roman" w:hAnsi="Times New Roman" w:eastAsia="宋体" w:cs="Times New Roman"/>
                <w:bCs/>
                <w:color w:val="auto"/>
                <w:spacing w:val="0"/>
                <w:kern w:val="0"/>
                <w:sz w:val="24"/>
                <w:szCs w:val="24"/>
                <w:highlight w:val="none"/>
                <w:lang w:val="en-US" w:eastAsia="zh-CN"/>
              </w:rPr>
              <w:t>嘉祥公用水务有限公司</w:t>
            </w:r>
            <w:r>
              <w:rPr>
                <w:rFonts w:hint="default" w:ascii="Times New Roman" w:hAnsi="Times New Roman" w:eastAsia="宋体" w:cs="Times New Roman"/>
                <w:bCs/>
                <w:color w:val="auto"/>
                <w:spacing w:val="0"/>
                <w:kern w:val="0"/>
                <w:sz w:val="24"/>
                <w:szCs w:val="24"/>
                <w:highlight w:val="none"/>
                <w:lang w:val="en-US" w:eastAsia="zh-CN"/>
              </w:rPr>
              <w:t>处理后达标排放</w:t>
            </w:r>
            <w:r>
              <w:rPr>
                <w:rFonts w:hint="default" w:ascii="Times New Roman" w:hAnsi="Times New Roman" w:eastAsia="宋体" w:cs="Times New Roman"/>
                <w:color w:val="auto"/>
                <w:spacing w:val="0"/>
                <w:kern w:val="0"/>
                <w:sz w:val="24"/>
                <w:szCs w:val="24"/>
                <w:lang w:eastAsia="zh-CN"/>
              </w:rPr>
              <w:t>。</w:t>
            </w:r>
            <w:r>
              <w:rPr>
                <w:rFonts w:hint="default" w:ascii="Times New Roman" w:hAnsi="Times New Roman" w:eastAsia="宋体" w:cs="Times New Roman"/>
                <w:color w:val="auto"/>
                <w:spacing w:val="0"/>
                <w:kern w:val="0"/>
                <w:sz w:val="24"/>
                <w:szCs w:val="24"/>
                <w:lang w:val="en-US" w:eastAsia="zh-CN"/>
              </w:rPr>
              <w:t>生活污水</w:t>
            </w:r>
            <w:r>
              <w:rPr>
                <w:rFonts w:hint="default" w:ascii="Times New Roman" w:hAnsi="Times New Roman" w:eastAsia="宋体" w:cs="Times New Roman"/>
                <w:color w:val="auto"/>
                <w:spacing w:val="0"/>
                <w:kern w:val="0"/>
                <w:sz w:val="24"/>
                <w:szCs w:val="24"/>
                <w:lang w:val="en-US" w:eastAsia="zh-CN" w:bidi="ar-SA"/>
              </w:rPr>
              <w:t>处理措施见下表。</w:t>
            </w:r>
          </w:p>
          <w:p w14:paraId="0053923F">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废水产生情况及处理措施</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617"/>
              <w:gridCol w:w="966"/>
              <w:gridCol w:w="841"/>
              <w:gridCol w:w="964"/>
              <w:gridCol w:w="865"/>
              <w:gridCol w:w="527"/>
              <w:gridCol w:w="593"/>
              <w:gridCol w:w="896"/>
              <w:gridCol w:w="1057"/>
            </w:tblGrid>
            <w:tr w14:paraId="1490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75D6C62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产生环节</w:t>
                  </w:r>
                </w:p>
              </w:tc>
              <w:tc>
                <w:tcPr>
                  <w:tcW w:w="391" w:type="pct"/>
                  <w:tcBorders>
                    <w:tl2br w:val="nil"/>
                    <w:tr2bl w:val="nil"/>
                  </w:tcBorders>
                  <w:noWrap w:val="0"/>
                  <w:vAlign w:val="center"/>
                </w:tcPr>
                <w:p w14:paraId="23F46F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类别</w:t>
                  </w:r>
                </w:p>
              </w:tc>
              <w:tc>
                <w:tcPr>
                  <w:tcW w:w="612" w:type="pct"/>
                  <w:tcBorders>
                    <w:tl2br w:val="nil"/>
                    <w:tr2bl w:val="nil"/>
                  </w:tcBorders>
                  <w:noWrap w:val="0"/>
                  <w:vAlign w:val="center"/>
                </w:tcPr>
                <w:p w14:paraId="42F3318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产生量（t/a）</w:t>
                  </w:r>
                </w:p>
              </w:tc>
              <w:tc>
                <w:tcPr>
                  <w:tcW w:w="533" w:type="pct"/>
                  <w:tcBorders>
                    <w:tl2br w:val="nil"/>
                    <w:tr2bl w:val="nil"/>
                  </w:tcBorders>
                  <w:noWrap w:val="0"/>
                  <w:vAlign w:val="center"/>
                </w:tcPr>
                <w:p w14:paraId="5D142BC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rPr>
                    <w:t>污染物</w:t>
                  </w:r>
                </w:p>
              </w:tc>
              <w:tc>
                <w:tcPr>
                  <w:tcW w:w="611" w:type="pct"/>
                  <w:tcBorders>
                    <w:tl2br w:val="nil"/>
                    <w:tr2bl w:val="nil"/>
                  </w:tcBorders>
                  <w:noWrap w:val="0"/>
                  <w:vAlign w:val="center"/>
                </w:tcPr>
                <w:p w14:paraId="35CF5A5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产生浓度(mg/L)</w:t>
                  </w:r>
                </w:p>
              </w:tc>
              <w:tc>
                <w:tcPr>
                  <w:tcW w:w="548" w:type="pct"/>
                  <w:tcBorders>
                    <w:tl2br w:val="nil"/>
                    <w:tr2bl w:val="nil"/>
                  </w:tcBorders>
                  <w:noWrap w:val="0"/>
                  <w:vAlign w:val="center"/>
                </w:tcPr>
                <w:p w14:paraId="2EBA95D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产生量(t/a)</w:t>
                  </w:r>
                </w:p>
              </w:tc>
              <w:tc>
                <w:tcPr>
                  <w:tcW w:w="334" w:type="pct"/>
                  <w:tcBorders>
                    <w:tl2br w:val="nil"/>
                    <w:tr2bl w:val="nil"/>
                  </w:tcBorders>
                  <w:noWrap w:val="0"/>
                  <w:vAlign w:val="center"/>
                </w:tcPr>
                <w:p w14:paraId="4776B06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治理措施</w:t>
                  </w:r>
                </w:p>
              </w:tc>
              <w:tc>
                <w:tcPr>
                  <w:tcW w:w="376" w:type="pct"/>
                  <w:tcBorders>
                    <w:tl2br w:val="nil"/>
                    <w:tr2bl w:val="nil"/>
                  </w:tcBorders>
                  <w:noWrap w:val="0"/>
                  <w:vAlign w:val="center"/>
                </w:tcPr>
                <w:p w14:paraId="6F06059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排放方式</w:t>
                  </w:r>
                </w:p>
              </w:tc>
              <w:tc>
                <w:tcPr>
                  <w:tcW w:w="568" w:type="pct"/>
                  <w:tcBorders>
                    <w:tl2br w:val="nil"/>
                    <w:tr2bl w:val="nil"/>
                  </w:tcBorders>
                  <w:noWrap w:val="0"/>
                  <w:vAlign w:val="center"/>
                </w:tcPr>
                <w:p w14:paraId="1D8E56D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排放去向</w:t>
                  </w:r>
                </w:p>
              </w:tc>
              <w:tc>
                <w:tcPr>
                  <w:tcW w:w="670" w:type="pct"/>
                  <w:tcBorders>
                    <w:tl2br w:val="nil"/>
                    <w:tr2bl w:val="nil"/>
                  </w:tcBorders>
                  <w:noWrap w:val="0"/>
                  <w:vAlign w:val="center"/>
                </w:tcPr>
                <w:p w14:paraId="3840B12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b/>
                      <w:color w:val="auto"/>
                      <w:spacing w:val="0"/>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rPr>
                    <w:t>排放规律</w:t>
                  </w:r>
                </w:p>
              </w:tc>
            </w:tr>
            <w:tr w14:paraId="7C38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Borders>
                    <w:tl2br w:val="nil"/>
                    <w:tr2bl w:val="nil"/>
                  </w:tcBorders>
                  <w:noWrap w:val="0"/>
                  <w:vAlign w:val="center"/>
                </w:tcPr>
                <w:p w14:paraId="5F0EC34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职工生活</w:t>
                  </w:r>
                </w:p>
              </w:tc>
              <w:tc>
                <w:tcPr>
                  <w:tcW w:w="391" w:type="pct"/>
                  <w:vMerge w:val="restart"/>
                  <w:tcBorders>
                    <w:tl2br w:val="nil"/>
                    <w:tr2bl w:val="nil"/>
                  </w:tcBorders>
                  <w:noWrap w:val="0"/>
                  <w:vAlign w:val="center"/>
                </w:tcPr>
                <w:p w14:paraId="53A2821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生活污水</w:t>
                  </w:r>
                </w:p>
              </w:tc>
              <w:tc>
                <w:tcPr>
                  <w:tcW w:w="612" w:type="pct"/>
                  <w:vMerge w:val="restart"/>
                  <w:tcBorders>
                    <w:tl2br w:val="nil"/>
                    <w:tr2bl w:val="nil"/>
                  </w:tcBorders>
                  <w:noWrap w:val="0"/>
                  <w:vAlign w:val="center"/>
                </w:tcPr>
                <w:p w14:paraId="338E058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cs="Times New Roman"/>
                      <w:color w:val="0000FF"/>
                      <w:spacing w:val="0"/>
                      <w:kern w:val="0"/>
                      <w:sz w:val="21"/>
                      <w:szCs w:val="21"/>
                      <w:lang w:val="en-US" w:eastAsia="zh-CN"/>
                    </w:rPr>
                    <w:t>33.6</w:t>
                  </w:r>
                </w:p>
              </w:tc>
              <w:tc>
                <w:tcPr>
                  <w:tcW w:w="533" w:type="pct"/>
                  <w:tcBorders>
                    <w:tl2br w:val="nil"/>
                    <w:tr2bl w:val="nil"/>
                  </w:tcBorders>
                  <w:noWrap w:val="0"/>
                  <w:vAlign w:val="center"/>
                </w:tcPr>
                <w:p w14:paraId="6926503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COD</w:t>
                  </w:r>
                </w:p>
              </w:tc>
              <w:tc>
                <w:tcPr>
                  <w:tcW w:w="611" w:type="pct"/>
                  <w:tcBorders>
                    <w:tl2br w:val="nil"/>
                    <w:tr2bl w:val="nil"/>
                  </w:tcBorders>
                  <w:noWrap w:val="0"/>
                  <w:vAlign w:val="center"/>
                </w:tcPr>
                <w:p w14:paraId="1BBBF6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b w:val="0"/>
                      <w:bCs w:val="0"/>
                      <w:snapToGrid w:val="0"/>
                      <w:color w:val="auto"/>
                      <w:spacing w:val="0"/>
                      <w:kern w:val="0"/>
                      <w:sz w:val="21"/>
                      <w:szCs w:val="21"/>
                      <w:lang w:val="en-US" w:eastAsia="zh-CN" w:bidi="ar-SA"/>
                    </w:rPr>
                    <w:t>300</w:t>
                  </w:r>
                </w:p>
              </w:tc>
              <w:tc>
                <w:tcPr>
                  <w:tcW w:w="876" w:type="dxa"/>
                  <w:tcBorders>
                    <w:tl2br w:val="nil"/>
                    <w:tr2bl w:val="nil"/>
                  </w:tcBorders>
                  <w:noWrap w:val="0"/>
                  <w:vAlign w:val="center"/>
                </w:tcPr>
                <w:p w14:paraId="691FFD48">
                  <w:pPr>
                    <w:keepNext w:val="0"/>
                    <w:keepLines w:val="0"/>
                    <w:widowControl/>
                    <w:suppressLineNumbers w:val="0"/>
                    <w:jc w:val="center"/>
                    <w:textAlignment w:val="center"/>
                    <w:rPr>
                      <w:rFonts w:hint="default" w:ascii="Times New Roman" w:hAnsi="Times New Roman" w:eastAsia="宋体" w:cs="Times New Roman"/>
                      <w:color w:val="0000FF"/>
                      <w:spacing w:val="0"/>
                      <w:kern w:val="0"/>
                      <w:sz w:val="21"/>
                      <w:szCs w:val="21"/>
                      <w:lang w:val="en-US"/>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334" w:type="pct"/>
                  <w:vMerge w:val="restart"/>
                  <w:tcBorders>
                    <w:tl2br w:val="nil"/>
                    <w:tr2bl w:val="nil"/>
                  </w:tcBorders>
                  <w:noWrap w:val="0"/>
                  <w:vAlign w:val="center"/>
                </w:tcPr>
                <w:p w14:paraId="49CBD87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化粪池</w:t>
                  </w:r>
                </w:p>
              </w:tc>
              <w:tc>
                <w:tcPr>
                  <w:tcW w:w="376" w:type="pct"/>
                  <w:vMerge w:val="restart"/>
                  <w:tcBorders>
                    <w:tl2br w:val="nil"/>
                    <w:tr2bl w:val="nil"/>
                  </w:tcBorders>
                  <w:noWrap w:val="0"/>
                  <w:vAlign w:val="center"/>
                </w:tcPr>
                <w:p w14:paraId="683EBD2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间接排放</w:t>
                  </w:r>
                </w:p>
              </w:tc>
              <w:tc>
                <w:tcPr>
                  <w:tcW w:w="568" w:type="pct"/>
                  <w:vMerge w:val="restart"/>
                  <w:tcBorders>
                    <w:tl2br w:val="nil"/>
                    <w:tr2bl w:val="nil"/>
                  </w:tcBorders>
                  <w:noWrap w:val="0"/>
                  <w:vAlign w:val="center"/>
                </w:tcPr>
                <w:p w14:paraId="75D75CD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eastAsia="宋体" w:cs="Times New Roman"/>
                      <w:bCs/>
                      <w:color w:val="auto"/>
                      <w:spacing w:val="0"/>
                      <w:kern w:val="0"/>
                      <w:sz w:val="21"/>
                      <w:szCs w:val="21"/>
                      <w:highlight w:val="none"/>
                      <w:lang w:val="en-US" w:eastAsia="zh-CN"/>
                    </w:rPr>
                    <w:t>嘉祥公用水务有限公司</w:t>
                  </w:r>
                </w:p>
              </w:tc>
              <w:tc>
                <w:tcPr>
                  <w:tcW w:w="670" w:type="pct"/>
                  <w:vMerge w:val="restart"/>
                  <w:tcBorders>
                    <w:tl2br w:val="nil"/>
                    <w:tr2bl w:val="nil"/>
                  </w:tcBorders>
                  <w:noWrap w:val="0"/>
                  <w:vAlign w:val="center"/>
                </w:tcPr>
                <w:p w14:paraId="0DE7B9F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间断</w:t>
                  </w:r>
                  <w:r>
                    <w:rPr>
                      <w:rFonts w:hint="default" w:ascii="Times New Roman" w:hAnsi="Times New Roman" w:eastAsia="宋体" w:cs="Times New Roman"/>
                      <w:snapToGrid w:val="0"/>
                      <w:color w:val="auto"/>
                      <w:spacing w:val="0"/>
                      <w:kern w:val="0"/>
                      <w:sz w:val="21"/>
                      <w:szCs w:val="21"/>
                    </w:rPr>
                    <w:t>排放，流量不稳定，但有周期性规律</w:t>
                  </w:r>
                </w:p>
              </w:tc>
            </w:tr>
            <w:tr w14:paraId="4D79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noWrap w:val="0"/>
                  <w:vAlign w:val="center"/>
                </w:tcPr>
                <w:p w14:paraId="3FB075B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391" w:type="pct"/>
                  <w:vMerge w:val="continue"/>
                  <w:tcBorders>
                    <w:tl2br w:val="nil"/>
                    <w:tr2bl w:val="nil"/>
                  </w:tcBorders>
                  <w:noWrap w:val="0"/>
                  <w:vAlign w:val="center"/>
                </w:tcPr>
                <w:p w14:paraId="08D387D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12" w:type="pct"/>
                  <w:vMerge w:val="continue"/>
                  <w:tcBorders>
                    <w:tl2br w:val="nil"/>
                    <w:tr2bl w:val="nil"/>
                  </w:tcBorders>
                  <w:noWrap w:val="0"/>
                  <w:vAlign w:val="center"/>
                </w:tcPr>
                <w:p w14:paraId="325BF90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533" w:type="pct"/>
                  <w:tcBorders>
                    <w:tl2br w:val="nil"/>
                    <w:tr2bl w:val="nil"/>
                  </w:tcBorders>
                  <w:noWrap w:val="0"/>
                  <w:vAlign w:val="center"/>
                </w:tcPr>
                <w:p w14:paraId="5AB0C81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BOD</w:t>
                  </w:r>
                  <w:r>
                    <w:rPr>
                      <w:rFonts w:hint="default" w:ascii="Times New Roman" w:hAnsi="Times New Roman" w:eastAsia="宋体" w:cs="Times New Roman"/>
                      <w:color w:val="auto"/>
                      <w:spacing w:val="0"/>
                      <w:kern w:val="0"/>
                      <w:sz w:val="21"/>
                      <w:szCs w:val="21"/>
                      <w:vertAlign w:val="subscript"/>
                    </w:rPr>
                    <w:t>5</w:t>
                  </w:r>
                </w:p>
              </w:tc>
              <w:tc>
                <w:tcPr>
                  <w:tcW w:w="611" w:type="pct"/>
                  <w:tcBorders>
                    <w:tl2br w:val="nil"/>
                    <w:tr2bl w:val="nil"/>
                  </w:tcBorders>
                  <w:noWrap w:val="0"/>
                  <w:vAlign w:val="center"/>
                </w:tcPr>
                <w:p w14:paraId="022772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b w:val="0"/>
                      <w:bCs w:val="0"/>
                      <w:snapToGrid w:val="0"/>
                      <w:color w:val="auto"/>
                      <w:spacing w:val="0"/>
                      <w:kern w:val="0"/>
                      <w:sz w:val="21"/>
                      <w:szCs w:val="21"/>
                      <w:highlight w:val="none"/>
                      <w:lang w:val="en-US" w:eastAsia="zh-CN" w:bidi="ar-SA"/>
                    </w:rPr>
                    <w:t>260</w:t>
                  </w:r>
                </w:p>
              </w:tc>
              <w:tc>
                <w:tcPr>
                  <w:tcW w:w="876" w:type="dxa"/>
                  <w:tcBorders>
                    <w:tl2br w:val="nil"/>
                    <w:tr2bl w:val="nil"/>
                  </w:tcBorders>
                  <w:noWrap w:val="0"/>
                  <w:vAlign w:val="center"/>
                </w:tcPr>
                <w:p w14:paraId="3ACCA16B">
                  <w:pPr>
                    <w:keepNext w:val="0"/>
                    <w:keepLines w:val="0"/>
                    <w:widowControl/>
                    <w:suppressLineNumbers w:val="0"/>
                    <w:jc w:val="center"/>
                    <w:textAlignment w:val="center"/>
                    <w:rPr>
                      <w:rFonts w:hint="default" w:ascii="Times New Roman" w:hAnsi="Times New Roman" w:eastAsia="宋体" w:cs="Times New Roman"/>
                      <w:color w:val="0000FF"/>
                      <w:spacing w:val="0"/>
                      <w:kern w:val="0"/>
                      <w:sz w:val="21"/>
                      <w:szCs w:val="21"/>
                      <w:lang w:val="en-US"/>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334" w:type="pct"/>
                  <w:vMerge w:val="continue"/>
                  <w:tcBorders>
                    <w:tl2br w:val="nil"/>
                    <w:tr2bl w:val="nil"/>
                  </w:tcBorders>
                  <w:noWrap w:val="0"/>
                  <w:vAlign w:val="center"/>
                </w:tcPr>
                <w:p w14:paraId="61BEEC5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376" w:type="pct"/>
                  <w:vMerge w:val="continue"/>
                  <w:tcBorders>
                    <w:tl2br w:val="nil"/>
                    <w:tr2bl w:val="nil"/>
                  </w:tcBorders>
                  <w:noWrap w:val="0"/>
                  <w:vAlign w:val="center"/>
                </w:tcPr>
                <w:p w14:paraId="04DFC90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568" w:type="pct"/>
                  <w:vMerge w:val="continue"/>
                  <w:tcBorders>
                    <w:tl2br w:val="nil"/>
                    <w:tr2bl w:val="nil"/>
                  </w:tcBorders>
                  <w:noWrap w:val="0"/>
                  <w:vAlign w:val="center"/>
                </w:tcPr>
                <w:p w14:paraId="115FF9D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70" w:type="pct"/>
                  <w:vMerge w:val="continue"/>
                  <w:tcBorders>
                    <w:tl2br w:val="nil"/>
                    <w:tr2bl w:val="nil"/>
                  </w:tcBorders>
                  <w:noWrap w:val="0"/>
                  <w:vAlign w:val="center"/>
                </w:tcPr>
                <w:p w14:paraId="27A64B1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r>
            <w:tr w14:paraId="56FF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noWrap w:val="0"/>
                  <w:vAlign w:val="center"/>
                </w:tcPr>
                <w:p w14:paraId="267C3D9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391" w:type="pct"/>
                  <w:vMerge w:val="continue"/>
                  <w:tcBorders>
                    <w:tl2br w:val="nil"/>
                    <w:tr2bl w:val="nil"/>
                  </w:tcBorders>
                  <w:noWrap w:val="0"/>
                  <w:vAlign w:val="center"/>
                </w:tcPr>
                <w:p w14:paraId="28E6DD3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12" w:type="pct"/>
                  <w:vMerge w:val="continue"/>
                  <w:tcBorders>
                    <w:tl2br w:val="nil"/>
                    <w:tr2bl w:val="nil"/>
                  </w:tcBorders>
                  <w:noWrap w:val="0"/>
                  <w:vAlign w:val="center"/>
                </w:tcPr>
                <w:p w14:paraId="5519120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533" w:type="pct"/>
                  <w:tcBorders>
                    <w:tl2br w:val="nil"/>
                    <w:tr2bl w:val="nil"/>
                  </w:tcBorders>
                  <w:noWrap w:val="0"/>
                  <w:vAlign w:val="center"/>
                </w:tcPr>
                <w:p w14:paraId="16EF875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SS</w:t>
                  </w:r>
                </w:p>
              </w:tc>
              <w:tc>
                <w:tcPr>
                  <w:tcW w:w="611" w:type="pct"/>
                  <w:tcBorders>
                    <w:tl2br w:val="nil"/>
                    <w:tr2bl w:val="nil"/>
                  </w:tcBorders>
                  <w:noWrap w:val="0"/>
                  <w:vAlign w:val="center"/>
                </w:tcPr>
                <w:p w14:paraId="72CF24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b w:val="0"/>
                      <w:bCs w:val="0"/>
                      <w:snapToGrid w:val="0"/>
                      <w:color w:val="auto"/>
                      <w:spacing w:val="0"/>
                      <w:kern w:val="0"/>
                      <w:sz w:val="21"/>
                      <w:szCs w:val="21"/>
                      <w:highlight w:val="none"/>
                      <w:lang w:val="en-US" w:eastAsia="zh-CN" w:bidi="ar-SA"/>
                    </w:rPr>
                    <w:t>200</w:t>
                  </w:r>
                </w:p>
              </w:tc>
              <w:tc>
                <w:tcPr>
                  <w:tcW w:w="876" w:type="dxa"/>
                  <w:tcBorders>
                    <w:tl2br w:val="nil"/>
                    <w:tr2bl w:val="nil"/>
                  </w:tcBorders>
                  <w:noWrap w:val="0"/>
                  <w:vAlign w:val="center"/>
                </w:tcPr>
                <w:p w14:paraId="14B8F781">
                  <w:pPr>
                    <w:keepNext w:val="0"/>
                    <w:keepLines w:val="0"/>
                    <w:widowControl/>
                    <w:suppressLineNumbers w:val="0"/>
                    <w:jc w:val="center"/>
                    <w:textAlignment w:val="center"/>
                    <w:rPr>
                      <w:rFonts w:hint="default" w:ascii="Times New Roman" w:hAnsi="Times New Roman" w:eastAsia="宋体" w:cs="Times New Roman"/>
                      <w:color w:val="0000FF"/>
                      <w:spacing w:val="0"/>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0.007</w:t>
                  </w:r>
                </w:p>
              </w:tc>
              <w:tc>
                <w:tcPr>
                  <w:tcW w:w="334" w:type="pct"/>
                  <w:vMerge w:val="continue"/>
                  <w:tcBorders>
                    <w:tl2br w:val="nil"/>
                    <w:tr2bl w:val="nil"/>
                  </w:tcBorders>
                  <w:noWrap w:val="0"/>
                  <w:vAlign w:val="center"/>
                </w:tcPr>
                <w:p w14:paraId="2759F18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376" w:type="pct"/>
                  <w:vMerge w:val="continue"/>
                  <w:tcBorders>
                    <w:tl2br w:val="nil"/>
                    <w:tr2bl w:val="nil"/>
                  </w:tcBorders>
                  <w:noWrap w:val="0"/>
                  <w:vAlign w:val="center"/>
                </w:tcPr>
                <w:p w14:paraId="36E488B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568" w:type="pct"/>
                  <w:vMerge w:val="continue"/>
                  <w:tcBorders>
                    <w:tl2br w:val="nil"/>
                    <w:tr2bl w:val="nil"/>
                  </w:tcBorders>
                  <w:noWrap w:val="0"/>
                  <w:vAlign w:val="center"/>
                </w:tcPr>
                <w:p w14:paraId="22DFA9B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70" w:type="pct"/>
                  <w:vMerge w:val="continue"/>
                  <w:tcBorders>
                    <w:tl2br w:val="nil"/>
                    <w:tr2bl w:val="nil"/>
                  </w:tcBorders>
                  <w:noWrap w:val="0"/>
                  <w:vAlign w:val="center"/>
                </w:tcPr>
                <w:p w14:paraId="2A7EE1D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r>
            <w:tr w14:paraId="7490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noWrap w:val="0"/>
                  <w:vAlign w:val="center"/>
                </w:tcPr>
                <w:p w14:paraId="04A1B4B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391" w:type="pct"/>
                  <w:vMerge w:val="continue"/>
                  <w:tcBorders>
                    <w:tl2br w:val="nil"/>
                    <w:tr2bl w:val="nil"/>
                  </w:tcBorders>
                  <w:noWrap w:val="0"/>
                  <w:vAlign w:val="center"/>
                </w:tcPr>
                <w:p w14:paraId="3EC8F46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12" w:type="pct"/>
                  <w:vMerge w:val="continue"/>
                  <w:tcBorders>
                    <w:tl2br w:val="nil"/>
                    <w:tr2bl w:val="nil"/>
                  </w:tcBorders>
                  <w:noWrap w:val="0"/>
                  <w:vAlign w:val="center"/>
                </w:tcPr>
                <w:p w14:paraId="5DC0BE6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533" w:type="pct"/>
                  <w:tcBorders>
                    <w:tl2br w:val="nil"/>
                    <w:tr2bl w:val="nil"/>
                  </w:tcBorders>
                  <w:noWrap w:val="0"/>
                  <w:vAlign w:val="center"/>
                </w:tcPr>
                <w:p w14:paraId="6C8BFE5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氨氮</w:t>
                  </w:r>
                </w:p>
              </w:tc>
              <w:tc>
                <w:tcPr>
                  <w:tcW w:w="611" w:type="pct"/>
                  <w:tcBorders>
                    <w:tl2br w:val="nil"/>
                    <w:tr2bl w:val="nil"/>
                  </w:tcBorders>
                  <w:noWrap w:val="0"/>
                  <w:vAlign w:val="center"/>
                </w:tcPr>
                <w:p w14:paraId="26D678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b w:val="0"/>
                      <w:bCs w:val="0"/>
                      <w:snapToGrid w:val="0"/>
                      <w:color w:val="auto"/>
                      <w:spacing w:val="0"/>
                      <w:kern w:val="0"/>
                      <w:sz w:val="21"/>
                      <w:szCs w:val="21"/>
                      <w:lang w:val="en-US" w:eastAsia="zh-CN" w:bidi="ar-SA"/>
                    </w:rPr>
                    <w:t>30</w:t>
                  </w:r>
                </w:p>
              </w:tc>
              <w:tc>
                <w:tcPr>
                  <w:tcW w:w="876" w:type="dxa"/>
                  <w:tcBorders>
                    <w:tl2br w:val="nil"/>
                    <w:tr2bl w:val="nil"/>
                  </w:tcBorders>
                  <w:noWrap w:val="0"/>
                  <w:vAlign w:val="center"/>
                </w:tcPr>
                <w:p w14:paraId="594F4C88">
                  <w:pPr>
                    <w:keepNext w:val="0"/>
                    <w:keepLines w:val="0"/>
                    <w:widowControl/>
                    <w:suppressLineNumbers w:val="0"/>
                    <w:jc w:val="center"/>
                    <w:textAlignment w:val="center"/>
                    <w:rPr>
                      <w:rFonts w:hint="default" w:ascii="Times New Roman" w:hAnsi="Times New Roman" w:eastAsia="宋体" w:cs="Times New Roman"/>
                      <w:color w:val="0000FF"/>
                      <w:spacing w:val="0"/>
                      <w:kern w:val="0"/>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0.001</w:t>
                  </w:r>
                </w:p>
              </w:tc>
              <w:tc>
                <w:tcPr>
                  <w:tcW w:w="334" w:type="pct"/>
                  <w:vMerge w:val="continue"/>
                  <w:tcBorders>
                    <w:tl2br w:val="nil"/>
                    <w:tr2bl w:val="nil"/>
                  </w:tcBorders>
                  <w:noWrap w:val="0"/>
                  <w:vAlign w:val="center"/>
                </w:tcPr>
                <w:p w14:paraId="100C7FB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376" w:type="pct"/>
                  <w:vMerge w:val="continue"/>
                  <w:tcBorders>
                    <w:tl2br w:val="nil"/>
                    <w:tr2bl w:val="nil"/>
                  </w:tcBorders>
                  <w:noWrap w:val="0"/>
                  <w:vAlign w:val="center"/>
                </w:tcPr>
                <w:p w14:paraId="31A20EE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p>
              </w:tc>
              <w:tc>
                <w:tcPr>
                  <w:tcW w:w="568" w:type="pct"/>
                  <w:vMerge w:val="continue"/>
                  <w:tcBorders>
                    <w:tl2br w:val="nil"/>
                    <w:tr2bl w:val="nil"/>
                  </w:tcBorders>
                  <w:noWrap w:val="0"/>
                  <w:vAlign w:val="center"/>
                </w:tcPr>
                <w:p w14:paraId="43EA4A0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c>
                <w:tcPr>
                  <w:tcW w:w="670" w:type="pct"/>
                  <w:vMerge w:val="continue"/>
                  <w:tcBorders>
                    <w:tl2br w:val="nil"/>
                    <w:tr2bl w:val="nil"/>
                  </w:tcBorders>
                  <w:noWrap w:val="0"/>
                  <w:vAlign w:val="center"/>
                </w:tcPr>
                <w:p w14:paraId="60BF063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Chars="0"/>
                    <w:jc w:val="center"/>
                    <w:textAlignment w:val="auto"/>
                    <w:rPr>
                      <w:rFonts w:hint="default" w:ascii="Times New Roman" w:hAnsi="Times New Roman" w:eastAsia="宋体" w:cs="Times New Roman"/>
                      <w:color w:val="auto"/>
                      <w:spacing w:val="0"/>
                      <w:kern w:val="0"/>
                      <w:sz w:val="21"/>
                      <w:szCs w:val="21"/>
                    </w:rPr>
                  </w:pPr>
                </w:p>
              </w:tc>
            </w:tr>
          </w:tbl>
          <w:p w14:paraId="43EA3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zh-CN" w:eastAsia="zh-CN"/>
              </w:rPr>
            </w:pPr>
            <w:r>
              <w:rPr>
                <w:rFonts w:hint="default" w:ascii="Times New Roman" w:hAnsi="Times New Roman" w:eastAsia="宋体" w:cs="Times New Roman"/>
                <w:b w:val="0"/>
                <w:bCs w:val="0"/>
                <w:color w:val="auto"/>
                <w:spacing w:val="0"/>
                <w:kern w:val="0"/>
                <w:sz w:val="24"/>
                <w:szCs w:val="24"/>
                <w:highlight w:val="none"/>
                <w:lang w:val="zh-CN" w:eastAsia="zh-CN"/>
              </w:rPr>
              <w:t>本项目废水经</w:t>
            </w:r>
            <w:r>
              <w:rPr>
                <w:rFonts w:hint="eastAsia" w:ascii="Times New Roman" w:hAnsi="Times New Roman" w:eastAsia="宋体" w:cs="Times New Roman"/>
                <w:bCs/>
                <w:color w:val="auto"/>
                <w:spacing w:val="0"/>
                <w:kern w:val="0"/>
                <w:sz w:val="24"/>
                <w:szCs w:val="24"/>
                <w:highlight w:val="none"/>
                <w:lang w:val="en-US" w:eastAsia="zh-CN"/>
              </w:rPr>
              <w:t>嘉祥公用水务有限公司</w:t>
            </w:r>
            <w:r>
              <w:rPr>
                <w:rFonts w:hint="default" w:ascii="Times New Roman" w:hAnsi="Times New Roman" w:eastAsia="宋体" w:cs="Times New Roman"/>
                <w:bCs/>
                <w:color w:val="auto"/>
                <w:spacing w:val="0"/>
                <w:kern w:val="0"/>
                <w:sz w:val="24"/>
                <w:szCs w:val="24"/>
                <w:lang w:val="en-US" w:eastAsia="zh-CN"/>
              </w:rPr>
              <w:t>处理</w:t>
            </w:r>
            <w:r>
              <w:rPr>
                <w:rFonts w:hint="default" w:ascii="Times New Roman" w:hAnsi="Times New Roman" w:eastAsia="宋体" w:cs="Times New Roman"/>
                <w:b w:val="0"/>
                <w:bCs w:val="0"/>
                <w:color w:val="auto"/>
                <w:spacing w:val="0"/>
                <w:kern w:val="0"/>
                <w:sz w:val="24"/>
                <w:szCs w:val="24"/>
                <w:highlight w:val="none"/>
                <w:lang w:val="zh-CN" w:eastAsia="zh-CN"/>
              </w:rPr>
              <w:t>后，排入外环境的COD、氨氮分别</w:t>
            </w:r>
            <w:r>
              <w:rPr>
                <w:rFonts w:hint="default" w:ascii="Times New Roman" w:hAnsi="Times New Roman" w:eastAsia="宋体" w:cs="Times New Roman"/>
                <w:b w:val="0"/>
                <w:bCs w:val="0"/>
                <w:color w:val="0000FF"/>
                <w:spacing w:val="0"/>
                <w:kern w:val="0"/>
                <w:sz w:val="24"/>
                <w:szCs w:val="24"/>
                <w:highlight w:val="none"/>
                <w:lang w:val="zh-CN" w:eastAsia="zh-CN"/>
              </w:rPr>
              <w:t>为</w:t>
            </w:r>
            <w:r>
              <w:rPr>
                <w:rFonts w:hint="default" w:ascii="Times New Roman" w:hAnsi="Times New Roman" w:eastAsia="宋体" w:cs="Times New Roman"/>
                <w:color w:val="0000FF"/>
                <w:kern w:val="0"/>
                <w:sz w:val="24"/>
                <w:szCs w:val="24"/>
              </w:rPr>
              <w:t>0.0</w:t>
            </w:r>
            <w:r>
              <w:rPr>
                <w:rFonts w:hint="default" w:ascii="Times New Roman" w:hAnsi="Times New Roman" w:eastAsia="宋体" w:cs="Times New Roman"/>
                <w:color w:val="0000FF"/>
                <w:kern w:val="0"/>
                <w:sz w:val="24"/>
                <w:szCs w:val="24"/>
                <w:lang w:val="en-US" w:eastAsia="zh-CN"/>
              </w:rPr>
              <w:t>0</w:t>
            </w:r>
            <w:r>
              <w:rPr>
                <w:rFonts w:hint="eastAsia" w:cs="Times New Roman"/>
                <w:color w:val="0000FF"/>
                <w:kern w:val="0"/>
                <w:sz w:val="24"/>
                <w:szCs w:val="24"/>
                <w:lang w:val="en-US" w:eastAsia="zh-CN"/>
              </w:rPr>
              <w:t>2</w:t>
            </w:r>
            <w:r>
              <w:rPr>
                <w:rFonts w:hint="default" w:ascii="Times New Roman" w:hAnsi="Times New Roman" w:eastAsia="宋体" w:cs="Times New Roman"/>
                <w:color w:val="0000FF"/>
                <w:kern w:val="0"/>
                <w:sz w:val="24"/>
                <w:szCs w:val="24"/>
              </w:rPr>
              <w:t>t/a、0.00</w:t>
            </w:r>
            <w:r>
              <w:rPr>
                <w:rFonts w:hint="default" w:ascii="Times New Roman" w:hAnsi="Times New Roman" w:eastAsia="宋体" w:cs="Times New Roman"/>
                <w:color w:val="0000FF"/>
                <w:kern w:val="0"/>
                <w:sz w:val="24"/>
                <w:szCs w:val="24"/>
                <w:lang w:val="en-US" w:eastAsia="zh-CN"/>
              </w:rPr>
              <w:t>0</w:t>
            </w:r>
            <w:r>
              <w:rPr>
                <w:rFonts w:hint="eastAsia" w:cs="Times New Roman"/>
                <w:color w:val="0000FF"/>
                <w:kern w:val="0"/>
                <w:sz w:val="24"/>
                <w:szCs w:val="24"/>
                <w:lang w:val="en-US" w:eastAsia="zh-CN"/>
              </w:rPr>
              <w:t>2</w:t>
            </w:r>
            <w:r>
              <w:rPr>
                <w:rFonts w:hint="default" w:ascii="Times New Roman" w:hAnsi="Times New Roman" w:eastAsia="宋体" w:cs="Times New Roman"/>
                <w:color w:val="0000FF"/>
                <w:kern w:val="0"/>
                <w:sz w:val="24"/>
                <w:szCs w:val="24"/>
                <w:lang w:val="en-US" w:eastAsia="zh-CN"/>
              </w:rPr>
              <w:t>t</w:t>
            </w:r>
            <w:r>
              <w:rPr>
                <w:rFonts w:hint="default" w:ascii="Times New Roman" w:hAnsi="Times New Roman" w:eastAsia="宋体" w:cs="Times New Roman"/>
                <w:color w:val="0000FF"/>
                <w:kern w:val="0"/>
                <w:sz w:val="24"/>
                <w:szCs w:val="24"/>
              </w:rPr>
              <w:t>/a</w:t>
            </w:r>
            <w:r>
              <w:rPr>
                <w:rFonts w:hint="default" w:ascii="Times New Roman" w:hAnsi="Times New Roman" w:eastAsia="宋体" w:cs="Times New Roman"/>
                <w:b w:val="0"/>
                <w:bCs w:val="0"/>
                <w:color w:val="0000FF"/>
                <w:spacing w:val="0"/>
                <w:kern w:val="0"/>
                <w:sz w:val="24"/>
                <w:szCs w:val="24"/>
                <w:highlight w:val="none"/>
                <w:lang w:val="zh-CN" w:eastAsia="zh-CN"/>
              </w:rPr>
              <w:t>。</w:t>
            </w:r>
          </w:p>
          <w:p w14:paraId="7B3B318E">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auto"/>
                <w:sz w:val="24"/>
                <w:szCs w:val="24"/>
                <w:highlight w:val="none"/>
                <w:lang w:val="zh-CN" w:eastAsia="zh-CN"/>
              </w:rPr>
            </w:pPr>
            <w:r>
              <w:rPr>
                <w:rFonts w:hint="default" w:ascii="Times New Roman" w:hAnsi="Times New Roman" w:eastAsia="宋体" w:cs="Times New Roman"/>
                <w:b/>
                <w:bCs/>
                <w:caps w:val="0"/>
                <w:snapToGrid w:val="0"/>
                <w:color w:val="auto"/>
                <w:spacing w:val="0"/>
                <w:kern w:val="0"/>
                <w:sz w:val="24"/>
                <w:szCs w:val="24"/>
                <w:highlight w:val="none"/>
                <w:lang w:val="en-US" w:eastAsia="zh-CN" w:bidi="ar-SA"/>
              </w:rPr>
              <w:t>排放口</w:t>
            </w:r>
            <w:r>
              <w:rPr>
                <w:rFonts w:hint="default" w:ascii="Times New Roman" w:hAnsi="Times New Roman" w:eastAsia="宋体" w:cs="Times New Roman"/>
                <w:b/>
                <w:color w:val="auto"/>
                <w:sz w:val="24"/>
                <w:szCs w:val="24"/>
                <w:highlight w:val="none"/>
                <w:lang w:val="en-US" w:eastAsia="zh-CN"/>
              </w:rPr>
              <w:t>基本情况</w:t>
            </w:r>
            <w:r>
              <w:rPr>
                <w:rFonts w:hint="default" w:ascii="Times New Roman" w:hAnsi="Times New Roman" w:eastAsia="宋体" w:cs="Times New Roman"/>
                <w:b/>
                <w:color w:val="auto"/>
                <w:sz w:val="24"/>
                <w:szCs w:val="24"/>
                <w:highlight w:val="none"/>
                <w:lang w:val="zh-CN" w:eastAsia="zh-CN"/>
              </w:rPr>
              <w:t>信息表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0"/>
              <w:gridCol w:w="989"/>
              <w:gridCol w:w="1103"/>
              <w:gridCol w:w="1674"/>
              <w:gridCol w:w="1589"/>
              <w:gridCol w:w="1591"/>
            </w:tblGrid>
            <w:tr w14:paraId="45E4B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tcBorders>
                    <w:tl2br w:val="nil"/>
                    <w:tr2bl w:val="nil"/>
                  </w:tcBorders>
                  <w:noWrap w:val="0"/>
                  <w:vAlign w:val="center"/>
                </w:tcPr>
                <w:p w14:paraId="3ACA60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b/>
                      <w:bCs/>
                      <w:snapToGrid w:val="0"/>
                      <w:color w:val="auto"/>
                      <w:spacing w:val="0"/>
                      <w:kern w:val="0"/>
                      <w:sz w:val="21"/>
                      <w:szCs w:val="21"/>
                      <w:lang w:eastAsia="zh-CN"/>
                    </w:rPr>
                  </w:pPr>
                  <w:r>
                    <w:rPr>
                      <w:rFonts w:hint="default" w:ascii="Times New Roman" w:hAnsi="Times New Roman" w:eastAsia="宋体" w:cs="Times New Roman"/>
                      <w:b/>
                      <w:bCs/>
                      <w:snapToGrid w:val="0"/>
                      <w:color w:val="auto"/>
                      <w:spacing w:val="0"/>
                      <w:kern w:val="0"/>
                      <w:sz w:val="21"/>
                      <w:szCs w:val="21"/>
                      <w:lang w:val="en-US" w:eastAsia="zh-CN"/>
                    </w:rPr>
                    <w:t>编号</w:t>
                  </w:r>
                </w:p>
              </w:tc>
              <w:tc>
                <w:tcPr>
                  <w:tcW w:w="627" w:type="pct"/>
                  <w:tcBorders>
                    <w:tl2br w:val="nil"/>
                    <w:tr2bl w:val="nil"/>
                  </w:tcBorders>
                  <w:noWrap w:val="0"/>
                  <w:vAlign w:val="center"/>
                </w:tcPr>
                <w:p w14:paraId="48E172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b/>
                      <w:bCs/>
                      <w:snapToGrid w:val="0"/>
                      <w:color w:val="auto"/>
                      <w:spacing w:val="0"/>
                      <w:kern w:val="0"/>
                      <w:sz w:val="21"/>
                      <w:szCs w:val="21"/>
                      <w:lang w:eastAsia="zh-CN"/>
                    </w:rPr>
                  </w:pPr>
                  <w:r>
                    <w:rPr>
                      <w:rFonts w:hint="default" w:ascii="Times New Roman" w:hAnsi="Times New Roman" w:eastAsia="宋体" w:cs="Times New Roman"/>
                      <w:b/>
                      <w:bCs/>
                      <w:snapToGrid w:val="0"/>
                      <w:color w:val="auto"/>
                      <w:spacing w:val="0"/>
                      <w:kern w:val="0"/>
                      <w:sz w:val="21"/>
                      <w:szCs w:val="21"/>
                      <w:lang w:val="en-US" w:eastAsia="zh-CN"/>
                    </w:rPr>
                    <w:t>名称</w:t>
                  </w:r>
                </w:p>
              </w:tc>
              <w:tc>
                <w:tcPr>
                  <w:tcW w:w="699" w:type="pct"/>
                  <w:tcBorders>
                    <w:tl2br w:val="nil"/>
                    <w:tr2bl w:val="nil"/>
                  </w:tcBorders>
                  <w:noWrap w:val="0"/>
                  <w:vAlign w:val="center"/>
                </w:tcPr>
                <w:p w14:paraId="1EB36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snapToGrid w:val="0"/>
                      <w:color w:val="auto"/>
                      <w:spacing w:val="0"/>
                      <w:kern w:val="0"/>
                      <w:sz w:val="21"/>
                      <w:szCs w:val="21"/>
                      <w:lang w:val="en-US" w:eastAsia="zh-CN" w:bidi="ar-SA"/>
                    </w:rPr>
                  </w:pPr>
                  <w:r>
                    <w:rPr>
                      <w:rFonts w:hint="default" w:ascii="Times New Roman" w:hAnsi="Times New Roman" w:eastAsia="宋体" w:cs="Times New Roman"/>
                      <w:b/>
                      <w:bCs/>
                      <w:snapToGrid w:val="0"/>
                      <w:color w:val="auto"/>
                      <w:spacing w:val="0"/>
                      <w:kern w:val="0"/>
                      <w:sz w:val="21"/>
                      <w:szCs w:val="21"/>
                    </w:rPr>
                    <w:t>类型</w:t>
                  </w:r>
                </w:p>
              </w:tc>
              <w:tc>
                <w:tcPr>
                  <w:tcW w:w="1061" w:type="pct"/>
                  <w:tcBorders>
                    <w:tl2br w:val="nil"/>
                    <w:tr2bl w:val="nil"/>
                  </w:tcBorders>
                  <w:noWrap w:val="0"/>
                  <w:vAlign w:val="center"/>
                </w:tcPr>
                <w:p w14:paraId="2D874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snapToGrid w:val="0"/>
                      <w:color w:val="auto"/>
                      <w:spacing w:val="0"/>
                      <w:kern w:val="0"/>
                      <w:sz w:val="21"/>
                      <w:szCs w:val="21"/>
                      <w:lang w:val="en-US" w:eastAsia="zh-CN"/>
                    </w:rPr>
                  </w:pPr>
                  <w:r>
                    <w:rPr>
                      <w:rFonts w:hint="default" w:ascii="Times New Roman" w:hAnsi="Times New Roman" w:eastAsia="宋体" w:cs="Times New Roman"/>
                      <w:b/>
                      <w:bCs/>
                      <w:snapToGrid w:val="0"/>
                      <w:color w:val="auto"/>
                      <w:spacing w:val="0"/>
                      <w:kern w:val="0"/>
                      <w:sz w:val="21"/>
                      <w:szCs w:val="21"/>
                      <w:lang w:val="en-US" w:eastAsia="zh-CN"/>
                    </w:rPr>
                    <w:t>地理坐标</w:t>
                  </w:r>
                </w:p>
              </w:tc>
              <w:tc>
                <w:tcPr>
                  <w:tcW w:w="2015" w:type="pct"/>
                  <w:gridSpan w:val="2"/>
                  <w:tcBorders>
                    <w:tl2br w:val="nil"/>
                    <w:tr2bl w:val="nil"/>
                  </w:tcBorders>
                  <w:noWrap w:val="0"/>
                  <w:vAlign w:val="center"/>
                </w:tcPr>
                <w:p w14:paraId="58F18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snapToGrid w:val="0"/>
                      <w:color w:val="auto"/>
                      <w:spacing w:val="0"/>
                      <w:kern w:val="0"/>
                      <w:sz w:val="21"/>
                      <w:szCs w:val="21"/>
                      <w:lang w:val="en-US" w:eastAsia="zh-CN"/>
                    </w:rPr>
                  </w:pPr>
                  <w:r>
                    <w:rPr>
                      <w:rFonts w:hint="default" w:ascii="Times New Roman" w:hAnsi="Times New Roman" w:eastAsia="宋体" w:cs="Times New Roman"/>
                      <w:b/>
                      <w:bCs/>
                      <w:snapToGrid w:val="0"/>
                      <w:color w:val="auto"/>
                      <w:spacing w:val="0"/>
                      <w:kern w:val="0"/>
                      <w:sz w:val="21"/>
                      <w:szCs w:val="21"/>
                      <w:lang w:val="en-US" w:eastAsia="zh-CN"/>
                    </w:rPr>
                    <w:t>排放标准</w:t>
                  </w:r>
                </w:p>
              </w:tc>
            </w:tr>
            <w:tr w14:paraId="46A98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vMerge w:val="restart"/>
                  <w:tcBorders>
                    <w:tl2br w:val="nil"/>
                    <w:tr2bl w:val="nil"/>
                  </w:tcBorders>
                  <w:noWrap w:val="0"/>
                  <w:vAlign w:val="center"/>
                </w:tcPr>
                <w:p w14:paraId="501DC3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DW001</w:t>
                  </w:r>
                </w:p>
              </w:tc>
              <w:tc>
                <w:tcPr>
                  <w:tcW w:w="627" w:type="pct"/>
                  <w:vMerge w:val="restart"/>
                  <w:tcBorders>
                    <w:tl2br w:val="nil"/>
                    <w:tr2bl w:val="nil"/>
                  </w:tcBorders>
                  <w:noWrap w:val="0"/>
                  <w:vAlign w:val="center"/>
                </w:tcPr>
                <w:p w14:paraId="6DAACD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rPr>
                    <w:t>生活污水</w:t>
                  </w:r>
                  <w:r>
                    <w:rPr>
                      <w:rFonts w:hint="default" w:ascii="Times New Roman" w:hAnsi="Times New Roman" w:eastAsia="宋体" w:cs="Times New Roman"/>
                      <w:snapToGrid w:val="0"/>
                      <w:color w:val="auto"/>
                      <w:spacing w:val="0"/>
                      <w:kern w:val="0"/>
                      <w:sz w:val="21"/>
                      <w:szCs w:val="21"/>
                      <w:lang w:val="en-US" w:eastAsia="zh-CN"/>
                    </w:rPr>
                    <w:t>排放口</w:t>
                  </w:r>
                </w:p>
              </w:tc>
              <w:tc>
                <w:tcPr>
                  <w:tcW w:w="699" w:type="pct"/>
                  <w:vMerge w:val="restart"/>
                  <w:tcBorders>
                    <w:tl2br w:val="nil"/>
                    <w:tr2bl w:val="nil"/>
                  </w:tcBorders>
                  <w:noWrap w:val="0"/>
                  <w:vAlign w:val="center"/>
                </w:tcPr>
                <w:p w14:paraId="17801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lang w:val="en-US" w:eastAsia="zh-CN"/>
                    </w:rPr>
                    <w:t>一般排放口</w:t>
                  </w:r>
                </w:p>
              </w:tc>
              <w:tc>
                <w:tcPr>
                  <w:tcW w:w="1061" w:type="pct"/>
                  <w:vMerge w:val="restart"/>
                  <w:tcBorders>
                    <w:tl2br w:val="nil"/>
                    <w:tr2bl w:val="nil"/>
                  </w:tcBorders>
                  <w:noWrap w:val="0"/>
                  <w:vAlign w:val="center"/>
                </w:tcPr>
                <w:p w14:paraId="0B1CE1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E116.3190550994°</w:t>
                  </w:r>
                </w:p>
                <w:p w14:paraId="65716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N35.3817747723°</w:t>
                  </w:r>
                </w:p>
              </w:tc>
              <w:tc>
                <w:tcPr>
                  <w:tcW w:w="1007" w:type="pct"/>
                  <w:tcBorders>
                    <w:bottom w:val="single" w:color="auto" w:sz="4" w:space="0"/>
                    <w:right w:val="single" w:color="auto" w:sz="4" w:space="0"/>
                    <w:tl2br w:val="nil"/>
                    <w:tr2bl w:val="nil"/>
                  </w:tcBorders>
                  <w:noWrap w:val="0"/>
                  <w:vAlign w:val="center"/>
                </w:tcPr>
                <w:p w14:paraId="6C852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rPr>
                    <w:t>H</w:t>
                  </w:r>
                </w:p>
              </w:tc>
              <w:tc>
                <w:tcPr>
                  <w:tcW w:w="1008" w:type="pct"/>
                  <w:tcBorders>
                    <w:left w:val="single" w:color="auto" w:sz="4" w:space="0"/>
                    <w:bottom w:val="single" w:color="auto" w:sz="4" w:space="0"/>
                    <w:tl2br w:val="nil"/>
                    <w:tr2bl w:val="nil"/>
                  </w:tcBorders>
                  <w:noWrap w:val="0"/>
                  <w:vAlign w:val="center"/>
                </w:tcPr>
                <w:p w14:paraId="1B863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rPr>
                    <w:t>6.5-9</w:t>
                  </w:r>
                </w:p>
              </w:tc>
            </w:tr>
            <w:tr w14:paraId="3014A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vMerge w:val="continue"/>
                  <w:tcBorders>
                    <w:tl2br w:val="nil"/>
                    <w:tr2bl w:val="nil"/>
                  </w:tcBorders>
                  <w:noWrap w:val="0"/>
                  <w:vAlign w:val="center"/>
                </w:tcPr>
                <w:p w14:paraId="11FEE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627" w:type="pct"/>
                  <w:vMerge w:val="continue"/>
                  <w:tcBorders>
                    <w:tl2br w:val="nil"/>
                    <w:tr2bl w:val="nil"/>
                  </w:tcBorders>
                  <w:noWrap w:val="0"/>
                  <w:vAlign w:val="center"/>
                </w:tcPr>
                <w:p w14:paraId="31BAA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rPr>
                  </w:pPr>
                </w:p>
              </w:tc>
              <w:tc>
                <w:tcPr>
                  <w:tcW w:w="699" w:type="pct"/>
                  <w:vMerge w:val="continue"/>
                  <w:tcBorders>
                    <w:tl2br w:val="nil"/>
                    <w:tr2bl w:val="nil"/>
                  </w:tcBorders>
                  <w:noWrap w:val="0"/>
                  <w:vAlign w:val="center"/>
                </w:tcPr>
                <w:p w14:paraId="3E92E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61" w:type="pct"/>
                  <w:vMerge w:val="continue"/>
                  <w:tcBorders>
                    <w:tl2br w:val="nil"/>
                    <w:tr2bl w:val="nil"/>
                  </w:tcBorders>
                  <w:noWrap w:val="0"/>
                  <w:vAlign w:val="center"/>
                </w:tcPr>
                <w:p w14:paraId="14918B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07" w:type="pct"/>
                  <w:tcBorders>
                    <w:top w:val="single" w:color="auto" w:sz="4" w:space="0"/>
                    <w:bottom w:val="single" w:color="auto" w:sz="4" w:space="0"/>
                    <w:right w:val="single" w:color="auto" w:sz="4" w:space="0"/>
                    <w:tl2br w:val="nil"/>
                    <w:tr2bl w:val="nil"/>
                  </w:tcBorders>
                  <w:noWrap w:val="0"/>
                  <w:vAlign w:val="center"/>
                </w:tcPr>
                <w:p w14:paraId="368311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008" w:type="pct"/>
                  <w:tcBorders>
                    <w:top w:val="single" w:color="auto" w:sz="4" w:space="0"/>
                    <w:left w:val="single" w:color="auto" w:sz="4" w:space="0"/>
                    <w:bottom w:val="single" w:color="auto" w:sz="4" w:space="0"/>
                    <w:tl2br w:val="nil"/>
                    <w:tr2bl w:val="nil"/>
                  </w:tcBorders>
                  <w:noWrap w:val="0"/>
                  <w:vAlign w:val="center"/>
                </w:tcPr>
                <w:p w14:paraId="2C42CB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500</w:t>
                  </w:r>
                </w:p>
              </w:tc>
            </w:tr>
            <w:tr w14:paraId="686E0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vMerge w:val="continue"/>
                  <w:tcBorders>
                    <w:tl2br w:val="nil"/>
                    <w:tr2bl w:val="nil"/>
                  </w:tcBorders>
                  <w:noWrap w:val="0"/>
                  <w:vAlign w:val="center"/>
                </w:tcPr>
                <w:p w14:paraId="2EB622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627" w:type="pct"/>
                  <w:vMerge w:val="continue"/>
                  <w:tcBorders>
                    <w:tl2br w:val="nil"/>
                    <w:tr2bl w:val="nil"/>
                  </w:tcBorders>
                  <w:noWrap w:val="0"/>
                  <w:vAlign w:val="center"/>
                </w:tcPr>
                <w:p w14:paraId="63D2C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rPr>
                  </w:pPr>
                </w:p>
              </w:tc>
              <w:tc>
                <w:tcPr>
                  <w:tcW w:w="699" w:type="pct"/>
                  <w:vMerge w:val="continue"/>
                  <w:tcBorders>
                    <w:tl2br w:val="nil"/>
                    <w:tr2bl w:val="nil"/>
                  </w:tcBorders>
                  <w:noWrap w:val="0"/>
                  <w:vAlign w:val="center"/>
                </w:tcPr>
                <w:p w14:paraId="32117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61" w:type="pct"/>
                  <w:vMerge w:val="continue"/>
                  <w:tcBorders>
                    <w:tl2br w:val="nil"/>
                    <w:tr2bl w:val="nil"/>
                  </w:tcBorders>
                  <w:noWrap w:val="0"/>
                  <w:vAlign w:val="center"/>
                </w:tcPr>
                <w:p w14:paraId="226623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07" w:type="pct"/>
                  <w:tcBorders>
                    <w:top w:val="single" w:color="auto" w:sz="4" w:space="0"/>
                    <w:bottom w:val="single" w:color="auto" w:sz="4" w:space="0"/>
                    <w:right w:val="single" w:color="auto" w:sz="4" w:space="0"/>
                    <w:tl2br w:val="nil"/>
                    <w:tr2bl w:val="nil"/>
                  </w:tcBorders>
                  <w:noWrap w:val="0"/>
                  <w:vAlign w:val="center"/>
                </w:tcPr>
                <w:p w14:paraId="4B123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008" w:type="pct"/>
                  <w:tcBorders>
                    <w:top w:val="single" w:color="auto" w:sz="4" w:space="0"/>
                    <w:left w:val="single" w:color="auto" w:sz="4" w:space="0"/>
                    <w:bottom w:val="single" w:color="auto" w:sz="4" w:space="0"/>
                    <w:tl2br w:val="nil"/>
                    <w:tr2bl w:val="nil"/>
                  </w:tcBorders>
                  <w:noWrap w:val="0"/>
                  <w:vAlign w:val="center"/>
                </w:tcPr>
                <w:p w14:paraId="2E219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300</w:t>
                  </w:r>
                </w:p>
              </w:tc>
            </w:tr>
            <w:tr w14:paraId="1DCA7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vMerge w:val="continue"/>
                  <w:tcBorders>
                    <w:tl2br w:val="nil"/>
                    <w:tr2bl w:val="nil"/>
                  </w:tcBorders>
                  <w:noWrap w:val="0"/>
                  <w:vAlign w:val="center"/>
                </w:tcPr>
                <w:p w14:paraId="340E5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627" w:type="pct"/>
                  <w:vMerge w:val="continue"/>
                  <w:tcBorders>
                    <w:tl2br w:val="nil"/>
                    <w:tr2bl w:val="nil"/>
                  </w:tcBorders>
                  <w:noWrap w:val="0"/>
                  <w:vAlign w:val="center"/>
                </w:tcPr>
                <w:p w14:paraId="3CF20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rPr>
                  </w:pPr>
                </w:p>
              </w:tc>
              <w:tc>
                <w:tcPr>
                  <w:tcW w:w="699" w:type="pct"/>
                  <w:vMerge w:val="continue"/>
                  <w:tcBorders>
                    <w:tl2br w:val="nil"/>
                    <w:tr2bl w:val="nil"/>
                  </w:tcBorders>
                  <w:noWrap w:val="0"/>
                  <w:vAlign w:val="center"/>
                </w:tcPr>
                <w:p w14:paraId="32D760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61" w:type="pct"/>
                  <w:vMerge w:val="continue"/>
                  <w:tcBorders>
                    <w:tl2br w:val="nil"/>
                    <w:tr2bl w:val="nil"/>
                  </w:tcBorders>
                  <w:noWrap w:val="0"/>
                  <w:vAlign w:val="center"/>
                </w:tcPr>
                <w:p w14:paraId="14060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07" w:type="pct"/>
                  <w:tcBorders>
                    <w:top w:val="single" w:color="auto" w:sz="4" w:space="0"/>
                    <w:bottom w:val="single" w:color="auto" w:sz="4" w:space="0"/>
                    <w:right w:val="single" w:color="auto" w:sz="4" w:space="0"/>
                    <w:tl2br w:val="nil"/>
                    <w:tr2bl w:val="nil"/>
                  </w:tcBorders>
                  <w:noWrap w:val="0"/>
                  <w:vAlign w:val="center"/>
                </w:tcPr>
                <w:p w14:paraId="4E520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rPr>
                    <w:t>氨氮</w:t>
                  </w:r>
                </w:p>
              </w:tc>
              <w:tc>
                <w:tcPr>
                  <w:tcW w:w="1008" w:type="pct"/>
                  <w:tcBorders>
                    <w:top w:val="single" w:color="auto" w:sz="4" w:space="0"/>
                    <w:left w:val="single" w:color="auto" w:sz="4" w:space="0"/>
                    <w:bottom w:val="single" w:color="auto" w:sz="4" w:space="0"/>
                    <w:tl2br w:val="nil"/>
                    <w:tr2bl w:val="nil"/>
                  </w:tcBorders>
                  <w:noWrap w:val="0"/>
                  <w:vAlign w:val="center"/>
                </w:tcPr>
                <w:p w14:paraId="10499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5</w:t>
                  </w:r>
                </w:p>
              </w:tc>
            </w:tr>
            <w:tr w14:paraId="6B907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6" w:type="pct"/>
                  <w:vMerge w:val="continue"/>
                  <w:tcBorders>
                    <w:tl2br w:val="nil"/>
                    <w:tr2bl w:val="nil"/>
                  </w:tcBorders>
                  <w:noWrap w:val="0"/>
                  <w:vAlign w:val="center"/>
                </w:tcPr>
                <w:p w14:paraId="11022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627" w:type="pct"/>
                  <w:vMerge w:val="continue"/>
                  <w:tcBorders>
                    <w:tl2br w:val="nil"/>
                    <w:tr2bl w:val="nil"/>
                  </w:tcBorders>
                  <w:noWrap w:val="0"/>
                  <w:vAlign w:val="center"/>
                </w:tcPr>
                <w:p w14:paraId="2F60E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baseline"/>
                    <w:rPr>
                      <w:rFonts w:hint="default" w:ascii="Times New Roman" w:hAnsi="Times New Roman" w:eastAsia="宋体" w:cs="Times New Roman"/>
                      <w:snapToGrid w:val="0"/>
                      <w:color w:val="auto"/>
                      <w:spacing w:val="0"/>
                      <w:kern w:val="0"/>
                      <w:sz w:val="21"/>
                      <w:szCs w:val="21"/>
                    </w:rPr>
                  </w:pPr>
                </w:p>
              </w:tc>
              <w:tc>
                <w:tcPr>
                  <w:tcW w:w="699" w:type="pct"/>
                  <w:vMerge w:val="continue"/>
                  <w:tcBorders>
                    <w:tl2br w:val="nil"/>
                    <w:tr2bl w:val="nil"/>
                  </w:tcBorders>
                  <w:noWrap w:val="0"/>
                  <w:vAlign w:val="center"/>
                </w:tcPr>
                <w:p w14:paraId="314A0E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61" w:type="pct"/>
                  <w:vMerge w:val="continue"/>
                  <w:tcBorders>
                    <w:tl2br w:val="nil"/>
                    <w:tr2bl w:val="nil"/>
                  </w:tcBorders>
                  <w:noWrap w:val="0"/>
                  <w:vAlign w:val="center"/>
                </w:tcPr>
                <w:p w14:paraId="6FB0B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snapToGrid w:val="0"/>
                      <w:color w:val="auto"/>
                      <w:spacing w:val="0"/>
                      <w:kern w:val="0"/>
                      <w:sz w:val="21"/>
                      <w:szCs w:val="21"/>
                      <w:lang w:val="en-US" w:eastAsia="zh-CN"/>
                    </w:rPr>
                  </w:pPr>
                </w:p>
              </w:tc>
              <w:tc>
                <w:tcPr>
                  <w:tcW w:w="1007" w:type="pct"/>
                  <w:tcBorders>
                    <w:top w:val="single" w:color="auto" w:sz="4" w:space="0"/>
                    <w:bottom w:val="single" w:color="auto" w:sz="4" w:space="0"/>
                    <w:right w:val="single" w:color="auto" w:sz="4" w:space="0"/>
                    <w:tl2br w:val="nil"/>
                    <w:tr2bl w:val="nil"/>
                  </w:tcBorders>
                  <w:noWrap w:val="0"/>
                  <w:vAlign w:val="center"/>
                </w:tcPr>
                <w:p w14:paraId="3F8FA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SS</w:t>
                  </w:r>
                </w:p>
              </w:tc>
              <w:tc>
                <w:tcPr>
                  <w:tcW w:w="1008" w:type="pct"/>
                  <w:tcBorders>
                    <w:top w:val="single" w:color="auto" w:sz="4" w:space="0"/>
                    <w:left w:val="single" w:color="auto" w:sz="4" w:space="0"/>
                    <w:bottom w:val="single" w:color="auto" w:sz="4" w:space="0"/>
                    <w:tl2br w:val="nil"/>
                    <w:tr2bl w:val="nil"/>
                  </w:tcBorders>
                  <w:noWrap w:val="0"/>
                  <w:vAlign w:val="center"/>
                </w:tcPr>
                <w:p w14:paraId="7BD70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400</w:t>
                  </w:r>
                </w:p>
              </w:tc>
            </w:tr>
          </w:tbl>
          <w:p w14:paraId="5D8B7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pacing w:val="0"/>
                <w:kern w:val="0"/>
                <w:sz w:val="24"/>
                <w:szCs w:val="24"/>
              </w:rPr>
            </w:pPr>
            <w:r>
              <w:rPr>
                <w:rFonts w:hint="default" w:ascii="Times New Roman" w:hAnsi="Times New Roman" w:eastAsia="宋体" w:cs="Times New Roman"/>
                <w:b/>
                <w:bCs/>
                <w:color w:val="auto"/>
                <w:spacing w:val="0"/>
                <w:kern w:val="0"/>
                <w:sz w:val="24"/>
                <w:szCs w:val="24"/>
                <w:lang w:val="en-US" w:eastAsia="zh-CN" w:bidi="ar-SA"/>
              </w:rPr>
              <w:t>2、</w:t>
            </w:r>
            <w:r>
              <w:rPr>
                <w:rFonts w:hint="default" w:ascii="Times New Roman" w:hAnsi="Times New Roman" w:eastAsia="宋体" w:cs="Times New Roman"/>
                <w:b/>
                <w:bCs/>
                <w:color w:val="auto"/>
                <w:spacing w:val="0"/>
                <w:kern w:val="0"/>
                <w:sz w:val="24"/>
                <w:szCs w:val="24"/>
              </w:rPr>
              <w:t>可行性分析</w:t>
            </w:r>
          </w:p>
          <w:p w14:paraId="62CD7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both"/>
              <w:textAlignment w:val="auto"/>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rPr>
              <w:t>嘉祥公用水务有限公司（嘉祥县污水处理厂）位于济宁市嘉祥县兖兰东路南侧，洪山引河东，是国家治理“三河三湖”流域污染和实施“南水北调”工程的配套项目，服务面积15平方公里。工程占地面积12亩，投资1.6亿元，设计能力为日处理污水8万吨。一期工程于2005年5月份正式运行，二期工程于2010年7月份通水调试，一级A深度处理工程于2010年12月份正式运行，三期工程于2017年正式运行。运行目前出水水质达到了《城镇污水处理厂污染物排放标准》（GB18918</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rPr>
              <w:t>2002）一级A标准。</w:t>
            </w:r>
          </w:p>
          <w:p w14:paraId="1121F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spacing w:val="0"/>
                <w:kern w:val="0"/>
                <w:sz w:val="24"/>
                <w:szCs w:val="24"/>
              </w:rPr>
            </w:pPr>
            <w:r>
              <w:rPr>
                <w:color w:val="auto"/>
                <w:sz w:val="24"/>
                <w:szCs w:val="24"/>
              </w:rPr>
              <w:drawing>
                <wp:inline distT="0" distB="0" distL="114300" distR="114300">
                  <wp:extent cx="4756785" cy="3095625"/>
                  <wp:effectExtent l="0" t="0" r="13335" b="1333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4756785" cy="3095625"/>
                          </a:xfrm>
                          <a:prstGeom prst="rect">
                            <a:avLst/>
                          </a:prstGeom>
                          <a:noFill/>
                          <a:ln>
                            <a:noFill/>
                          </a:ln>
                        </pic:spPr>
                      </pic:pic>
                    </a:graphicData>
                  </a:graphic>
                </wp:inline>
              </w:drawing>
            </w:r>
          </w:p>
          <w:p w14:paraId="79A0E9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rPr>
              <w:t>图</w:t>
            </w:r>
            <w:r>
              <w:rPr>
                <w:rFonts w:hint="default" w:ascii="Times New Roman" w:hAnsi="Times New Roman" w:eastAsia="宋体" w:cs="Times New Roman"/>
                <w:b/>
                <w:bCs/>
                <w:color w:val="auto"/>
                <w:spacing w:val="0"/>
                <w:kern w:val="0"/>
                <w:sz w:val="24"/>
                <w:szCs w:val="24"/>
                <w:lang w:val="en-US" w:eastAsia="zh-CN"/>
              </w:rPr>
              <w:t>4</w:t>
            </w:r>
            <w:r>
              <w:rPr>
                <w:rFonts w:hint="default" w:ascii="Times New Roman" w:hAnsi="Times New Roman" w:eastAsia="宋体" w:cs="Times New Roman"/>
                <w:b/>
                <w:bCs/>
                <w:color w:val="auto"/>
                <w:spacing w:val="0"/>
                <w:kern w:val="0"/>
                <w:sz w:val="24"/>
                <w:szCs w:val="24"/>
              </w:rPr>
              <w:t>-</w:t>
            </w:r>
            <w:r>
              <w:rPr>
                <w:rFonts w:hint="default" w:ascii="Times New Roman" w:hAnsi="Times New Roman" w:eastAsia="宋体" w:cs="Times New Roman"/>
                <w:b/>
                <w:bCs/>
                <w:color w:val="auto"/>
                <w:spacing w:val="0"/>
                <w:kern w:val="0"/>
                <w:sz w:val="24"/>
                <w:szCs w:val="24"/>
                <w:lang w:val="en-US" w:eastAsia="zh-CN"/>
              </w:rPr>
              <w:t>1</w:t>
            </w:r>
            <w:r>
              <w:rPr>
                <w:rFonts w:hint="default" w:ascii="Times New Roman" w:hAnsi="Times New Roman" w:eastAsia="宋体" w:cs="Times New Roman"/>
                <w:b/>
                <w:bCs/>
                <w:color w:val="auto"/>
                <w:spacing w:val="0"/>
                <w:kern w:val="0"/>
                <w:sz w:val="24"/>
                <w:szCs w:val="24"/>
              </w:rPr>
              <w:t xml:space="preserve"> </w:t>
            </w:r>
            <w:r>
              <w:rPr>
                <w:rFonts w:hint="default" w:ascii="Times New Roman" w:hAnsi="Times New Roman" w:eastAsia="宋体" w:cs="Times New Roman"/>
                <w:b/>
                <w:bCs/>
                <w:color w:val="auto"/>
                <w:spacing w:val="0"/>
                <w:kern w:val="0"/>
                <w:sz w:val="24"/>
                <w:szCs w:val="24"/>
                <w:lang w:val="en-US" w:eastAsia="zh-CN"/>
              </w:rPr>
              <w:t xml:space="preserve"> </w:t>
            </w:r>
            <w:r>
              <w:rPr>
                <w:rFonts w:hint="default" w:ascii="Times New Roman" w:hAnsi="Times New Roman" w:eastAsia="宋体" w:cs="Times New Roman"/>
                <w:b/>
                <w:bCs/>
                <w:color w:val="auto"/>
                <w:spacing w:val="0"/>
                <w:kern w:val="0"/>
                <w:sz w:val="24"/>
                <w:szCs w:val="24"/>
              </w:rPr>
              <w:t>污水处理</w:t>
            </w:r>
            <w:r>
              <w:rPr>
                <w:rFonts w:hint="default" w:ascii="Times New Roman" w:hAnsi="Times New Roman" w:eastAsia="宋体" w:cs="Times New Roman"/>
                <w:b/>
                <w:bCs/>
                <w:color w:val="auto"/>
                <w:spacing w:val="0"/>
                <w:kern w:val="0"/>
                <w:sz w:val="24"/>
                <w:szCs w:val="24"/>
                <w:lang w:val="en-US" w:eastAsia="zh-CN"/>
              </w:rPr>
              <w:t>厂</w:t>
            </w:r>
            <w:r>
              <w:rPr>
                <w:rFonts w:hint="default" w:ascii="Times New Roman" w:hAnsi="Times New Roman" w:eastAsia="宋体" w:cs="Times New Roman"/>
                <w:b/>
                <w:bCs/>
                <w:color w:val="auto"/>
                <w:spacing w:val="0"/>
                <w:kern w:val="0"/>
                <w:sz w:val="24"/>
                <w:szCs w:val="24"/>
              </w:rPr>
              <w:t>工艺流程</w:t>
            </w:r>
            <w:r>
              <w:rPr>
                <w:rFonts w:hint="default" w:ascii="Times New Roman" w:hAnsi="Times New Roman" w:eastAsia="宋体" w:cs="Times New Roman"/>
                <w:b/>
                <w:bCs/>
                <w:color w:val="auto"/>
                <w:spacing w:val="0"/>
                <w:kern w:val="0"/>
                <w:sz w:val="24"/>
                <w:szCs w:val="24"/>
                <w:lang w:val="en-US" w:eastAsia="zh-CN"/>
              </w:rPr>
              <w:t>图</w:t>
            </w:r>
          </w:p>
          <w:p w14:paraId="5CB1210C">
            <w:pPr>
              <w:keepNext w:val="0"/>
              <w:keepLines w:val="0"/>
              <w:pageBreakBefore w:val="0"/>
              <w:widowControl w:val="0"/>
              <w:suppressLineNumbers w:val="0"/>
              <w:tabs>
                <w:tab w:val="left" w:pos="360"/>
                <w:tab w:val="left" w:pos="54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bidi="ar-SA"/>
              </w:rPr>
            </w:pPr>
            <w:r>
              <w:rPr>
                <w:rFonts w:hint="default" w:ascii="Times New Roman" w:hAnsi="Times New Roman" w:eastAsia="宋体" w:cs="Times New Roman"/>
                <w:snapToGrid w:val="0"/>
                <w:color w:val="auto"/>
                <w:spacing w:val="0"/>
                <w:kern w:val="0"/>
                <w:sz w:val="24"/>
                <w:szCs w:val="24"/>
                <w:highlight w:val="none"/>
                <w:lang w:val="en-US" w:eastAsia="zh-CN" w:bidi="ar-SA"/>
              </w:rPr>
              <w:t>（1）污水处理厂进水水质要求</w:t>
            </w:r>
          </w:p>
          <w:p w14:paraId="0E5F85CE">
            <w:pPr>
              <w:keepNext w:val="0"/>
              <w:keepLines w:val="0"/>
              <w:pageBreakBefore w:val="0"/>
              <w:widowControl w:val="0"/>
              <w:suppressLineNumbers w:val="0"/>
              <w:tabs>
                <w:tab w:val="left" w:pos="360"/>
                <w:tab w:val="left" w:pos="54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rPr>
              <w:t>本项目外排水为生活污水，水质简单，</w:t>
            </w:r>
            <w:r>
              <w:rPr>
                <w:rFonts w:hint="default" w:ascii="Times New Roman" w:hAnsi="Times New Roman" w:eastAsia="宋体" w:cs="Times New Roman"/>
                <w:snapToGrid w:val="0"/>
                <w:color w:val="auto"/>
                <w:spacing w:val="0"/>
                <w:kern w:val="0"/>
                <w:sz w:val="24"/>
                <w:szCs w:val="24"/>
                <w:highlight w:val="none"/>
                <w:lang w:val="en-US" w:eastAsia="zh-CN" w:bidi="ar-SA"/>
              </w:rPr>
              <w:t>符合</w:t>
            </w:r>
            <w:r>
              <w:rPr>
                <w:rFonts w:hint="eastAsia" w:ascii="Times New Roman" w:hAnsi="Times New Roman" w:eastAsia="宋体" w:cs="Times New Roman"/>
                <w:color w:val="auto"/>
                <w:kern w:val="0"/>
                <w:sz w:val="24"/>
                <w:szCs w:val="24"/>
                <w:lang w:val="en-US" w:eastAsia="zh-CN"/>
              </w:rPr>
              <w:t>嘉祥公用水务有限公司</w:t>
            </w:r>
            <w:r>
              <w:rPr>
                <w:rFonts w:hint="default" w:ascii="Times New Roman" w:hAnsi="Times New Roman" w:eastAsia="宋体" w:cs="Times New Roman"/>
                <w:snapToGrid w:val="0"/>
                <w:color w:val="auto"/>
                <w:spacing w:val="0"/>
                <w:kern w:val="0"/>
                <w:sz w:val="24"/>
                <w:szCs w:val="24"/>
                <w:highlight w:val="none"/>
                <w:lang w:val="en-US" w:eastAsia="zh-CN" w:bidi="ar-SA"/>
              </w:rPr>
              <w:t>的进水要求，可以排入污水处理厂进行处理。</w:t>
            </w:r>
          </w:p>
          <w:p w14:paraId="3A8BBF62">
            <w:pPr>
              <w:keepNext w:val="0"/>
              <w:keepLines w:val="0"/>
              <w:pageBreakBefore w:val="0"/>
              <w:widowControl w:val="0"/>
              <w:suppressLineNumbers w:val="0"/>
              <w:tabs>
                <w:tab w:val="left" w:pos="360"/>
                <w:tab w:val="left" w:pos="54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bidi="ar-SA"/>
              </w:rPr>
            </w:pPr>
            <w:r>
              <w:rPr>
                <w:rFonts w:hint="default" w:ascii="Times New Roman" w:hAnsi="Times New Roman" w:eastAsia="宋体" w:cs="Times New Roman"/>
                <w:snapToGrid w:val="0"/>
                <w:color w:val="auto"/>
                <w:spacing w:val="0"/>
                <w:kern w:val="0"/>
                <w:sz w:val="24"/>
                <w:szCs w:val="24"/>
                <w:highlight w:val="none"/>
                <w:lang w:val="en-US" w:eastAsia="zh-CN" w:bidi="ar-SA"/>
              </w:rPr>
              <w:t>（2）污水管网</w:t>
            </w:r>
          </w:p>
          <w:p w14:paraId="08D3F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Cs/>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eastAsia="zh-CN"/>
              </w:rPr>
              <w:t>目前，</w:t>
            </w:r>
            <w:r>
              <w:rPr>
                <w:rFonts w:hint="eastAsia" w:ascii="Times New Roman" w:hAnsi="Times New Roman" w:eastAsia="宋体" w:cs="Times New Roman"/>
                <w:color w:val="auto"/>
                <w:kern w:val="0"/>
                <w:sz w:val="24"/>
                <w:szCs w:val="24"/>
                <w:lang w:val="en-US" w:eastAsia="zh-CN"/>
              </w:rPr>
              <w:t>嘉祥公用水务有限公司</w:t>
            </w:r>
            <w:r>
              <w:rPr>
                <w:rFonts w:hint="default" w:ascii="Times New Roman" w:hAnsi="Times New Roman" w:eastAsia="宋体" w:cs="Times New Roman"/>
                <w:color w:val="auto"/>
                <w:spacing w:val="0"/>
                <w:kern w:val="0"/>
                <w:sz w:val="24"/>
                <w:szCs w:val="24"/>
                <w:highlight w:val="none"/>
                <w:lang w:eastAsia="zh-CN"/>
              </w:rPr>
              <w:t>的污水管网已铺设至本项目所在地，污水</w:t>
            </w:r>
            <w:r>
              <w:rPr>
                <w:rFonts w:hint="default" w:ascii="Times New Roman" w:hAnsi="Times New Roman" w:eastAsia="宋体" w:cs="Times New Roman"/>
                <w:color w:val="auto"/>
                <w:spacing w:val="0"/>
                <w:kern w:val="0"/>
                <w:sz w:val="24"/>
                <w:szCs w:val="24"/>
                <w:highlight w:val="none"/>
                <w:lang w:val="en-US" w:eastAsia="zh-CN"/>
              </w:rPr>
              <w:t>可以</w:t>
            </w:r>
            <w:r>
              <w:rPr>
                <w:rFonts w:hint="default" w:ascii="Times New Roman" w:hAnsi="Times New Roman" w:eastAsia="宋体" w:cs="Times New Roman"/>
                <w:color w:val="auto"/>
                <w:spacing w:val="0"/>
                <w:kern w:val="0"/>
                <w:sz w:val="24"/>
                <w:szCs w:val="24"/>
                <w:highlight w:val="none"/>
                <w:lang w:eastAsia="zh-CN"/>
              </w:rPr>
              <w:t>排入污水处理厂进行处理。</w:t>
            </w:r>
          </w:p>
          <w:p w14:paraId="78C2F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rPr>
            </w:pPr>
            <w:r>
              <w:rPr>
                <w:rFonts w:hint="default" w:ascii="Times New Roman" w:hAnsi="Times New Roman" w:eastAsia="宋体" w:cs="Times New Roman"/>
                <w:snapToGrid w:val="0"/>
                <w:color w:val="auto"/>
                <w:spacing w:val="0"/>
                <w:kern w:val="0"/>
                <w:sz w:val="24"/>
                <w:szCs w:val="24"/>
                <w:highlight w:val="none"/>
                <w:lang w:val="en-US" w:eastAsia="zh-CN"/>
              </w:rPr>
              <w:t>（3）水量</w:t>
            </w:r>
          </w:p>
          <w:p w14:paraId="7626A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eastAsia="zh-CN"/>
              </w:rPr>
              <w:t>目前，</w:t>
            </w:r>
            <w:r>
              <w:rPr>
                <w:rFonts w:hint="eastAsia" w:ascii="Times New Roman" w:hAnsi="Times New Roman" w:eastAsia="宋体" w:cs="Times New Roman"/>
                <w:color w:val="auto"/>
                <w:kern w:val="0"/>
                <w:sz w:val="24"/>
                <w:szCs w:val="24"/>
                <w:lang w:val="en-US" w:eastAsia="zh-CN"/>
              </w:rPr>
              <w:t>嘉祥公用水务有限公司</w:t>
            </w:r>
            <w:r>
              <w:rPr>
                <w:rFonts w:hint="default" w:ascii="Times New Roman" w:hAnsi="Times New Roman" w:eastAsia="宋体" w:cs="Times New Roman"/>
                <w:color w:val="auto"/>
                <w:spacing w:val="0"/>
                <w:kern w:val="0"/>
                <w:sz w:val="24"/>
                <w:szCs w:val="24"/>
                <w:highlight w:val="none"/>
                <w:lang w:val="en-US" w:eastAsia="zh-CN"/>
              </w:rPr>
              <w:t>日处理水量约4.5万m</w:t>
            </w:r>
            <w:r>
              <w:rPr>
                <w:rFonts w:hint="default" w:ascii="Times New Roman" w:hAnsi="Times New Roman" w:eastAsia="宋体" w:cs="Times New Roman"/>
                <w:color w:val="auto"/>
                <w:spacing w:val="0"/>
                <w:kern w:val="0"/>
                <w:sz w:val="24"/>
                <w:szCs w:val="24"/>
                <w:highlight w:val="none"/>
                <w:vertAlign w:val="superscript"/>
                <w:lang w:val="en-US" w:eastAsia="zh-CN"/>
              </w:rPr>
              <w:t>3</w:t>
            </w:r>
            <w:r>
              <w:rPr>
                <w:rFonts w:hint="default" w:ascii="Times New Roman" w:hAnsi="Times New Roman" w:eastAsia="宋体" w:cs="Times New Roman"/>
                <w:color w:val="auto"/>
                <w:spacing w:val="0"/>
                <w:kern w:val="0"/>
                <w:sz w:val="24"/>
                <w:szCs w:val="24"/>
                <w:highlight w:val="none"/>
                <w:lang w:val="en-US" w:eastAsia="zh-CN"/>
              </w:rPr>
              <w:t>/d，嘉祥公用水务有限公司设计处理能力为8万m</w:t>
            </w:r>
            <w:r>
              <w:rPr>
                <w:rFonts w:hint="default" w:ascii="Times New Roman" w:hAnsi="Times New Roman" w:eastAsia="宋体" w:cs="Times New Roman"/>
                <w:color w:val="auto"/>
                <w:spacing w:val="0"/>
                <w:kern w:val="0"/>
                <w:sz w:val="24"/>
                <w:szCs w:val="24"/>
                <w:highlight w:val="none"/>
                <w:vertAlign w:val="superscript"/>
                <w:lang w:val="en-US" w:eastAsia="zh-CN"/>
              </w:rPr>
              <w:t>3</w:t>
            </w:r>
            <w:r>
              <w:rPr>
                <w:rFonts w:hint="default" w:ascii="Times New Roman" w:hAnsi="Times New Roman" w:eastAsia="宋体" w:cs="Times New Roman"/>
                <w:color w:val="auto"/>
                <w:spacing w:val="0"/>
                <w:kern w:val="0"/>
                <w:sz w:val="24"/>
                <w:szCs w:val="24"/>
                <w:highlight w:val="none"/>
                <w:lang w:val="en-US" w:eastAsia="zh-CN"/>
              </w:rPr>
              <w:t>/d</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本</w:t>
            </w:r>
            <w:r>
              <w:rPr>
                <w:rFonts w:hint="default" w:ascii="Times New Roman" w:hAnsi="Times New Roman" w:eastAsia="宋体" w:cs="Times New Roman"/>
                <w:color w:val="auto"/>
                <w:spacing w:val="0"/>
                <w:kern w:val="0"/>
                <w:sz w:val="24"/>
                <w:szCs w:val="24"/>
                <w:highlight w:val="none"/>
              </w:rPr>
              <w:t>项目废水排放量</w:t>
            </w:r>
            <w:r>
              <w:rPr>
                <w:rFonts w:hint="eastAsia" w:ascii="Times New Roman" w:hAnsi="Times New Roman" w:eastAsia="宋体" w:cs="Times New Roman"/>
                <w:color w:val="auto"/>
                <w:spacing w:val="0"/>
                <w:kern w:val="0"/>
                <w:sz w:val="24"/>
                <w:szCs w:val="24"/>
                <w:highlight w:val="none"/>
                <w:lang w:val="en-US" w:eastAsia="zh-CN"/>
              </w:rPr>
              <w:t>远低于其剩余处理能力</w:t>
            </w:r>
            <w:r>
              <w:rPr>
                <w:rFonts w:hint="default" w:ascii="Times New Roman" w:hAnsi="Times New Roman" w:eastAsia="宋体" w:cs="Times New Roman"/>
                <w:color w:val="auto"/>
                <w:spacing w:val="0"/>
                <w:kern w:val="0"/>
                <w:sz w:val="24"/>
                <w:szCs w:val="24"/>
                <w:highlight w:val="none"/>
              </w:rPr>
              <w:t>。从水量上来说，</w:t>
            </w:r>
            <w:r>
              <w:rPr>
                <w:rFonts w:hint="eastAsia" w:ascii="Times New Roman" w:hAnsi="Times New Roman" w:eastAsia="宋体" w:cs="Times New Roman"/>
                <w:color w:val="auto"/>
                <w:kern w:val="0"/>
                <w:sz w:val="24"/>
                <w:szCs w:val="24"/>
                <w:lang w:val="en-US" w:eastAsia="zh-CN"/>
              </w:rPr>
              <w:t>嘉祥公用水务有限公司</w:t>
            </w:r>
            <w:r>
              <w:rPr>
                <w:rFonts w:hint="default" w:ascii="Times New Roman" w:hAnsi="Times New Roman" w:eastAsia="宋体" w:cs="Times New Roman"/>
                <w:color w:val="auto"/>
                <w:spacing w:val="0"/>
                <w:kern w:val="0"/>
                <w:sz w:val="24"/>
                <w:szCs w:val="24"/>
                <w:highlight w:val="none"/>
              </w:rPr>
              <w:t>完全有能力接纳</w:t>
            </w:r>
            <w:r>
              <w:rPr>
                <w:rFonts w:hint="default" w:ascii="Times New Roman" w:hAnsi="Times New Roman" w:eastAsia="宋体" w:cs="Times New Roman"/>
                <w:color w:val="auto"/>
                <w:spacing w:val="0"/>
                <w:kern w:val="0"/>
                <w:sz w:val="24"/>
                <w:szCs w:val="24"/>
                <w:highlight w:val="none"/>
                <w:lang w:val="en-US" w:eastAsia="zh-CN"/>
              </w:rPr>
              <w:t>本</w:t>
            </w:r>
            <w:r>
              <w:rPr>
                <w:rFonts w:hint="default" w:ascii="Times New Roman" w:hAnsi="Times New Roman" w:eastAsia="宋体" w:cs="Times New Roman"/>
                <w:color w:val="auto"/>
                <w:spacing w:val="0"/>
                <w:kern w:val="0"/>
                <w:sz w:val="24"/>
                <w:szCs w:val="24"/>
                <w:highlight w:val="none"/>
              </w:rPr>
              <w:t>项目的</w:t>
            </w:r>
            <w:r>
              <w:rPr>
                <w:rFonts w:hint="default" w:ascii="Times New Roman" w:hAnsi="Times New Roman" w:eastAsia="宋体" w:cs="Times New Roman"/>
                <w:color w:val="auto"/>
                <w:spacing w:val="0"/>
                <w:kern w:val="0"/>
                <w:sz w:val="24"/>
                <w:szCs w:val="24"/>
                <w:highlight w:val="none"/>
                <w:lang w:eastAsia="zh-CN"/>
              </w:rPr>
              <w:t>污水</w:t>
            </w:r>
            <w:r>
              <w:rPr>
                <w:rFonts w:hint="default" w:ascii="Times New Roman" w:hAnsi="Times New Roman" w:eastAsia="宋体" w:cs="Times New Roman"/>
                <w:snapToGrid w:val="0"/>
                <w:color w:val="auto"/>
                <w:spacing w:val="0"/>
                <w:kern w:val="0"/>
                <w:sz w:val="24"/>
                <w:szCs w:val="24"/>
                <w:highlight w:val="none"/>
                <w:lang w:val="en-US" w:eastAsia="zh-CN"/>
              </w:rPr>
              <w:t>。</w:t>
            </w:r>
          </w:p>
          <w:p w14:paraId="584CB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（4）稳定排放情况</w:t>
            </w:r>
          </w:p>
          <w:p w14:paraId="6BAF4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color w:val="auto"/>
                <w:spacing w:val="0"/>
                <w:kern w:val="0"/>
                <w:sz w:val="24"/>
                <w:szCs w:val="24"/>
                <w:highlight w:val="none"/>
                <w:lang w:val="en-US" w:eastAsia="zh-CN"/>
              </w:rPr>
              <w:t>根据山东省生态环境厅公示的资料，最近一年，</w:t>
            </w:r>
            <w:r>
              <w:rPr>
                <w:rFonts w:hint="eastAsia" w:ascii="Times New Roman" w:hAnsi="Times New Roman" w:eastAsia="宋体" w:cs="Times New Roman"/>
                <w:color w:val="auto"/>
                <w:kern w:val="0"/>
                <w:sz w:val="24"/>
                <w:szCs w:val="24"/>
                <w:lang w:val="en-US" w:eastAsia="zh-CN"/>
              </w:rPr>
              <w:t>嘉祥公用水务有限公司</w:t>
            </w:r>
            <w:r>
              <w:rPr>
                <w:rFonts w:hint="eastAsia" w:ascii="Times New Roman" w:hAnsi="Times New Roman" w:eastAsia="宋体" w:cs="Times New Roman"/>
                <w:color w:val="auto"/>
                <w:spacing w:val="0"/>
                <w:kern w:val="0"/>
                <w:sz w:val="24"/>
                <w:szCs w:val="24"/>
                <w:highlight w:val="none"/>
                <w:lang w:val="en-US" w:eastAsia="zh-CN"/>
              </w:rPr>
              <w:t>的污水稳定达标排放。</w:t>
            </w:r>
          </w:p>
          <w:p w14:paraId="186FB9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4"/>
                <w:szCs w:val="24"/>
              </w:rPr>
            </w:pPr>
            <w:r>
              <w:rPr>
                <w:color w:val="auto"/>
                <w:sz w:val="24"/>
                <w:szCs w:val="24"/>
              </w:rPr>
              <w:drawing>
                <wp:inline distT="0" distB="0" distL="114300" distR="114300">
                  <wp:extent cx="4725035" cy="1183640"/>
                  <wp:effectExtent l="0" t="0" r="14605" b="50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0"/>
                          <a:stretch>
                            <a:fillRect/>
                          </a:stretch>
                        </pic:blipFill>
                        <pic:spPr>
                          <a:xfrm>
                            <a:off x="0" y="0"/>
                            <a:ext cx="4725035" cy="1183640"/>
                          </a:xfrm>
                          <a:prstGeom prst="rect">
                            <a:avLst/>
                          </a:prstGeom>
                          <a:noFill/>
                          <a:ln>
                            <a:noFill/>
                          </a:ln>
                        </pic:spPr>
                      </pic:pic>
                    </a:graphicData>
                  </a:graphic>
                </wp:inline>
              </w:drawing>
            </w:r>
          </w:p>
          <w:p w14:paraId="7FD7D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4"/>
                <w:szCs w:val="24"/>
              </w:rPr>
            </w:pPr>
            <w:r>
              <w:rPr>
                <w:color w:val="auto"/>
                <w:sz w:val="24"/>
                <w:szCs w:val="24"/>
              </w:rPr>
              <w:drawing>
                <wp:inline distT="0" distB="0" distL="114300" distR="114300">
                  <wp:extent cx="4808855" cy="1139825"/>
                  <wp:effectExtent l="0" t="0" r="6985" b="317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21"/>
                          <a:stretch>
                            <a:fillRect/>
                          </a:stretch>
                        </pic:blipFill>
                        <pic:spPr>
                          <a:xfrm>
                            <a:off x="0" y="0"/>
                            <a:ext cx="4808855" cy="1139825"/>
                          </a:xfrm>
                          <a:prstGeom prst="rect">
                            <a:avLst/>
                          </a:prstGeom>
                          <a:noFill/>
                          <a:ln>
                            <a:noFill/>
                          </a:ln>
                        </pic:spPr>
                      </pic:pic>
                    </a:graphicData>
                  </a:graphic>
                </wp:inline>
              </w:drawing>
            </w:r>
          </w:p>
          <w:p w14:paraId="5CBB73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4"/>
                <w:szCs w:val="24"/>
              </w:rPr>
            </w:pPr>
            <w:r>
              <w:rPr>
                <w:color w:val="auto"/>
                <w:sz w:val="24"/>
                <w:szCs w:val="24"/>
              </w:rPr>
              <w:drawing>
                <wp:inline distT="0" distB="0" distL="114300" distR="114300">
                  <wp:extent cx="4726940" cy="1104900"/>
                  <wp:effectExtent l="0" t="0" r="12700" b="762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2"/>
                          <a:stretch>
                            <a:fillRect/>
                          </a:stretch>
                        </pic:blipFill>
                        <pic:spPr>
                          <a:xfrm>
                            <a:off x="0" y="0"/>
                            <a:ext cx="4726940" cy="1104900"/>
                          </a:xfrm>
                          <a:prstGeom prst="rect">
                            <a:avLst/>
                          </a:prstGeom>
                          <a:noFill/>
                          <a:ln>
                            <a:noFill/>
                          </a:ln>
                        </pic:spPr>
                      </pic:pic>
                    </a:graphicData>
                  </a:graphic>
                </wp:inline>
              </w:drawing>
            </w:r>
          </w:p>
          <w:p w14:paraId="55876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4"/>
                <w:szCs w:val="24"/>
              </w:rPr>
            </w:pPr>
            <w:r>
              <w:rPr>
                <w:color w:val="auto"/>
                <w:sz w:val="24"/>
                <w:szCs w:val="24"/>
              </w:rPr>
              <w:drawing>
                <wp:inline distT="0" distB="0" distL="114300" distR="114300">
                  <wp:extent cx="4792980" cy="1118235"/>
                  <wp:effectExtent l="0" t="0" r="7620" b="952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3"/>
                          <a:stretch>
                            <a:fillRect/>
                          </a:stretch>
                        </pic:blipFill>
                        <pic:spPr>
                          <a:xfrm>
                            <a:off x="0" y="0"/>
                            <a:ext cx="4792980" cy="1118235"/>
                          </a:xfrm>
                          <a:prstGeom prst="rect">
                            <a:avLst/>
                          </a:prstGeom>
                          <a:noFill/>
                          <a:ln>
                            <a:noFill/>
                          </a:ln>
                        </pic:spPr>
                      </pic:pic>
                    </a:graphicData>
                  </a:graphic>
                </wp:inline>
              </w:drawing>
            </w:r>
          </w:p>
          <w:p w14:paraId="7B89F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default" w:ascii="Times New Roman" w:hAnsi="Times New Roman" w:eastAsia="宋体" w:cs="Times New Roman"/>
                <w:snapToGrid w:val="0"/>
                <w:color w:val="auto"/>
                <w:spacing w:val="0"/>
                <w:kern w:val="0"/>
                <w:sz w:val="24"/>
                <w:szCs w:val="24"/>
                <w:highlight w:val="none"/>
              </w:rPr>
              <w:t>综上所述，本项目</w:t>
            </w:r>
            <w:r>
              <w:rPr>
                <w:rFonts w:hint="default" w:ascii="Times New Roman" w:hAnsi="Times New Roman" w:eastAsia="宋体" w:cs="Times New Roman"/>
                <w:color w:val="auto"/>
                <w:spacing w:val="0"/>
                <w:kern w:val="0"/>
                <w:sz w:val="24"/>
                <w:szCs w:val="24"/>
                <w:highlight w:val="none"/>
                <w:lang w:val="en-US" w:eastAsia="zh-CN"/>
              </w:rPr>
              <w:t>生活污水经化粪池处理后排入</w:t>
            </w:r>
            <w:r>
              <w:rPr>
                <w:rFonts w:hint="eastAsia" w:ascii="Times New Roman" w:hAnsi="Times New Roman" w:eastAsia="宋体" w:cs="Times New Roman"/>
                <w:color w:val="auto"/>
                <w:kern w:val="0"/>
                <w:sz w:val="24"/>
                <w:szCs w:val="24"/>
                <w:lang w:val="en-US" w:eastAsia="zh-CN"/>
              </w:rPr>
              <w:t>嘉祥公用水务有限公司</w:t>
            </w:r>
            <w:r>
              <w:rPr>
                <w:rFonts w:hint="default" w:ascii="Times New Roman" w:hAnsi="Times New Roman" w:eastAsia="宋体" w:cs="Times New Roman"/>
                <w:bCs/>
                <w:color w:val="auto"/>
                <w:spacing w:val="0"/>
                <w:kern w:val="0"/>
                <w:sz w:val="24"/>
                <w:szCs w:val="24"/>
                <w:lang w:val="en-US" w:eastAsia="zh-CN"/>
              </w:rPr>
              <w:t>处理</w:t>
            </w:r>
            <w:r>
              <w:rPr>
                <w:rFonts w:hint="default" w:ascii="Times New Roman" w:hAnsi="Times New Roman" w:eastAsia="宋体" w:cs="Times New Roman"/>
                <w:snapToGrid w:val="0"/>
                <w:color w:val="auto"/>
                <w:spacing w:val="0"/>
                <w:kern w:val="0"/>
                <w:sz w:val="24"/>
                <w:szCs w:val="24"/>
                <w:highlight w:val="none"/>
              </w:rPr>
              <w:t>可行。</w:t>
            </w:r>
          </w:p>
          <w:p w14:paraId="2BC86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pacing w:val="0"/>
                <w:kern w:val="0"/>
                <w:sz w:val="24"/>
                <w:szCs w:val="24"/>
                <w:lang w:val="en-US" w:eastAsia="zh-CN"/>
              </w:rPr>
            </w:pPr>
            <w:r>
              <w:rPr>
                <w:rFonts w:hint="default" w:ascii="Times New Roman" w:hAnsi="Times New Roman" w:eastAsia="宋体" w:cs="Times New Roman"/>
                <w:b/>
                <w:bCs/>
                <w:color w:val="auto"/>
                <w:spacing w:val="0"/>
                <w:kern w:val="0"/>
                <w:sz w:val="24"/>
                <w:szCs w:val="24"/>
                <w:lang w:val="en-US" w:eastAsia="zh-CN"/>
              </w:rPr>
              <w:t>3、监测要求</w:t>
            </w:r>
          </w:p>
          <w:p w14:paraId="55AD9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kern w:val="0"/>
                <w:sz w:val="24"/>
                <w:szCs w:val="24"/>
                <w:highlight w:val="none"/>
              </w:rPr>
            </w:pPr>
            <w:r>
              <w:rPr>
                <w:rFonts w:hint="eastAsia" w:cs="Times New Roman"/>
                <w:bCs/>
                <w:color w:val="auto"/>
                <w:sz w:val="24"/>
                <w:szCs w:val="24"/>
                <w:highlight w:val="none"/>
                <w:lang w:val="en-US" w:eastAsia="zh-CN"/>
              </w:rPr>
              <w:t>根据《排污许可证申请与核发技术规范 石墨及其他非金属矿物制品制造》（HJ1119-2020）的要求，单独排入公共污水处理设施的生活污水仅说明排放去向</w:t>
            </w:r>
            <w:r>
              <w:rPr>
                <w:rFonts w:hint="default" w:ascii="Times New Roman" w:hAnsi="Times New Roman" w:eastAsia="宋体" w:cs="Times New Roman"/>
                <w:color w:val="auto"/>
                <w:spacing w:val="0"/>
                <w:kern w:val="0"/>
                <w:sz w:val="24"/>
                <w:szCs w:val="24"/>
                <w:lang w:val="en-US" w:eastAsia="zh-CN"/>
              </w:rPr>
              <w:t>，无须开展监测</w:t>
            </w:r>
            <w:r>
              <w:rPr>
                <w:rFonts w:hint="default" w:ascii="Times New Roman" w:hAnsi="Times New Roman" w:eastAsia="宋体" w:cs="Times New Roman"/>
                <w:color w:val="auto"/>
                <w:spacing w:val="0"/>
                <w:kern w:val="0"/>
                <w:sz w:val="24"/>
                <w:szCs w:val="24"/>
                <w:highlight w:val="none"/>
              </w:rPr>
              <w:t>。</w:t>
            </w:r>
          </w:p>
          <w:p w14:paraId="3C9F376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aps w:val="0"/>
                <w:color w:val="auto"/>
                <w:spacing w:val="0"/>
                <w:kern w:val="0"/>
                <w:position w:val="0"/>
                <w:sz w:val="24"/>
                <w:szCs w:val="24"/>
              </w:rPr>
            </w:pPr>
            <w:r>
              <w:rPr>
                <w:rFonts w:hint="default" w:ascii="Times New Roman" w:hAnsi="Times New Roman" w:eastAsia="宋体" w:cs="Times New Roman"/>
                <w:b/>
                <w:caps w:val="0"/>
                <w:color w:val="auto"/>
                <w:spacing w:val="0"/>
                <w:kern w:val="0"/>
                <w:position w:val="0"/>
                <w:sz w:val="24"/>
                <w:szCs w:val="24"/>
              </w:rPr>
              <w:t>三、噪声</w:t>
            </w:r>
          </w:p>
          <w:p w14:paraId="24614FDF">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1、噪声源</w:t>
            </w:r>
          </w:p>
          <w:p w14:paraId="5BE9ADD9">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本项目主要噪声源为生产设备</w:t>
            </w:r>
            <w:r>
              <w:rPr>
                <w:rFonts w:hint="eastAsia" w:ascii="Times New Roman" w:hAnsi="Times New Roman" w:eastAsia="宋体" w:cs="Times New Roman"/>
                <w:color w:val="auto"/>
                <w:spacing w:val="0"/>
                <w:kern w:val="0"/>
                <w:sz w:val="24"/>
                <w:szCs w:val="24"/>
                <w:highlight w:val="none"/>
                <w:lang w:val="en-US" w:eastAsia="zh-CN"/>
              </w:rPr>
              <w:t>和风机</w:t>
            </w:r>
            <w:r>
              <w:rPr>
                <w:rFonts w:hint="default" w:ascii="Times New Roman" w:hAnsi="Times New Roman" w:eastAsia="宋体" w:cs="Times New Roman"/>
                <w:color w:val="auto"/>
                <w:spacing w:val="0"/>
                <w:kern w:val="0"/>
                <w:sz w:val="24"/>
                <w:szCs w:val="24"/>
                <w:highlight w:val="none"/>
                <w:lang w:val="en-US" w:eastAsia="zh-CN"/>
              </w:rPr>
              <w:t>。</w:t>
            </w:r>
          </w:p>
          <w:p w14:paraId="071EB6FB">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2、降噪措施</w:t>
            </w:r>
          </w:p>
          <w:p w14:paraId="51C2EADB">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①源头控制。选择低噪音设备。</w:t>
            </w:r>
          </w:p>
          <w:p w14:paraId="1455DDB0">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②合理布局。将噪声源强较高的设备布置在远离厂房边界位置，加大噪声的距离衰减。</w:t>
            </w:r>
          </w:p>
          <w:p w14:paraId="6FA39663">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③针对高噪声设备，采取针对性较强的措施，设置减振垫，车间设置隔音门窗、隔声墙，减小噪声设备对周边环境的影响。</w:t>
            </w:r>
          </w:p>
          <w:p w14:paraId="185C4508">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④加强管理，调整设备运营时间，减少高噪声设备同时运转，防止噪声叠加。</w:t>
            </w:r>
          </w:p>
          <w:p w14:paraId="181D7874">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3、影响预测</w:t>
            </w:r>
          </w:p>
          <w:p w14:paraId="384E36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采用《环境影响评价技术导则 声环境》(HJ2.4.2021)附录B（规范性附录）中“B.1工业噪声预测计算模型”。</w:t>
            </w:r>
            <w:r>
              <w:rPr>
                <w:rFonts w:hint="eastAsia" w:cs="Times New Roman"/>
                <w:color w:val="auto"/>
                <w:spacing w:val="0"/>
                <w:kern w:val="0"/>
                <w:sz w:val="24"/>
                <w:szCs w:val="24"/>
                <w:highlight w:val="none"/>
                <w:lang w:val="en-US" w:eastAsia="zh-CN"/>
              </w:rPr>
              <w:t>因本项目建成后现有工程的生产设备发生变化，因此以本项目建成后全厂的生产设备进行预测分析</w:t>
            </w:r>
          </w:p>
          <w:p w14:paraId="60E327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05477A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6432CB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6AD48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568411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3235DF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334E36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9837E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3C68B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12E936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403BE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369E34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50B194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40DD26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0F269D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C7B62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34A371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08E7AD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5B5A4D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2C897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089B52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7DE77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26B077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kern w:val="0"/>
                <w:sz w:val="24"/>
                <w:szCs w:val="24"/>
                <w:highlight w:val="none"/>
                <w:lang w:val="en-US" w:eastAsia="zh-CN"/>
              </w:rPr>
            </w:pPr>
          </w:p>
          <w:p w14:paraId="133A69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tc>
      </w:tr>
    </w:tbl>
    <w:p w14:paraId="693BA2FF">
      <w:pPr>
        <w:adjustRightInd w:val="0"/>
        <w:snapToGrid w:val="0"/>
        <w:spacing w:line="360" w:lineRule="auto"/>
        <w:jc w:val="center"/>
        <w:rPr>
          <w:rFonts w:hint="default" w:ascii="Times New Roman" w:hAnsi="Times New Roman" w:eastAsia="宋体" w:cs="Times New Roman"/>
          <w:b/>
          <w:color w:val="auto"/>
          <w:kern w:val="0"/>
          <w:sz w:val="21"/>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96"/>
      </w:tblGrid>
      <w:tr w14:paraId="31C9B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noWrap w:val="0"/>
            <w:vAlign w:val="center"/>
          </w:tcPr>
          <w:p w14:paraId="1B02F87F">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业企业噪声源强调查清单（室内声源）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29"/>
              <w:gridCol w:w="721"/>
              <w:gridCol w:w="615"/>
              <w:gridCol w:w="677"/>
              <w:gridCol w:w="678"/>
              <w:gridCol w:w="687"/>
              <w:gridCol w:w="561"/>
              <w:gridCol w:w="561"/>
              <w:gridCol w:w="561"/>
              <w:gridCol w:w="578"/>
              <w:gridCol w:w="555"/>
              <w:gridCol w:w="555"/>
              <w:gridCol w:w="555"/>
              <w:gridCol w:w="569"/>
              <w:gridCol w:w="489"/>
              <w:gridCol w:w="534"/>
              <w:gridCol w:w="534"/>
              <w:gridCol w:w="534"/>
              <w:gridCol w:w="552"/>
              <w:gridCol w:w="572"/>
              <w:gridCol w:w="572"/>
              <w:gridCol w:w="572"/>
              <w:gridCol w:w="572"/>
              <w:gridCol w:w="801"/>
            </w:tblGrid>
            <w:tr w14:paraId="108E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 w:type="pct"/>
                  <w:vMerge w:val="restart"/>
                  <w:vAlign w:val="center"/>
                </w:tcPr>
                <w:p w14:paraId="657BF11F">
                  <w:pPr>
                    <w:jc w:val="center"/>
                    <w:rPr>
                      <w:rFonts w:hint="default" w:ascii="Times New Roman" w:hAnsi="Times New Roman" w:eastAsia="宋体" w:cs="Times New Roman"/>
                      <w:color w:val="auto"/>
                      <w:sz w:val="21"/>
                      <w:szCs w:val="21"/>
                    </w:rPr>
                  </w:pPr>
                  <w:bookmarkStart w:id="3" w:name="PT_6"/>
                  <w:r>
                    <w:rPr>
                      <w:rFonts w:hint="default" w:ascii="Times New Roman" w:hAnsi="Times New Roman" w:eastAsia="宋体" w:cs="Times New Roman"/>
                      <w:b/>
                      <w:color w:val="auto"/>
                      <w:sz w:val="21"/>
                      <w:szCs w:val="21"/>
                    </w:rPr>
                    <w:t>序号</w:t>
                  </w:r>
                </w:p>
              </w:tc>
              <w:tc>
                <w:tcPr>
                  <w:tcW w:w="214" w:type="pct"/>
                  <w:vMerge w:val="restart"/>
                  <w:vAlign w:val="center"/>
                </w:tcPr>
                <w:p w14:paraId="076728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246" w:type="pct"/>
                  <w:vAlign w:val="center"/>
                </w:tcPr>
                <w:p w14:paraId="5C0EB012">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lang w:eastAsia="zh-CN"/>
                    </w:rPr>
                    <w:t>声源源强</w:t>
                  </w:r>
                </w:p>
              </w:tc>
              <w:tc>
                <w:tcPr>
                  <w:tcW w:w="210" w:type="pct"/>
                  <w:vMerge w:val="restart"/>
                  <w:vAlign w:val="center"/>
                </w:tcPr>
                <w:p w14:paraId="265060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696" w:type="pct"/>
                  <w:gridSpan w:val="3"/>
                  <w:vAlign w:val="center"/>
                </w:tcPr>
                <w:p w14:paraId="2DE7D6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770" w:type="pct"/>
                  <w:gridSpan w:val="4"/>
                  <w:vAlign w:val="center"/>
                </w:tcPr>
                <w:p w14:paraId="49BBD99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761" w:type="pct"/>
                  <w:gridSpan w:val="4"/>
                  <w:vAlign w:val="center"/>
                </w:tcPr>
                <w:p w14:paraId="1E9A4E6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室内边界声级/dB(A)</w:t>
                  </w:r>
                </w:p>
              </w:tc>
              <w:tc>
                <w:tcPr>
                  <w:tcW w:w="166" w:type="pct"/>
                  <w:vMerge w:val="restart"/>
                  <w:vAlign w:val="center"/>
                </w:tcPr>
                <w:p w14:paraId="0560B9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c>
                <w:tcPr>
                  <w:tcW w:w="734" w:type="pct"/>
                  <w:gridSpan w:val="4"/>
                  <w:vAlign w:val="center"/>
                </w:tcPr>
                <w:p w14:paraId="721B0A7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建筑物插入损失/dB(A)</w:t>
                  </w:r>
                  <w:bookmarkStart w:id="4" w:name="PT_10"/>
                  <w:bookmarkEnd w:id="4"/>
                </w:p>
              </w:tc>
              <w:tc>
                <w:tcPr>
                  <w:tcW w:w="1053" w:type="pct"/>
                  <w:gridSpan w:val="5"/>
                  <w:vAlign w:val="center"/>
                </w:tcPr>
                <w:p w14:paraId="2488CB8F">
                  <w:pPr>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建筑物外噪声声压级/dB(A)</w:t>
                  </w:r>
                </w:p>
              </w:tc>
            </w:tr>
            <w:tr w14:paraId="4B2E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vMerge w:val="continue"/>
                  <w:shd w:val="clear" w:color="auto" w:fill="FFFFFF"/>
                  <w:tcMar>
                    <w:top w:w="0" w:type="dxa"/>
                    <w:left w:w="0" w:type="dxa"/>
                    <w:bottom w:w="0" w:type="dxa"/>
                    <w:right w:w="0" w:type="dxa"/>
                  </w:tcMar>
                  <w:vAlign w:val="center"/>
                </w:tcPr>
                <w:p w14:paraId="63D38659">
                  <w:pPr>
                    <w:jc w:val="center"/>
                    <w:rPr>
                      <w:rFonts w:hint="default" w:ascii="Times New Roman" w:hAnsi="Times New Roman" w:eastAsia="宋体" w:cs="Times New Roman"/>
                      <w:color w:val="auto"/>
                      <w:sz w:val="21"/>
                      <w:szCs w:val="21"/>
                      <w:lang w:val="en-US" w:eastAsia="zh-CN"/>
                    </w:rPr>
                  </w:pPr>
                </w:p>
              </w:tc>
              <w:tc>
                <w:tcPr>
                  <w:tcW w:w="214" w:type="pct"/>
                  <w:vMerge w:val="continue"/>
                  <w:shd w:val="clear" w:color="auto" w:fill="FFFFFF"/>
                  <w:tcMar>
                    <w:top w:w="0" w:type="dxa"/>
                    <w:left w:w="0" w:type="dxa"/>
                    <w:bottom w:w="0" w:type="dxa"/>
                    <w:right w:w="0" w:type="dxa"/>
                  </w:tcMar>
                  <w:vAlign w:val="center"/>
                </w:tcPr>
                <w:p w14:paraId="7C6C8EE9">
                  <w:pPr>
                    <w:jc w:val="center"/>
                    <w:rPr>
                      <w:rFonts w:hint="default" w:ascii="Times New Roman" w:hAnsi="Times New Roman" w:eastAsia="宋体" w:cs="Times New Roman"/>
                      <w:color w:val="auto"/>
                      <w:sz w:val="21"/>
                      <w:szCs w:val="21"/>
                    </w:rPr>
                  </w:pPr>
                </w:p>
              </w:tc>
              <w:tc>
                <w:tcPr>
                  <w:tcW w:w="246" w:type="pct"/>
                  <w:shd w:val="clear" w:color="auto" w:fill="FFFFFF"/>
                  <w:tcMar>
                    <w:top w:w="0" w:type="dxa"/>
                    <w:left w:w="0" w:type="dxa"/>
                    <w:bottom w:w="0" w:type="dxa"/>
                    <w:right w:w="0" w:type="dxa"/>
                  </w:tcMar>
                  <w:vAlign w:val="center"/>
                </w:tcPr>
                <w:p w14:paraId="0862AB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声功率级/dB(A)</w:t>
                  </w:r>
                </w:p>
              </w:tc>
              <w:tc>
                <w:tcPr>
                  <w:tcW w:w="210" w:type="pct"/>
                  <w:vMerge w:val="continue"/>
                  <w:shd w:val="clear" w:color="auto" w:fill="FFFFFF"/>
                  <w:tcMar>
                    <w:top w:w="0" w:type="dxa"/>
                    <w:left w:w="0" w:type="dxa"/>
                    <w:bottom w:w="0" w:type="dxa"/>
                    <w:right w:w="0" w:type="dxa"/>
                  </w:tcMar>
                  <w:vAlign w:val="center"/>
                </w:tcPr>
                <w:p w14:paraId="72EC05E6">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47601F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231" w:type="pct"/>
                  <w:shd w:val="clear" w:color="auto" w:fill="FFFFFF"/>
                  <w:tcMar>
                    <w:top w:w="0" w:type="dxa"/>
                    <w:left w:w="0" w:type="dxa"/>
                    <w:bottom w:w="0" w:type="dxa"/>
                    <w:right w:w="0" w:type="dxa"/>
                  </w:tcMar>
                  <w:vAlign w:val="center"/>
                </w:tcPr>
                <w:p w14:paraId="76A4E6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233" w:type="pct"/>
                  <w:shd w:val="clear" w:color="auto" w:fill="FFFFFF"/>
                  <w:tcMar>
                    <w:top w:w="0" w:type="dxa"/>
                    <w:left w:w="0" w:type="dxa"/>
                    <w:bottom w:w="0" w:type="dxa"/>
                    <w:right w:w="0" w:type="dxa"/>
                  </w:tcMar>
                  <w:vAlign w:val="center"/>
                </w:tcPr>
                <w:p w14:paraId="6F0065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191" w:type="pct"/>
                  <w:shd w:val="clear" w:color="auto" w:fill="FFFFFF"/>
                  <w:tcMar>
                    <w:top w:w="0" w:type="dxa"/>
                    <w:left w:w="0" w:type="dxa"/>
                    <w:bottom w:w="0" w:type="dxa"/>
                    <w:right w:w="0" w:type="dxa"/>
                  </w:tcMar>
                  <w:vAlign w:val="center"/>
                </w:tcPr>
                <w:p w14:paraId="15F98A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91" w:type="pct"/>
                  <w:shd w:val="clear" w:color="auto" w:fill="FFFFFF"/>
                  <w:tcMar>
                    <w:top w:w="0" w:type="dxa"/>
                    <w:left w:w="0" w:type="dxa"/>
                    <w:bottom w:w="0" w:type="dxa"/>
                    <w:right w:w="0" w:type="dxa"/>
                  </w:tcMar>
                  <w:vAlign w:val="center"/>
                </w:tcPr>
                <w:p w14:paraId="750FEA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91" w:type="pct"/>
                  <w:shd w:val="clear" w:color="auto" w:fill="FFFFFF"/>
                  <w:tcMar>
                    <w:top w:w="0" w:type="dxa"/>
                    <w:left w:w="0" w:type="dxa"/>
                    <w:bottom w:w="0" w:type="dxa"/>
                    <w:right w:w="0" w:type="dxa"/>
                  </w:tcMar>
                  <w:vAlign w:val="center"/>
                </w:tcPr>
                <w:p w14:paraId="25320B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5" w:type="pct"/>
                  <w:shd w:val="clear" w:color="auto" w:fill="FFFFFF"/>
                  <w:tcMar>
                    <w:top w:w="0" w:type="dxa"/>
                    <w:left w:w="0" w:type="dxa"/>
                    <w:bottom w:w="0" w:type="dxa"/>
                    <w:right w:w="0" w:type="dxa"/>
                  </w:tcMar>
                  <w:vAlign w:val="center"/>
                </w:tcPr>
                <w:p w14:paraId="71C5D4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89" w:type="pct"/>
                  <w:shd w:val="clear" w:color="auto" w:fill="FFFFFF"/>
                  <w:tcMar>
                    <w:top w:w="0" w:type="dxa"/>
                    <w:left w:w="0" w:type="dxa"/>
                    <w:bottom w:w="0" w:type="dxa"/>
                    <w:right w:w="0" w:type="dxa"/>
                  </w:tcMar>
                  <w:vAlign w:val="center"/>
                </w:tcPr>
                <w:p w14:paraId="5627D4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89" w:type="pct"/>
                  <w:shd w:val="clear" w:color="auto" w:fill="FFFFFF"/>
                  <w:tcMar>
                    <w:top w:w="0" w:type="dxa"/>
                    <w:left w:w="0" w:type="dxa"/>
                    <w:bottom w:w="0" w:type="dxa"/>
                    <w:right w:w="0" w:type="dxa"/>
                  </w:tcMar>
                  <w:vAlign w:val="center"/>
                </w:tcPr>
                <w:p w14:paraId="0B0D22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89" w:type="pct"/>
                  <w:shd w:val="clear" w:color="auto" w:fill="FFFFFF"/>
                  <w:tcMar>
                    <w:top w:w="0" w:type="dxa"/>
                    <w:left w:w="0" w:type="dxa"/>
                    <w:bottom w:w="0" w:type="dxa"/>
                    <w:right w:w="0" w:type="dxa"/>
                  </w:tcMar>
                  <w:vAlign w:val="center"/>
                </w:tcPr>
                <w:p w14:paraId="7244D9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1" w:type="pct"/>
                  <w:shd w:val="clear" w:color="auto" w:fill="FFFFFF"/>
                  <w:tcMar>
                    <w:top w:w="0" w:type="dxa"/>
                    <w:left w:w="0" w:type="dxa"/>
                    <w:bottom w:w="0" w:type="dxa"/>
                    <w:right w:w="0" w:type="dxa"/>
                  </w:tcMar>
                  <w:vAlign w:val="center"/>
                </w:tcPr>
                <w:p w14:paraId="16BD62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66" w:type="pct"/>
                  <w:vMerge w:val="continue"/>
                  <w:shd w:val="clear" w:color="auto" w:fill="FFFFFF"/>
                  <w:tcMar>
                    <w:top w:w="0" w:type="dxa"/>
                    <w:left w:w="0" w:type="dxa"/>
                    <w:bottom w:w="0" w:type="dxa"/>
                    <w:right w:w="0" w:type="dxa"/>
                  </w:tcMar>
                  <w:vAlign w:val="center"/>
                </w:tcPr>
                <w:p w14:paraId="71401D1D">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27469F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82" w:type="pct"/>
                  <w:shd w:val="clear" w:color="auto" w:fill="FFFFFF"/>
                  <w:tcMar>
                    <w:top w:w="0" w:type="dxa"/>
                    <w:left w:w="0" w:type="dxa"/>
                    <w:bottom w:w="0" w:type="dxa"/>
                    <w:right w:w="0" w:type="dxa"/>
                  </w:tcMar>
                  <w:vAlign w:val="center"/>
                </w:tcPr>
                <w:p w14:paraId="39A508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82" w:type="pct"/>
                  <w:shd w:val="clear" w:color="auto" w:fill="FFFFFF"/>
                  <w:tcMar>
                    <w:top w:w="0" w:type="dxa"/>
                    <w:left w:w="0" w:type="dxa"/>
                    <w:bottom w:w="0" w:type="dxa"/>
                    <w:right w:w="0" w:type="dxa"/>
                  </w:tcMar>
                  <w:vAlign w:val="center"/>
                </w:tcPr>
                <w:p w14:paraId="447B1B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85" w:type="pct"/>
                  <w:shd w:val="clear" w:color="auto" w:fill="FFFFFF"/>
                  <w:tcMar>
                    <w:top w:w="0" w:type="dxa"/>
                    <w:left w:w="0" w:type="dxa"/>
                    <w:bottom w:w="0" w:type="dxa"/>
                    <w:right w:w="0" w:type="dxa"/>
                  </w:tcMar>
                  <w:vAlign w:val="center"/>
                </w:tcPr>
                <w:p w14:paraId="703EE6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95" w:type="pct"/>
                  <w:shd w:val="clear" w:color="auto" w:fill="FFFFFF"/>
                  <w:tcMar>
                    <w:top w:w="0" w:type="dxa"/>
                    <w:left w:w="0" w:type="dxa"/>
                    <w:bottom w:w="0" w:type="dxa"/>
                    <w:right w:w="0" w:type="dxa"/>
                  </w:tcMar>
                  <w:vAlign w:val="center"/>
                </w:tcPr>
                <w:p w14:paraId="226B12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95" w:type="pct"/>
                  <w:shd w:val="clear" w:color="auto" w:fill="FFFFFF"/>
                  <w:tcMar>
                    <w:top w:w="0" w:type="dxa"/>
                    <w:left w:w="0" w:type="dxa"/>
                    <w:bottom w:w="0" w:type="dxa"/>
                    <w:right w:w="0" w:type="dxa"/>
                  </w:tcMar>
                  <w:vAlign w:val="center"/>
                </w:tcPr>
                <w:p w14:paraId="0B3669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95" w:type="pct"/>
                  <w:shd w:val="clear" w:color="auto" w:fill="FFFFFF"/>
                  <w:tcMar>
                    <w:top w:w="0" w:type="dxa"/>
                    <w:left w:w="0" w:type="dxa"/>
                    <w:bottom w:w="0" w:type="dxa"/>
                    <w:right w:w="0" w:type="dxa"/>
                  </w:tcMar>
                  <w:vAlign w:val="center"/>
                </w:tcPr>
                <w:p w14:paraId="04112E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5" w:type="pct"/>
                  <w:shd w:val="clear" w:color="auto" w:fill="FFFFFF"/>
                  <w:tcMar>
                    <w:top w:w="0" w:type="dxa"/>
                    <w:left w:w="0" w:type="dxa"/>
                    <w:bottom w:w="0" w:type="dxa"/>
                    <w:right w:w="0" w:type="dxa"/>
                  </w:tcMar>
                  <w:vAlign w:val="center"/>
                </w:tcPr>
                <w:p w14:paraId="042C38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270" w:type="pct"/>
                  <w:shd w:val="clear" w:color="auto" w:fill="FFFFFF"/>
                  <w:tcMar>
                    <w:top w:w="0" w:type="dxa"/>
                    <w:left w:w="0" w:type="dxa"/>
                    <w:bottom w:w="0" w:type="dxa"/>
                    <w:right w:w="0" w:type="dxa"/>
                  </w:tcMar>
                  <w:vAlign w:val="center"/>
                </w:tcPr>
                <w:p w14:paraId="6F9586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14:paraId="016B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6DC0BE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4" w:type="pct"/>
                  <w:shd w:val="clear" w:color="auto" w:fill="FFFFFF"/>
                  <w:tcMar>
                    <w:top w:w="0" w:type="dxa"/>
                    <w:left w:w="0" w:type="dxa"/>
                    <w:bottom w:w="0" w:type="dxa"/>
                    <w:right w:w="0" w:type="dxa"/>
                  </w:tcMar>
                  <w:vAlign w:val="center"/>
                </w:tcPr>
                <w:p w14:paraId="4806A8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传送带</w:t>
                  </w:r>
                </w:p>
              </w:tc>
              <w:tc>
                <w:tcPr>
                  <w:tcW w:w="246" w:type="pct"/>
                  <w:shd w:val="clear" w:color="auto" w:fill="FFFFFF"/>
                  <w:tcMar>
                    <w:top w:w="0" w:type="dxa"/>
                    <w:left w:w="0" w:type="dxa"/>
                    <w:bottom w:w="0" w:type="dxa"/>
                    <w:right w:w="0" w:type="dxa"/>
                  </w:tcMar>
                  <w:vAlign w:val="center"/>
                </w:tcPr>
                <w:p w14:paraId="1E862D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restart"/>
                  <w:shd w:val="clear" w:color="auto" w:fill="FFFFFF"/>
                  <w:tcMar>
                    <w:top w:w="0" w:type="dxa"/>
                    <w:left w:w="0" w:type="dxa"/>
                    <w:bottom w:w="0" w:type="dxa"/>
                    <w:right w:w="0" w:type="dxa"/>
                  </w:tcMar>
                  <w:vAlign w:val="center"/>
                </w:tcPr>
                <w:p w14:paraId="20E2EE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eastAsia="zh-CN"/>
                    </w:rPr>
                    <w:t>车间隔声，设备减振</w:t>
                  </w:r>
                </w:p>
              </w:tc>
              <w:tc>
                <w:tcPr>
                  <w:tcW w:w="231" w:type="pct"/>
                  <w:shd w:val="clear" w:color="auto" w:fill="FFFFFF"/>
                  <w:tcMar>
                    <w:top w:w="0" w:type="dxa"/>
                    <w:left w:w="0" w:type="dxa"/>
                    <w:bottom w:w="0" w:type="dxa"/>
                    <w:right w:w="0" w:type="dxa"/>
                  </w:tcMar>
                  <w:vAlign w:val="center"/>
                </w:tcPr>
                <w:p w14:paraId="14E34D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-52.9</w:t>
                  </w:r>
                </w:p>
              </w:tc>
              <w:tc>
                <w:tcPr>
                  <w:tcW w:w="231" w:type="pct"/>
                  <w:shd w:val="clear" w:color="auto" w:fill="FFFFFF"/>
                  <w:tcMar>
                    <w:top w:w="0" w:type="dxa"/>
                    <w:left w:w="0" w:type="dxa"/>
                    <w:bottom w:w="0" w:type="dxa"/>
                    <w:right w:w="0" w:type="dxa"/>
                  </w:tcMar>
                  <w:vAlign w:val="center"/>
                </w:tcPr>
                <w:p w14:paraId="3FD4BC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w:t>
                  </w:r>
                </w:p>
              </w:tc>
              <w:tc>
                <w:tcPr>
                  <w:tcW w:w="233" w:type="pct"/>
                  <w:shd w:val="clear" w:color="auto" w:fill="FFFFFF"/>
                  <w:tcMar>
                    <w:top w:w="0" w:type="dxa"/>
                    <w:left w:w="0" w:type="dxa"/>
                    <w:bottom w:w="0" w:type="dxa"/>
                    <w:right w:w="0" w:type="dxa"/>
                  </w:tcMar>
                  <w:vAlign w:val="center"/>
                </w:tcPr>
                <w:p w14:paraId="04D87C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61D74B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21.4</w:t>
                  </w:r>
                </w:p>
              </w:tc>
              <w:tc>
                <w:tcPr>
                  <w:tcW w:w="191" w:type="pct"/>
                  <w:shd w:val="clear" w:color="auto" w:fill="FFFFFF"/>
                  <w:tcMar>
                    <w:top w:w="0" w:type="dxa"/>
                    <w:left w:w="0" w:type="dxa"/>
                    <w:bottom w:w="0" w:type="dxa"/>
                    <w:right w:w="0" w:type="dxa"/>
                  </w:tcMar>
                  <w:vAlign w:val="center"/>
                </w:tcPr>
                <w:p w14:paraId="6A28ED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47.0</w:t>
                  </w:r>
                </w:p>
              </w:tc>
              <w:tc>
                <w:tcPr>
                  <w:tcW w:w="191" w:type="pct"/>
                  <w:shd w:val="clear" w:color="auto" w:fill="FFFFFF"/>
                  <w:tcMar>
                    <w:top w:w="0" w:type="dxa"/>
                    <w:left w:w="0" w:type="dxa"/>
                    <w:bottom w:w="0" w:type="dxa"/>
                    <w:right w:w="0" w:type="dxa"/>
                  </w:tcMar>
                  <w:vAlign w:val="center"/>
                </w:tcPr>
                <w:p w14:paraId="0EFE33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95" w:type="pct"/>
                  <w:shd w:val="clear" w:color="auto" w:fill="FFFFFF"/>
                  <w:tcMar>
                    <w:top w:w="0" w:type="dxa"/>
                    <w:left w:w="0" w:type="dxa"/>
                    <w:bottom w:w="0" w:type="dxa"/>
                    <w:right w:w="0" w:type="dxa"/>
                  </w:tcMar>
                  <w:vAlign w:val="center"/>
                </w:tcPr>
                <w:p w14:paraId="6FDB08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189" w:type="pct"/>
                  <w:shd w:val="clear" w:color="auto" w:fill="FFFFFF"/>
                  <w:tcMar>
                    <w:top w:w="0" w:type="dxa"/>
                    <w:left w:w="0" w:type="dxa"/>
                    <w:bottom w:w="0" w:type="dxa"/>
                    <w:right w:w="0" w:type="dxa"/>
                  </w:tcMar>
                  <w:vAlign w:val="center"/>
                </w:tcPr>
                <w:p w14:paraId="20E8AE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697A9F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3F8218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91" w:type="pct"/>
                  <w:shd w:val="clear" w:color="auto" w:fill="FFFFFF"/>
                  <w:tcMar>
                    <w:top w:w="0" w:type="dxa"/>
                    <w:left w:w="0" w:type="dxa"/>
                    <w:bottom w:w="0" w:type="dxa"/>
                    <w:right w:w="0" w:type="dxa"/>
                  </w:tcMar>
                  <w:vAlign w:val="center"/>
                </w:tcPr>
                <w:p w14:paraId="370FBA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6" w:type="pct"/>
                  <w:vMerge w:val="restart"/>
                  <w:shd w:val="clear" w:color="auto" w:fill="FFFFFF"/>
                  <w:tcMar>
                    <w:top w:w="0" w:type="dxa"/>
                    <w:left w:w="0" w:type="dxa"/>
                    <w:bottom w:w="0" w:type="dxa"/>
                    <w:right w:w="0" w:type="dxa"/>
                  </w:tcMar>
                  <w:vAlign w:val="center"/>
                </w:tcPr>
                <w:p w14:paraId="0123B8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24h/d</w:t>
                  </w:r>
                </w:p>
              </w:tc>
              <w:tc>
                <w:tcPr>
                  <w:tcW w:w="182" w:type="pct"/>
                  <w:shd w:val="clear" w:color="auto" w:fill="FFFFFF"/>
                  <w:tcMar>
                    <w:top w:w="0" w:type="dxa"/>
                    <w:left w:w="0" w:type="dxa"/>
                    <w:bottom w:w="0" w:type="dxa"/>
                    <w:right w:w="0" w:type="dxa"/>
                  </w:tcMar>
                  <w:vAlign w:val="center"/>
                </w:tcPr>
                <w:p w14:paraId="3347E5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03962C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1A8118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301BFC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518A7B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109C6C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458F0F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525B18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0" w:type="pct"/>
                  <w:shd w:val="clear" w:color="auto" w:fill="FFFFFF"/>
                  <w:tcMar>
                    <w:top w:w="0" w:type="dxa"/>
                    <w:left w:w="0" w:type="dxa"/>
                    <w:bottom w:w="0" w:type="dxa"/>
                    <w:right w:w="0" w:type="dxa"/>
                  </w:tcMar>
                  <w:vAlign w:val="center"/>
                </w:tcPr>
                <w:p w14:paraId="5D8771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A65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1AE21E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4" w:type="pct"/>
                  <w:shd w:val="clear" w:color="auto" w:fill="FFFFFF"/>
                  <w:tcMar>
                    <w:top w:w="0" w:type="dxa"/>
                    <w:left w:w="0" w:type="dxa"/>
                    <w:bottom w:w="0" w:type="dxa"/>
                    <w:right w:w="0" w:type="dxa"/>
                  </w:tcMar>
                  <w:vAlign w:val="center"/>
                </w:tcPr>
                <w:p w14:paraId="59A72E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干燥滚筒</w:t>
                  </w:r>
                </w:p>
              </w:tc>
              <w:tc>
                <w:tcPr>
                  <w:tcW w:w="246" w:type="pct"/>
                  <w:shd w:val="clear" w:color="auto" w:fill="FFFFFF"/>
                  <w:tcMar>
                    <w:top w:w="0" w:type="dxa"/>
                    <w:left w:w="0" w:type="dxa"/>
                    <w:bottom w:w="0" w:type="dxa"/>
                    <w:right w:w="0" w:type="dxa"/>
                  </w:tcMar>
                  <w:vAlign w:val="center"/>
                </w:tcPr>
                <w:p w14:paraId="51C88A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1099F393">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2B117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-47.5</w:t>
                  </w:r>
                </w:p>
              </w:tc>
              <w:tc>
                <w:tcPr>
                  <w:tcW w:w="231" w:type="pct"/>
                  <w:shd w:val="clear" w:color="auto" w:fill="FFFFFF"/>
                  <w:tcMar>
                    <w:top w:w="0" w:type="dxa"/>
                    <w:left w:w="0" w:type="dxa"/>
                    <w:bottom w:w="0" w:type="dxa"/>
                    <w:right w:w="0" w:type="dxa"/>
                  </w:tcMar>
                  <w:vAlign w:val="center"/>
                </w:tcPr>
                <w:p w14:paraId="1152BF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w:t>
                  </w:r>
                </w:p>
              </w:tc>
              <w:tc>
                <w:tcPr>
                  <w:tcW w:w="233" w:type="pct"/>
                  <w:shd w:val="clear" w:color="auto" w:fill="FFFFFF"/>
                  <w:tcMar>
                    <w:top w:w="0" w:type="dxa"/>
                    <w:left w:w="0" w:type="dxa"/>
                    <w:bottom w:w="0" w:type="dxa"/>
                    <w:right w:w="0" w:type="dxa"/>
                  </w:tcMar>
                  <w:vAlign w:val="center"/>
                </w:tcPr>
                <w:p w14:paraId="29094B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6CA70D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191" w:type="pct"/>
                  <w:shd w:val="clear" w:color="auto" w:fill="FFFFFF"/>
                  <w:tcMar>
                    <w:top w:w="0" w:type="dxa"/>
                    <w:left w:w="0" w:type="dxa"/>
                    <w:bottom w:w="0" w:type="dxa"/>
                    <w:right w:w="0" w:type="dxa"/>
                  </w:tcMar>
                  <w:vAlign w:val="center"/>
                </w:tcPr>
                <w:p w14:paraId="674D4B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191" w:type="pct"/>
                  <w:shd w:val="clear" w:color="auto" w:fill="FFFFFF"/>
                  <w:tcMar>
                    <w:top w:w="0" w:type="dxa"/>
                    <w:left w:w="0" w:type="dxa"/>
                    <w:bottom w:w="0" w:type="dxa"/>
                    <w:right w:w="0" w:type="dxa"/>
                  </w:tcMar>
                  <w:vAlign w:val="center"/>
                </w:tcPr>
                <w:p w14:paraId="09180D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w:t>
                  </w:r>
                </w:p>
              </w:tc>
              <w:tc>
                <w:tcPr>
                  <w:tcW w:w="195" w:type="pct"/>
                  <w:shd w:val="clear" w:color="auto" w:fill="FFFFFF"/>
                  <w:tcMar>
                    <w:top w:w="0" w:type="dxa"/>
                    <w:left w:w="0" w:type="dxa"/>
                    <w:bottom w:w="0" w:type="dxa"/>
                    <w:right w:w="0" w:type="dxa"/>
                  </w:tcMar>
                  <w:vAlign w:val="center"/>
                </w:tcPr>
                <w:p w14:paraId="1D9A00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189" w:type="pct"/>
                  <w:shd w:val="clear" w:color="auto" w:fill="FFFFFF"/>
                  <w:tcMar>
                    <w:top w:w="0" w:type="dxa"/>
                    <w:left w:w="0" w:type="dxa"/>
                    <w:bottom w:w="0" w:type="dxa"/>
                    <w:right w:w="0" w:type="dxa"/>
                  </w:tcMar>
                  <w:vAlign w:val="center"/>
                </w:tcPr>
                <w:p w14:paraId="70EEF9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89" w:type="pct"/>
                  <w:shd w:val="clear" w:color="auto" w:fill="FFFFFF"/>
                  <w:tcMar>
                    <w:top w:w="0" w:type="dxa"/>
                    <w:left w:w="0" w:type="dxa"/>
                    <w:bottom w:w="0" w:type="dxa"/>
                    <w:right w:w="0" w:type="dxa"/>
                  </w:tcMar>
                  <w:vAlign w:val="center"/>
                </w:tcPr>
                <w:p w14:paraId="2B0D6D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89" w:type="pct"/>
                  <w:shd w:val="clear" w:color="auto" w:fill="FFFFFF"/>
                  <w:tcMar>
                    <w:top w:w="0" w:type="dxa"/>
                    <w:left w:w="0" w:type="dxa"/>
                    <w:bottom w:w="0" w:type="dxa"/>
                    <w:right w:w="0" w:type="dxa"/>
                  </w:tcMar>
                  <w:vAlign w:val="center"/>
                </w:tcPr>
                <w:p w14:paraId="15FE32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91" w:type="pct"/>
                  <w:shd w:val="clear" w:color="auto" w:fill="FFFFFF"/>
                  <w:tcMar>
                    <w:top w:w="0" w:type="dxa"/>
                    <w:left w:w="0" w:type="dxa"/>
                    <w:bottom w:w="0" w:type="dxa"/>
                    <w:right w:w="0" w:type="dxa"/>
                  </w:tcMar>
                  <w:vAlign w:val="center"/>
                </w:tcPr>
                <w:p w14:paraId="4F8D3E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66" w:type="pct"/>
                  <w:vMerge w:val="continue"/>
                  <w:shd w:val="clear" w:color="auto" w:fill="FFFFFF"/>
                  <w:tcMar>
                    <w:top w:w="0" w:type="dxa"/>
                    <w:left w:w="0" w:type="dxa"/>
                    <w:bottom w:w="0" w:type="dxa"/>
                    <w:right w:w="0" w:type="dxa"/>
                  </w:tcMar>
                  <w:vAlign w:val="center"/>
                </w:tcPr>
                <w:p w14:paraId="42391034">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31DC5D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2BD7D0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3A967C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09F703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52E93F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29B0A8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03C4D8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33C920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270" w:type="pct"/>
                  <w:shd w:val="clear" w:color="auto" w:fill="FFFFFF"/>
                  <w:tcMar>
                    <w:top w:w="0" w:type="dxa"/>
                    <w:left w:w="0" w:type="dxa"/>
                    <w:bottom w:w="0" w:type="dxa"/>
                    <w:right w:w="0" w:type="dxa"/>
                  </w:tcMar>
                  <w:vAlign w:val="center"/>
                </w:tcPr>
                <w:p w14:paraId="08F0CC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91F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6182F5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4" w:type="pct"/>
                  <w:shd w:val="clear" w:color="auto" w:fill="FFFFFF"/>
                  <w:tcMar>
                    <w:top w:w="0" w:type="dxa"/>
                    <w:left w:w="0" w:type="dxa"/>
                    <w:bottom w:w="0" w:type="dxa"/>
                    <w:right w:w="0" w:type="dxa"/>
                  </w:tcMar>
                  <w:vAlign w:val="center"/>
                </w:tcPr>
                <w:p w14:paraId="27E514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混凝土搅拌楼</w:t>
                  </w:r>
                </w:p>
              </w:tc>
              <w:tc>
                <w:tcPr>
                  <w:tcW w:w="246" w:type="pct"/>
                  <w:shd w:val="clear" w:color="auto" w:fill="FFFFFF"/>
                  <w:tcMar>
                    <w:top w:w="0" w:type="dxa"/>
                    <w:left w:w="0" w:type="dxa"/>
                    <w:bottom w:w="0" w:type="dxa"/>
                    <w:right w:w="0" w:type="dxa"/>
                  </w:tcMar>
                  <w:vAlign w:val="center"/>
                </w:tcPr>
                <w:p w14:paraId="73826C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7360EFC9">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D39D7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-53.5</w:t>
                  </w:r>
                </w:p>
              </w:tc>
              <w:tc>
                <w:tcPr>
                  <w:tcW w:w="231" w:type="pct"/>
                  <w:shd w:val="clear" w:color="auto" w:fill="FFFFFF"/>
                  <w:tcMar>
                    <w:top w:w="0" w:type="dxa"/>
                    <w:left w:w="0" w:type="dxa"/>
                    <w:bottom w:w="0" w:type="dxa"/>
                    <w:right w:w="0" w:type="dxa"/>
                  </w:tcMar>
                  <w:vAlign w:val="center"/>
                </w:tcPr>
                <w:p w14:paraId="6FB8B5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c>
                <w:tcPr>
                  <w:tcW w:w="233" w:type="pct"/>
                  <w:shd w:val="clear" w:color="auto" w:fill="FFFFFF"/>
                  <w:tcMar>
                    <w:top w:w="0" w:type="dxa"/>
                    <w:left w:w="0" w:type="dxa"/>
                    <w:bottom w:w="0" w:type="dxa"/>
                    <w:right w:w="0" w:type="dxa"/>
                  </w:tcMar>
                  <w:vAlign w:val="center"/>
                </w:tcPr>
                <w:p w14:paraId="7AD862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6E4E73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191" w:type="pct"/>
                  <w:shd w:val="clear" w:color="auto" w:fill="FFFFFF"/>
                  <w:tcMar>
                    <w:top w:w="0" w:type="dxa"/>
                    <w:left w:w="0" w:type="dxa"/>
                    <w:bottom w:w="0" w:type="dxa"/>
                    <w:right w:w="0" w:type="dxa"/>
                  </w:tcMar>
                  <w:vAlign w:val="center"/>
                </w:tcPr>
                <w:p w14:paraId="5385E1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w:t>
                  </w:r>
                </w:p>
              </w:tc>
              <w:tc>
                <w:tcPr>
                  <w:tcW w:w="191" w:type="pct"/>
                  <w:shd w:val="clear" w:color="auto" w:fill="FFFFFF"/>
                  <w:tcMar>
                    <w:top w:w="0" w:type="dxa"/>
                    <w:left w:w="0" w:type="dxa"/>
                    <w:bottom w:w="0" w:type="dxa"/>
                    <w:right w:w="0" w:type="dxa"/>
                  </w:tcMar>
                  <w:vAlign w:val="center"/>
                </w:tcPr>
                <w:p w14:paraId="66E3FA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14.8</w:t>
                  </w:r>
                </w:p>
              </w:tc>
              <w:tc>
                <w:tcPr>
                  <w:tcW w:w="195" w:type="pct"/>
                  <w:shd w:val="clear" w:color="auto" w:fill="FFFFFF"/>
                  <w:tcMar>
                    <w:top w:w="0" w:type="dxa"/>
                    <w:left w:w="0" w:type="dxa"/>
                    <w:bottom w:w="0" w:type="dxa"/>
                    <w:right w:w="0" w:type="dxa"/>
                  </w:tcMar>
                  <w:vAlign w:val="center"/>
                </w:tcPr>
                <w:p w14:paraId="037851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189" w:type="pct"/>
                  <w:shd w:val="clear" w:color="auto" w:fill="FFFFFF"/>
                  <w:tcMar>
                    <w:top w:w="0" w:type="dxa"/>
                    <w:left w:w="0" w:type="dxa"/>
                    <w:bottom w:w="0" w:type="dxa"/>
                    <w:right w:w="0" w:type="dxa"/>
                  </w:tcMar>
                  <w:vAlign w:val="center"/>
                </w:tcPr>
                <w:p w14:paraId="79B25B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89" w:type="pct"/>
                  <w:shd w:val="clear" w:color="auto" w:fill="FFFFFF"/>
                  <w:tcMar>
                    <w:top w:w="0" w:type="dxa"/>
                    <w:left w:w="0" w:type="dxa"/>
                    <w:bottom w:w="0" w:type="dxa"/>
                    <w:right w:w="0" w:type="dxa"/>
                  </w:tcMar>
                  <w:vAlign w:val="center"/>
                </w:tcPr>
                <w:p w14:paraId="6B2920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89" w:type="pct"/>
                  <w:shd w:val="clear" w:color="auto" w:fill="FFFFFF"/>
                  <w:tcMar>
                    <w:top w:w="0" w:type="dxa"/>
                    <w:left w:w="0" w:type="dxa"/>
                    <w:bottom w:w="0" w:type="dxa"/>
                    <w:right w:w="0" w:type="dxa"/>
                  </w:tcMar>
                  <w:vAlign w:val="center"/>
                </w:tcPr>
                <w:p w14:paraId="3E8B2A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91" w:type="pct"/>
                  <w:shd w:val="clear" w:color="auto" w:fill="FFFFFF"/>
                  <w:tcMar>
                    <w:top w:w="0" w:type="dxa"/>
                    <w:left w:w="0" w:type="dxa"/>
                    <w:bottom w:w="0" w:type="dxa"/>
                    <w:right w:w="0" w:type="dxa"/>
                  </w:tcMar>
                  <w:vAlign w:val="center"/>
                </w:tcPr>
                <w:p w14:paraId="2E57C9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66" w:type="pct"/>
                  <w:vMerge w:val="continue"/>
                  <w:shd w:val="clear" w:color="auto" w:fill="FFFFFF"/>
                  <w:tcMar>
                    <w:top w:w="0" w:type="dxa"/>
                    <w:left w:w="0" w:type="dxa"/>
                    <w:bottom w:w="0" w:type="dxa"/>
                    <w:right w:w="0" w:type="dxa"/>
                  </w:tcMar>
                  <w:vAlign w:val="center"/>
                </w:tcPr>
                <w:p w14:paraId="22C89171">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1EF6DD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5991A6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518F82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7167B7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32B68B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3DC5F0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34D9D7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17533C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270" w:type="pct"/>
                  <w:shd w:val="clear" w:color="auto" w:fill="FFFFFF"/>
                  <w:tcMar>
                    <w:top w:w="0" w:type="dxa"/>
                    <w:left w:w="0" w:type="dxa"/>
                    <w:bottom w:w="0" w:type="dxa"/>
                    <w:right w:w="0" w:type="dxa"/>
                  </w:tcMar>
                  <w:vAlign w:val="center"/>
                </w:tcPr>
                <w:p w14:paraId="0C192F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AD5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5A7DF7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4" w:type="pct"/>
                  <w:shd w:val="clear" w:color="auto" w:fill="FFFFFF"/>
                  <w:tcMar>
                    <w:top w:w="0" w:type="dxa"/>
                    <w:left w:w="0" w:type="dxa"/>
                    <w:bottom w:w="0" w:type="dxa"/>
                    <w:right w:w="0" w:type="dxa"/>
                  </w:tcMar>
                  <w:vAlign w:val="center"/>
                </w:tcPr>
                <w:p w14:paraId="46FC3A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提升机</w:t>
                  </w:r>
                </w:p>
              </w:tc>
              <w:tc>
                <w:tcPr>
                  <w:tcW w:w="246" w:type="pct"/>
                  <w:shd w:val="clear" w:color="auto" w:fill="FFFFFF"/>
                  <w:tcMar>
                    <w:top w:w="0" w:type="dxa"/>
                    <w:left w:w="0" w:type="dxa"/>
                    <w:bottom w:w="0" w:type="dxa"/>
                    <w:right w:w="0" w:type="dxa"/>
                  </w:tcMar>
                  <w:vAlign w:val="center"/>
                </w:tcPr>
                <w:p w14:paraId="7E54CC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210" w:type="pct"/>
                  <w:vMerge w:val="continue"/>
                  <w:shd w:val="clear" w:color="auto" w:fill="FFFFFF"/>
                  <w:tcMar>
                    <w:top w:w="0" w:type="dxa"/>
                    <w:left w:w="0" w:type="dxa"/>
                    <w:bottom w:w="0" w:type="dxa"/>
                    <w:right w:w="0" w:type="dxa"/>
                  </w:tcMar>
                  <w:vAlign w:val="center"/>
                </w:tcPr>
                <w:p w14:paraId="72281CCE">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197B3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-55.5</w:t>
                  </w:r>
                </w:p>
              </w:tc>
              <w:tc>
                <w:tcPr>
                  <w:tcW w:w="231" w:type="pct"/>
                  <w:shd w:val="clear" w:color="auto" w:fill="FFFFFF"/>
                  <w:tcMar>
                    <w:top w:w="0" w:type="dxa"/>
                    <w:left w:w="0" w:type="dxa"/>
                    <w:bottom w:w="0" w:type="dxa"/>
                    <w:right w:w="0" w:type="dxa"/>
                  </w:tcMar>
                  <w:vAlign w:val="center"/>
                </w:tcPr>
                <w:p w14:paraId="77F8DA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w:t>
                  </w:r>
                </w:p>
              </w:tc>
              <w:tc>
                <w:tcPr>
                  <w:tcW w:w="233" w:type="pct"/>
                  <w:shd w:val="clear" w:color="auto" w:fill="FFFFFF"/>
                  <w:tcMar>
                    <w:top w:w="0" w:type="dxa"/>
                    <w:left w:w="0" w:type="dxa"/>
                    <w:bottom w:w="0" w:type="dxa"/>
                    <w:right w:w="0" w:type="dxa"/>
                  </w:tcMar>
                  <w:vAlign w:val="center"/>
                </w:tcPr>
                <w:p w14:paraId="7BA580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67A897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w:t>
                  </w:r>
                </w:p>
              </w:tc>
              <w:tc>
                <w:tcPr>
                  <w:tcW w:w="191" w:type="pct"/>
                  <w:shd w:val="clear" w:color="auto" w:fill="FFFFFF"/>
                  <w:tcMar>
                    <w:top w:w="0" w:type="dxa"/>
                    <w:left w:w="0" w:type="dxa"/>
                    <w:bottom w:w="0" w:type="dxa"/>
                    <w:right w:w="0" w:type="dxa"/>
                  </w:tcMar>
                  <w:vAlign w:val="center"/>
                </w:tcPr>
                <w:p w14:paraId="0662C6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44.5</w:t>
                  </w:r>
                </w:p>
              </w:tc>
              <w:tc>
                <w:tcPr>
                  <w:tcW w:w="191" w:type="pct"/>
                  <w:shd w:val="clear" w:color="auto" w:fill="FFFFFF"/>
                  <w:tcMar>
                    <w:top w:w="0" w:type="dxa"/>
                    <w:left w:w="0" w:type="dxa"/>
                    <w:bottom w:w="0" w:type="dxa"/>
                    <w:right w:w="0" w:type="dxa"/>
                  </w:tcMar>
                  <w:vAlign w:val="center"/>
                </w:tcPr>
                <w:p w14:paraId="073588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195" w:type="pct"/>
                  <w:shd w:val="clear" w:color="auto" w:fill="FFFFFF"/>
                  <w:tcMar>
                    <w:top w:w="0" w:type="dxa"/>
                    <w:left w:w="0" w:type="dxa"/>
                    <w:bottom w:w="0" w:type="dxa"/>
                    <w:right w:w="0" w:type="dxa"/>
                  </w:tcMar>
                  <w:vAlign w:val="center"/>
                </w:tcPr>
                <w:p w14:paraId="247224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w:t>
                  </w:r>
                </w:p>
              </w:tc>
              <w:tc>
                <w:tcPr>
                  <w:tcW w:w="189" w:type="pct"/>
                  <w:shd w:val="clear" w:color="auto" w:fill="FFFFFF"/>
                  <w:tcMar>
                    <w:top w:w="0" w:type="dxa"/>
                    <w:left w:w="0" w:type="dxa"/>
                    <w:bottom w:w="0" w:type="dxa"/>
                    <w:right w:w="0" w:type="dxa"/>
                  </w:tcMar>
                  <w:vAlign w:val="center"/>
                </w:tcPr>
                <w:p w14:paraId="3E972D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w:t>
                  </w:r>
                </w:p>
              </w:tc>
              <w:tc>
                <w:tcPr>
                  <w:tcW w:w="189" w:type="pct"/>
                  <w:shd w:val="clear" w:color="auto" w:fill="FFFFFF"/>
                  <w:tcMar>
                    <w:top w:w="0" w:type="dxa"/>
                    <w:left w:w="0" w:type="dxa"/>
                    <w:bottom w:w="0" w:type="dxa"/>
                    <w:right w:w="0" w:type="dxa"/>
                  </w:tcMar>
                  <w:vAlign w:val="center"/>
                </w:tcPr>
                <w:p w14:paraId="71F3EF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w:t>
                  </w:r>
                </w:p>
              </w:tc>
              <w:tc>
                <w:tcPr>
                  <w:tcW w:w="189" w:type="pct"/>
                  <w:shd w:val="clear" w:color="auto" w:fill="FFFFFF"/>
                  <w:tcMar>
                    <w:top w:w="0" w:type="dxa"/>
                    <w:left w:w="0" w:type="dxa"/>
                    <w:bottom w:w="0" w:type="dxa"/>
                    <w:right w:w="0" w:type="dxa"/>
                  </w:tcMar>
                  <w:vAlign w:val="center"/>
                </w:tcPr>
                <w:p w14:paraId="1BA692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w:t>
                  </w:r>
                </w:p>
              </w:tc>
              <w:tc>
                <w:tcPr>
                  <w:tcW w:w="191" w:type="pct"/>
                  <w:shd w:val="clear" w:color="auto" w:fill="FFFFFF"/>
                  <w:tcMar>
                    <w:top w:w="0" w:type="dxa"/>
                    <w:left w:w="0" w:type="dxa"/>
                    <w:bottom w:w="0" w:type="dxa"/>
                    <w:right w:w="0" w:type="dxa"/>
                  </w:tcMar>
                  <w:vAlign w:val="center"/>
                </w:tcPr>
                <w:p w14:paraId="570C17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w:t>
                  </w:r>
                </w:p>
              </w:tc>
              <w:tc>
                <w:tcPr>
                  <w:tcW w:w="166" w:type="pct"/>
                  <w:vMerge w:val="continue"/>
                  <w:shd w:val="clear" w:color="auto" w:fill="FFFFFF"/>
                  <w:tcMar>
                    <w:top w:w="0" w:type="dxa"/>
                    <w:left w:w="0" w:type="dxa"/>
                    <w:bottom w:w="0" w:type="dxa"/>
                    <w:right w:w="0" w:type="dxa"/>
                  </w:tcMar>
                  <w:vAlign w:val="center"/>
                </w:tcPr>
                <w:p w14:paraId="6D5BF8F7">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181E6F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42F6C6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05B2EE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6649EC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0E7F9E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195" w:type="pct"/>
                  <w:shd w:val="clear" w:color="auto" w:fill="FFFFFF"/>
                  <w:tcMar>
                    <w:top w:w="0" w:type="dxa"/>
                    <w:left w:w="0" w:type="dxa"/>
                    <w:bottom w:w="0" w:type="dxa"/>
                    <w:right w:w="0" w:type="dxa"/>
                  </w:tcMar>
                  <w:vAlign w:val="center"/>
                </w:tcPr>
                <w:p w14:paraId="7B0894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195" w:type="pct"/>
                  <w:shd w:val="clear" w:color="auto" w:fill="FFFFFF"/>
                  <w:tcMar>
                    <w:top w:w="0" w:type="dxa"/>
                    <w:left w:w="0" w:type="dxa"/>
                    <w:bottom w:w="0" w:type="dxa"/>
                    <w:right w:w="0" w:type="dxa"/>
                  </w:tcMar>
                  <w:vAlign w:val="center"/>
                </w:tcPr>
                <w:p w14:paraId="37E2CE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195" w:type="pct"/>
                  <w:shd w:val="clear" w:color="auto" w:fill="FFFFFF"/>
                  <w:tcMar>
                    <w:top w:w="0" w:type="dxa"/>
                    <w:left w:w="0" w:type="dxa"/>
                    <w:bottom w:w="0" w:type="dxa"/>
                    <w:right w:w="0" w:type="dxa"/>
                  </w:tcMar>
                  <w:vAlign w:val="center"/>
                </w:tcPr>
                <w:p w14:paraId="03791D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270" w:type="pct"/>
                  <w:shd w:val="clear" w:color="auto" w:fill="FFFFFF"/>
                  <w:tcMar>
                    <w:top w:w="0" w:type="dxa"/>
                    <w:left w:w="0" w:type="dxa"/>
                    <w:bottom w:w="0" w:type="dxa"/>
                    <w:right w:w="0" w:type="dxa"/>
                  </w:tcMar>
                  <w:vAlign w:val="center"/>
                </w:tcPr>
                <w:p w14:paraId="3270CC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AF8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158D4D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4" w:type="pct"/>
                  <w:shd w:val="clear" w:color="auto" w:fill="FFFFFF"/>
                  <w:tcMar>
                    <w:top w:w="0" w:type="dxa"/>
                    <w:left w:w="0" w:type="dxa"/>
                    <w:bottom w:w="0" w:type="dxa"/>
                    <w:right w:w="0" w:type="dxa"/>
                  </w:tcMar>
                  <w:vAlign w:val="center"/>
                </w:tcPr>
                <w:p w14:paraId="2A8283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导热油炉</w:t>
                  </w:r>
                </w:p>
              </w:tc>
              <w:tc>
                <w:tcPr>
                  <w:tcW w:w="246" w:type="pct"/>
                  <w:shd w:val="clear" w:color="auto" w:fill="FFFFFF"/>
                  <w:tcMar>
                    <w:top w:w="0" w:type="dxa"/>
                    <w:left w:w="0" w:type="dxa"/>
                    <w:bottom w:w="0" w:type="dxa"/>
                    <w:right w:w="0" w:type="dxa"/>
                  </w:tcMar>
                  <w:vAlign w:val="center"/>
                </w:tcPr>
                <w:p w14:paraId="07FF30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210" w:type="pct"/>
                  <w:vMerge w:val="continue"/>
                  <w:shd w:val="clear" w:color="auto" w:fill="FFFFFF"/>
                  <w:tcMar>
                    <w:top w:w="0" w:type="dxa"/>
                    <w:left w:w="0" w:type="dxa"/>
                    <w:bottom w:w="0" w:type="dxa"/>
                    <w:right w:w="0" w:type="dxa"/>
                  </w:tcMar>
                  <w:vAlign w:val="center"/>
                </w:tcPr>
                <w:p w14:paraId="2D112375">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62CA0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-49.5</w:t>
                  </w:r>
                </w:p>
              </w:tc>
              <w:tc>
                <w:tcPr>
                  <w:tcW w:w="231" w:type="pct"/>
                  <w:shd w:val="clear" w:color="auto" w:fill="FFFFFF"/>
                  <w:tcMar>
                    <w:top w:w="0" w:type="dxa"/>
                    <w:left w:w="0" w:type="dxa"/>
                    <w:bottom w:w="0" w:type="dxa"/>
                    <w:right w:w="0" w:type="dxa"/>
                  </w:tcMar>
                  <w:vAlign w:val="center"/>
                </w:tcPr>
                <w:p w14:paraId="32CB14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233" w:type="pct"/>
                  <w:shd w:val="clear" w:color="auto" w:fill="FFFFFF"/>
                  <w:tcMar>
                    <w:top w:w="0" w:type="dxa"/>
                    <w:left w:w="0" w:type="dxa"/>
                    <w:bottom w:w="0" w:type="dxa"/>
                    <w:right w:w="0" w:type="dxa"/>
                  </w:tcMar>
                  <w:vAlign w:val="center"/>
                </w:tcPr>
                <w:p w14:paraId="28D8C9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7EFB53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91" w:type="pct"/>
                  <w:shd w:val="clear" w:color="auto" w:fill="FFFFFF"/>
                  <w:tcMar>
                    <w:top w:w="0" w:type="dxa"/>
                    <w:left w:w="0" w:type="dxa"/>
                    <w:bottom w:w="0" w:type="dxa"/>
                    <w:right w:w="0" w:type="dxa"/>
                  </w:tcMar>
                  <w:vAlign w:val="center"/>
                </w:tcPr>
                <w:p w14:paraId="4824D5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32.1</w:t>
                  </w:r>
                </w:p>
              </w:tc>
              <w:tc>
                <w:tcPr>
                  <w:tcW w:w="191" w:type="pct"/>
                  <w:shd w:val="clear" w:color="auto" w:fill="FFFFFF"/>
                  <w:tcMar>
                    <w:top w:w="0" w:type="dxa"/>
                    <w:left w:w="0" w:type="dxa"/>
                    <w:bottom w:w="0" w:type="dxa"/>
                    <w:right w:w="0" w:type="dxa"/>
                  </w:tcMar>
                  <w:vAlign w:val="center"/>
                </w:tcPr>
                <w:p w14:paraId="4531D9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19.5</w:t>
                  </w:r>
                </w:p>
              </w:tc>
              <w:tc>
                <w:tcPr>
                  <w:tcW w:w="195" w:type="pct"/>
                  <w:shd w:val="clear" w:color="auto" w:fill="FFFFFF"/>
                  <w:tcMar>
                    <w:top w:w="0" w:type="dxa"/>
                    <w:left w:w="0" w:type="dxa"/>
                    <w:bottom w:w="0" w:type="dxa"/>
                    <w:right w:w="0" w:type="dxa"/>
                  </w:tcMar>
                  <w:vAlign w:val="center"/>
                </w:tcPr>
                <w:p w14:paraId="5B8443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27.9</w:t>
                  </w:r>
                </w:p>
              </w:tc>
              <w:tc>
                <w:tcPr>
                  <w:tcW w:w="189" w:type="pct"/>
                  <w:shd w:val="clear" w:color="auto" w:fill="FFFFFF"/>
                  <w:tcMar>
                    <w:top w:w="0" w:type="dxa"/>
                    <w:left w:w="0" w:type="dxa"/>
                    <w:bottom w:w="0" w:type="dxa"/>
                    <w:right w:w="0" w:type="dxa"/>
                  </w:tcMar>
                  <w:vAlign w:val="center"/>
                </w:tcPr>
                <w:p w14:paraId="2A887F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89" w:type="pct"/>
                  <w:shd w:val="clear" w:color="auto" w:fill="FFFFFF"/>
                  <w:tcMar>
                    <w:top w:w="0" w:type="dxa"/>
                    <w:left w:w="0" w:type="dxa"/>
                    <w:bottom w:w="0" w:type="dxa"/>
                    <w:right w:w="0" w:type="dxa"/>
                  </w:tcMar>
                  <w:vAlign w:val="center"/>
                </w:tcPr>
                <w:p w14:paraId="48F5BA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89" w:type="pct"/>
                  <w:shd w:val="clear" w:color="auto" w:fill="FFFFFF"/>
                  <w:tcMar>
                    <w:top w:w="0" w:type="dxa"/>
                    <w:left w:w="0" w:type="dxa"/>
                    <w:bottom w:w="0" w:type="dxa"/>
                    <w:right w:w="0" w:type="dxa"/>
                  </w:tcMar>
                  <w:vAlign w:val="center"/>
                </w:tcPr>
                <w:p w14:paraId="50975E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91" w:type="pct"/>
                  <w:shd w:val="clear" w:color="auto" w:fill="FFFFFF"/>
                  <w:tcMar>
                    <w:top w:w="0" w:type="dxa"/>
                    <w:left w:w="0" w:type="dxa"/>
                    <w:bottom w:w="0" w:type="dxa"/>
                    <w:right w:w="0" w:type="dxa"/>
                  </w:tcMar>
                  <w:vAlign w:val="center"/>
                </w:tcPr>
                <w:p w14:paraId="392F16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66" w:type="pct"/>
                  <w:vMerge w:val="continue"/>
                  <w:shd w:val="clear" w:color="auto" w:fill="FFFFFF"/>
                  <w:tcMar>
                    <w:top w:w="0" w:type="dxa"/>
                    <w:left w:w="0" w:type="dxa"/>
                    <w:bottom w:w="0" w:type="dxa"/>
                    <w:right w:w="0" w:type="dxa"/>
                  </w:tcMar>
                  <w:vAlign w:val="center"/>
                </w:tcPr>
                <w:p w14:paraId="53AE23F6">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6D50C2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4FFC2C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1D9437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6E8201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70C7A5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6FF799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372B92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1A6985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270" w:type="pct"/>
                  <w:shd w:val="clear" w:color="auto" w:fill="FFFFFF"/>
                  <w:tcMar>
                    <w:top w:w="0" w:type="dxa"/>
                    <w:left w:w="0" w:type="dxa"/>
                    <w:bottom w:w="0" w:type="dxa"/>
                    <w:right w:w="0" w:type="dxa"/>
                  </w:tcMar>
                  <w:vAlign w:val="center"/>
                </w:tcPr>
                <w:p w14:paraId="593018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0B4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1C84D3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4" w:type="pct"/>
                  <w:shd w:val="clear" w:color="auto" w:fill="FFFFFF"/>
                  <w:tcMar>
                    <w:top w:w="0" w:type="dxa"/>
                    <w:left w:w="0" w:type="dxa"/>
                    <w:bottom w:w="0" w:type="dxa"/>
                    <w:right w:w="0" w:type="dxa"/>
                  </w:tcMar>
                  <w:vAlign w:val="center"/>
                </w:tcPr>
                <w:p w14:paraId="4C5FCD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搅拌器</w:t>
                  </w:r>
                </w:p>
              </w:tc>
              <w:tc>
                <w:tcPr>
                  <w:tcW w:w="246" w:type="pct"/>
                  <w:shd w:val="clear" w:color="auto" w:fill="FFFFFF"/>
                  <w:tcMar>
                    <w:top w:w="0" w:type="dxa"/>
                    <w:left w:w="0" w:type="dxa"/>
                    <w:bottom w:w="0" w:type="dxa"/>
                    <w:right w:w="0" w:type="dxa"/>
                  </w:tcMar>
                  <w:vAlign w:val="center"/>
                </w:tcPr>
                <w:p w14:paraId="40DDB2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239BCB40">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0CE39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-47.6</w:t>
                  </w:r>
                </w:p>
              </w:tc>
              <w:tc>
                <w:tcPr>
                  <w:tcW w:w="231" w:type="pct"/>
                  <w:shd w:val="clear" w:color="auto" w:fill="FFFFFF"/>
                  <w:tcMar>
                    <w:top w:w="0" w:type="dxa"/>
                    <w:left w:w="0" w:type="dxa"/>
                    <w:bottom w:w="0" w:type="dxa"/>
                    <w:right w:w="0" w:type="dxa"/>
                  </w:tcMar>
                  <w:vAlign w:val="center"/>
                </w:tcPr>
                <w:p w14:paraId="66EC40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w:t>
                  </w:r>
                </w:p>
              </w:tc>
              <w:tc>
                <w:tcPr>
                  <w:tcW w:w="233" w:type="pct"/>
                  <w:shd w:val="clear" w:color="auto" w:fill="FFFFFF"/>
                  <w:tcMar>
                    <w:top w:w="0" w:type="dxa"/>
                    <w:left w:w="0" w:type="dxa"/>
                    <w:bottom w:w="0" w:type="dxa"/>
                    <w:right w:w="0" w:type="dxa"/>
                  </w:tcMar>
                  <w:vAlign w:val="center"/>
                </w:tcPr>
                <w:p w14:paraId="384DC7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3FEAAF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c>
                <w:tcPr>
                  <w:tcW w:w="191" w:type="pct"/>
                  <w:shd w:val="clear" w:color="auto" w:fill="FFFFFF"/>
                  <w:tcMar>
                    <w:top w:w="0" w:type="dxa"/>
                    <w:left w:w="0" w:type="dxa"/>
                    <w:bottom w:w="0" w:type="dxa"/>
                    <w:right w:w="0" w:type="dxa"/>
                  </w:tcMar>
                  <w:vAlign w:val="center"/>
                </w:tcPr>
                <w:p w14:paraId="303237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91" w:type="pct"/>
                  <w:shd w:val="clear" w:color="auto" w:fill="FFFFFF"/>
                  <w:tcMar>
                    <w:top w:w="0" w:type="dxa"/>
                    <w:left w:w="0" w:type="dxa"/>
                    <w:bottom w:w="0" w:type="dxa"/>
                    <w:right w:w="0" w:type="dxa"/>
                  </w:tcMar>
                  <w:vAlign w:val="center"/>
                </w:tcPr>
                <w:p w14:paraId="799FC7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23.5</w:t>
                  </w:r>
                </w:p>
              </w:tc>
              <w:tc>
                <w:tcPr>
                  <w:tcW w:w="195" w:type="pct"/>
                  <w:shd w:val="clear" w:color="auto" w:fill="FFFFFF"/>
                  <w:tcMar>
                    <w:top w:w="0" w:type="dxa"/>
                    <w:left w:w="0" w:type="dxa"/>
                    <w:bottom w:w="0" w:type="dxa"/>
                    <w:right w:w="0" w:type="dxa"/>
                  </w:tcMar>
                  <w:vAlign w:val="center"/>
                </w:tcPr>
                <w:p w14:paraId="3489D4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55.1</w:t>
                  </w:r>
                </w:p>
              </w:tc>
              <w:tc>
                <w:tcPr>
                  <w:tcW w:w="189" w:type="pct"/>
                  <w:shd w:val="clear" w:color="auto" w:fill="FFFFFF"/>
                  <w:tcMar>
                    <w:top w:w="0" w:type="dxa"/>
                    <w:left w:w="0" w:type="dxa"/>
                    <w:bottom w:w="0" w:type="dxa"/>
                    <w:right w:w="0" w:type="dxa"/>
                  </w:tcMar>
                  <w:vAlign w:val="center"/>
                </w:tcPr>
                <w:p w14:paraId="4A4098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65.3</w:t>
                  </w:r>
                </w:p>
              </w:tc>
              <w:tc>
                <w:tcPr>
                  <w:tcW w:w="189" w:type="pct"/>
                  <w:shd w:val="clear" w:color="auto" w:fill="FFFFFF"/>
                  <w:tcMar>
                    <w:top w:w="0" w:type="dxa"/>
                    <w:left w:w="0" w:type="dxa"/>
                    <w:bottom w:w="0" w:type="dxa"/>
                    <w:right w:w="0" w:type="dxa"/>
                  </w:tcMar>
                  <w:vAlign w:val="center"/>
                </w:tcPr>
                <w:p w14:paraId="294F70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w:t>
                  </w:r>
                </w:p>
              </w:tc>
              <w:tc>
                <w:tcPr>
                  <w:tcW w:w="189" w:type="pct"/>
                  <w:shd w:val="clear" w:color="auto" w:fill="FFFFFF"/>
                  <w:tcMar>
                    <w:top w:w="0" w:type="dxa"/>
                    <w:left w:w="0" w:type="dxa"/>
                    <w:bottom w:w="0" w:type="dxa"/>
                    <w:right w:w="0" w:type="dxa"/>
                  </w:tcMar>
                  <w:vAlign w:val="center"/>
                </w:tcPr>
                <w:p w14:paraId="258DD9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91" w:type="pct"/>
                  <w:shd w:val="clear" w:color="auto" w:fill="FFFFFF"/>
                  <w:tcMar>
                    <w:top w:w="0" w:type="dxa"/>
                    <w:left w:w="0" w:type="dxa"/>
                    <w:bottom w:w="0" w:type="dxa"/>
                    <w:right w:w="0" w:type="dxa"/>
                  </w:tcMar>
                  <w:vAlign w:val="center"/>
                </w:tcPr>
                <w:p w14:paraId="537388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66" w:type="pct"/>
                  <w:vMerge w:val="continue"/>
                  <w:shd w:val="clear" w:color="auto" w:fill="FFFFFF"/>
                  <w:tcMar>
                    <w:top w:w="0" w:type="dxa"/>
                    <w:left w:w="0" w:type="dxa"/>
                    <w:bottom w:w="0" w:type="dxa"/>
                    <w:right w:w="0" w:type="dxa"/>
                  </w:tcMar>
                  <w:vAlign w:val="center"/>
                </w:tcPr>
                <w:p w14:paraId="30C03ABB">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500B8D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61B043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793115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3ACB05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4D18D7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c>
                <w:tcPr>
                  <w:tcW w:w="195" w:type="pct"/>
                  <w:shd w:val="clear" w:color="auto" w:fill="FFFFFF"/>
                  <w:tcMar>
                    <w:top w:w="0" w:type="dxa"/>
                    <w:left w:w="0" w:type="dxa"/>
                    <w:bottom w:w="0" w:type="dxa"/>
                    <w:right w:w="0" w:type="dxa"/>
                  </w:tcMar>
                  <w:vAlign w:val="center"/>
                </w:tcPr>
                <w:p w14:paraId="0BBBD3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39.6</w:t>
                  </w:r>
                </w:p>
              </w:tc>
              <w:tc>
                <w:tcPr>
                  <w:tcW w:w="195" w:type="pct"/>
                  <w:shd w:val="clear" w:color="auto" w:fill="FFFFFF"/>
                  <w:tcMar>
                    <w:top w:w="0" w:type="dxa"/>
                    <w:left w:w="0" w:type="dxa"/>
                    <w:bottom w:w="0" w:type="dxa"/>
                    <w:right w:w="0" w:type="dxa"/>
                  </w:tcMar>
                  <w:vAlign w:val="center"/>
                </w:tcPr>
                <w:p w14:paraId="7D86DD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44207D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270" w:type="pct"/>
                  <w:shd w:val="clear" w:color="auto" w:fill="FFFFFF"/>
                  <w:tcMar>
                    <w:top w:w="0" w:type="dxa"/>
                    <w:left w:w="0" w:type="dxa"/>
                    <w:bottom w:w="0" w:type="dxa"/>
                    <w:right w:w="0" w:type="dxa"/>
                  </w:tcMar>
                  <w:vAlign w:val="center"/>
                </w:tcPr>
                <w:p w14:paraId="7A9922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0DED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3D69A9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4" w:type="pct"/>
                  <w:shd w:val="clear" w:color="auto" w:fill="FFFFFF"/>
                  <w:tcMar>
                    <w:top w:w="0" w:type="dxa"/>
                    <w:left w:w="0" w:type="dxa"/>
                    <w:bottom w:w="0" w:type="dxa"/>
                    <w:right w:w="0" w:type="dxa"/>
                  </w:tcMar>
                  <w:vAlign w:val="center"/>
                </w:tcPr>
                <w:p w14:paraId="60F50D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传送带</w:t>
                  </w:r>
                </w:p>
              </w:tc>
              <w:tc>
                <w:tcPr>
                  <w:tcW w:w="246" w:type="pct"/>
                  <w:shd w:val="clear" w:color="auto" w:fill="FFFFFF"/>
                  <w:tcMar>
                    <w:top w:w="0" w:type="dxa"/>
                    <w:left w:w="0" w:type="dxa"/>
                    <w:bottom w:w="0" w:type="dxa"/>
                    <w:right w:w="0" w:type="dxa"/>
                  </w:tcMar>
                  <w:vAlign w:val="center"/>
                </w:tcPr>
                <w:p w14:paraId="413474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continue"/>
                  <w:shd w:val="clear" w:color="auto" w:fill="FFFFFF"/>
                  <w:tcMar>
                    <w:top w:w="0" w:type="dxa"/>
                    <w:left w:w="0" w:type="dxa"/>
                    <w:bottom w:w="0" w:type="dxa"/>
                    <w:right w:w="0" w:type="dxa"/>
                  </w:tcMar>
                  <w:vAlign w:val="center"/>
                </w:tcPr>
                <w:p w14:paraId="6BF5F99A">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5FC68A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-52.3</w:t>
                  </w:r>
                </w:p>
              </w:tc>
              <w:tc>
                <w:tcPr>
                  <w:tcW w:w="231" w:type="pct"/>
                  <w:shd w:val="clear" w:color="auto" w:fill="FFFFFF"/>
                  <w:tcMar>
                    <w:top w:w="0" w:type="dxa"/>
                    <w:left w:w="0" w:type="dxa"/>
                    <w:bottom w:w="0" w:type="dxa"/>
                    <w:right w:w="0" w:type="dxa"/>
                  </w:tcMar>
                  <w:vAlign w:val="center"/>
                </w:tcPr>
                <w:p w14:paraId="2229E9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33" w:type="pct"/>
                  <w:shd w:val="clear" w:color="auto" w:fill="FFFFFF"/>
                  <w:tcMar>
                    <w:top w:w="0" w:type="dxa"/>
                    <w:left w:w="0" w:type="dxa"/>
                    <w:bottom w:w="0" w:type="dxa"/>
                    <w:right w:w="0" w:type="dxa"/>
                  </w:tcMar>
                  <w:vAlign w:val="center"/>
                </w:tcPr>
                <w:p w14:paraId="6C4E8C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73C99B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c>
                <w:tcPr>
                  <w:tcW w:w="191" w:type="pct"/>
                  <w:shd w:val="clear" w:color="auto" w:fill="FFFFFF"/>
                  <w:tcMar>
                    <w:top w:w="0" w:type="dxa"/>
                    <w:left w:w="0" w:type="dxa"/>
                    <w:bottom w:w="0" w:type="dxa"/>
                    <w:right w:w="0" w:type="dxa"/>
                  </w:tcMar>
                  <w:vAlign w:val="center"/>
                </w:tcPr>
                <w:p w14:paraId="60B046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91" w:type="pct"/>
                  <w:shd w:val="clear" w:color="auto" w:fill="FFFFFF"/>
                  <w:tcMar>
                    <w:top w:w="0" w:type="dxa"/>
                    <w:left w:w="0" w:type="dxa"/>
                    <w:bottom w:w="0" w:type="dxa"/>
                    <w:right w:w="0" w:type="dxa"/>
                  </w:tcMar>
                  <w:vAlign w:val="center"/>
                </w:tcPr>
                <w:p w14:paraId="1C1322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18.8</w:t>
                  </w:r>
                </w:p>
              </w:tc>
              <w:tc>
                <w:tcPr>
                  <w:tcW w:w="195" w:type="pct"/>
                  <w:shd w:val="clear" w:color="auto" w:fill="FFFFFF"/>
                  <w:tcMar>
                    <w:top w:w="0" w:type="dxa"/>
                    <w:left w:w="0" w:type="dxa"/>
                    <w:bottom w:w="0" w:type="dxa"/>
                    <w:right w:w="0" w:type="dxa"/>
                  </w:tcMar>
                  <w:vAlign w:val="center"/>
                </w:tcPr>
                <w:p w14:paraId="428E6C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54.8</w:t>
                  </w:r>
                </w:p>
              </w:tc>
              <w:tc>
                <w:tcPr>
                  <w:tcW w:w="189" w:type="pct"/>
                  <w:shd w:val="clear" w:color="auto" w:fill="FFFFFF"/>
                  <w:tcMar>
                    <w:top w:w="0" w:type="dxa"/>
                    <w:left w:w="0" w:type="dxa"/>
                    <w:bottom w:w="0" w:type="dxa"/>
                    <w:right w:w="0" w:type="dxa"/>
                  </w:tcMar>
                  <w:vAlign w:val="center"/>
                </w:tcPr>
                <w:p w14:paraId="7EC26C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19AD1B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60.5</w:t>
                  </w:r>
                </w:p>
              </w:tc>
              <w:tc>
                <w:tcPr>
                  <w:tcW w:w="189" w:type="pct"/>
                  <w:shd w:val="clear" w:color="auto" w:fill="FFFFFF"/>
                  <w:tcMar>
                    <w:top w:w="0" w:type="dxa"/>
                    <w:left w:w="0" w:type="dxa"/>
                    <w:bottom w:w="0" w:type="dxa"/>
                    <w:right w:w="0" w:type="dxa"/>
                  </w:tcMar>
                  <w:vAlign w:val="center"/>
                </w:tcPr>
                <w:p w14:paraId="789ED3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91" w:type="pct"/>
                  <w:shd w:val="clear" w:color="auto" w:fill="FFFFFF"/>
                  <w:tcMar>
                    <w:top w:w="0" w:type="dxa"/>
                    <w:left w:w="0" w:type="dxa"/>
                    <w:bottom w:w="0" w:type="dxa"/>
                    <w:right w:w="0" w:type="dxa"/>
                  </w:tcMar>
                  <w:vAlign w:val="center"/>
                </w:tcPr>
                <w:p w14:paraId="77EF55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6" w:type="pct"/>
                  <w:vMerge w:val="continue"/>
                  <w:shd w:val="clear" w:color="auto" w:fill="FFFFFF"/>
                  <w:tcMar>
                    <w:top w:w="0" w:type="dxa"/>
                    <w:left w:w="0" w:type="dxa"/>
                    <w:bottom w:w="0" w:type="dxa"/>
                    <w:right w:w="0" w:type="dxa"/>
                  </w:tcMar>
                  <w:vAlign w:val="center"/>
                </w:tcPr>
                <w:p w14:paraId="3C22E170">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563282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7F5D5D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7E71CF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11E974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34F6B7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4A3E04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34.5</w:t>
                  </w:r>
                </w:p>
              </w:tc>
              <w:tc>
                <w:tcPr>
                  <w:tcW w:w="195" w:type="pct"/>
                  <w:shd w:val="clear" w:color="auto" w:fill="FFFFFF"/>
                  <w:tcMar>
                    <w:top w:w="0" w:type="dxa"/>
                    <w:left w:w="0" w:type="dxa"/>
                    <w:bottom w:w="0" w:type="dxa"/>
                    <w:right w:w="0" w:type="dxa"/>
                  </w:tcMar>
                  <w:vAlign w:val="center"/>
                </w:tcPr>
                <w:p w14:paraId="6BD047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163FCC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0" w:type="pct"/>
                  <w:shd w:val="clear" w:color="auto" w:fill="FFFFFF"/>
                  <w:tcMar>
                    <w:top w:w="0" w:type="dxa"/>
                    <w:left w:w="0" w:type="dxa"/>
                    <w:bottom w:w="0" w:type="dxa"/>
                    <w:right w:w="0" w:type="dxa"/>
                  </w:tcMar>
                  <w:vAlign w:val="center"/>
                </w:tcPr>
                <w:p w14:paraId="2DB3A2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F77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35BEE4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14" w:type="pct"/>
                  <w:shd w:val="clear" w:color="auto" w:fill="FFFFFF"/>
                  <w:tcMar>
                    <w:top w:w="0" w:type="dxa"/>
                    <w:left w:w="0" w:type="dxa"/>
                    <w:bottom w:w="0" w:type="dxa"/>
                    <w:right w:w="0" w:type="dxa"/>
                  </w:tcMar>
                  <w:vAlign w:val="center"/>
                </w:tcPr>
                <w:p w14:paraId="3F4412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传送带</w:t>
                  </w:r>
                </w:p>
              </w:tc>
              <w:tc>
                <w:tcPr>
                  <w:tcW w:w="246" w:type="pct"/>
                  <w:shd w:val="clear" w:color="auto" w:fill="FFFFFF"/>
                  <w:tcMar>
                    <w:top w:w="0" w:type="dxa"/>
                    <w:left w:w="0" w:type="dxa"/>
                    <w:bottom w:w="0" w:type="dxa"/>
                    <w:right w:w="0" w:type="dxa"/>
                  </w:tcMar>
                  <w:vAlign w:val="center"/>
                </w:tcPr>
                <w:p w14:paraId="04B3F0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continue"/>
                  <w:shd w:val="clear" w:color="auto" w:fill="FFFFFF"/>
                  <w:tcMar>
                    <w:top w:w="0" w:type="dxa"/>
                    <w:left w:w="0" w:type="dxa"/>
                    <w:bottom w:w="0" w:type="dxa"/>
                    <w:right w:w="0" w:type="dxa"/>
                  </w:tcMar>
                  <w:vAlign w:val="center"/>
                </w:tcPr>
                <w:p w14:paraId="66A1D0FF">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24330D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-57.4</w:t>
                  </w:r>
                </w:p>
              </w:tc>
              <w:tc>
                <w:tcPr>
                  <w:tcW w:w="231" w:type="pct"/>
                  <w:shd w:val="clear" w:color="auto" w:fill="FFFFFF"/>
                  <w:tcMar>
                    <w:top w:w="0" w:type="dxa"/>
                    <w:left w:w="0" w:type="dxa"/>
                    <w:bottom w:w="0" w:type="dxa"/>
                    <w:right w:w="0" w:type="dxa"/>
                  </w:tcMar>
                  <w:vAlign w:val="center"/>
                </w:tcPr>
                <w:p w14:paraId="263699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c>
                <w:tcPr>
                  <w:tcW w:w="233" w:type="pct"/>
                  <w:shd w:val="clear" w:color="auto" w:fill="FFFFFF"/>
                  <w:tcMar>
                    <w:top w:w="0" w:type="dxa"/>
                    <w:left w:w="0" w:type="dxa"/>
                    <w:bottom w:w="0" w:type="dxa"/>
                    <w:right w:w="0" w:type="dxa"/>
                  </w:tcMar>
                  <w:vAlign w:val="center"/>
                </w:tcPr>
                <w:p w14:paraId="2C3792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37B28F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20.6</w:t>
                  </w:r>
                </w:p>
              </w:tc>
              <w:tc>
                <w:tcPr>
                  <w:tcW w:w="191" w:type="pct"/>
                  <w:shd w:val="clear" w:color="auto" w:fill="FFFFFF"/>
                  <w:tcMar>
                    <w:top w:w="0" w:type="dxa"/>
                    <w:left w:w="0" w:type="dxa"/>
                    <w:bottom w:w="0" w:type="dxa"/>
                    <w:right w:w="0" w:type="dxa"/>
                  </w:tcMar>
                  <w:vAlign w:val="center"/>
                </w:tcPr>
                <w:p w14:paraId="439BF7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91" w:type="pct"/>
                  <w:shd w:val="clear" w:color="auto" w:fill="FFFFFF"/>
                  <w:tcMar>
                    <w:top w:w="0" w:type="dxa"/>
                    <w:left w:w="0" w:type="dxa"/>
                    <w:bottom w:w="0" w:type="dxa"/>
                    <w:right w:w="0" w:type="dxa"/>
                  </w:tcMar>
                  <w:vAlign w:val="center"/>
                </w:tcPr>
                <w:p w14:paraId="795B5C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w:t>
                  </w:r>
                </w:p>
              </w:tc>
              <w:tc>
                <w:tcPr>
                  <w:tcW w:w="195" w:type="pct"/>
                  <w:shd w:val="clear" w:color="auto" w:fill="FFFFFF"/>
                  <w:tcMar>
                    <w:top w:w="0" w:type="dxa"/>
                    <w:left w:w="0" w:type="dxa"/>
                    <w:bottom w:w="0" w:type="dxa"/>
                    <w:right w:w="0" w:type="dxa"/>
                  </w:tcMar>
                  <w:vAlign w:val="center"/>
                </w:tcPr>
                <w:p w14:paraId="03DFE4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53.6</w:t>
                  </w:r>
                </w:p>
              </w:tc>
              <w:tc>
                <w:tcPr>
                  <w:tcW w:w="189" w:type="pct"/>
                  <w:shd w:val="clear" w:color="auto" w:fill="FFFFFF"/>
                  <w:tcMar>
                    <w:top w:w="0" w:type="dxa"/>
                    <w:left w:w="0" w:type="dxa"/>
                    <w:bottom w:w="0" w:type="dxa"/>
                    <w:right w:w="0" w:type="dxa"/>
                  </w:tcMar>
                  <w:vAlign w:val="center"/>
                </w:tcPr>
                <w:p w14:paraId="0E61F8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70A982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60.4</w:t>
                  </w:r>
                </w:p>
              </w:tc>
              <w:tc>
                <w:tcPr>
                  <w:tcW w:w="189" w:type="pct"/>
                  <w:shd w:val="clear" w:color="auto" w:fill="FFFFFF"/>
                  <w:tcMar>
                    <w:top w:w="0" w:type="dxa"/>
                    <w:left w:w="0" w:type="dxa"/>
                    <w:bottom w:w="0" w:type="dxa"/>
                    <w:right w:w="0" w:type="dxa"/>
                  </w:tcMar>
                  <w:vAlign w:val="center"/>
                </w:tcPr>
                <w:p w14:paraId="091ED9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91" w:type="pct"/>
                  <w:shd w:val="clear" w:color="auto" w:fill="FFFFFF"/>
                  <w:tcMar>
                    <w:top w:w="0" w:type="dxa"/>
                    <w:left w:w="0" w:type="dxa"/>
                    <w:bottom w:w="0" w:type="dxa"/>
                    <w:right w:w="0" w:type="dxa"/>
                  </w:tcMar>
                  <w:vAlign w:val="center"/>
                </w:tcPr>
                <w:p w14:paraId="132E19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6" w:type="pct"/>
                  <w:vMerge w:val="continue"/>
                  <w:shd w:val="clear" w:color="auto" w:fill="FFFFFF"/>
                  <w:tcMar>
                    <w:top w:w="0" w:type="dxa"/>
                    <w:left w:w="0" w:type="dxa"/>
                    <w:bottom w:w="0" w:type="dxa"/>
                    <w:right w:w="0" w:type="dxa"/>
                  </w:tcMar>
                  <w:vAlign w:val="center"/>
                </w:tcPr>
                <w:p w14:paraId="7C541877">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4A1BE4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3886A9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6C5042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37225D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715DF9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16D816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w:t>
                  </w:r>
                </w:p>
              </w:tc>
              <w:tc>
                <w:tcPr>
                  <w:tcW w:w="195" w:type="pct"/>
                  <w:shd w:val="clear" w:color="auto" w:fill="FFFFFF"/>
                  <w:tcMar>
                    <w:top w:w="0" w:type="dxa"/>
                    <w:left w:w="0" w:type="dxa"/>
                    <w:bottom w:w="0" w:type="dxa"/>
                    <w:right w:w="0" w:type="dxa"/>
                  </w:tcMar>
                  <w:vAlign w:val="center"/>
                </w:tcPr>
                <w:p w14:paraId="7B0749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21599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0" w:type="pct"/>
                  <w:shd w:val="clear" w:color="auto" w:fill="FFFFFF"/>
                  <w:tcMar>
                    <w:top w:w="0" w:type="dxa"/>
                    <w:left w:w="0" w:type="dxa"/>
                    <w:bottom w:w="0" w:type="dxa"/>
                    <w:right w:w="0" w:type="dxa"/>
                  </w:tcMar>
                  <w:vAlign w:val="center"/>
                </w:tcPr>
                <w:p w14:paraId="132CC0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8ED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4F692B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14" w:type="pct"/>
                  <w:shd w:val="clear" w:color="auto" w:fill="FFFFFF"/>
                  <w:tcMar>
                    <w:top w:w="0" w:type="dxa"/>
                    <w:left w:w="0" w:type="dxa"/>
                    <w:bottom w:w="0" w:type="dxa"/>
                    <w:right w:w="0" w:type="dxa"/>
                  </w:tcMar>
                  <w:vAlign w:val="center"/>
                </w:tcPr>
                <w:p w14:paraId="1CF306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混凝土搅拌楼</w:t>
                  </w:r>
                </w:p>
              </w:tc>
              <w:tc>
                <w:tcPr>
                  <w:tcW w:w="246" w:type="pct"/>
                  <w:shd w:val="clear" w:color="auto" w:fill="FFFFFF"/>
                  <w:tcMar>
                    <w:top w:w="0" w:type="dxa"/>
                    <w:left w:w="0" w:type="dxa"/>
                    <w:bottom w:w="0" w:type="dxa"/>
                    <w:right w:w="0" w:type="dxa"/>
                  </w:tcMar>
                  <w:vAlign w:val="center"/>
                </w:tcPr>
                <w:p w14:paraId="0B328D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0D3EB1CA">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1CB103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-60.1</w:t>
                  </w:r>
                </w:p>
              </w:tc>
              <w:tc>
                <w:tcPr>
                  <w:tcW w:w="231" w:type="pct"/>
                  <w:shd w:val="clear" w:color="auto" w:fill="FFFFFF"/>
                  <w:tcMar>
                    <w:top w:w="0" w:type="dxa"/>
                    <w:left w:w="0" w:type="dxa"/>
                    <w:bottom w:w="0" w:type="dxa"/>
                    <w:right w:w="0" w:type="dxa"/>
                  </w:tcMar>
                  <w:vAlign w:val="center"/>
                </w:tcPr>
                <w:p w14:paraId="4D1A35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w:t>
                  </w:r>
                </w:p>
              </w:tc>
              <w:tc>
                <w:tcPr>
                  <w:tcW w:w="233" w:type="pct"/>
                  <w:shd w:val="clear" w:color="auto" w:fill="FFFFFF"/>
                  <w:tcMar>
                    <w:top w:w="0" w:type="dxa"/>
                    <w:left w:w="0" w:type="dxa"/>
                    <w:bottom w:w="0" w:type="dxa"/>
                    <w:right w:w="0" w:type="dxa"/>
                  </w:tcMar>
                  <w:vAlign w:val="center"/>
                </w:tcPr>
                <w:p w14:paraId="6C6E95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74D44B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23.4</w:t>
                  </w:r>
                </w:p>
              </w:tc>
              <w:tc>
                <w:tcPr>
                  <w:tcW w:w="191" w:type="pct"/>
                  <w:shd w:val="clear" w:color="auto" w:fill="FFFFFF"/>
                  <w:tcMar>
                    <w:top w:w="0" w:type="dxa"/>
                    <w:left w:w="0" w:type="dxa"/>
                    <w:bottom w:w="0" w:type="dxa"/>
                    <w:right w:w="0" w:type="dxa"/>
                  </w:tcMar>
                  <w:vAlign w:val="center"/>
                </w:tcPr>
                <w:p w14:paraId="59AAAF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91" w:type="pct"/>
                  <w:shd w:val="clear" w:color="auto" w:fill="FFFFFF"/>
                  <w:tcMar>
                    <w:top w:w="0" w:type="dxa"/>
                    <w:left w:w="0" w:type="dxa"/>
                    <w:bottom w:w="0" w:type="dxa"/>
                    <w:right w:w="0" w:type="dxa"/>
                  </w:tcMar>
                  <w:vAlign w:val="center"/>
                </w:tcPr>
                <w:p w14:paraId="4CE41E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195" w:type="pct"/>
                  <w:shd w:val="clear" w:color="auto" w:fill="FFFFFF"/>
                  <w:tcMar>
                    <w:top w:w="0" w:type="dxa"/>
                    <w:left w:w="0" w:type="dxa"/>
                    <w:bottom w:w="0" w:type="dxa"/>
                    <w:right w:w="0" w:type="dxa"/>
                  </w:tcMar>
                  <w:vAlign w:val="center"/>
                </w:tcPr>
                <w:p w14:paraId="46AD12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w:t>
                  </w:r>
                </w:p>
              </w:tc>
              <w:tc>
                <w:tcPr>
                  <w:tcW w:w="189" w:type="pct"/>
                  <w:shd w:val="clear" w:color="auto" w:fill="FFFFFF"/>
                  <w:tcMar>
                    <w:top w:w="0" w:type="dxa"/>
                    <w:left w:w="0" w:type="dxa"/>
                    <w:bottom w:w="0" w:type="dxa"/>
                    <w:right w:w="0" w:type="dxa"/>
                  </w:tcMar>
                  <w:vAlign w:val="center"/>
                </w:tcPr>
                <w:p w14:paraId="178B0B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89" w:type="pct"/>
                  <w:shd w:val="clear" w:color="auto" w:fill="FFFFFF"/>
                  <w:tcMar>
                    <w:top w:w="0" w:type="dxa"/>
                    <w:left w:w="0" w:type="dxa"/>
                    <w:bottom w:w="0" w:type="dxa"/>
                    <w:right w:w="0" w:type="dxa"/>
                  </w:tcMar>
                  <w:vAlign w:val="center"/>
                </w:tcPr>
                <w:p w14:paraId="573BC0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65.4</w:t>
                  </w:r>
                </w:p>
              </w:tc>
              <w:tc>
                <w:tcPr>
                  <w:tcW w:w="189" w:type="pct"/>
                  <w:shd w:val="clear" w:color="auto" w:fill="FFFFFF"/>
                  <w:tcMar>
                    <w:top w:w="0" w:type="dxa"/>
                    <w:left w:w="0" w:type="dxa"/>
                    <w:bottom w:w="0" w:type="dxa"/>
                    <w:right w:w="0" w:type="dxa"/>
                  </w:tcMar>
                  <w:vAlign w:val="center"/>
                </w:tcPr>
                <w:p w14:paraId="69E5AA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91" w:type="pct"/>
                  <w:shd w:val="clear" w:color="auto" w:fill="FFFFFF"/>
                  <w:tcMar>
                    <w:top w:w="0" w:type="dxa"/>
                    <w:left w:w="0" w:type="dxa"/>
                    <w:bottom w:w="0" w:type="dxa"/>
                    <w:right w:w="0" w:type="dxa"/>
                  </w:tcMar>
                  <w:vAlign w:val="center"/>
                </w:tcPr>
                <w:p w14:paraId="69F9BD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c>
                <w:tcPr>
                  <w:tcW w:w="166" w:type="pct"/>
                  <w:vMerge w:val="continue"/>
                  <w:shd w:val="clear" w:color="auto" w:fill="FFFFFF"/>
                  <w:tcMar>
                    <w:top w:w="0" w:type="dxa"/>
                    <w:left w:w="0" w:type="dxa"/>
                    <w:bottom w:w="0" w:type="dxa"/>
                    <w:right w:w="0" w:type="dxa"/>
                  </w:tcMar>
                  <w:vAlign w:val="center"/>
                </w:tcPr>
                <w:p w14:paraId="02EF40C9">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124DF7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44AF1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11771A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49170B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3E5CF6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689721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39.4</w:t>
                  </w:r>
                </w:p>
              </w:tc>
              <w:tc>
                <w:tcPr>
                  <w:tcW w:w="195" w:type="pct"/>
                  <w:shd w:val="clear" w:color="auto" w:fill="FFFFFF"/>
                  <w:tcMar>
                    <w:top w:w="0" w:type="dxa"/>
                    <w:left w:w="0" w:type="dxa"/>
                    <w:bottom w:w="0" w:type="dxa"/>
                    <w:right w:w="0" w:type="dxa"/>
                  </w:tcMar>
                  <w:vAlign w:val="center"/>
                </w:tcPr>
                <w:p w14:paraId="695F1C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195" w:type="pct"/>
                  <w:shd w:val="clear" w:color="auto" w:fill="FFFFFF"/>
                  <w:tcMar>
                    <w:top w:w="0" w:type="dxa"/>
                    <w:left w:w="0" w:type="dxa"/>
                    <w:bottom w:w="0" w:type="dxa"/>
                    <w:right w:w="0" w:type="dxa"/>
                  </w:tcMar>
                  <w:vAlign w:val="center"/>
                </w:tcPr>
                <w:p w14:paraId="30F84C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270" w:type="pct"/>
                  <w:shd w:val="clear" w:color="auto" w:fill="FFFFFF"/>
                  <w:tcMar>
                    <w:top w:w="0" w:type="dxa"/>
                    <w:left w:w="0" w:type="dxa"/>
                    <w:bottom w:w="0" w:type="dxa"/>
                    <w:right w:w="0" w:type="dxa"/>
                  </w:tcMar>
                  <w:vAlign w:val="center"/>
                </w:tcPr>
                <w:p w14:paraId="77FFF4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239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129563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4" w:type="pct"/>
                  <w:shd w:val="clear" w:color="auto" w:fill="FFFFFF"/>
                  <w:tcMar>
                    <w:top w:w="0" w:type="dxa"/>
                    <w:left w:w="0" w:type="dxa"/>
                    <w:bottom w:w="0" w:type="dxa"/>
                    <w:right w:w="0" w:type="dxa"/>
                  </w:tcMar>
                  <w:vAlign w:val="center"/>
                </w:tcPr>
                <w:p w14:paraId="21C278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乳化剂水搅拌罐</w:t>
                  </w:r>
                </w:p>
              </w:tc>
              <w:tc>
                <w:tcPr>
                  <w:tcW w:w="246" w:type="pct"/>
                  <w:shd w:val="clear" w:color="auto" w:fill="FFFFFF"/>
                  <w:tcMar>
                    <w:top w:w="0" w:type="dxa"/>
                    <w:left w:w="0" w:type="dxa"/>
                    <w:bottom w:w="0" w:type="dxa"/>
                    <w:right w:w="0" w:type="dxa"/>
                  </w:tcMar>
                  <w:vAlign w:val="center"/>
                </w:tcPr>
                <w:p w14:paraId="33A527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continue"/>
                  <w:shd w:val="clear" w:color="auto" w:fill="FFFFFF"/>
                  <w:tcMar>
                    <w:top w:w="0" w:type="dxa"/>
                    <w:left w:w="0" w:type="dxa"/>
                    <w:bottom w:w="0" w:type="dxa"/>
                    <w:right w:w="0" w:type="dxa"/>
                  </w:tcMar>
                  <w:vAlign w:val="center"/>
                </w:tcPr>
                <w:p w14:paraId="3BC87CC7">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06DCC7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-61.4</w:t>
                  </w:r>
                </w:p>
              </w:tc>
              <w:tc>
                <w:tcPr>
                  <w:tcW w:w="231" w:type="pct"/>
                  <w:shd w:val="clear" w:color="auto" w:fill="FFFFFF"/>
                  <w:tcMar>
                    <w:top w:w="0" w:type="dxa"/>
                    <w:left w:w="0" w:type="dxa"/>
                    <w:bottom w:w="0" w:type="dxa"/>
                    <w:right w:w="0" w:type="dxa"/>
                  </w:tcMar>
                  <w:vAlign w:val="center"/>
                </w:tcPr>
                <w:p w14:paraId="4A578E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33" w:type="pct"/>
                  <w:shd w:val="clear" w:color="auto" w:fill="FFFFFF"/>
                  <w:tcMar>
                    <w:top w:w="0" w:type="dxa"/>
                    <w:left w:w="0" w:type="dxa"/>
                    <w:bottom w:w="0" w:type="dxa"/>
                    <w:right w:w="0" w:type="dxa"/>
                  </w:tcMar>
                  <w:vAlign w:val="center"/>
                </w:tcPr>
                <w:p w14:paraId="1190DD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2C5C02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w:t>
                  </w:r>
                </w:p>
              </w:tc>
              <w:tc>
                <w:tcPr>
                  <w:tcW w:w="191" w:type="pct"/>
                  <w:shd w:val="clear" w:color="auto" w:fill="FFFFFF"/>
                  <w:tcMar>
                    <w:top w:w="0" w:type="dxa"/>
                    <w:left w:w="0" w:type="dxa"/>
                    <w:bottom w:w="0" w:type="dxa"/>
                    <w:right w:w="0" w:type="dxa"/>
                  </w:tcMar>
                  <w:vAlign w:val="center"/>
                </w:tcPr>
                <w:p w14:paraId="77D3BF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w:t>
                  </w:r>
                </w:p>
              </w:tc>
              <w:tc>
                <w:tcPr>
                  <w:tcW w:w="191" w:type="pct"/>
                  <w:shd w:val="clear" w:color="auto" w:fill="FFFFFF"/>
                  <w:tcMar>
                    <w:top w:w="0" w:type="dxa"/>
                    <w:left w:w="0" w:type="dxa"/>
                    <w:bottom w:w="0" w:type="dxa"/>
                    <w:right w:w="0" w:type="dxa"/>
                  </w:tcMar>
                  <w:vAlign w:val="center"/>
                </w:tcPr>
                <w:p w14:paraId="0FC6BB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w:t>
                  </w:r>
                </w:p>
              </w:tc>
              <w:tc>
                <w:tcPr>
                  <w:tcW w:w="195" w:type="pct"/>
                  <w:shd w:val="clear" w:color="auto" w:fill="FFFFFF"/>
                  <w:tcMar>
                    <w:top w:w="0" w:type="dxa"/>
                    <w:left w:w="0" w:type="dxa"/>
                    <w:bottom w:w="0" w:type="dxa"/>
                    <w:right w:w="0" w:type="dxa"/>
                  </w:tcMar>
                  <w:vAlign w:val="center"/>
                </w:tcPr>
                <w:p w14:paraId="261817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38.0</w:t>
                  </w:r>
                </w:p>
              </w:tc>
              <w:tc>
                <w:tcPr>
                  <w:tcW w:w="189" w:type="pct"/>
                  <w:shd w:val="clear" w:color="auto" w:fill="FFFFFF"/>
                  <w:tcMar>
                    <w:top w:w="0" w:type="dxa"/>
                    <w:left w:w="0" w:type="dxa"/>
                    <w:bottom w:w="0" w:type="dxa"/>
                    <w:right w:w="0" w:type="dxa"/>
                  </w:tcMar>
                  <w:vAlign w:val="center"/>
                </w:tcPr>
                <w:p w14:paraId="594D0D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161F18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348C21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c>
                <w:tcPr>
                  <w:tcW w:w="191" w:type="pct"/>
                  <w:shd w:val="clear" w:color="auto" w:fill="FFFFFF"/>
                  <w:tcMar>
                    <w:top w:w="0" w:type="dxa"/>
                    <w:left w:w="0" w:type="dxa"/>
                    <w:bottom w:w="0" w:type="dxa"/>
                    <w:right w:w="0" w:type="dxa"/>
                  </w:tcMar>
                  <w:vAlign w:val="center"/>
                </w:tcPr>
                <w:p w14:paraId="24B869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6" w:type="pct"/>
                  <w:vMerge w:val="continue"/>
                  <w:shd w:val="clear" w:color="auto" w:fill="FFFFFF"/>
                  <w:tcMar>
                    <w:top w:w="0" w:type="dxa"/>
                    <w:left w:w="0" w:type="dxa"/>
                    <w:bottom w:w="0" w:type="dxa"/>
                    <w:right w:w="0" w:type="dxa"/>
                  </w:tcMar>
                  <w:vAlign w:val="center"/>
                </w:tcPr>
                <w:p w14:paraId="7AD4FFFD">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50BB60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30D9D3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199D7C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6586E6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58256E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46A2A6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69A4CC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34.3</w:t>
                  </w:r>
                </w:p>
              </w:tc>
              <w:tc>
                <w:tcPr>
                  <w:tcW w:w="195" w:type="pct"/>
                  <w:shd w:val="clear" w:color="auto" w:fill="FFFFFF"/>
                  <w:tcMar>
                    <w:top w:w="0" w:type="dxa"/>
                    <w:left w:w="0" w:type="dxa"/>
                    <w:bottom w:w="0" w:type="dxa"/>
                    <w:right w:w="0" w:type="dxa"/>
                  </w:tcMar>
                  <w:vAlign w:val="center"/>
                </w:tcPr>
                <w:p w14:paraId="51C455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0" w:type="pct"/>
                  <w:shd w:val="clear" w:color="auto" w:fill="FFFFFF"/>
                  <w:tcMar>
                    <w:top w:w="0" w:type="dxa"/>
                    <w:left w:w="0" w:type="dxa"/>
                    <w:bottom w:w="0" w:type="dxa"/>
                    <w:right w:w="0" w:type="dxa"/>
                  </w:tcMar>
                  <w:vAlign w:val="center"/>
                </w:tcPr>
                <w:p w14:paraId="4F6BCD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997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00E782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14" w:type="pct"/>
                  <w:shd w:val="clear" w:color="auto" w:fill="FFFFFF"/>
                  <w:tcMar>
                    <w:top w:w="0" w:type="dxa"/>
                    <w:left w:w="0" w:type="dxa"/>
                    <w:bottom w:w="0" w:type="dxa"/>
                    <w:right w:w="0" w:type="dxa"/>
                  </w:tcMar>
                  <w:vAlign w:val="center"/>
                </w:tcPr>
                <w:p w14:paraId="51248B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胶体磨</w:t>
                  </w:r>
                </w:p>
              </w:tc>
              <w:tc>
                <w:tcPr>
                  <w:tcW w:w="246" w:type="pct"/>
                  <w:shd w:val="clear" w:color="auto" w:fill="FFFFFF"/>
                  <w:tcMar>
                    <w:top w:w="0" w:type="dxa"/>
                    <w:left w:w="0" w:type="dxa"/>
                    <w:bottom w:w="0" w:type="dxa"/>
                    <w:right w:w="0" w:type="dxa"/>
                  </w:tcMar>
                  <w:vAlign w:val="center"/>
                </w:tcPr>
                <w:p w14:paraId="3EF518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continue"/>
                  <w:shd w:val="clear" w:color="auto" w:fill="FFFFFF"/>
                  <w:tcMar>
                    <w:top w:w="0" w:type="dxa"/>
                    <w:left w:w="0" w:type="dxa"/>
                    <w:bottom w:w="0" w:type="dxa"/>
                    <w:right w:w="0" w:type="dxa"/>
                  </w:tcMar>
                  <w:vAlign w:val="center"/>
                </w:tcPr>
                <w:p w14:paraId="38381916">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4A590C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-62.7</w:t>
                  </w:r>
                </w:p>
              </w:tc>
              <w:tc>
                <w:tcPr>
                  <w:tcW w:w="231" w:type="pct"/>
                  <w:shd w:val="clear" w:color="auto" w:fill="FFFFFF"/>
                  <w:tcMar>
                    <w:top w:w="0" w:type="dxa"/>
                    <w:left w:w="0" w:type="dxa"/>
                    <w:bottom w:w="0" w:type="dxa"/>
                    <w:right w:w="0" w:type="dxa"/>
                  </w:tcMar>
                  <w:vAlign w:val="center"/>
                </w:tcPr>
                <w:p w14:paraId="1663D3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233" w:type="pct"/>
                  <w:shd w:val="clear" w:color="auto" w:fill="FFFFFF"/>
                  <w:tcMar>
                    <w:top w:w="0" w:type="dxa"/>
                    <w:left w:w="0" w:type="dxa"/>
                    <w:bottom w:w="0" w:type="dxa"/>
                    <w:right w:w="0" w:type="dxa"/>
                  </w:tcMar>
                  <w:vAlign w:val="center"/>
                </w:tcPr>
                <w:p w14:paraId="117010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6A9D1F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w:t>
                  </w:r>
                </w:p>
              </w:tc>
              <w:tc>
                <w:tcPr>
                  <w:tcW w:w="191" w:type="pct"/>
                  <w:shd w:val="clear" w:color="auto" w:fill="FFFFFF"/>
                  <w:tcMar>
                    <w:top w:w="0" w:type="dxa"/>
                    <w:left w:w="0" w:type="dxa"/>
                    <w:bottom w:w="0" w:type="dxa"/>
                    <w:right w:w="0" w:type="dxa"/>
                  </w:tcMar>
                  <w:vAlign w:val="center"/>
                </w:tcPr>
                <w:p w14:paraId="58B72D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18.8</w:t>
                  </w:r>
                </w:p>
              </w:tc>
              <w:tc>
                <w:tcPr>
                  <w:tcW w:w="191" w:type="pct"/>
                  <w:shd w:val="clear" w:color="auto" w:fill="FFFFFF"/>
                  <w:tcMar>
                    <w:top w:w="0" w:type="dxa"/>
                    <w:left w:w="0" w:type="dxa"/>
                    <w:bottom w:w="0" w:type="dxa"/>
                    <w:right w:w="0" w:type="dxa"/>
                  </w:tcMar>
                  <w:vAlign w:val="center"/>
                </w:tcPr>
                <w:p w14:paraId="45C4AE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195" w:type="pct"/>
                  <w:shd w:val="clear" w:color="auto" w:fill="FFFFFF"/>
                  <w:tcMar>
                    <w:top w:w="0" w:type="dxa"/>
                    <w:left w:w="0" w:type="dxa"/>
                    <w:bottom w:w="0" w:type="dxa"/>
                    <w:right w:w="0" w:type="dxa"/>
                  </w:tcMar>
                  <w:vAlign w:val="center"/>
                </w:tcPr>
                <w:p w14:paraId="1B15F4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41.2</w:t>
                  </w:r>
                </w:p>
              </w:tc>
              <w:tc>
                <w:tcPr>
                  <w:tcW w:w="189" w:type="pct"/>
                  <w:shd w:val="clear" w:color="auto" w:fill="FFFFFF"/>
                  <w:tcMar>
                    <w:top w:w="0" w:type="dxa"/>
                    <w:left w:w="0" w:type="dxa"/>
                    <w:bottom w:w="0" w:type="dxa"/>
                    <w:right w:w="0" w:type="dxa"/>
                  </w:tcMar>
                  <w:vAlign w:val="center"/>
                </w:tcPr>
                <w:p w14:paraId="0FDD84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5C9EE1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89" w:type="pct"/>
                  <w:shd w:val="clear" w:color="auto" w:fill="FFFFFF"/>
                  <w:tcMar>
                    <w:top w:w="0" w:type="dxa"/>
                    <w:left w:w="0" w:type="dxa"/>
                    <w:bottom w:w="0" w:type="dxa"/>
                    <w:right w:w="0" w:type="dxa"/>
                  </w:tcMar>
                  <w:vAlign w:val="center"/>
                </w:tcPr>
                <w:p w14:paraId="206844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60.4</w:t>
                  </w:r>
                </w:p>
              </w:tc>
              <w:tc>
                <w:tcPr>
                  <w:tcW w:w="191" w:type="pct"/>
                  <w:shd w:val="clear" w:color="auto" w:fill="FFFFFF"/>
                  <w:tcMar>
                    <w:top w:w="0" w:type="dxa"/>
                    <w:left w:w="0" w:type="dxa"/>
                    <w:bottom w:w="0" w:type="dxa"/>
                    <w:right w:w="0" w:type="dxa"/>
                  </w:tcMar>
                  <w:vAlign w:val="center"/>
                </w:tcPr>
                <w:p w14:paraId="2D5FC4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6" w:type="pct"/>
                  <w:vMerge w:val="continue"/>
                  <w:shd w:val="clear" w:color="auto" w:fill="FFFFFF"/>
                  <w:tcMar>
                    <w:top w:w="0" w:type="dxa"/>
                    <w:left w:w="0" w:type="dxa"/>
                    <w:bottom w:w="0" w:type="dxa"/>
                    <w:right w:w="0" w:type="dxa"/>
                  </w:tcMar>
                  <w:vAlign w:val="center"/>
                </w:tcPr>
                <w:p w14:paraId="59CCF4C1">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49F6DB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5A6381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2395B5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5D3801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594575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10394A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195" w:type="pct"/>
                  <w:shd w:val="clear" w:color="auto" w:fill="FFFFFF"/>
                  <w:tcMar>
                    <w:top w:w="0" w:type="dxa"/>
                    <w:left w:w="0" w:type="dxa"/>
                    <w:bottom w:w="0" w:type="dxa"/>
                    <w:right w:w="0" w:type="dxa"/>
                  </w:tcMar>
                  <w:vAlign w:val="center"/>
                </w:tcPr>
                <w:p w14:paraId="5C2BC5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w:t>
                  </w:r>
                </w:p>
              </w:tc>
              <w:tc>
                <w:tcPr>
                  <w:tcW w:w="195" w:type="pct"/>
                  <w:shd w:val="clear" w:color="auto" w:fill="FFFFFF"/>
                  <w:tcMar>
                    <w:top w:w="0" w:type="dxa"/>
                    <w:left w:w="0" w:type="dxa"/>
                    <w:bottom w:w="0" w:type="dxa"/>
                    <w:right w:w="0" w:type="dxa"/>
                  </w:tcMar>
                  <w:vAlign w:val="center"/>
                </w:tcPr>
                <w:p w14:paraId="3B2E5B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0" w:type="pct"/>
                  <w:shd w:val="clear" w:color="auto" w:fill="FFFFFF"/>
                  <w:tcMar>
                    <w:top w:w="0" w:type="dxa"/>
                    <w:left w:w="0" w:type="dxa"/>
                    <w:bottom w:w="0" w:type="dxa"/>
                    <w:right w:w="0" w:type="dxa"/>
                  </w:tcMar>
                  <w:vAlign w:val="center"/>
                </w:tcPr>
                <w:p w14:paraId="49D78F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FBA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31ADF7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14" w:type="pct"/>
                  <w:shd w:val="clear" w:color="auto" w:fill="FFFFFF"/>
                  <w:tcMar>
                    <w:top w:w="0" w:type="dxa"/>
                    <w:left w:w="0" w:type="dxa"/>
                    <w:bottom w:w="0" w:type="dxa"/>
                    <w:right w:w="0" w:type="dxa"/>
                  </w:tcMar>
                  <w:vAlign w:val="center"/>
                </w:tcPr>
                <w:p w14:paraId="34187D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DA001风机</w:t>
                  </w:r>
                </w:p>
              </w:tc>
              <w:tc>
                <w:tcPr>
                  <w:tcW w:w="246" w:type="pct"/>
                  <w:shd w:val="clear" w:color="auto" w:fill="FFFFFF"/>
                  <w:tcMar>
                    <w:top w:w="0" w:type="dxa"/>
                    <w:left w:w="0" w:type="dxa"/>
                    <w:bottom w:w="0" w:type="dxa"/>
                    <w:right w:w="0" w:type="dxa"/>
                  </w:tcMar>
                  <w:vAlign w:val="center"/>
                </w:tcPr>
                <w:p w14:paraId="180CFA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210" w:type="pct"/>
                  <w:vMerge w:val="continue"/>
                  <w:shd w:val="clear" w:color="auto" w:fill="FFFFFF"/>
                  <w:tcMar>
                    <w:top w:w="0" w:type="dxa"/>
                    <w:left w:w="0" w:type="dxa"/>
                    <w:bottom w:w="0" w:type="dxa"/>
                    <w:right w:w="0" w:type="dxa"/>
                  </w:tcMar>
                  <w:vAlign w:val="center"/>
                </w:tcPr>
                <w:p w14:paraId="4BF2D5CA">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78312F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w:t>
                  </w:r>
                </w:p>
              </w:tc>
              <w:tc>
                <w:tcPr>
                  <w:tcW w:w="231" w:type="pct"/>
                  <w:shd w:val="clear" w:color="auto" w:fill="FFFFFF"/>
                  <w:tcMar>
                    <w:top w:w="0" w:type="dxa"/>
                    <w:left w:w="0" w:type="dxa"/>
                    <w:bottom w:w="0" w:type="dxa"/>
                    <w:right w:w="0" w:type="dxa"/>
                  </w:tcMar>
                  <w:vAlign w:val="center"/>
                </w:tcPr>
                <w:p w14:paraId="559A24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233" w:type="pct"/>
                  <w:shd w:val="clear" w:color="auto" w:fill="FFFFFF"/>
                  <w:tcMar>
                    <w:top w:w="0" w:type="dxa"/>
                    <w:left w:w="0" w:type="dxa"/>
                    <w:bottom w:w="0" w:type="dxa"/>
                    <w:right w:w="0" w:type="dxa"/>
                  </w:tcMar>
                  <w:vAlign w:val="center"/>
                </w:tcPr>
                <w:p w14:paraId="50C276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1E51F5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91" w:type="pct"/>
                  <w:shd w:val="clear" w:color="auto" w:fill="FFFFFF"/>
                  <w:tcMar>
                    <w:top w:w="0" w:type="dxa"/>
                    <w:left w:w="0" w:type="dxa"/>
                    <w:bottom w:w="0" w:type="dxa"/>
                    <w:right w:w="0" w:type="dxa"/>
                  </w:tcMar>
                  <w:vAlign w:val="center"/>
                </w:tcPr>
                <w:p w14:paraId="113536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29.5</w:t>
                  </w:r>
                </w:p>
              </w:tc>
              <w:tc>
                <w:tcPr>
                  <w:tcW w:w="191" w:type="pct"/>
                  <w:shd w:val="clear" w:color="auto" w:fill="FFFFFF"/>
                  <w:tcMar>
                    <w:top w:w="0" w:type="dxa"/>
                    <w:left w:w="0" w:type="dxa"/>
                    <w:bottom w:w="0" w:type="dxa"/>
                    <w:right w:w="0" w:type="dxa"/>
                  </w:tcMar>
                  <w:vAlign w:val="center"/>
                </w:tcPr>
                <w:p w14:paraId="4E80EB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95" w:type="pct"/>
                  <w:shd w:val="clear" w:color="auto" w:fill="FFFFFF"/>
                  <w:tcMar>
                    <w:top w:w="0" w:type="dxa"/>
                    <w:left w:w="0" w:type="dxa"/>
                    <w:bottom w:w="0" w:type="dxa"/>
                    <w:right w:w="0" w:type="dxa"/>
                  </w:tcMar>
                  <w:vAlign w:val="center"/>
                </w:tcPr>
                <w:p w14:paraId="4F750D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30.5</w:t>
                  </w:r>
                </w:p>
              </w:tc>
              <w:tc>
                <w:tcPr>
                  <w:tcW w:w="189" w:type="pct"/>
                  <w:shd w:val="clear" w:color="auto" w:fill="FFFFFF"/>
                  <w:tcMar>
                    <w:top w:w="0" w:type="dxa"/>
                    <w:left w:w="0" w:type="dxa"/>
                    <w:bottom w:w="0" w:type="dxa"/>
                    <w:right w:w="0" w:type="dxa"/>
                  </w:tcMar>
                  <w:vAlign w:val="center"/>
                </w:tcPr>
                <w:p w14:paraId="45094B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89" w:type="pct"/>
                  <w:shd w:val="clear" w:color="auto" w:fill="FFFFFF"/>
                  <w:tcMar>
                    <w:top w:w="0" w:type="dxa"/>
                    <w:left w:w="0" w:type="dxa"/>
                    <w:bottom w:w="0" w:type="dxa"/>
                    <w:right w:w="0" w:type="dxa"/>
                  </w:tcMar>
                  <w:vAlign w:val="center"/>
                </w:tcPr>
                <w:p w14:paraId="21883B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89" w:type="pct"/>
                  <w:shd w:val="clear" w:color="auto" w:fill="FFFFFF"/>
                  <w:tcMar>
                    <w:top w:w="0" w:type="dxa"/>
                    <w:left w:w="0" w:type="dxa"/>
                    <w:bottom w:w="0" w:type="dxa"/>
                    <w:right w:w="0" w:type="dxa"/>
                  </w:tcMar>
                  <w:vAlign w:val="center"/>
                </w:tcPr>
                <w:p w14:paraId="57D876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91" w:type="pct"/>
                  <w:shd w:val="clear" w:color="auto" w:fill="FFFFFF"/>
                  <w:tcMar>
                    <w:top w:w="0" w:type="dxa"/>
                    <w:left w:w="0" w:type="dxa"/>
                    <w:bottom w:w="0" w:type="dxa"/>
                    <w:right w:w="0" w:type="dxa"/>
                  </w:tcMar>
                  <w:vAlign w:val="center"/>
                </w:tcPr>
                <w:p w14:paraId="29EC54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c>
                <w:tcPr>
                  <w:tcW w:w="166" w:type="pct"/>
                  <w:vMerge w:val="continue"/>
                  <w:shd w:val="clear" w:color="auto" w:fill="FFFFFF"/>
                  <w:tcMar>
                    <w:top w:w="0" w:type="dxa"/>
                    <w:left w:w="0" w:type="dxa"/>
                    <w:bottom w:w="0" w:type="dxa"/>
                    <w:right w:w="0" w:type="dxa"/>
                  </w:tcMar>
                  <w:vAlign w:val="center"/>
                </w:tcPr>
                <w:p w14:paraId="6AC420FA">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7AD7FA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7C02A6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77B9D2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5959E8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20D3B1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5AF199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627E9A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195" w:type="pct"/>
                  <w:shd w:val="clear" w:color="auto" w:fill="FFFFFF"/>
                  <w:tcMar>
                    <w:top w:w="0" w:type="dxa"/>
                    <w:left w:w="0" w:type="dxa"/>
                    <w:bottom w:w="0" w:type="dxa"/>
                    <w:right w:w="0" w:type="dxa"/>
                  </w:tcMar>
                  <w:vAlign w:val="center"/>
                </w:tcPr>
                <w:p w14:paraId="17F911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270" w:type="pct"/>
                  <w:shd w:val="clear" w:color="auto" w:fill="FFFFFF"/>
                  <w:tcMar>
                    <w:top w:w="0" w:type="dxa"/>
                    <w:left w:w="0" w:type="dxa"/>
                    <w:bottom w:w="0" w:type="dxa"/>
                    <w:right w:w="0" w:type="dxa"/>
                  </w:tcMar>
                  <w:vAlign w:val="center"/>
                </w:tcPr>
                <w:p w14:paraId="28937A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C7C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45" w:type="pct"/>
                  <w:shd w:val="clear" w:color="auto" w:fill="FFFFFF"/>
                  <w:tcMar>
                    <w:top w:w="0" w:type="dxa"/>
                    <w:left w:w="0" w:type="dxa"/>
                    <w:bottom w:w="0" w:type="dxa"/>
                    <w:right w:w="0" w:type="dxa"/>
                  </w:tcMar>
                  <w:vAlign w:val="center"/>
                </w:tcPr>
                <w:p w14:paraId="6A6FFE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14" w:type="pct"/>
                  <w:shd w:val="clear" w:color="auto" w:fill="FFFFFF"/>
                  <w:tcMar>
                    <w:top w:w="0" w:type="dxa"/>
                    <w:left w:w="0" w:type="dxa"/>
                    <w:bottom w:w="0" w:type="dxa"/>
                    <w:right w:w="0" w:type="dxa"/>
                  </w:tcMar>
                  <w:vAlign w:val="center"/>
                </w:tcPr>
                <w:p w14:paraId="14C2FD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DA002风机</w:t>
                  </w:r>
                </w:p>
              </w:tc>
              <w:tc>
                <w:tcPr>
                  <w:tcW w:w="246" w:type="pct"/>
                  <w:shd w:val="clear" w:color="auto" w:fill="FFFFFF"/>
                  <w:tcMar>
                    <w:top w:w="0" w:type="dxa"/>
                    <w:left w:w="0" w:type="dxa"/>
                    <w:bottom w:w="0" w:type="dxa"/>
                    <w:right w:w="0" w:type="dxa"/>
                  </w:tcMar>
                  <w:vAlign w:val="center"/>
                </w:tcPr>
                <w:p w14:paraId="106416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210" w:type="pct"/>
                  <w:vMerge w:val="continue"/>
                  <w:shd w:val="clear" w:color="auto" w:fill="FFFFFF"/>
                  <w:tcMar>
                    <w:top w:w="0" w:type="dxa"/>
                    <w:left w:w="0" w:type="dxa"/>
                    <w:bottom w:w="0" w:type="dxa"/>
                    <w:right w:w="0" w:type="dxa"/>
                  </w:tcMar>
                  <w:vAlign w:val="center"/>
                </w:tcPr>
                <w:p w14:paraId="779CB92E">
                  <w:pPr>
                    <w:jc w:val="center"/>
                    <w:rPr>
                      <w:rFonts w:hint="default" w:ascii="Times New Roman" w:hAnsi="Times New Roman" w:eastAsia="宋体" w:cs="Times New Roman"/>
                      <w:color w:val="auto"/>
                      <w:sz w:val="21"/>
                      <w:szCs w:val="21"/>
                    </w:rPr>
                  </w:pPr>
                </w:p>
              </w:tc>
              <w:tc>
                <w:tcPr>
                  <w:tcW w:w="231" w:type="pct"/>
                  <w:shd w:val="clear" w:color="auto" w:fill="FFFFFF"/>
                  <w:tcMar>
                    <w:top w:w="0" w:type="dxa"/>
                    <w:left w:w="0" w:type="dxa"/>
                    <w:bottom w:w="0" w:type="dxa"/>
                    <w:right w:w="0" w:type="dxa"/>
                  </w:tcMar>
                  <w:vAlign w:val="center"/>
                </w:tcPr>
                <w:p w14:paraId="517398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-63.3</w:t>
                  </w:r>
                </w:p>
              </w:tc>
              <w:tc>
                <w:tcPr>
                  <w:tcW w:w="231" w:type="pct"/>
                  <w:shd w:val="clear" w:color="auto" w:fill="FFFFFF"/>
                  <w:tcMar>
                    <w:top w:w="0" w:type="dxa"/>
                    <w:left w:w="0" w:type="dxa"/>
                    <w:bottom w:w="0" w:type="dxa"/>
                    <w:right w:w="0" w:type="dxa"/>
                  </w:tcMar>
                  <w:vAlign w:val="center"/>
                </w:tcPr>
                <w:p w14:paraId="184F05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w:t>
                  </w:r>
                </w:p>
              </w:tc>
              <w:tc>
                <w:tcPr>
                  <w:tcW w:w="233" w:type="pct"/>
                  <w:shd w:val="clear" w:color="auto" w:fill="FFFFFF"/>
                  <w:tcMar>
                    <w:top w:w="0" w:type="dxa"/>
                    <w:left w:w="0" w:type="dxa"/>
                    <w:bottom w:w="0" w:type="dxa"/>
                    <w:right w:w="0" w:type="dxa"/>
                  </w:tcMar>
                  <w:vAlign w:val="center"/>
                </w:tcPr>
                <w:p w14:paraId="4B32D9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1" w:type="pct"/>
                  <w:shd w:val="clear" w:color="auto" w:fill="FFFFFF"/>
                  <w:tcMar>
                    <w:top w:w="0" w:type="dxa"/>
                    <w:left w:w="0" w:type="dxa"/>
                    <w:bottom w:w="0" w:type="dxa"/>
                    <w:right w:w="0" w:type="dxa"/>
                  </w:tcMar>
                  <w:vAlign w:val="center"/>
                </w:tcPr>
                <w:p w14:paraId="2F1175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31.0</w:t>
                  </w:r>
                </w:p>
              </w:tc>
              <w:tc>
                <w:tcPr>
                  <w:tcW w:w="191" w:type="pct"/>
                  <w:shd w:val="clear" w:color="auto" w:fill="FFFFFF"/>
                  <w:tcMar>
                    <w:top w:w="0" w:type="dxa"/>
                    <w:left w:w="0" w:type="dxa"/>
                    <w:bottom w:w="0" w:type="dxa"/>
                    <w:right w:w="0" w:type="dxa"/>
                  </w:tcMar>
                  <w:vAlign w:val="center"/>
                </w:tcPr>
                <w:p w14:paraId="04CFEE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191" w:type="pct"/>
                  <w:shd w:val="clear" w:color="auto" w:fill="FFFFFF"/>
                  <w:tcMar>
                    <w:top w:w="0" w:type="dxa"/>
                    <w:left w:w="0" w:type="dxa"/>
                    <w:bottom w:w="0" w:type="dxa"/>
                    <w:right w:w="0" w:type="dxa"/>
                  </w:tcMar>
                  <w:vAlign w:val="center"/>
                </w:tcPr>
                <w:p w14:paraId="38B120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95" w:type="pct"/>
                  <w:shd w:val="clear" w:color="auto" w:fill="FFFFFF"/>
                  <w:tcMar>
                    <w:top w:w="0" w:type="dxa"/>
                    <w:left w:w="0" w:type="dxa"/>
                    <w:bottom w:w="0" w:type="dxa"/>
                    <w:right w:w="0" w:type="dxa"/>
                  </w:tcMar>
                  <w:vAlign w:val="center"/>
                </w:tcPr>
                <w:p w14:paraId="1C846F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w:t>
                  </w:r>
                </w:p>
              </w:tc>
              <w:tc>
                <w:tcPr>
                  <w:tcW w:w="189" w:type="pct"/>
                  <w:shd w:val="clear" w:color="auto" w:fill="FFFFFF"/>
                  <w:tcMar>
                    <w:top w:w="0" w:type="dxa"/>
                    <w:left w:w="0" w:type="dxa"/>
                    <w:bottom w:w="0" w:type="dxa"/>
                    <w:right w:w="0" w:type="dxa"/>
                  </w:tcMar>
                  <w:vAlign w:val="center"/>
                </w:tcPr>
                <w:p w14:paraId="34C45F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70.2</w:t>
                  </w:r>
                </w:p>
              </w:tc>
              <w:tc>
                <w:tcPr>
                  <w:tcW w:w="189" w:type="pct"/>
                  <w:shd w:val="clear" w:color="auto" w:fill="FFFFFF"/>
                  <w:tcMar>
                    <w:top w:w="0" w:type="dxa"/>
                    <w:left w:w="0" w:type="dxa"/>
                    <w:bottom w:w="0" w:type="dxa"/>
                    <w:right w:w="0" w:type="dxa"/>
                  </w:tcMar>
                  <w:vAlign w:val="center"/>
                </w:tcPr>
                <w:p w14:paraId="2C5438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70.2</w:t>
                  </w:r>
                </w:p>
              </w:tc>
              <w:tc>
                <w:tcPr>
                  <w:tcW w:w="189" w:type="pct"/>
                  <w:shd w:val="clear" w:color="auto" w:fill="FFFFFF"/>
                  <w:tcMar>
                    <w:top w:w="0" w:type="dxa"/>
                    <w:left w:w="0" w:type="dxa"/>
                    <w:bottom w:w="0" w:type="dxa"/>
                    <w:right w:w="0" w:type="dxa"/>
                  </w:tcMar>
                  <w:vAlign w:val="center"/>
                </w:tcPr>
                <w:p w14:paraId="7A7F6F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70.6</w:t>
                  </w:r>
                </w:p>
              </w:tc>
              <w:tc>
                <w:tcPr>
                  <w:tcW w:w="191" w:type="pct"/>
                  <w:shd w:val="clear" w:color="auto" w:fill="FFFFFF"/>
                  <w:tcMar>
                    <w:top w:w="0" w:type="dxa"/>
                    <w:left w:w="0" w:type="dxa"/>
                    <w:bottom w:w="0" w:type="dxa"/>
                    <w:right w:w="0" w:type="dxa"/>
                  </w:tcMar>
                  <w:vAlign w:val="center"/>
                </w:tcPr>
                <w:p w14:paraId="2E61FB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70.2</w:t>
                  </w:r>
                </w:p>
              </w:tc>
              <w:tc>
                <w:tcPr>
                  <w:tcW w:w="166" w:type="pct"/>
                  <w:vMerge w:val="continue"/>
                  <w:shd w:val="clear" w:color="auto" w:fill="FFFFFF"/>
                  <w:tcMar>
                    <w:top w:w="0" w:type="dxa"/>
                    <w:left w:w="0" w:type="dxa"/>
                    <w:bottom w:w="0" w:type="dxa"/>
                    <w:right w:w="0" w:type="dxa"/>
                  </w:tcMar>
                  <w:vAlign w:val="center"/>
                </w:tcPr>
                <w:p w14:paraId="573826A5">
                  <w:pPr>
                    <w:jc w:val="center"/>
                    <w:rPr>
                      <w:rFonts w:hint="default" w:ascii="Times New Roman" w:hAnsi="Times New Roman" w:eastAsia="宋体" w:cs="Times New Roman"/>
                      <w:color w:val="auto"/>
                      <w:sz w:val="21"/>
                      <w:szCs w:val="21"/>
                    </w:rPr>
                  </w:pPr>
                </w:p>
              </w:tc>
              <w:tc>
                <w:tcPr>
                  <w:tcW w:w="182" w:type="pct"/>
                  <w:shd w:val="clear" w:color="auto" w:fill="FFFFFF"/>
                  <w:tcMar>
                    <w:top w:w="0" w:type="dxa"/>
                    <w:left w:w="0" w:type="dxa"/>
                    <w:bottom w:w="0" w:type="dxa"/>
                    <w:right w:w="0" w:type="dxa"/>
                  </w:tcMar>
                  <w:vAlign w:val="center"/>
                </w:tcPr>
                <w:p w14:paraId="35FA38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1C8F65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2" w:type="pct"/>
                  <w:shd w:val="clear" w:color="auto" w:fill="FFFFFF"/>
                  <w:tcMar>
                    <w:top w:w="0" w:type="dxa"/>
                    <w:left w:w="0" w:type="dxa"/>
                    <w:bottom w:w="0" w:type="dxa"/>
                    <w:right w:w="0" w:type="dxa"/>
                  </w:tcMar>
                  <w:vAlign w:val="center"/>
                </w:tcPr>
                <w:p w14:paraId="3038CD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5" w:type="pct"/>
                  <w:shd w:val="clear" w:color="auto" w:fill="FFFFFF"/>
                  <w:tcMar>
                    <w:top w:w="0" w:type="dxa"/>
                    <w:left w:w="0" w:type="dxa"/>
                    <w:bottom w:w="0" w:type="dxa"/>
                    <w:right w:w="0" w:type="dxa"/>
                  </w:tcMar>
                  <w:vAlign w:val="center"/>
                </w:tcPr>
                <w:p w14:paraId="3B6183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5" w:type="pct"/>
                  <w:shd w:val="clear" w:color="auto" w:fill="FFFFFF"/>
                  <w:tcMar>
                    <w:top w:w="0" w:type="dxa"/>
                    <w:left w:w="0" w:type="dxa"/>
                    <w:bottom w:w="0" w:type="dxa"/>
                    <w:right w:w="0" w:type="dxa"/>
                  </w:tcMar>
                  <w:vAlign w:val="center"/>
                </w:tcPr>
                <w:p w14:paraId="6554FA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195" w:type="pct"/>
                  <w:shd w:val="clear" w:color="auto" w:fill="FFFFFF"/>
                  <w:tcMar>
                    <w:top w:w="0" w:type="dxa"/>
                    <w:left w:w="0" w:type="dxa"/>
                    <w:bottom w:w="0" w:type="dxa"/>
                    <w:right w:w="0" w:type="dxa"/>
                  </w:tcMar>
                  <w:vAlign w:val="center"/>
                </w:tcPr>
                <w:p w14:paraId="6BCBD9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195" w:type="pct"/>
                  <w:shd w:val="clear" w:color="auto" w:fill="FFFFFF"/>
                  <w:tcMar>
                    <w:top w:w="0" w:type="dxa"/>
                    <w:left w:w="0" w:type="dxa"/>
                    <w:bottom w:w="0" w:type="dxa"/>
                    <w:right w:w="0" w:type="dxa"/>
                  </w:tcMar>
                  <w:vAlign w:val="center"/>
                </w:tcPr>
                <w:p w14:paraId="7F4687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44.6</w:t>
                  </w:r>
                </w:p>
              </w:tc>
              <w:tc>
                <w:tcPr>
                  <w:tcW w:w="195" w:type="pct"/>
                  <w:shd w:val="clear" w:color="auto" w:fill="FFFFFF"/>
                  <w:tcMar>
                    <w:top w:w="0" w:type="dxa"/>
                    <w:left w:w="0" w:type="dxa"/>
                    <w:bottom w:w="0" w:type="dxa"/>
                    <w:right w:w="0" w:type="dxa"/>
                  </w:tcMar>
                  <w:vAlign w:val="center"/>
                </w:tcPr>
                <w:p w14:paraId="501FF5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270" w:type="pct"/>
                  <w:shd w:val="clear" w:color="auto" w:fill="FFFFFF"/>
                  <w:tcMar>
                    <w:top w:w="0" w:type="dxa"/>
                    <w:left w:w="0" w:type="dxa"/>
                    <w:bottom w:w="0" w:type="dxa"/>
                    <w:right w:w="0" w:type="dxa"/>
                  </w:tcMar>
                  <w:vAlign w:val="center"/>
                </w:tcPr>
                <w:p w14:paraId="27DFA7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bookmarkEnd w:id="3"/>
          </w:tbl>
          <w:p w14:paraId="43954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表中坐标以厂界中心为坐标原点，正东向为X轴正方向，正北向为Y轴正方向</w:t>
            </w:r>
            <w:r>
              <w:rPr>
                <w:rFonts w:hint="eastAsia" w:cs="Times New Roman"/>
                <w:color w:val="auto"/>
                <w:kern w:val="0"/>
                <w:sz w:val="24"/>
                <w:szCs w:val="24"/>
                <w:highlight w:val="none"/>
                <w:lang w:val="en-US" w:eastAsia="zh-CN"/>
              </w:rPr>
              <w:t>。</w:t>
            </w:r>
          </w:p>
          <w:p w14:paraId="5A9DE50F">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0000FF"/>
                <w:sz w:val="24"/>
                <w:szCs w:val="24"/>
                <w:lang w:eastAsia="zh-CN"/>
              </w:rPr>
            </w:pPr>
            <w:r>
              <w:rPr>
                <w:rFonts w:hint="default" w:ascii="Times New Roman" w:hAnsi="Times New Roman" w:eastAsia="宋体" w:cs="Times New Roman"/>
                <w:b/>
                <w:color w:val="0000FF"/>
                <w:sz w:val="24"/>
                <w:szCs w:val="24"/>
                <w:highlight w:val="none"/>
                <w:lang w:val="en-US" w:eastAsia="zh-CN"/>
              </w:rPr>
              <w:t>厂界噪声预测达标</w:t>
            </w:r>
            <w:r>
              <w:rPr>
                <w:rFonts w:hint="eastAsia" w:cs="Times New Roman"/>
                <w:b/>
                <w:color w:val="0000FF"/>
                <w:sz w:val="24"/>
                <w:szCs w:val="24"/>
                <w:highlight w:val="none"/>
                <w:lang w:val="en-US" w:eastAsia="zh-CN"/>
              </w:rPr>
              <w:t>情况</w:t>
            </w:r>
            <w:r>
              <w:rPr>
                <w:rFonts w:hint="default" w:ascii="Times New Roman" w:hAnsi="Times New Roman" w:eastAsia="宋体" w:cs="Times New Roman"/>
                <w:b/>
                <w:color w:val="0000FF"/>
                <w:sz w:val="24"/>
                <w:szCs w:val="24"/>
                <w:highlight w:val="none"/>
                <w:lang w:val="en-US" w:eastAsia="zh-CN"/>
              </w:rPr>
              <w:t>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1379"/>
              <w:gridCol w:w="1379"/>
              <w:gridCol w:w="1388"/>
              <w:gridCol w:w="1708"/>
              <w:gridCol w:w="2436"/>
              <w:gridCol w:w="2439"/>
              <w:gridCol w:w="2042"/>
            </w:tblGrid>
            <w:tr w14:paraId="004A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14:paraId="737C0F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1413" w:type="pct"/>
                  <w:gridSpan w:val="3"/>
                  <w:vAlign w:val="center"/>
                </w:tcPr>
                <w:p w14:paraId="217164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582" w:type="pct"/>
                  <w:vMerge w:val="restart"/>
                  <w:vAlign w:val="center"/>
                </w:tcPr>
                <w:p w14:paraId="0C7543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830" w:type="pct"/>
                  <w:vMerge w:val="restart"/>
                  <w:vAlign w:val="center"/>
                </w:tcPr>
                <w:p w14:paraId="09F8E1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贡献值（dB(A)）</w:t>
                  </w:r>
                </w:p>
              </w:tc>
              <w:tc>
                <w:tcPr>
                  <w:tcW w:w="831" w:type="pct"/>
                  <w:vMerge w:val="restart"/>
                  <w:vAlign w:val="center"/>
                </w:tcPr>
                <w:p w14:paraId="49C317E4">
                  <w:pPr>
                    <w:jc w:val="center"/>
                    <w:rPr>
                      <w:rFonts w:hint="default" w:ascii="Times New Roman" w:hAnsi="Times New Roman" w:eastAsia="宋体" w:cs="Times New Roman"/>
                      <w:color w:val="auto"/>
                      <w:sz w:val="21"/>
                      <w:szCs w:val="21"/>
                    </w:rPr>
                  </w:pPr>
                  <w:r>
                    <w:rPr>
                      <w:rFonts w:hint="eastAsia" w:cs="Times New Roman"/>
                      <w:b/>
                      <w:color w:val="auto"/>
                      <w:sz w:val="21"/>
                      <w:szCs w:val="21"/>
                      <w:lang w:eastAsia="zh-CN"/>
                    </w:rPr>
                    <w:t>标准要求</w:t>
                  </w:r>
                  <w:r>
                    <w:rPr>
                      <w:rFonts w:hint="default" w:ascii="Times New Roman" w:hAnsi="Times New Roman" w:eastAsia="宋体" w:cs="Times New Roman"/>
                      <w:b/>
                      <w:color w:val="auto"/>
                      <w:sz w:val="21"/>
                      <w:szCs w:val="21"/>
                    </w:rPr>
                    <w:t>（dB(A)）</w:t>
                  </w:r>
                </w:p>
              </w:tc>
              <w:tc>
                <w:tcPr>
                  <w:tcW w:w="696" w:type="pct"/>
                  <w:vMerge w:val="restart"/>
                  <w:vAlign w:val="center"/>
                </w:tcPr>
                <w:p w14:paraId="643560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21F0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shd w:val="clear" w:color="auto" w:fill="FFFFFF"/>
                  <w:vAlign w:val="center"/>
                </w:tcPr>
                <w:p w14:paraId="54874B97">
                  <w:pPr>
                    <w:jc w:val="center"/>
                    <w:rPr>
                      <w:rFonts w:hint="default" w:ascii="Times New Roman" w:hAnsi="Times New Roman" w:eastAsia="宋体" w:cs="Times New Roman"/>
                      <w:color w:val="auto"/>
                      <w:sz w:val="21"/>
                      <w:szCs w:val="21"/>
                    </w:rPr>
                  </w:pPr>
                </w:p>
              </w:tc>
              <w:tc>
                <w:tcPr>
                  <w:tcW w:w="470" w:type="pct"/>
                  <w:shd w:val="clear" w:color="auto" w:fill="FFFFFF"/>
                  <w:vAlign w:val="center"/>
                </w:tcPr>
                <w:p w14:paraId="67A45C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470" w:type="pct"/>
                  <w:shd w:val="clear" w:color="auto" w:fill="FFFFFF"/>
                  <w:vAlign w:val="center"/>
                </w:tcPr>
                <w:p w14:paraId="34D01B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471" w:type="pct"/>
                  <w:shd w:val="clear" w:color="auto" w:fill="FFFFFF"/>
                  <w:vAlign w:val="center"/>
                </w:tcPr>
                <w:p w14:paraId="668A43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582" w:type="pct"/>
                  <w:vMerge w:val="continue"/>
                  <w:shd w:val="clear" w:color="auto" w:fill="FFFFFF"/>
                  <w:vAlign w:val="center"/>
                </w:tcPr>
                <w:p w14:paraId="4F2F5996">
                  <w:pPr>
                    <w:jc w:val="center"/>
                    <w:rPr>
                      <w:rFonts w:hint="default" w:ascii="Times New Roman" w:hAnsi="Times New Roman" w:eastAsia="宋体" w:cs="Times New Roman"/>
                      <w:color w:val="auto"/>
                      <w:sz w:val="21"/>
                      <w:szCs w:val="21"/>
                    </w:rPr>
                  </w:pPr>
                </w:p>
              </w:tc>
              <w:tc>
                <w:tcPr>
                  <w:tcW w:w="830" w:type="pct"/>
                  <w:vMerge w:val="continue"/>
                  <w:shd w:val="clear" w:color="auto" w:fill="FFFFFF"/>
                  <w:vAlign w:val="center"/>
                </w:tcPr>
                <w:p w14:paraId="4FEB7802">
                  <w:pPr>
                    <w:jc w:val="center"/>
                    <w:rPr>
                      <w:rFonts w:hint="default" w:ascii="Times New Roman" w:hAnsi="Times New Roman" w:eastAsia="宋体" w:cs="Times New Roman"/>
                      <w:color w:val="auto"/>
                      <w:sz w:val="21"/>
                      <w:szCs w:val="21"/>
                    </w:rPr>
                  </w:pPr>
                </w:p>
              </w:tc>
              <w:tc>
                <w:tcPr>
                  <w:tcW w:w="831" w:type="pct"/>
                  <w:vMerge w:val="continue"/>
                  <w:shd w:val="clear" w:color="auto" w:fill="FFFFFF"/>
                  <w:vAlign w:val="center"/>
                </w:tcPr>
                <w:p w14:paraId="6E3DFD69">
                  <w:pPr>
                    <w:jc w:val="center"/>
                    <w:rPr>
                      <w:rFonts w:hint="default" w:ascii="Times New Roman" w:hAnsi="Times New Roman" w:eastAsia="宋体" w:cs="Times New Roman"/>
                      <w:color w:val="auto"/>
                      <w:sz w:val="21"/>
                      <w:szCs w:val="21"/>
                    </w:rPr>
                  </w:pPr>
                </w:p>
              </w:tc>
              <w:tc>
                <w:tcPr>
                  <w:tcW w:w="696" w:type="pct"/>
                  <w:vMerge w:val="continue"/>
                  <w:shd w:val="clear" w:color="auto" w:fill="FFFFFF"/>
                  <w:vAlign w:val="center"/>
                </w:tcPr>
                <w:p w14:paraId="626E37B1">
                  <w:pPr>
                    <w:jc w:val="center"/>
                    <w:rPr>
                      <w:rFonts w:hint="default" w:ascii="Times New Roman" w:hAnsi="Times New Roman" w:eastAsia="宋体" w:cs="Times New Roman"/>
                      <w:color w:val="auto"/>
                      <w:sz w:val="21"/>
                      <w:szCs w:val="21"/>
                    </w:rPr>
                  </w:pPr>
                </w:p>
              </w:tc>
            </w:tr>
            <w:tr w14:paraId="609E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restart"/>
                  <w:shd w:val="clear" w:color="auto" w:fill="FFFFFF"/>
                  <w:vAlign w:val="center"/>
                </w:tcPr>
                <w:p w14:paraId="35A318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1379" w:type="dxa"/>
                  <w:shd w:val="clear" w:color="auto" w:fill="FFFFFF"/>
                  <w:vAlign w:val="center"/>
                </w:tcPr>
                <w:p w14:paraId="134AA2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75.2</w:t>
                  </w:r>
                </w:p>
              </w:tc>
              <w:tc>
                <w:tcPr>
                  <w:tcW w:w="1379" w:type="dxa"/>
                  <w:shd w:val="clear" w:color="auto" w:fill="FFFFFF"/>
                  <w:vAlign w:val="center"/>
                </w:tcPr>
                <w:p w14:paraId="344A05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w:t>
                  </w:r>
                </w:p>
              </w:tc>
              <w:tc>
                <w:tcPr>
                  <w:tcW w:w="1388" w:type="dxa"/>
                  <w:shd w:val="clear" w:color="auto" w:fill="FFFFFF"/>
                  <w:vAlign w:val="center"/>
                </w:tcPr>
                <w:p w14:paraId="26BCEF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4B7992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436" w:type="dxa"/>
                  <w:shd w:val="clear" w:color="auto" w:fill="FFFFFF"/>
                  <w:vAlign w:val="center"/>
                </w:tcPr>
                <w:p w14:paraId="011CEF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2439" w:type="dxa"/>
                  <w:shd w:val="clear" w:color="auto" w:fill="FFFFFF"/>
                  <w:vAlign w:val="center"/>
                </w:tcPr>
                <w:p w14:paraId="0F2434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042" w:type="dxa"/>
                  <w:shd w:val="clear" w:color="auto" w:fill="FFFFFF"/>
                  <w:vAlign w:val="center"/>
                </w:tcPr>
                <w:p w14:paraId="679334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82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continue"/>
                  <w:shd w:val="clear" w:color="auto" w:fill="FFFFFF"/>
                  <w:vAlign w:val="center"/>
                </w:tcPr>
                <w:p w14:paraId="4C02D0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1379" w:type="dxa"/>
                  <w:shd w:val="clear" w:color="auto" w:fill="FFFFFF"/>
                  <w:vAlign w:val="center"/>
                </w:tcPr>
                <w:p w14:paraId="02764D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75.2</w:t>
                  </w:r>
                </w:p>
              </w:tc>
              <w:tc>
                <w:tcPr>
                  <w:tcW w:w="1379" w:type="dxa"/>
                  <w:shd w:val="clear" w:color="auto" w:fill="FFFFFF"/>
                  <w:vAlign w:val="center"/>
                </w:tcPr>
                <w:p w14:paraId="5CFFFB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w:t>
                  </w:r>
                </w:p>
              </w:tc>
              <w:tc>
                <w:tcPr>
                  <w:tcW w:w="1388" w:type="dxa"/>
                  <w:shd w:val="clear" w:color="auto" w:fill="FFFFFF"/>
                  <w:vAlign w:val="center"/>
                </w:tcPr>
                <w:p w14:paraId="68C49F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072B29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436" w:type="dxa"/>
                  <w:shd w:val="clear" w:color="auto" w:fill="FFFFFF"/>
                  <w:vAlign w:val="center"/>
                </w:tcPr>
                <w:p w14:paraId="11463F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c>
                <w:tcPr>
                  <w:tcW w:w="2439" w:type="dxa"/>
                  <w:shd w:val="clear" w:color="auto" w:fill="FFFFFF"/>
                  <w:vAlign w:val="center"/>
                </w:tcPr>
                <w:p w14:paraId="46C656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2042" w:type="dxa"/>
                  <w:shd w:val="clear" w:color="auto" w:fill="FFFFFF"/>
                  <w:vAlign w:val="center"/>
                </w:tcPr>
                <w:p w14:paraId="2CABB3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086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restart"/>
                  <w:shd w:val="clear" w:color="auto" w:fill="FFFFFF"/>
                  <w:vAlign w:val="center"/>
                </w:tcPr>
                <w:p w14:paraId="2B1C11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1379" w:type="dxa"/>
                  <w:shd w:val="clear" w:color="auto" w:fill="FFFFFF"/>
                  <w:vAlign w:val="center"/>
                </w:tcPr>
                <w:p w14:paraId="1AFF7B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-57.6</w:t>
                  </w:r>
                </w:p>
              </w:tc>
              <w:tc>
                <w:tcPr>
                  <w:tcW w:w="1379" w:type="dxa"/>
                  <w:shd w:val="clear" w:color="auto" w:fill="FFFFFF"/>
                  <w:vAlign w:val="center"/>
                </w:tcPr>
                <w:p w14:paraId="2BC0B8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-28.7</w:t>
                  </w:r>
                </w:p>
              </w:tc>
              <w:tc>
                <w:tcPr>
                  <w:tcW w:w="1388" w:type="dxa"/>
                  <w:shd w:val="clear" w:color="auto" w:fill="FFFFFF"/>
                  <w:vAlign w:val="center"/>
                </w:tcPr>
                <w:p w14:paraId="71FF3D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19C432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436" w:type="dxa"/>
                  <w:shd w:val="clear" w:color="auto" w:fill="FFFFFF"/>
                  <w:vAlign w:val="center"/>
                </w:tcPr>
                <w:p w14:paraId="49E0DF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43.3</w:t>
                  </w:r>
                </w:p>
              </w:tc>
              <w:tc>
                <w:tcPr>
                  <w:tcW w:w="2439" w:type="dxa"/>
                  <w:shd w:val="clear" w:color="auto" w:fill="FFFFFF"/>
                  <w:vAlign w:val="center"/>
                </w:tcPr>
                <w:p w14:paraId="7CCE28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042" w:type="dxa"/>
                  <w:shd w:val="clear" w:color="auto" w:fill="FFFFFF"/>
                  <w:vAlign w:val="center"/>
                </w:tcPr>
                <w:p w14:paraId="32CDAE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C8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continue"/>
                  <w:shd w:val="clear" w:color="auto" w:fill="FFFFFF"/>
                  <w:vAlign w:val="center"/>
                </w:tcPr>
                <w:p w14:paraId="24F523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1379" w:type="dxa"/>
                  <w:shd w:val="clear" w:color="auto" w:fill="FFFFFF"/>
                  <w:vAlign w:val="center"/>
                </w:tcPr>
                <w:p w14:paraId="080E38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-57.6</w:t>
                  </w:r>
                </w:p>
              </w:tc>
              <w:tc>
                <w:tcPr>
                  <w:tcW w:w="1379" w:type="dxa"/>
                  <w:shd w:val="clear" w:color="auto" w:fill="FFFFFF"/>
                  <w:vAlign w:val="center"/>
                </w:tcPr>
                <w:p w14:paraId="41BE80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-28.7</w:t>
                  </w:r>
                </w:p>
              </w:tc>
              <w:tc>
                <w:tcPr>
                  <w:tcW w:w="1388" w:type="dxa"/>
                  <w:shd w:val="clear" w:color="auto" w:fill="FFFFFF"/>
                  <w:vAlign w:val="center"/>
                </w:tcPr>
                <w:p w14:paraId="35BF75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2E1EF3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436" w:type="dxa"/>
                  <w:shd w:val="clear" w:color="auto" w:fill="FFFFFF"/>
                  <w:vAlign w:val="center"/>
                </w:tcPr>
                <w:p w14:paraId="110CC4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43.3</w:t>
                  </w:r>
                </w:p>
              </w:tc>
              <w:tc>
                <w:tcPr>
                  <w:tcW w:w="2439" w:type="dxa"/>
                  <w:shd w:val="clear" w:color="auto" w:fill="FFFFFF"/>
                  <w:vAlign w:val="center"/>
                </w:tcPr>
                <w:p w14:paraId="5F36A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2042" w:type="dxa"/>
                  <w:shd w:val="clear" w:color="auto" w:fill="FFFFFF"/>
                  <w:vAlign w:val="center"/>
                </w:tcPr>
                <w:p w14:paraId="774AF5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4D9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restart"/>
                  <w:shd w:val="clear" w:color="auto" w:fill="FFFFFF"/>
                  <w:vAlign w:val="center"/>
                </w:tcPr>
                <w:p w14:paraId="5CCD02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1379" w:type="dxa"/>
                  <w:shd w:val="clear" w:color="auto" w:fill="FFFFFF"/>
                  <w:vAlign w:val="center"/>
                </w:tcPr>
                <w:p w14:paraId="2F0DBA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-74.7</w:t>
                  </w:r>
                </w:p>
              </w:tc>
              <w:tc>
                <w:tcPr>
                  <w:tcW w:w="1379" w:type="dxa"/>
                  <w:shd w:val="clear" w:color="auto" w:fill="FFFFFF"/>
                  <w:vAlign w:val="center"/>
                </w:tcPr>
                <w:p w14:paraId="663CF1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388" w:type="dxa"/>
                  <w:shd w:val="clear" w:color="auto" w:fill="FFFFFF"/>
                  <w:vAlign w:val="center"/>
                </w:tcPr>
                <w:p w14:paraId="09EA46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73A616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436" w:type="dxa"/>
                  <w:shd w:val="clear" w:color="auto" w:fill="FFFFFF"/>
                  <w:vAlign w:val="center"/>
                </w:tcPr>
                <w:p w14:paraId="0002E8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44.9</w:t>
                  </w:r>
                </w:p>
              </w:tc>
              <w:tc>
                <w:tcPr>
                  <w:tcW w:w="2439" w:type="dxa"/>
                  <w:shd w:val="clear" w:color="auto" w:fill="FFFFFF"/>
                  <w:vAlign w:val="center"/>
                </w:tcPr>
                <w:p w14:paraId="485D67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042" w:type="dxa"/>
                  <w:shd w:val="clear" w:color="auto" w:fill="FFFFFF"/>
                  <w:vAlign w:val="center"/>
                </w:tcPr>
                <w:p w14:paraId="677395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0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continue"/>
                  <w:shd w:val="clear" w:color="auto" w:fill="FFFFFF"/>
                  <w:vAlign w:val="center"/>
                </w:tcPr>
                <w:p w14:paraId="226F30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1379" w:type="dxa"/>
                  <w:shd w:val="clear" w:color="auto" w:fill="FFFFFF"/>
                  <w:vAlign w:val="center"/>
                </w:tcPr>
                <w:p w14:paraId="183E6D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-74.7</w:t>
                  </w:r>
                </w:p>
              </w:tc>
              <w:tc>
                <w:tcPr>
                  <w:tcW w:w="1379" w:type="dxa"/>
                  <w:shd w:val="clear" w:color="auto" w:fill="FFFFFF"/>
                  <w:vAlign w:val="center"/>
                </w:tcPr>
                <w:p w14:paraId="7FF574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388" w:type="dxa"/>
                  <w:shd w:val="clear" w:color="auto" w:fill="FFFFFF"/>
                  <w:vAlign w:val="center"/>
                </w:tcPr>
                <w:p w14:paraId="25DCA9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1B89B8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436" w:type="dxa"/>
                  <w:shd w:val="clear" w:color="auto" w:fill="FFFFFF"/>
                  <w:vAlign w:val="center"/>
                </w:tcPr>
                <w:p w14:paraId="6C23EA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44.9</w:t>
                  </w:r>
                </w:p>
              </w:tc>
              <w:tc>
                <w:tcPr>
                  <w:tcW w:w="2439" w:type="dxa"/>
                  <w:shd w:val="clear" w:color="auto" w:fill="FFFFFF"/>
                  <w:vAlign w:val="center"/>
                </w:tcPr>
                <w:p w14:paraId="59FB4B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2042" w:type="dxa"/>
                  <w:shd w:val="clear" w:color="auto" w:fill="FFFFFF"/>
                  <w:vAlign w:val="center"/>
                </w:tcPr>
                <w:p w14:paraId="590EE6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999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restart"/>
                  <w:shd w:val="clear" w:color="auto" w:fill="FFFFFF"/>
                  <w:vAlign w:val="center"/>
                </w:tcPr>
                <w:p w14:paraId="1D2BA9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1379" w:type="dxa"/>
                  <w:shd w:val="clear" w:color="auto" w:fill="FFFFFF"/>
                  <w:vAlign w:val="center"/>
                </w:tcPr>
                <w:p w14:paraId="37D7F4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w:t>
                  </w:r>
                </w:p>
              </w:tc>
              <w:tc>
                <w:tcPr>
                  <w:tcW w:w="1379" w:type="dxa"/>
                  <w:shd w:val="clear" w:color="auto" w:fill="FFFFFF"/>
                  <w:vAlign w:val="center"/>
                </w:tcPr>
                <w:p w14:paraId="62A928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39.6</w:t>
                  </w:r>
                </w:p>
              </w:tc>
              <w:tc>
                <w:tcPr>
                  <w:tcW w:w="1388" w:type="dxa"/>
                  <w:shd w:val="clear" w:color="auto" w:fill="FFFFFF"/>
                  <w:vAlign w:val="center"/>
                </w:tcPr>
                <w:p w14:paraId="438697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77F43E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436" w:type="dxa"/>
                  <w:shd w:val="clear" w:color="auto" w:fill="FFFFFF"/>
                  <w:vAlign w:val="center"/>
                </w:tcPr>
                <w:p w14:paraId="47C891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40.3</w:t>
                  </w:r>
                </w:p>
              </w:tc>
              <w:tc>
                <w:tcPr>
                  <w:tcW w:w="2439" w:type="dxa"/>
                  <w:shd w:val="clear" w:color="auto" w:fill="FFFFFF"/>
                  <w:vAlign w:val="center"/>
                </w:tcPr>
                <w:p w14:paraId="45200C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042" w:type="dxa"/>
                  <w:shd w:val="clear" w:color="auto" w:fill="FFFFFF"/>
                  <w:vAlign w:val="center"/>
                </w:tcPr>
                <w:p w14:paraId="63EC8F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E83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645" w:type="pct"/>
                  <w:vMerge w:val="continue"/>
                  <w:shd w:val="clear" w:color="auto" w:fill="FFFFFF"/>
                  <w:vAlign w:val="center"/>
                </w:tcPr>
                <w:p w14:paraId="5F6052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1379" w:type="dxa"/>
                  <w:shd w:val="clear" w:color="auto" w:fill="FFFFFF"/>
                  <w:vAlign w:val="center"/>
                </w:tcPr>
                <w:p w14:paraId="1B079B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w:t>
                  </w:r>
                </w:p>
              </w:tc>
              <w:tc>
                <w:tcPr>
                  <w:tcW w:w="1379" w:type="dxa"/>
                  <w:shd w:val="clear" w:color="auto" w:fill="FFFFFF"/>
                  <w:vAlign w:val="center"/>
                </w:tcPr>
                <w:p w14:paraId="04DFDE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39.6</w:t>
                  </w:r>
                </w:p>
              </w:tc>
              <w:tc>
                <w:tcPr>
                  <w:tcW w:w="1388" w:type="dxa"/>
                  <w:shd w:val="clear" w:color="auto" w:fill="FFFFFF"/>
                  <w:vAlign w:val="center"/>
                </w:tcPr>
                <w:p w14:paraId="1282D9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08" w:type="dxa"/>
                  <w:shd w:val="clear" w:color="auto" w:fill="FFFFFF"/>
                  <w:vAlign w:val="center"/>
                </w:tcPr>
                <w:p w14:paraId="2A8A71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436" w:type="dxa"/>
                  <w:shd w:val="clear" w:color="auto" w:fill="FFFFFF"/>
                  <w:vAlign w:val="center"/>
                </w:tcPr>
                <w:p w14:paraId="1342E8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40.3</w:t>
                  </w:r>
                </w:p>
              </w:tc>
              <w:tc>
                <w:tcPr>
                  <w:tcW w:w="2439" w:type="dxa"/>
                  <w:shd w:val="clear" w:color="auto" w:fill="FFFFFF"/>
                  <w:vAlign w:val="center"/>
                </w:tcPr>
                <w:p w14:paraId="1891A3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2042" w:type="dxa"/>
                  <w:shd w:val="clear" w:color="auto" w:fill="FFFFFF"/>
                  <w:vAlign w:val="center"/>
                </w:tcPr>
                <w:p w14:paraId="094043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88000AC">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463706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777301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651513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0DB0A8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34C1C3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0340C7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tc>
      </w:tr>
    </w:tbl>
    <w:p w14:paraId="3C6846BC">
      <w:pPr>
        <w:adjustRightInd w:val="0"/>
        <w:snapToGrid w:val="0"/>
        <w:spacing w:line="360" w:lineRule="auto"/>
        <w:jc w:val="center"/>
        <w:rPr>
          <w:rFonts w:hint="default" w:ascii="Times New Roman" w:hAnsi="Times New Roman" w:eastAsia="宋体" w:cs="Times New Roman"/>
          <w:b/>
          <w:color w:val="auto"/>
          <w:kern w:val="0"/>
          <w:sz w:val="21"/>
          <w:szCs w:val="21"/>
        </w:rPr>
        <w:sectPr>
          <w:pgSz w:w="16840" w:h="11907"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9"/>
        <w:gridCol w:w="8122"/>
      </w:tblGrid>
      <w:tr w14:paraId="1C434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9" w:type="pct"/>
            <w:noWrap w:val="0"/>
            <w:tcMar>
              <w:left w:w="28" w:type="dxa"/>
              <w:right w:w="28" w:type="dxa"/>
            </w:tcMar>
            <w:vAlign w:val="center"/>
          </w:tcPr>
          <w:p w14:paraId="71141C3C">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1210278D">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54409951">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574D4E0F">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46737104">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74FDF9DD">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措施</w:t>
            </w:r>
          </w:p>
        </w:tc>
        <w:tc>
          <w:tcPr>
            <w:tcW w:w="4810" w:type="pct"/>
            <w:noWrap w:val="0"/>
            <w:vAlign w:val="center"/>
          </w:tcPr>
          <w:p w14:paraId="18222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达标分析</w:t>
            </w:r>
          </w:p>
          <w:p w14:paraId="2B482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经预测，本项目建成后厂界昼夜噪声满足《工业企业厂界环境噪声排放标准》（GB12348-2008）</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类功能区标准要求</w:t>
            </w:r>
            <w:r>
              <w:rPr>
                <w:rFonts w:hint="default" w:ascii="Times New Roman" w:hAnsi="Times New Roman" w:eastAsia="宋体" w:cs="Times New Roman"/>
                <w:color w:val="auto"/>
                <w:kern w:val="0"/>
                <w:sz w:val="24"/>
                <w:szCs w:val="24"/>
                <w:highlight w:val="none"/>
                <w:lang w:eastAsia="zh-CN"/>
              </w:rPr>
              <w:t>。</w:t>
            </w:r>
          </w:p>
          <w:p w14:paraId="6F9A3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5、监测要求</w:t>
            </w:r>
          </w:p>
          <w:p w14:paraId="546C4C9E">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根据</w:t>
            </w:r>
            <w:r>
              <w:rPr>
                <w:rFonts w:hint="eastAsia" w:cs="Times New Roman"/>
                <w:color w:val="auto"/>
                <w:spacing w:val="0"/>
                <w:kern w:val="0"/>
                <w:sz w:val="24"/>
                <w:szCs w:val="24"/>
                <w:highlight w:val="none"/>
                <w:lang w:val="en-US" w:eastAsia="zh-CN"/>
              </w:rPr>
              <w:t>《排污单位自行监测技术指南 火力发电及锅炉》（HJ 820-2017）、</w:t>
            </w:r>
            <w:r>
              <w:rPr>
                <w:rFonts w:hint="default" w:ascii="Times New Roman" w:hAnsi="Times New Roman" w:eastAsia="宋体" w:cs="Times New Roman"/>
                <w:color w:val="auto"/>
                <w:spacing w:val="0"/>
                <w:kern w:val="0"/>
                <w:sz w:val="24"/>
                <w:szCs w:val="24"/>
                <w:highlight w:val="none"/>
                <w:lang w:val="en-US" w:eastAsia="zh-CN"/>
              </w:rPr>
              <w:t>《排污单位自行监测技术指南 总则》(HJ 819-2017)</w:t>
            </w:r>
            <w:r>
              <w:rPr>
                <w:rFonts w:hint="default" w:ascii="Times New Roman" w:hAnsi="Times New Roman" w:eastAsia="宋体" w:cs="Times New Roman"/>
                <w:color w:val="auto"/>
                <w:sz w:val="24"/>
                <w:szCs w:val="24"/>
                <w:highlight w:val="none"/>
                <w:lang w:val="en-US" w:eastAsia="zh-CN"/>
              </w:rPr>
              <w:t>，监测要求如下。</w:t>
            </w:r>
          </w:p>
          <w:p w14:paraId="6B47F3D7">
            <w:pPr>
              <w:keepNext w:val="0"/>
              <w:keepLines w:val="0"/>
              <w:pageBreakBefore w:val="0"/>
              <w:widowControl w:val="0"/>
              <w:numPr>
                <w:ilvl w:val="0"/>
                <w:numId w:val="13"/>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lang w:val="en-US" w:eastAsia="zh-CN"/>
              </w:rPr>
              <w:t>噪声</w:t>
            </w:r>
            <w:r>
              <w:rPr>
                <w:rFonts w:hint="default" w:ascii="Times New Roman" w:hAnsi="Times New Roman" w:eastAsia="宋体" w:cs="Times New Roman"/>
                <w:b/>
                <w:bCs/>
                <w:color w:val="auto"/>
                <w:sz w:val="24"/>
                <w:szCs w:val="24"/>
                <w:highlight w:val="none"/>
              </w:rPr>
              <w:t>监测</w:t>
            </w:r>
            <w:r>
              <w:rPr>
                <w:rFonts w:hint="eastAsia" w:cs="Times New Roman"/>
                <w:b/>
                <w:bCs/>
                <w:color w:val="auto"/>
                <w:sz w:val="24"/>
                <w:szCs w:val="24"/>
                <w:highlight w:val="none"/>
                <w:lang w:val="en-US" w:eastAsia="zh-CN"/>
              </w:rPr>
              <w:t>要求</w:t>
            </w:r>
            <w:r>
              <w:rPr>
                <w:rFonts w:hint="default" w:ascii="Times New Roman" w:hAnsi="Times New Roman" w:eastAsia="宋体" w:cs="Times New Roman"/>
                <w:b/>
                <w:bCs/>
                <w:color w:val="auto"/>
                <w:sz w:val="24"/>
                <w:szCs w:val="24"/>
                <w:highlight w:val="none"/>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7"/>
              <w:gridCol w:w="2197"/>
              <w:gridCol w:w="1796"/>
              <w:gridCol w:w="2743"/>
            </w:tblGrid>
            <w:tr w14:paraId="418F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3" w:type="pct"/>
                  <w:noWrap w:val="0"/>
                  <w:vAlign w:val="center"/>
                </w:tcPr>
                <w:p w14:paraId="08BE45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391" w:type="pct"/>
                  <w:noWrap w:val="0"/>
                  <w:vAlign w:val="center"/>
                </w:tcPr>
                <w:p w14:paraId="352830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监测位置</w:t>
                  </w:r>
                </w:p>
              </w:tc>
              <w:tc>
                <w:tcPr>
                  <w:tcW w:w="1137" w:type="pct"/>
                  <w:noWrap w:val="0"/>
                  <w:vAlign w:val="center"/>
                </w:tcPr>
                <w:p w14:paraId="393989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监测因子</w:t>
                  </w:r>
                </w:p>
              </w:tc>
              <w:tc>
                <w:tcPr>
                  <w:tcW w:w="1737" w:type="pct"/>
                  <w:noWrap w:val="0"/>
                  <w:vAlign w:val="center"/>
                </w:tcPr>
                <w:p w14:paraId="1D3F29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监测频率</w:t>
                  </w:r>
                </w:p>
              </w:tc>
            </w:tr>
            <w:tr w14:paraId="2C64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3" w:type="pct"/>
                  <w:noWrap w:val="0"/>
                  <w:vAlign w:val="center"/>
                </w:tcPr>
                <w:p w14:paraId="22186E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391" w:type="pct"/>
                  <w:noWrap w:val="0"/>
                  <w:vAlign w:val="center"/>
                </w:tcPr>
                <w:p w14:paraId="27EAD5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各厂界外1m</w:t>
                  </w:r>
                </w:p>
              </w:tc>
              <w:tc>
                <w:tcPr>
                  <w:tcW w:w="1137" w:type="pct"/>
                  <w:noWrap w:val="0"/>
                  <w:vAlign w:val="center"/>
                </w:tcPr>
                <w:p w14:paraId="7B6421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Leq（A）</w:t>
                  </w:r>
                </w:p>
              </w:tc>
              <w:tc>
                <w:tcPr>
                  <w:tcW w:w="1737" w:type="pct"/>
                  <w:noWrap w:val="0"/>
                  <w:vAlign w:val="center"/>
                </w:tcPr>
                <w:p w14:paraId="128068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每季度一次，昼间</w:t>
                  </w:r>
                  <w:r>
                    <w:rPr>
                      <w:rFonts w:hint="eastAsia" w:cs="Times New Roman"/>
                      <w:color w:val="auto"/>
                      <w:sz w:val="21"/>
                      <w:szCs w:val="21"/>
                      <w:lang w:val="en-US" w:eastAsia="zh-CN"/>
                    </w:rPr>
                    <w:t>夜间均</w:t>
                  </w:r>
                  <w:r>
                    <w:rPr>
                      <w:rFonts w:hint="default" w:ascii="Times New Roman" w:hAnsi="Times New Roman" w:eastAsia="宋体" w:cs="Times New Roman"/>
                      <w:color w:val="auto"/>
                      <w:sz w:val="21"/>
                      <w:szCs w:val="21"/>
                      <w:lang w:val="en-US" w:eastAsia="zh-CN"/>
                    </w:rPr>
                    <w:t>监测</w:t>
                  </w:r>
                </w:p>
              </w:tc>
            </w:tr>
          </w:tbl>
          <w:p w14:paraId="232F97C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四</w:t>
            </w:r>
            <w:r>
              <w:rPr>
                <w:rFonts w:hint="default" w:ascii="Times New Roman" w:hAnsi="Times New Roman" w:eastAsia="宋体" w:cs="Times New Roman"/>
                <w:b/>
                <w:bCs/>
                <w:color w:val="auto"/>
                <w:sz w:val="24"/>
                <w:szCs w:val="24"/>
                <w:lang w:val="en-US" w:eastAsia="zh-CN"/>
              </w:rPr>
              <w:t>、固体废物</w:t>
            </w:r>
          </w:p>
          <w:p w14:paraId="729A889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产生的一般</w:t>
            </w:r>
            <w:r>
              <w:rPr>
                <w:rFonts w:hint="default" w:ascii="Times New Roman" w:hAnsi="Times New Roman" w:eastAsia="宋体" w:cs="Times New Roman"/>
                <w:color w:val="auto"/>
                <w:sz w:val="24"/>
                <w:szCs w:val="24"/>
                <w:lang w:val="en-US" w:eastAsia="zh-CN"/>
              </w:rPr>
              <w:t>固体废物</w:t>
            </w:r>
            <w:r>
              <w:rPr>
                <w:rFonts w:hint="eastAsia" w:cs="Times New Roman"/>
                <w:color w:val="auto"/>
                <w:sz w:val="24"/>
                <w:szCs w:val="24"/>
                <w:lang w:val="en-US" w:eastAsia="zh-CN"/>
              </w:rPr>
              <w:t>包括职工</w:t>
            </w:r>
            <w:r>
              <w:rPr>
                <w:rFonts w:hint="default" w:ascii="Times New Roman" w:hAnsi="Times New Roman" w:eastAsia="宋体" w:cs="Times New Roman"/>
                <w:color w:val="auto"/>
                <w:sz w:val="24"/>
                <w:szCs w:val="24"/>
                <w:lang w:val="en-US" w:eastAsia="zh-CN"/>
              </w:rPr>
              <w:t>生活垃圾、</w:t>
            </w:r>
            <w:r>
              <w:rPr>
                <w:rFonts w:hint="eastAsia" w:cs="Times New Roman"/>
                <w:color w:val="auto"/>
                <w:sz w:val="24"/>
                <w:szCs w:val="24"/>
                <w:lang w:val="en-US" w:eastAsia="zh-CN"/>
              </w:rPr>
              <w:t>废布袋、沉淀池沉渣、</w:t>
            </w:r>
            <w:r>
              <w:rPr>
                <w:rFonts w:hint="default" w:ascii="Times New Roman" w:hAnsi="Times New Roman" w:eastAsia="宋体" w:cs="Times New Roman"/>
                <w:color w:val="auto"/>
                <w:sz w:val="24"/>
                <w:szCs w:val="24"/>
                <w:lang w:val="en-US" w:eastAsia="zh-CN"/>
              </w:rPr>
              <w:t>除尘器收尘、</w:t>
            </w:r>
            <w:r>
              <w:rPr>
                <w:rFonts w:hint="eastAsia" w:cs="Times New Roman"/>
                <w:color w:val="auto"/>
                <w:sz w:val="24"/>
                <w:szCs w:val="24"/>
                <w:lang w:val="en-US" w:eastAsia="zh-CN"/>
              </w:rPr>
              <w:t>沥青残渣，危险废物包括废过滤棉、</w:t>
            </w:r>
            <w:r>
              <w:rPr>
                <w:rFonts w:hint="default" w:ascii="Times New Roman" w:hAnsi="Times New Roman" w:eastAsia="宋体" w:cs="Times New Roman"/>
                <w:color w:val="auto"/>
                <w:sz w:val="24"/>
                <w:szCs w:val="24"/>
                <w:lang w:val="en-US" w:eastAsia="zh-CN"/>
              </w:rPr>
              <w:t>废活性炭、废导热油、废润滑油、</w:t>
            </w:r>
            <w:r>
              <w:rPr>
                <w:rFonts w:hint="eastAsia" w:cs="Times New Roman"/>
                <w:color w:val="auto"/>
                <w:sz w:val="24"/>
                <w:szCs w:val="24"/>
                <w:lang w:val="en-US" w:eastAsia="zh-CN"/>
              </w:rPr>
              <w:t>废油桶</w:t>
            </w:r>
            <w:r>
              <w:rPr>
                <w:rFonts w:hint="default" w:ascii="Times New Roman" w:hAnsi="Times New Roman" w:eastAsia="宋体" w:cs="Times New Roman"/>
                <w:color w:val="auto"/>
                <w:sz w:val="24"/>
                <w:szCs w:val="24"/>
                <w:lang w:val="en-US" w:eastAsia="zh-CN"/>
              </w:rPr>
              <w:t>、焦油沉渣、</w:t>
            </w:r>
            <w:r>
              <w:rPr>
                <w:rFonts w:hint="eastAsia"/>
                <w:color w:val="auto"/>
                <w:sz w:val="24"/>
                <w:szCs w:val="24"/>
                <w:lang w:val="en-US" w:eastAsia="zh-CN"/>
              </w:rPr>
              <w:t>电捕焦油器废油</w:t>
            </w:r>
            <w:r>
              <w:rPr>
                <w:rFonts w:hint="default" w:ascii="Times New Roman" w:hAnsi="Times New Roman" w:eastAsia="宋体" w:cs="Times New Roman"/>
                <w:color w:val="auto"/>
                <w:sz w:val="24"/>
                <w:szCs w:val="24"/>
                <w:lang w:val="en-US" w:eastAsia="zh-CN"/>
              </w:rPr>
              <w:t>。</w:t>
            </w:r>
          </w:p>
          <w:p w14:paraId="761C8FD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1、一般固体废物</w:t>
            </w:r>
          </w:p>
          <w:p w14:paraId="74F551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职工</w:t>
            </w:r>
            <w:r>
              <w:rPr>
                <w:rFonts w:hint="default" w:ascii="Times New Roman" w:hAnsi="Times New Roman" w:eastAsia="宋体" w:cs="Times New Roman"/>
                <w:color w:val="auto"/>
                <w:sz w:val="24"/>
                <w:szCs w:val="24"/>
                <w:lang w:val="en-US" w:eastAsia="zh-CN"/>
              </w:rPr>
              <w:t>生活垃圾</w:t>
            </w:r>
          </w:p>
          <w:p w14:paraId="2E80B4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新增职工7</w:t>
            </w:r>
            <w:r>
              <w:rPr>
                <w:rFonts w:hint="default" w:ascii="Times New Roman" w:hAnsi="Times New Roman" w:eastAsia="宋体" w:cs="Times New Roman"/>
                <w:color w:val="auto"/>
                <w:sz w:val="24"/>
                <w:szCs w:val="24"/>
                <w:lang w:val="en-US" w:eastAsia="zh-CN"/>
              </w:rPr>
              <w:t>人，年工作</w:t>
            </w:r>
            <w:r>
              <w:rPr>
                <w:rFonts w:hint="eastAsia" w:cs="Times New Roman"/>
                <w:color w:val="0000FF"/>
                <w:sz w:val="24"/>
                <w:szCs w:val="24"/>
                <w:lang w:val="en-US" w:eastAsia="zh-CN"/>
              </w:rPr>
              <w:t>12</w:t>
            </w:r>
            <w:r>
              <w:rPr>
                <w:rFonts w:hint="default" w:ascii="Times New Roman" w:hAnsi="Times New Roman" w:eastAsia="宋体" w:cs="Times New Roman"/>
                <w:color w:val="0000FF"/>
                <w:sz w:val="24"/>
                <w:szCs w:val="24"/>
                <w:lang w:val="en-US" w:eastAsia="zh-CN"/>
              </w:rPr>
              <w:t>0天</w:t>
            </w:r>
            <w:r>
              <w:rPr>
                <w:rFonts w:hint="default" w:ascii="Times New Roman" w:hAnsi="Times New Roman" w:eastAsia="宋体" w:cs="Times New Roman"/>
                <w:color w:val="auto"/>
                <w:sz w:val="24"/>
                <w:szCs w:val="24"/>
                <w:lang w:val="en-US" w:eastAsia="zh-CN"/>
              </w:rPr>
              <w:t>，生活垃圾</w:t>
            </w:r>
            <w:r>
              <w:rPr>
                <w:rFonts w:hint="eastAsia" w:cs="Times New Roman"/>
                <w:color w:val="auto"/>
                <w:sz w:val="24"/>
                <w:szCs w:val="24"/>
                <w:lang w:val="en-US" w:eastAsia="zh-CN"/>
              </w:rPr>
              <w:t>产生量按0.5kg/人·天，则</w:t>
            </w:r>
            <w:r>
              <w:rPr>
                <w:rFonts w:hint="default" w:ascii="Times New Roman" w:hAnsi="Times New Roman" w:eastAsia="宋体" w:cs="Times New Roman"/>
                <w:color w:val="auto"/>
                <w:sz w:val="24"/>
                <w:szCs w:val="24"/>
                <w:lang w:val="en-US" w:eastAsia="zh-CN"/>
              </w:rPr>
              <w:t>生活垃圾产生量</w:t>
            </w:r>
            <w:r>
              <w:rPr>
                <w:rFonts w:hint="eastAsia" w:cs="Times New Roman"/>
                <w:color w:val="auto"/>
                <w:sz w:val="24"/>
                <w:szCs w:val="24"/>
                <w:lang w:val="en-US" w:eastAsia="zh-CN"/>
              </w:rPr>
              <w:t>为</w:t>
            </w:r>
            <w:r>
              <w:rPr>
                <w:rFonts w:hint="eastAsia" w:cs="Times New Roman"/>
                <w:color w:val="0000FF"/>
                <w:sz w:val="24"/>
                <w:szCs w:val="24"/>
                <w:lang w:val="en-US" w:eastAsia="zh-CN"/>
              </w:rPr>
              <w:t>0.42</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采用垃圾桶收集后交</w:t>
            </w:r>
            <w:r>
              <w:rPr>
                <w:rFonts w:hint="eastAsia" w:cs="Times New Roman"/>
                <w:color w:val="auto"/>
                <w:sz w:val="24"/>
                <w:szCs w:val="24"/>
                <w:lang w:val="en-US" w:eastAsia="zh-CN"/>
              </w:rPr>
              <w:t>环卫部门清运</w:t>
            </w:r>
            <w:r>
              <w:rPr>
                <w:rFonts w:hint="default" w:ascii="Times New Roman" w:hAnsi="Times New Roman" w:eastAsia="宋体" w:cs="Times New Roman"/>
                <w:color w:val="auto"/>
                <w:sz w:val="24"/>
                <w:szCs w:val="24"/>
                <w:lang w:val="en-US" w:eastAsia="zh-CN"/>
              </w:rPr>
              <w:t>。</w:t>
            </w:r>
          </w:p>
          <w:p w14:paraId="7985196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废布袋</w:t>
            </w:r>
          </w:p>
          <w:p w14:paraId="560E776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根据企业提供资料，袋式除尘装置需要定期更换布袋，废布袋约为0.05t/a，代码为309-009-99，</w:t>
            </w:r>
            <w:r>
              <w:rPr>
                <w:rFonts w:hint="eastAsia" w:cs="Times New Roman"/>
                <w:bCs/>
                <w:color w:val="auto"/>
                <w:sz w:val="24"/>
                <w:szCs w:val="24"/>
                <w:vertAlign w:val="baseline"/>
                <w:lang w:val="en-US" w:eastAsia="zh-CN"/>
              </w:rPr>
              <w:t>委托厂家更换回收。</w:t>
            </w:r>
          </w:p>
          <w:p w14:paraId="35BF0DC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（3）沉淀池沉渣</w:t>
            </w:r>
          </w:p>
          <w:p w14:paraId="37B3D85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企业提供资料</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洗车台</w:t>
            </w:r>
            <w:r>
              <w:rPr>
                <w:rFonts w:hint="default" w:ascii="Times New Roman" w:hAnsi="Times New Roman" w:eastAsia="宋体" w:cs="Times New Roman"/>
                <w:color w:val="auto"/>
                <w:sz w:val="24"/>
                <w:szCs w:val="24"/>
                <w:lang w:val="en-US" w:eastAsia="zh-CN"/>
              </w:rPr>
              <w:t>沉淀池沉渣</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rPr>
              <w:t>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代码为309-009-61，</w:t>
            </w:r>
            <w:r>
              <w:rPr>
                <w:rFonts w:hint="default" w:ascii="Times New Roman" w:hAnsi="Times New Roman" w:eastAsia="宋体" w:cs="Times New Roman"/>
                <w:color w:val="auto"/>
                <w:sz w:val="24"/>
                <w:szCs w:val="24"/>
                <w:lang w:val="en-US" w:eastAsia="zh-CN"/>
              </w:rPr>
              <w:t>外售</w:t>
            </w:r>
            <w:r>
              <w:rPr>
                <w:rFonts w:hint="eastAsia" w:ascii="Times New Roman" w:hAnsi="Times New Roman" w:eastAsia="宋体" w:cs="Times New Roman"/>
                <w:color w:val="auto"/>
                <w:sz w:val="24"/>
                <w:szCs w:val="24"/>
                <w:lang w:val="en-US" w:eastAsia="zh-CN"/>
              </w:rPr>
              <w:t>其他</w:t>
            </w:r>
            <w:r>
              <w:rPr>
                <w:rFonts w:hint="default" w:ascii="Times New Roman" w:hAnsi="Times New Roman" w:eastAsia="宋体" w:cs="Times New Roman"/>
                <w:color w:val="auto"/>
                <w:sz w:val="24"/>
                <w:szCs w:val="24"/>
                <w:lang w:val="en-US" w:eastAsia="zh-CN"/>
              </w:rPr>
              <w:t>建材加工企业。</w:t>
            </w:r>
          </w:p>
          <w:p w14:paraId="5C4E30A9">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）除尘器收尘</w:t>
            </w:r>
          </w:p>
          <w:p w14:paraId="2D9D97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经计算，除尘器收尘量约</w:t>
            </w:r>
            <w:r>
              <w:rPr>
                <w:rFonts w:hint="eastAsia" w:cs="Times New Roman"/>
                <w:color w:val="0000FF"/>
                <w:sz w:val="24"/>
                <w:szCs w:val="24"/>
                <w:lang w:val="en-US" w:eastAsia="zh-CN"/>
              </w:rPr>
              <w:t>12.287</w:t>
            </w:r>
            <w:r>
              <w:rPr>
                <w:rFonts w:hint="default" w:ascii="Times New Roman" w:hAnsi="Times New Roman" w:eastAsia="宋体" w:cs="Times New Roman"/>
                <w:color w:val="0000FF"/>
                <w:sz w:val="24"/>
                <w:szCs w:val="24"/>
                <w:lang w:val="en-US" w:eastAsia="zh-CN"/>
              </w:rPr>
              <w:t>t/a</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代码为309-009-66，</w:t>
            </w:r>
            <w:r>
              <w:rPr>
                <w:rFonts w:hint="eastAsia" w:cs="Times New Roman"/>
                <w:color w:val="auto"/>
                <w:sz w:val="24"/>
                <w:szCs w:val="24"/>
                <w:lang w:val="en-US" w:eastAsia="zh-CN"/>
              </w:rPr>
              <w:t>回用于生产</w:t>
            </w:r>
            <w:r>
              <w:rPr>
                <w:rFonts w:hint="default" w:ascii="Times New Roman" w:hAnsi="Times New Roman" w:eastAsia="宋体" w:cs="Times New Roman"/>
                <w:color w:val="auto"/>
                <w:sz w:val="24"/>
                <w:szCs w:val="24"/>
                <w:lang w:val="en-US" w:eastAsia="zh-CN"/>
              </w:rPr>
              <w:t>。</w:t>
            </w:r>
          </w:p>
          <w:p w14:paraId="0B2A71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沥青残渣</w:t>
            </w:r>
          </w:p>
          <w:p w14:paraId="20B2BB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企业提供资料</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生产过程中滴漏产生的沥青残渣</w:t>
            </w:r>
            <w:r>
              <w:rPr>
                <w:rFonts w:hint="default" w:ascii="Times New Roman" w:hAnsi="Times New Roman" w:eastAsia="宋体" w:cs="Times New Roman"/>
                <w:color w:val="auto"/>
                <w:sz w:val="24"/>
                <w:szCs w:val="24"/>
              </w:rPr>
              <w:t>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代码为309-009-99，回用于生产</w:t>
            </w:r>
            <w:r>
              <w:rPr>
                <w:rFonts w:hint="default" w:ascii="Times New Roman" w:hAnsi="Times New Roman" w:eastAsia="宋体" w:cs="Times New Roman"/>
                <w:color w:val="auto"/>
                <w:sz w:val="24"/>
                <w:szCs w:val="24"/>
                <w:lang w:val="en-US" w:eastAsia="zh-CN"/>
              </w:rPr>
              <w:t>。</w:t>
            </w:r>
          </w:p>
          <w:p w14:paraId="5C7D4F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2、危险废物</w:t>
            </w:r>
          </w:p>
          <w:p w14:paraId="196B99E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废过滤棉</w:t>
            </w:r>
          </w:p>
          <w:p w14:paraId="21C5B33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沥青烟处理装置</w:t>
            </w:r>
            <w:r>
              <w:rPr>
                <w:rFonts w:hint="default" w:ascii="Times New Roman" w:hAnsi="Times New Roman" w:eastAsia="宋体" w:cs="Times New Roman"/>
                <w:color w:val="auto"/>
                <w:sz w:val="24"/>
                <w:szCs w:val="24"/>
                <w:lang w:val="en-US" w:eastAsia="zh-CN"/>
              </w:rPr>
              <w:t>中的过滤棉需定期更换，产生废过滤棉量约</w:t>
            </w:r>
            <w:r>
              <w:rPr>
                <w:rFonts w:hint="eastAsia" w:cs="Times New Roman"/>
                <w:color w:val="auto"/>
                <w:sz w:val="24"/>
                <w:szCs w:val="24"/>
                <w:lang w:val="en-US" w:eastAsia="zh-CN"/>
              </w:rPr>
              <w:t>0.12</w:t>
            </w:r>
            <w:r>
              <w:rPr>
                <w:rFonts w:hint="default" w:ascii="Times New Roman" w:hAnsi="Times New Roman" w:eastAsia="宋体" w:cs="Times New Roman"/>
                <w:color w:val="auto"/>
                <w:sz w:val="24"/>
                <w:szCs w:val="24"/>
                <w:lang w:val="en-US" w:eastAsia="zh-CN"/>
              </w:rPr>
              <w:t>t/a。根据《国家危险废物名录》</w:t>
            </w:r>
            <w:r>
              <w:rPr>
                <w:rFonts w:hint="default" w:ascii="Times New Roman" w:hAnsi="Times New Roman" w:eastAsia="宋体" w:cs="Times New Roman"/>
                <w:color w:val="auto"/>
                <w:sz w:val="24"/>
                <w:szCs w:val="24"/>
              </w:rPr>
              <w:t>（2021</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版）</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lang w:val="en-US" w:eastAsia="zh-CN"/>
              </w:rPr>
              <w:t>属于危险废物，废物类别HW49其他废物，废物代码900-041-49，</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eastAsia" w:cs="Times New Roman"/>
                <w:color w:val="auto"/>
                <w:sz w:val="24"/>
                <w:szCs w:val="24"/>
                <w:lang w:val="en-US" w:eastAsia="zh-CN"/>
              </w:rPr>
              <w:t>。</w:t>
            </w:r>
          </w:p>
          <w:p w14:paraId="30CCBED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）废活性炭</w:t>
            </w:r>
          </w:p>
          <w:p w14:paraId="50B18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auto"/>
                <w:sz w:val="24"/>
                <w:szCs w:val="24"/>
                <w:vertAlign w:val="baseline"/>
                <w:lang w:val="en-US" w:eastAsia="zh-CN"/>
              </w:rPr>
            </w:pPr>
            <w:r>
              <w:rPr>
                <w:rFonts w:hint="eastAsia" w:cs="Times New Roman"/>
                <w:color w:val="0000FF"/>
                <w:sz w:val="24"/>
                <w:szCs w:val="24"/>
                <w:lang w:eastAsia="zh-CN"/>
              </w:rPr>
              <w:t>根据工程分析</w:t>
            </w:r>
            <w:r>
              <w:rPr>
                <w:rFonts w:hint="default" w:ascii="Times New Roman" w:hAnsi="Times New Roman" w:eastAsia="宋体" w:cs="Times New Roman"/>
                <w:color w:val="0000FF"/>
                <w:sz w:val="24"/>
                <w:szCs w:val="24"/>
              </w:rPr>
              <w:t>，</w:t>
            </w:r>
            <w:r>
              <w:rPr>
                <w:rFonts w:hint="eastAsia" w:cs="Times New Roman"/>
                <w:color w:val="0000FF"/>
                <w:sz w:val="24"/>
                <w:szCs w:val="24"/>
                <w:lang w:val="en-US" w:eastAsia="zh-CN"/>
              </w:rPr>
              <w:t>收集的有组织</w:t>
            </w:r>
            <w:r>
              <w:rPr>
                <w:rFonts w:hint="default" w:ascii="Times New Roman" w:hAnsi="Times New Roman" w:eastAsia="宋体" w:cs="Times New Roman"/>
                <w:color w:val="0000FF"/>
                <w:sz w:val="24"/>
                <w:szCs w:val="24"/>
                <w:lang w:val="en-US" w:eastAsia="zh-CN"/>
              </w:rPr>
              <w:t>沥青</w:t>
            </w:r>
            <w:r>
              <w:rPr>
                <w:rFonts w:hint="eastAsia" w:cs="Times New Roman"/>
                <w:color w:val="0000FF"/>
                <w:sz w:val="24"/>
                <w:szCs w:val="24"/>
                <w:lang w:val="en-US" w:eastAsia="zh-CN"/>
              </w:rPr>
              <w:t>烟</w:t>
            </w:r>
            <w:r>
              <w:rPr>
                <w:rFonts w:hint="default" w:ascii="Times New Roman" w:hAnsi="Times New Roman" w:eastAsia="宋体" w:cs="Times New Roman"/>
                <w:color w:val="0000FF"/>
                <w:sz w:val="24"/>
                <w:szCs w:val="24"/>
                <w:lang w:val="en-US" w:eastAsia="zh-CN"/>
              </w:rPr>
              <w:t>为</w:t>
            </w:r>
            <w:r>
              <w:rPr>
                <w:rFonts w:hint="eastAsia" w:cs="Times New Roman"/>
                <w:color w:val="0000FF"/>
                <w:sz w:val="24"/>
                <w:szCs w:val="24"/>
                <w:lang w:val="en-US" w:eastAsia="zh-CN"/>
              </w:rPr>
              <w:t>4.622</w:t>
            </w:r>
            <w:r>
              <w:rPr>
                <w:rFonts w:hint="default" w:ascii="Times New Roman" w:hAnsi="Times New Roman" w:eastAsia="宋体" w:cs="Times New Roman"/>
                <w:color w:val="0000FF"/>
                <w:sz w:val="24"/>
                <w:szCs w:val="24"/>
                <w:lang w:val="en-US" w:eastAsia="zh-CN"/>
              </w:rPr>
              <w:t>t/a，电捕焦油器净化效率为</w:t>
            </w:r>
            <w:r>
              <w:rPr>
                <w:rFonts w:hint="eastAsia" w:cs="Times New Roman"/>
                <w:color w:val="0000FF"/>
                <w:sz w:val="24"/>
                <w:szCs w:val="24"/>
                <w:lang w:val="en-US" w:eastAsia="zh-CN"/>
              </w:rPr>
              <w:t>95</w:t>
            </w:r>
            <w:r>
              <w:rPr>
                <w:rFonts w:hint="default" w:ascii="Times New Roman" w:hAnsi="Times New Roman" w:eastAsia="宋体"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则</w:t>
            </w:r>
            <w:r>
              <w:rPr>
                <w:rFonts w:hint="default" w:ascii="Times New Roman" w:hAnsi="Times New Roman" w:eastAsia="宋体" w:cs="Times New Roman"/>
                <w:color w:val="0000FF"/>
                <w:sz w:val="24"/>
                <w:szCs w:val="24"/>
                <w:lang w:val="en-US" w:eastAsia="zh-CN"/>
              </w:rPr>
              <w:t>进入活性炭的</w:t>
            </w:r>
            <w:r>
              <w:rPr>
                <w:rFonts w:hint="eastAsia" w:cs="Times New Roman"/>
                <w:color w:val="0000FF"/>
                <w:sz w:val="24"/>
                <w:szCs w:val="24"/>
                <w:lang w:val="en-US" w:eastAsia="zh-CN"/>
              </w:rPr>
              <w:t>沥青烟为0.231</w:t>
            </w:r>
            <w:r>
              <w:rPr>
                <w:rFonts w:hint="default" w:ascii="Times New Roman" w:hAnsi="Times New Roman" w:eastAsia="宋体" w:cs="Times New Roman"/>
                <w:color w:val="0000FF"/>
                <w:sz w:val="24"/>
                <w:szCs w:val="24"/>
                <w:lang w:val="en-US" w:eastAsia="zh-CN"/>
              </w:rPr>
              <w:t>t/a，活性炭吸附效率为90%，</w:t>
            </w:r>
            <w:r>
              <w:rPr>
                <w:rFonts w:hint="eastAsia" w:cs="Times New Roman"/>
                <w:color w:val="0000FF"/>
                <w:sz w:val="24"/>
                <w:szCs w:val="24"/>
                <w:lang w:val="en-US" w:eastAsia="zh-CN"/>
              </w:rPr>
              <w:t>则</w:t>
            </w:r>
            <w:r>
              <w:rPr>
                <w:rFonts w:hint="default" w:ascii="Times New Roman" w:hAnsi="Times New Roman" w:eastAsia="宋体" w:cs="Times New Roman"/>
                <w:color w:val="0000FF"/>
                <w:sz w:val="24"/>
                <w:szCs w:val="24"/>
              </w:rPr>
              <w:t>活性炭吸附的</w:t>
            </w:r>
            <w:r>
              <w:rPr>
                <w:rFonts w:hint="eastAsia" w:cs="Times New Roman"/>
                <w:color w:val="0000FF"/>
                <w:sz w:val="24"/>
                <w:szCs w:val="24"/>
                <w:lang w:val="en-US" w:eastAsia="zh-CN"/>
              </w:rPr>
              <w:t>沥青烟气</w:t>
            </w:r>
            <w:r>
              <w:rPr>
                <w:rFonts w:hint="default" w:ascii="Times New Roman" w:hAnsi="Times New Roman" w:eastAsia="宋体" w:cs="Times New Roman"/>
                <w:color w:val="0000FF"/>
                <w:sz w:val="24"/>
                <w:szCs w:val="24"/>
              </w:rPr>
              <w:t>为</w:t>
            </w:r>
            <w:r>
              <w:rPr>
                <w:rFonts w:hint="eastAsia" w:cs="Times New Roman"/>
                <w:color w:val="0000FF"/>
                <w:sz w:val="24"/>
                <w:szCs w:val="24"/>
                <w:lang w:val="en-US" w:eastAsia="zh-CN"/>
              </w:rPr>
              <w:t>0.208</w:t>
            </w:r>
            <w:r>
              <w:rPr>
                <w:rFonts w:hint="default" w:ascii="Times New Roman" w:hAnsi="Times New Roman" w:eastAsia="宋体" w:cs="Times New Roman"/>
                <w:color w:val="0000FF"/>
                <w:sz w:val="24"/>
                <w:szCs w:val="24"/>
              </w:rPr>
              <w:t>t/a，活性炭与VOCs的吸附重量比例</w:t>
            </w:r>
            <w:r>
              <w:rPr>
                <w:rFonts w:hint="eastAsia" w:cs="Times New Roman"/>
                <w:color w:val="0000FF"/>
                <w:sz w:val="24"/>
                <w:szCs w:val="24"/>
                <w:lang w:eastAsia="zh-CN"/>
              </w:rPr>
              <w:t>按</w:t>
            </w:r>
            <w:r>
              <w:rPr>
                <w:rFonts w:hint="eastAsia" w:cs="Times New Roman"/>
                <w:color w:val="0000FF"/>
                <w:sz w:val="24"/>
                <w:szCs w:val="24"/>
                <w:lang w:val="en-US" w:eastAsia="zh-CN"/>
              </w:rPr>
              <w:t>0.2</w:t>
            </w:r>
            <w:r>
              <w:rPr>
                <w:rFonts w:hint="default" w:ascii="Times New Roman" w:hAnsi="Times New Roman" w:eastAsia="宋体" w:cs="Times New Roman"/>
                <w:color w:val="0000FF"/>
                <w:sz w:val="24"/>
                <w:szCs w:val="24"/>
                <w:lang w:val="en-US" w:eastAsia="zh-CN"/>
              </w:rPr>
              <w:t>5，</w:t>
            </w:r>
            <w:r>
              <w:rPr>
                <w:rFonts w:hint="default" w:ascii="Times New Roman" w:hAnsi="Times New Roman" w:eastAsia="宋体" w:cs="Times New Roman"/>
                <w:color w:val="0000FF"/>
                <w:sz w:val="24"/>
                <w:szCs w:val="24"/>
              </w:rPr>
              <w:t>则活性炭使用量</w:t>
            </w:r>
            <w:r>
              <w:rPr>
                <w:rFonts w:hint="eastAsia" w:cs="Times New Roman"/>
                <w:color w:val="0000FF"/>
                <w:sz w:val="24"/>
                <w:szCs w:val="24"/>
                <w:lang w:eastAsia="zh-CN"/>
              </w:rPr>
              <w:t>不低于</w:t>
            </w:r>
            <w:r>
              <w:rPr>
                <w:rFonts w:hint="eastAsia" w:cs="Times New Roman"/>
                <w:color w:val="0000FF"/>
                <w:sz w:val="24"/>
                <w:szCs w:val="24"/>
                <w:lang w:val="en-US" w:eastAsia="zh-CN"/>
              </w:rPr>
              <w:t>0.832</w:t>
            </w:r>
            <w:r>
              <w:rPr>
                <w:rFonts w:hint="default" w:ascii="Times New Roman" w:hAnsi="Times New Roman" w:eastAsia="宋体" w:cs="Times New Roman"/>
                <w:color w:val="0000FF"/>
                <w:sz w:val="24"/>
                <w:szCs w:val="24"/>
              </w:rPr>
              <w:t>t/a，</w:t>
            </w:r>
            <w:r>
              <w:rPr>
                <w:rFonts w:hint="eastAsia" w:cs="Times New Roman"/>
                <w:color w:val="0000FF"/>
                <w:sz w:val="24"/>
                <w:szCs w:val="24"/>
                <w:lang w:val="en-US" w:eastAsia="zh-CN"/>
              </w:rPr>
              <w:t>生产期间更换次数为4次</w:t>
            </w:r>
            <w:r>
              <w:rPr>
                <w:rFonts w:hint="eastAsia" w:cs="Times New Roman"/>
                <w:color w:val="0000FF"/>
                <w:sz w:val="24"/>
                <w:szCs w:val="24"/>
                <w:lang w:eastAsia="zh-CN"/>
              </w:rPr>
              <w:t>，要求活性炭一次填充量为</w:t>
            </w:r>
            <w:r>
              <w:rPr>
                <w:rFonts w:hint="eastAsia" w:cs="Times New Roman"/>
                <w:color w:val="0000FF"/>
                <w:sz w:val="24"/>
                <w:szCs w:val="24"/>
                <w:lang w:val="en-US" w:eastAsia="zh-CN"/>
              </w:rPr>
              <w:t>0.208t，则</w:t>
            </w:r>
            <w:r>
              <w:rPr>
                <w:rFonts w:hint="default" w:ascii="Times New Roman" w:hAnsi="Times New Roman" w:eastAsia="宋体" w:cs="Times New Roman"/>
                <w:color w:val="0000FF"/>
                <w:sz w:val="24"/>
                <w:szCs w:val="24"/>
              </w:rPr>
              <w:t>废活性炭产生量约为</w:t>
            </w:r>
            <w:r>
              <w:rPr>
                <w:rFonts w:hint="eastAsia" w:cs="Times New Roman"/>
                <w:color w:val="0000FF"/>
                <w:sz w:val="24"/>
                <w:szCs w:val="24"/>
                <w:lang w:val="en-US" w:eastAsia="zh-CN"/>
              </w:rPr>
              <w:t>1.04</w:t>
            </w:r>
            <w:r>
              <w:rPr>
                <w:rFonts w:hint="default" w:ascii="Times New Roman" w:hAnsi="Times New Roman" w:eastAsia="宋体" w:cs="Times New Roman"/>
                <w:color w:val="0000FF"/>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根据《国家危险废物名录》</w:t>
            </w:r>
            <w:r>
              <w:rPr>
                <w:rFonts w:hint="default" w:ascii="Times New Roman" w:hAnsi="Times New Roman" w:eastAsia="宋体" w:cs="Times New Roman"/>
                <w:color w:val="auto"/>
                <w:sz w:val="24"/>
                <w:szCs w:val="24"/>
              </w:rPr>
              <w:t>（2021</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版）</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lang w:val="en-US" w:eastAsia="zh-CN"/>
              </w:rPr>
              <w:t>属于危险废物，废物类别HW49其他废物，废物代码900-0</w:t>
            </w:r>
            <w:r>
              <w:rPr>
                <w:rFonts w:hint="eastAsia" w:ascii="Times New Roman" w:hAnsi="Times New Roman" w:eastAsia="宋体" w:cs="Times New Roman"/>
                <w:color w:val="auto"/>
                <w:sz w:val="24"/>
                <w:szCs w:val="24"/>
                <w:lang w:val="en-US" w:eastAsia="zh-CN"/>
              </w:rPr>
              <w:t>39</w:t>
            </w:r>
            <w:r>
              <w:rPr>
                <w:rFonts w:hint="default" w:ascii="Times New Roman" w:hAnsi="Times New Roman" w:eastAsia="宋体" w:cs="Times New Roman"/>
                <w:color w:val="auto"/>
                <w:sz w:val="24"/>
                <w:szCs w:val="24"/>
                <w:lang w:val="en-US" w:eastAsia="zh-CN"/>
              </w:rPr>
              <w:t>-49，</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eastAsia" w:ascii="Times New Roman" w:hAnsi="Times New Roman" w:eastAsia="宋体" w:cs="Times New Roman"/>
                <w:bCs/>
                <w:color w:val="auto"/>
                <w:sz w:val="24"/>
                <w:szCs w:val="24"/>
                <w:vertAlign w:val="baseline"/>
                <w:lang w:val="en-US" w:eastAsia="zh-CN"/>
              </w:rPr>
              <w:t>。</w:t>
            </w:r>
          </w:p>
          <w:p w14:paraId="13E4156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）废导热油</w:t>
            </w:r>
          </w:p>
          <w:p w14:paraId="159116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项目导热油炉的导热油需要</w:t>
            </w:r>
            <w:r>
              <w:rPr>
                <w:rFonts w:hint="eastAsia" w:cs="Times New Roman"/>
                <w:color w:val="auto"/>
                <w:sz w:val="24"/>
                <w:szCs w:val="24"/>
                <w:lang w:val="en-US" w:eastAsia="zh-CN"/>
              </w:rPr>
              <w:t>定期</w:t>
            </w:r>
            <w:r>
              <w:rPr>
                <w:rFonts w:hint="default" w:ascii="Times New Roman" w:hAnsi="Times New Roman" w:eastAsia="宋体" w:cs="Times New Roman"/>
                <w:color w:val="auto"/>
                <w:sz w:val="24"/>
                <w:szCs w:val="24"/>
                <w:lang w:val="en-US" w:eastAsia="zh-CN"/>
              </w:rPr>
              <w:t>更换，</w:t>
            </w:r>
            <w:r>
              <w:rPr>
                <w:rFonts w:hint="eastAsia" w:cs="Times New Roman"/>
                <w:color w:val="auto"/>
                <w:sz w:val="24"/>
                <w:szCs w:val="24"/>
                <w:lang w:val="en-US" w:eastAsia="zh-CN"/>
              </w:rPr>
              <w:t>产生的废导热油</w:t>
            </w:r>
            <w:r>
              <w:rPr>
                <w:rFonts w:hint="default" w:ascii="Times New Roman" w:hAnsi="Times New Roman" w:eastAsia="宋体" w:cs="Times New Roman"/>
                <w:color w:val="auto"/>
                <w:sz w:val="24"/>
                <w:szCs w:val="24"/>
                <w:lang w:val="en-US" w:eastAsia="zh-CN"/>
              </w:rPr>
              <w:t>为1t/a，根据《国家危险废物名录》（2021年版），</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lang w:val="en-US" w:eastAsia="zh-CN"/>
              </w:rPr>
              <w:t>属于危险废物，</w:t>
            </w:r>
            <w:r>
              <w:rPr>
                <w:rFonts w:hint="eastAsia" w:cs="Times New Roman"/>
                <w:color w:val="auto"/>
                <w:sz w:val="24"/>
                <w:szCs w:val="24"/>
                <w:lang w:val="en-US" w:eastAsia="zh-CN"/>
              </w:rPr>
              <w:t>废物类别HW08，废物</w:t>
            </w:r>
            <w:r>
              <w:rPr>
                <w:rFonts w:hint="default" w:ascii="Times New Roman" w:hAnsi="Times New Roman" w:eastAsia="宋体" w:cs="Times New Roman"/>
                <w:color w:val="auto"/>
                <w:sz w:val="24"/>
                <w:szCs w:val="24"/>
                <w:lang w:val="en-US" w:eastAsia="zh-CN"/>
              </w:rPr>
              <w:t>代码900-249-</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default" w:ascii="Times New Roman" w:hAnsi="Times New Roman" w:eastAsia="宋体" w:cs="Times New Roman"/>
                <w:color w:val="auto"/>
                <w:sz w:val="24"/>
                <w:szCs w:val="24"/>
                <w:lang w:val="en-US" w:eastAsia="zh-CN"/>
              </w:rPr>
              <w:t>。</w:t>
            </w:r>
          </w:p>
          <w:p w14:paraId="7189D33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）废润滑油</w:t>
            </w:r>
          </w:p>
          <w:p w14:paraId="2AE3B0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项目设备保养会产生少量的废润滑油，产生量为0.02t，根据《国家危险废物名录》（2021年版），</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lang w:val="en-US" w:eastAsia="zh-CN"/>
              </w:rPr>
              <w:t>属于危险废物，</w:t>
            </w:r>
            <w:r>
              <w:rPr>
                <w:rFonts w:hint="eastAsia" w:cs="Times New Roman"/>
                <w:color w:val="auto"/>
                <w:sz w:val="24"/>
                <w:szCs w:val="24"/>
                <w:lang w:val="en-US" w:eastAsia="zh-CN"/>
              </w:rPr>
              <w:t>废物类别HW08，废物代码</w:t>
            </w:r>
            <w:r>
              <w:rPr>
                <w:rFonts w:hint="default" w:ascii="Times New Roman" w:hAnsi="Times New Roman" w:eastAsia="宋体" w:cs="Times New Roman"/>
                <w:color w:val="auto"/>
                <w:sz w:val="24"/>
                <w:szCs w:val="24"/>
                <w:lang w:val="en-US" w:eastAsia="zh-CN"/>
              </w:rPr>
              <w:t>900-217-08，</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default" w:ascii="Times New Roman" w:hAnsi="Times New Roman" w:eastAsia="宋体" w:cs="Times New Roman"/>
                <w:color w:val="auto"/>
                <w:sz w:val="24"/>
                <w:szCs w:val="24"/>
                <w:lang w:val="en-US" w:eastAsia="zh-CN"/>
              </w:rPr>
              <w:t>。</w:t>
            </w:r>
          </w:p>
          <w:p w14:paraId="2D78A1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废油桶</w:t>
            </w:r>
          </w:p>
          <w:p w14:paraId="6FFCF7F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矿物油为桶装，产生的废油桶约为</w:t>
            </w:r>
            <w:r>
              <w:rPr>
                <w:rFonts w:hint="default" w:ascii="Times New Roman" w:hAnsi="Times New Roman" w:eastAsia="宋体" w:cs="Times New Roman"/>
                <w:color w:val="auto"/>
                <w:sz w:val="24"/>
                <w:szCs w:val="24"/>
                <w:lang w:val="en-US" w:eastAsia="zh-CN"/>
              </w:rPr>
              <w:t>0.1t，根据《国家危险废物名录》（2021年版），</w:t>
            </w:r>
            <w:r>
              <w:rPr>
                <w:rFonts w:hint="eastAsia" w:cs="Times New Roman"/>
                <w:color w:val="auto"/>
                <w:sz w:val="24"/>
                <w:szCs w:val="24"/>
                <w:lang w:val="en-US" w:eastAsia="zh-CN"/>
              </w:rPr>
              <w:t>其</w:t>
            </w:r>
            <w:r>
              <w:rPr>
                <w:rFonts w:hint="default" w:ascii="Times New Roman" w:hAnsi="Times New Roman" w:eastAsia="宋体" w:cs="Times New Roman"/>
                <w:color w:val="auto"/>
                <w:sz w:val="24"/>
                <w:szCs w:val="24"/>
                <w:lang w:val="en-US" w:eastAsia="zh-CN"/>
              </w:rPr>
              <w:t>属于危险废物，</w:t>
            </w:r>
            <w:r>
              <w:rPr>
                <w:rFonts w:hint="eastAsia" w:cs="Times New Roman"/>
                <w:color w:val="auto"/>
                <w:sz w:val="24"/>
                <w:szCs w:val="24"/>
                <w:lang w:val="en-US" w:eastAsia="zh-CN"/>
              </w:rPr>
              <w:t>废物类别HW08，废物代码</w:t>
            </w:r>
            <w:r>
              <w:rPr>
                <w:rFonts w:hint="default" w:ascii="Times New Roman" w:hAnsi="Times New Roman" w:eastAsia="宋体" w:cs="Times New Roman"/>
                <w:color w:val="auto"/>
                <w:sz w:val="24"/>
                <w:szCs w:val="24"/>
                <w:lang w:val="en-US" w:eastAsia="zh-CN"/>
              </w:rPr>
              <w:t>900-2</w:t>
            </w:r>
            <w:r>
              <w:rPr>
                <w:rFonts w:hint="eastAsia"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-08，</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default" w:ascii="Times New Roman" w:hAnsi="Times New Roman" w:eastAsia="宋体" w:cs="Times New Roman"/>
                <w:color w:val="auto"/>
                <w:sz w:val="24"/>
                <w:szCs w:val="24"/>
                <w:lang w:val="en-US" w:eastAsia="zh-CN"/>
              </w:rPr>
              <w:t>。</w:t>
            </w:r>
          </w:p>
          <w:p w14:paraId="3226697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焦油沉渣</w:t>
            </w:r>
          </w:p>
          <w:p w14:paraId="5A9A30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w:t>
            </w:r>
            <w:r>
              <w:rPr>
                <w:rFonts w:hint="eastAsia" w:cs="Times New Roman"/>
                <w:bCs/>
                <w:color w:val="auto"/>
                <w:sz w:val="24"/>
                <w:szCs w:val="24"/>
                <w:vertAlign w:val="baseline"/>
                <w:lang w:val="en-US" w:eastAsia="zh-CN"/>
              </w:rPr>
              <w:t>喷淋塔废水经隔油沉淀处理后循环使用</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隔油池产生的焦油沉渣</w:t>
            </w:r>
            <w:r>
              <w:rPr>
                <w:rFonts w:hint="default" w:ascii="Times New Roman" w:hAnsi="Times New Roman" w:eastAsia="宋体" w:cs="Times New Roman"/>
                <w:color w:val="auto"/>
                <w:kern w:val="0"/>
                <w:sz w:val="24"/>
                <w:szCs w:val="24"/>
                <w:lang w:val="en-US" w:eastAsia="zh-CN" w:bidi="ar"/>
              </w:rPr>
              <w:t>约为</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t/a。根据《国家危险废物名录（2021年版）》，</w:t>
            </w:r>
            <w:r>
              <w:rPr>
                <w:rFonts w:hint="eastAsia" w:cs="Times New Roman"/>
                <w:color w:val="auto"/>
                <w:kern w:val="0"/>
                <w:sz w:val="24"/>
                <w:szCs w:val="24"/>
                <w:lang w:val="en-US" w:eastAsia="zh-CN" w:bidi="ar"/>
              </w:rPr>
              <w:t>其属于危险废物，废物类别</w:t>
            </w:r>
            <w:r>
              <w:rPr>
                <w:rFonts w:hint="default" w:ascii="Times New Roman" w:hAnsi="Times New Roman" w:eastAsia="宋体" w:cs="Times New Roman"/>
                <w:color w:val="auto"/>
                <w:kern w:val="0"/>
                <w:sz w:val="24"/>
                <w:szCs w:val="24"/>
                <w:lang w:val="en-US" w:eastAsia="zh-CN" w:bidi="ar"/>
              </w:rPr>
              <w:t>HW08</w:t>
            </w:r>
            <w:r>
              <w:rPr>
                <w:rFonts w:hint="eastAsia" w:cs="Times New Roman"/>
                <w:color w:val="auto"/>
                <w:kern w:val="0"/>
                <w:sz w:val="24"/>
                <w:szCs w:val="24"/>
                <w:lang w:val="en-US" w:eastAsia="zh-CN" w:bidi="ar"/>
              </w:rPr>
              <w:t>，废物代码</w:t>
            </w:r>
            <w:r>
              <w:rPr>
                <w:rFonts w:hint="default" w:ascii="Times New Roman" w:hAnsi="Times New Roman" w:eastAsia="宋体" w:cs="Times New Roman"/>
                <w:color w:val="auto"/>
                <w:kern w:val="0"/>
                <w:sz w:val="24"/>
                <w:szCs w:val="24"/>
                <w:lang w:val="en-US" w:eastAsia="zh-CN" w:bidi="ar"/>
              </w:rPr>
              <w:t>900-210-08</w:t>
            </w:r>
            <w:r>
              <w:rPr>
                <w:rFonts w:hint="eastAsia" w:cs="Times New Roman"/>
                <w:color w:val="auto"/>
                <w:kern w:val="0"/>
                <w:sz w:val="24"/>
                <w:szCs w:val="24"/>
                <w:lang w:val="en-US" w:eastAsia="zh-CN" w:bidi="ar"/>
              </w:rPr>
              <w:t>，</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default" w:ascii="Times New Roman" w:hAnsi="Times New Roman" w:eastAsia="宋体" w:cs="Times New Roman"/>
                <w:color w:val="auto"/>
                <w:kern w:val="0"/>
                <w:sz w:val="24"/>
                <w:szCs w:val="24"/>
                <w:lang w:val="en-US" w:eastAsia="zh-CN" w:bidi="ar"/>
              </w:rPr>
              <w:t>。</w:t>
            </w:r>
          </w:p>
          <w:p w14:paraId="0688E6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）电捕焦油器</w:t>
            </w:r>
            <w:r>
              <w:rPr>
                <w:rFonts w:hint="eastAsia" w:ascii="Times New Roman" w:hAnsi="Times New Roman" w:eastAsia="宋体" w:cs="Times New Roman"/>
                <w:color w:val="auto"/>
                <w:sz w:val="24"/>
                <w:szCs w:val="24"/>
                <w:lang w:val="en-US" w:eastAsia="zh-CN"/>
              </w:rPr>
              <w:t>废油</w:t>
            </w:r>
          </w:p>
          <w:p w14:paraId="1B6D634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FF"/>
                <w:sz w:val="24"/>
                <w:szCs w:val="24"/>
                <w:lang w:val="en-US" w:eastAsia="zh-CN"/>
              </w:rPr>
              <w:t>根据工程分析，收集的有组织沥青烟为4.622t/a，电捕焦油器净化效率为</w:t>
            </w:r>
            <w:r>
              <w:rPr>
                <w:rFonts w:hint="eastAsia" w:cs="Times New Roman"/>
                <w:color w:val="0000FF"/>
                <w:sz w:val="24"/>
                <w:szCs w:val="24"/>
                <w:lang w:val="en-US" w:eastAsia="zh-CN"/>
              </w:rPr>
              <w:t>95</w:t>
            </w:r>
            <w:r>
              <w:rPr>
                <w:rFonts w:hint="default" w:ascii="Times New Roman" w:hAnsi="Times New Roman" w:eastAsia="宋体"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则收集的</w:t>
            </w:r>
            <w:r>
              <w:rPr>
                <w:rFonts w:hint="default" w:ascii="Times New Roman" w:hAnsi="Times New Roman" w:eastAsia="宋体" w:cs="Times New Roman"/>
                <w:color w:val="0000FF"/>
                <w:sz w:val="24"/>
                <w:szCs w:val="24"/>
                <w:lang w:val="en-US" w:eastAsia="zh-CN"/>
              </w:rPr>
              <w:t>电捕焦油器</w:t>
            </w:r>
            <w:r>
              <w:rPr>
                <w:rFonts w:hint="eastAsia" w:ascii="Times New Roman" w:hAnsi="Times New Roman" w:eastAsia="宋体" w:cs="Times New Roman"/>
                <w:color w:val="0000FF"/>
                <w:sz w:val="24"/>
                <w:szCs w:val="24"/>
                <w:lang w:val="en-US" w:eastAsia="zh-CN"/>
              </w:rPr>
              <w:t>废油</w:t>
            </w:r>
            <w:r>
              <w:rPr>
                <w:rFonts w:hint="eastAsia" w:cs="Times New Roman"/>
                <w:color w:val="0000FF"/>
                <w:sz w:val="24"/>
                <w:szCs w:val="24"/>
                <w:highlight w:val="none"/>
                <w:lang w:val="en-US" w:eastAsia="zh-CN"/>
              </w:rPr>
              <w:t>为4.391t/a，</w:t>
            </w:r>
            <w:r>
              <w:rPr>
                <w:rFonts w:hint="default" w:ascii="Times New Roman" w:hAnsi="Times New Roman" w:eastAsia="宋体" w:cs="Times New Roman"/>
                <w:color w:val="auto"/>
                <w:kern w:val="0"/>
                <w:sz w:val="24"/>
                <w:szCs w:val="24"/>
                <w:lang w:val="en-US" w:eastAsia="zh-CN" w:bidi="ar"/>
              </w:rPr>
              <w:t>根据《国家危险废物名录（2021年版）》，</w:t>
            </w:r>
            <w:r>
              <w:rPr>
                <w:rFonts w:hint="eastAsia" w:cs="Times New Roman"/>
                <w:color w:val="auto"/>
                <w:kern w:val="0"/>
                <w:sz w:val="24"/>
                <w:szCs w:val="24"/>
                <w:lang w:val="en-US" w:eastAsia="zh-CN" w:bidi="ar"/>
              </w:rPr>
              <w:t>其属于危险废物，</w:t>
            </w:r>
            <w:r>
              <w:rPr>
                <w:rFonts w:hint="default" w:ascii="Times New Roman" w:hAnsi="Times New Roman" w:eastAsia="宋体" w:cs="Times New Roman"/>
                <w:color w:val="auto"/>
                <w:sz w:val="24"/>
                <w:szCs w:val="24"/>
                <w:highlight w:val="none"/>
              </w:rPr>
              <w:t>废物类别HW08，废物代码</w:t>
            </w:r>
            <w:r>
              <w:rPr>
                <w:rFonts w:hint="default" w:ascii="Times New Roman" w:hAnsi="Times New Roman" w:eastAsia="宋体" w:cs="Times New Roman"/>
                <w:color w:val="auto"/>
                <w:sz w:val="24"/>
                <w:szCs w:val="24"/>
                <w:highlight w:val="none"/>
                <w:lang w:val="en-US" w:eastAsia="zh-CN"/>
              </w:rPr>
              <w:t>900-210-08，</w:t>
            </w:r>
            <w:r>
              <w:rPr>
                <w:rFonts w:hint="default" w:ascii="Times New Roman" w:hAnsi="Times New Roman" w:eastAsia="宋体" w:cs="Times New Roman"/>
                <w:bCs/>
                <w:color w:val="auto"/>
                <w:sz w:val="24"/>
                <w:szCs w:val="24"/>
                <w:vertAlign w:val="baseline"/>
                <w:lang w:val="en-US" w:eastAsia="zh-CN"/>
              </w:rPr>
              <w:t>暂存</w:t>
            </w:r>
            <w:r>
              <w:rPr>
                <w:rFonts w:hint="eastAsia" w:cs="Times New Roman"/>
                <w:bCs/>
                <w:color w:val="auto"/>
                <w:sz w:val="24"/>
                <w:szCs w:val="24"/>
                <w:vertAlign w:val="baseline"/>
                <w:lang w:val="en-US" w:eastAsia="zh-CN"/>
              </w:rPr>
              <w:t>危废库</w:t>
            </w:r>
            <w:r>
              <w:rPr>
                <w:rFonts w:hint="default" w:ascii="Times New Roman" w:hAnsi="Times New Roman" w:eastAsia="宋体" w:cs="Times New Roman"/>
                <w:bCs/>
                <w:color w:val="auto"/>
                <w:sz w:val="24"/>
                <w:szCs w:val="24"/>
                <w:vertAlign w:val="baseline"/>
                <w:lang w:val="en-US" w:eastAsia="zh-CN"/>
              </w:rPr>
              <w:t>，委托有资质单位处置</w:t>
            </w:r>
            <w:r>
              <w:rPr>
                <w:rFonts w:hint="default" w:ascii="Times New Roman" w:hAnsi="Times New Roman" w:eastAsia="宋体" w:cs="Times New Roman"/>
                <w:color w:val="auto"/>
                <w:sz w:val="24"/>
                <w:szCs w:val="24"/>
                <w:highlight w:val="none"/>
              </w:rPr>
              <w:t>。</w:t>
            </w:r>
          </w:p>
          <w:p w14:paraId="1E417EA8">
            <w:pPr>
              <w:keepNext w:val="0"/>
              <w:keepLines w:val="0"/>
              <w:pageBreakBefore w:val="0"/>
              <w:widowControl w:val="0"/>
              <w:numPr>
                <w:ilvl w:val="0"/>
                <w:numId w:val="13"/>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t>固废</w:t>
            </w:r>
            <w:r>
              <w:rPr>
                <w:rFonts w:hint="eastAsia" w:cs="Times New Roman"/>
                <w:b/>
                <w:bCs/>
                <w:caps w:val="0"/>
                <w:snapToGrid w:val="0"/>
                <w:color w:val="auto"/>
                <w:spacing w:val="0"/>
                <w:kern w:val="0"/>
                <w:position w:val="0"/>
                <w:sz w:val="24"/>
                <w:szCs w:val="24"/>
                <w:highlight w:val="none"/>
                <w:lang w:val="en-US" w:eastAsia="zh-CN" w:bidi="ar-SA"/>
              </w:rPr>
              <w:t>产生</w:t>
            </w:r>
            <w:r>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t>情况一览表</w:t>
            </w:r>
          </w:p>
          <w:tbl>
            <w:tblPr>
              <w:tblStyle w:val="24"/>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
              <w:gridCol w:w="221"/>
              <w:gridCol w:w="415"/>
              <w:gridCol w:w="221"/>
              <w:gridCol w:w="430"/>
              <w:gridCol w:w="535"/>
              <w:gridCol w:w="340"/>
              <w:gridCol w:w="990"/>
              <w:gridCol w:w="665"/>
              <w:gridCol w:w="665"/>
              <w:gridCol w:w="523"/>
              <w:gridCol w:w="734"/>
              <w:gridCol w:w="463"/>
              <w:gridCol w:w="1462"/>
            </w:tblGrid>
            <w:tr w14:paraId="7D56C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03B54E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0" w:type="pct"/>
                  <w:noWrap w:val="0"/>
                  <w:vAlign w:val="center"/>
                </w:tcPr>
                <w:p w14:paraId="1885D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63" w:type="pct"/>
                  <w:noWrap w:val="0"/>
                  <w:vAlign w:val="center"/>
                </w:tcPr>
                <w:p w14:paraId="3C2D4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140" w:type="pct"/>
                  <w:noWrap w:val="0"/>
                  <w:vAlign w:val="center"/>
                </w:tcPr>
                <w:p w14:paraId="500626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固废形态</w:t>
                  </w:r>
                </w:p>
              </w:tc>
              <w:tc>
                <w:tcPr>
                  <w:tcW w:w="272" w:type="pct"/>
                  <w:noWrap w:val="0"/>
                  <w:vAlign w:val="center"/>
                </w:tcPr>
                <w:p w14:paraId="38EFF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主要成分</w:t>
                  </w:r>
                </w:p>
              </w:tc>
              <w:tc>
                <w:tcPr>
                  <w:tcW w:w="339" w:type="pct"/>
                  <w:noWrap w:val="0"/>
                  <w:vAlign w:val="center"/>
                </w:tcPr>
                <w:p w14:paraId="44F4CB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有毒有害物质</w:t>
                  </w:r>
                </w:p>
              </w:tc>
              <w:tc>
                <w:tcPr>
                  <w:tcW w:w="215" w:type="pct"/>
                  <w:noWrap w:val="0"/>
                  <w:vAlign w:val="center"/>
                </w:tcPr>
                <w:p w14:paraId="5F218B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贮存方式</w:t>
                  </w:r>
                </w:p>
              </w:tc>
              <w:tc>
                <w:tcPr>
                  <w:tcW w:w="627" w:type="pct"/>
                  <w:noWrap w:val="0"/>
                  <w:vAlign w:val="center"/>
                </w:tcPr>
                <w:p w14:paraId="7B4E5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421" w:type="pct"/>
                  <w:noWrap w:val="0"/>
                  <w:vAlign w:val="center"/>
                </w:tcPr>
                <w:p w14:paraId="270F9C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t/a</w:t>
                  </w:r>
                  <w:r>
                    <w:rPr>
                      <w:rFonts w:hint="default" w:ascii="Times New Roman" w:hAnsi="Times New Roman" w:eastAsia="宋体" w:cs="Times New Roman"/>
                      <w:b/>
                      <w:bCs/>
                      <w:color w:val="auto"/>
                      <w:sz w:val="21"/>
                      <w:szCs w:val="21"/>
                      <w:highlight w:val="none"/>
                      <w:lang w:eastAsia="zh-CN"/>
                    </w:rPr>
                    <w:t>）</w:t>
                  </w:r>
                </w:p>
              </w:tc>
              <w:tc>
                <w:tcPr>
                  <w:tcW w:w="421" w:type="pct"/>
                  <w:noWrap w:val="0"/>
                  <w:vAlign w:val="center"/>
                </w:tcPr>
                <w:p w14:paraId="19052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利用/处置量（t/a）</w:t>
                  </w:r>
                </w:p>
              </w:tc>
              <w:tc>
                <w:tcPr>
                  <w:tcW w:w="331" w:type="pct"/>
                  <w:noWrap w:val="0"/>
                  <w:vAlign w:val="center"/>
                </w:tcPr>
                <w:p w14:paraId="42960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性质</w:t>
                  </w:r>
                </w:p>
              </w:tc>
              <w:tc>
                <w:tcPr>
                  <w:tcW w:w="465" w:type="pct"/>
                  <w:noWrap w:val="0"/>
                  <w:vAlign w:val="center"/>
                </w:tcPr>
                <w:p w14:paraId="58E36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处置方式</w:t>
                  </w:r>
                </w:p>
              </w:tc>
              <w:tc>
                <w:tcPr>
                  <w:tcW w:w="293" w:type="pct"/>
                  <w:noWrap w:val="0"/>
                  <w:vAlign w:val="center"/>
                </w:tcPr>
                <w:p w14:paraId="3D20F8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927" w:type="pct"/>
                  <w:noWrap w:val="0"/>
                  <w:vAlign w:val="center"/>
                </w:tcPr>
                <w:p w14:paraId="15AB2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环境管理要求</w:t>
                  </w:r>
                </w:p>
              </w:tc>
            </w:tr>
            <w:tr w14:paraId="5EB4D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45A2F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140" w:type="pct"/>
                  <w:noWrap w:val="0"/>
                  <w:vAlign w:val="center"/>
                </w:tcPr>
                <w:p w14:paraId="662FE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生活垃圾</w:t>
                  </w:r>
                </w:p>
              </w:tc>
              <w:tc>
                <w:tcPr>
                  <w:tcW w:w="263" w:type="pct"/>
                  <w:noWrap w:val="0"/>
                  <w:vAlign w:val="center"/>
                </w:tcPr>
                <w:p w14:paraId="71FAF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职工生活</w:t>
                  </w:r>
                </w:p>
              </w:tc>
              <w:tc>
                <w:tcPr>
                  <w:tcW w:w="140" w:type="pct"/>
                  <w:noWrap w:val="0"/>
                  <w:vAlign w:val="center"/>
                </w:tcPr>
                <w:p w14:paraId="74EBC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47744D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纸屑等</w:t>
                  </w:r>
                </w:p>
              </w:tc>
              <w:tc>
                <w:tcPr>
                  <w:tcW w:w="339" w:type="pct"/>
                  <w:noWrap w:val="0"/>
                  <w:vAlign w:val="center"/>
                </w:tcPr>
                <w:p w14:paraId="1B79D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215" w:type="pct"/>
                  <w:noWrap w:val="0"/>
                  <w:vAlign w:val="center"/>
                </w:tcPr>
                <w:p w14:paraId="66D80E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627" w:type="pct"/>
                  <w:noWrap w:val="0"/>
                  <w:vAlign w:val="center"/>
                </w:tcPr>
                <w:p w14:paraId="55080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421" w:type="pct"/>
                  <w:noWrap w:val="0"/>
                  <w:vAlign w:val="center"/>
                </w:tcPr>
                <w:p w14:paraId="5F771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0000FF"/>
                      <w:sz w:val="21"/>
                      <w:szCs w:val="21"/>
                      <w:highlight w:val="none"/>
                      <w:lang w:val="en-US" w:eastAsia="zh-CN"/>
                    </w:rPr>
                    <w:t>0.42</w:t>
                  </w:r>
                </w:p>
              </w:tc>
              <w:tc>
                <w:tcPr>
                  <w:tcW w:w="421" w:type="pct"/>
                  <w:noWrap w:val="0"/>
                  <w:vAlign w:val="center"/>
                </w:tcPr>
                <w:p w14:paraId="6D199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0000FF"/>
                      <w:sz w:val="21"/>
                      <w:szCs w:val="21"/>
                      <w:highlight w:val="none"/>
                      <w:lang w:val="en-US" w:eastAsia="zh-CN"/>
                    </w:rPr>
                    <w:t>0.42</w:t>
                  </w:r>
                </w:p>
              </w:tc>
              <w:tc>
                <w:tcPr>
                  <w:tcW w:w="331" w:type="pct"/>
                  <w:noWrap w:val="0"/>
                  <w:vAlign w:val="center"/>
                </w:tcPr>
                <w:p w14:paraId="04601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465" w:type="pct"/>
                  <w:noWrap w:val="0"/>
                  <w:vAlign w:val="center"/>
                </w:tcPr>
                <w:p w14:paraId="2E463E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委托环卫部门清运</w:t>
                  </w:r>
                </w:p>
              </w:tc>
              <w:tc>
                <w:tcPr>
                  <w:tcW w:w="293" w:type="pct"/>
                  <w:noWrap w:val="0"/>
                  <w:vAlign w:val="center"/>
                </w:tcPr>
                <w:p w14:paraId="12329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27" w:type="pct"/>
                  <w:tcBorders>
                    <w:top w:val="single" w:color="auto" w:sz="4" w:space="0"/>
                  </w:tcBorders>
                  <w:noWrap w:val="0"/>
                  <w:vAlign w:val="center"/>
                </w:tcPr>
                <w:p w14:paraId="6D17FE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eastAsia="zh-CN"/>
                    </w:rPr>
                    <w:t>设置密闭垃圾桶，定期清运</w:t>
                  </w:r>
                </w:p>
              </w:tc>
            </w:tr>
            <w:tr w14:paraId="71C6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46F35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40" w:type="pct"/>
                  <w:noWrap w:val="0"/>
                  <w:vAlign w:val="center"/>
                </w:tcPr>
                <w:p w14:paraId="44CAE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废布袋</w:t>
                  </w:r>
                </w:p>
              </w:tc>
              <w:tc>
                <w:tcPr>
                  <w:tcW w:w="263" w:type="pct"/>
                  <w:noWrap w:val="0"/>
                  <w:vAlign w:val="center"/>
                </w:tcPr>
                <w:p w14:paraId="291345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除尘器</w:t>
                  </w:r>
                </w:p>
              </w:tc>
              <w:tc>
                <w:tcPr>
                  <w:tcW w:w="140" w:type="pct"/>
                  <w:noWrap w:val="0"/>
                  <w:vAlign w:val="center"/>
                </w:tcPr>
                <w:p w14:paraId="0719A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46EA0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纤维</w:t>
                  </w:r>
                </w:p>
              </w:tc>
              <w:tc>
                <w:tcPr>
                  <w:tcW w:w="339" w:type="pct"/>
                  <w:noWrap w:val="0"/>
                  <w:vAlign w:val="center"/>
                </w:tcPr>
                <w:p w14:paraId="19930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215" w:type="pct"/>
                  <w:noWrap w:val="0"/>
                  <w:vAlign w:val="center"/>
                </w:tcPr>
                <w:p w14:paraId="24ABC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627" w:type="pct"/>
                  <w:noWrap w:val="0"/>
                  <w:vAlign w:val="center"/>
                </w:tcPr>
                <w:p w14:paraId="4FFCBB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309-009-99</w:t>
                  </w:r>
                </w:p>
              </w:tc>
              <w:tc>
                <w:tcPr>
                  <w:tcW w:w="421" w:type="pct"/>
                  <w:noWrap w:val="0"/>
                  <w:vAlign w:val="center"/>
                </w:tcPr>
                <w:p w14:paraId="0B182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0.05</w:t>
                  </w:r>
                </w:p>
              </w:tc>
              <w:tc>
                <w:tcPr>
                  <w:tcW w:w="421" w:type="pct"/>
                  <w:noWrap w:val="0"/>
                  <w:vAlign w:val="center"/>
                </w:tcPr>
                <w:p w14:paraId="16101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0.05</w:t>
                  </w:r>
                </w:p>
              </w:tc>
              <w:tc>
                <w:tcPr>
                  <w:tcW w:w="331" w:type="pct"/>
                  <w:noWrap w:val="0"/>
                  <w:vAlign w:val="center"/>
                </w:tcPr>
                <w:p w14:paraId="5E9ED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一般工业固废</w:t>
                  </w:r>
                </w:p>
              </w:tc>
              <w:tc>
                <w:tcPr>
                  <w:tcW w:w="465" w:type="pct"/>
                  <w:noWrap w:val="0"/>
                  <w:vAlign w:val="center"/>
                </w:tcPr>
                <w:p w14:paraId="4FDAF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Cs/>
                      <w:color w:val="auto"/>
                      <w:sz w:val="21"/>
                      <w:szCs w:val="21"/>
                      <w:vertAlign w:val="baseline"/>
                      <w:lang w:val="en-US" w:eastAsia="zh-CN"/>
                    </w:rPr>
                    <w:t>委托厂家更换回收</w:t>
                  </w:r>
                </w:p>
              </w:tc>
              <w:tc>
                <w:tcPr>
                  <w:tcW w:w="293" w:type="pct"/>
                  <w:noWrap w:val="0"/>
                  <w:vAlign w:val="center"/>
                </w:tcPr>
                <w:p w14:paraId="1E5B5C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27" w:type="pct"/>
                  <w:tcBorders>
                    <w:top w:val="single" w:color="auto" w:sz="4" w:space="0"/>
                  </w:tcBorders>
                  <w:noWrap w:val="0"/>
                  <w:vAlign w:val="center"/>
                </w:tcPr>
                <w:p w14:paraId="3B990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厂区不储存</w:t>
                  </w:r>
                </w:p>
              </w:tc>
            </w:tr>
            <w:tr w14:paraId="7F66D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2D358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140" w:type="pct"/>
                  <w:noWrap w:val="0"/>
                  <w:vAlign w:val="center"/>
                </w:tcPr>
                <w:p w14:paraId="2D58C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沉淀池沉渣</w:t>
                  </w:r>
                </w:p>
              </w:tc>
              <w:tc>
                <w:tcPr>
                  <w:tcW w:w="263" w:type="pct"/>
                  <w:noWrap w:val="0"/>
                  <w:vAlign w:val="center"/>
                </w:tcPr>
                <w:p w14:paraId="7095DA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洗车台</w:t>
                  </w:r>
                  <w:r>
                    <w:rPr>
                      <w:rFonts w:hint="eastAsia" w:cs="Times New Roman"/>
                      <w:b w:val="0"/>
                      <w:bCs w:val="0"/>
                      <w:color w:val="auto"/>
                      <w:kern w:val="2"/>
                      <w:sz w:val="21"/>
                      <w:szCs w:val="21"/>
                      <w:highlight w:val="none"/>
                      <w:lang w:val="en-US" w:eastAsia="zh-CN" w:bidi="ar-SA"/>
                    </w:rPr>
                    <w:t>沉淀池</w:t>
                  </w:r>
                </w:p>
              </w:tc>
              <w:tc>
                <w:tcPr>
                  <w:tcW w:w="140" w:type="pct"/>
                  <w:noWrap w:val="0"/>
                  <w:vAlign w:val="center"/>
                </w:tcPr>
                <w:p w14:paraId="10600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半固态</w:t>
                  </w:r>
                </w:p>
              </w:tc>
              <w:tc>
                <w:tcPr>
                  <w:tcW w:w="272" w:type="pct"/>
                  <w:noWrap w:val="0"/>
                  <w:vAlign w:val="center"/>
                </w:tcPr>
                <w:p w14:paraId="423672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泥沙</w:t>
                  </w:r>
                </w:p>
              </w:tc>
              <w:tc>
                <w:tcPr>
                  <w:tcW w:w="339" w:type="pct"/>
                  <w:noWrap w:val="0"/>
                  <w:vAlign w:val="center"/>
                </w:tcPr>
                <w:p w14:paraId="6F238F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215" w:type="pct"/>
                  <w:noWrap w:val="0"/>
                  <w:vAlign w:val="center"/>
                </w:tcPr>
                <w:p w14:paraId="35A6D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袋装</w:t>
                  </w:r>
                </w:p>
              </w:tc>
              <w:tc>
                <w:tcPr>
                  <w:tcW w:w="627" w:type="pct"/>
                  <w:noWrap w:val="0"/>
                  <w:vAlign w:val="center"/>
                </w:tcPr>
                <w:p w14:paraId="27532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309-009-61</w:t>
                  </w:r>
                </w:p>
              </w:tc>
              <w:tc>
                <w:tcPr>
                  <w:tcW w:w="421" w:type="pct"/>
                  <w:noWrap w:val="0"/>
                  <w:vAlign w:val="center"/>
                </w:tcPr>
                <w:p w14:paraId="5E0682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c>
                <w:tcPr>
                  <w:tcW w:w="421" w:type="pct"/>
                  <w:noWrap w:val="0"/>
                  <w:vAlign w:val="center"/>
                </w:tcPr>
                <w:p w14:paraId="4419E2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c>
                <w:tcPr>
                  <w:tcW w:w="331" w:type="pct"/>
                  <w:noWrap w:val="0"/>
                  <w:vAlign w:val="center"/>
                </w:tcPr>
                <w:p w14:paraId="6365A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一般工业固废</w:t>
                  </w:r>
                </w:p>
              </w:tc>
              <w:tc>
                <w:tcPr>
                  <w:tcW w:w="465" w:type="pct"/>
                  <w:noWrap w:val="0"/>
                  <w:vAlign w:val="center"/>
                </w:tcPr>
                <w:p w14:paraId="28303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外售</w:t>
                  </w:r>
                  <w:r>
                    <w:rPr>
                      <w:rFonts w:hint="eastAsia"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建材加工企业</w:t>
                  </w:r>
                </w:p>
              </w:tc>
              <w:tc>
                <w:tcPr>
                  <w:tcW w:w="293" w:type="pct"/>
                  <w:noWrap w:val="0"/>
                  <w:vAlign w:val="center"/>
                </w:tcPr>
                <w:p w14:paraId="22D2F6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27" w:type="pct"/>
                  <w:noWrap w:val="0"/>
                  <w:vAlign w:val="center"/>
                </w:tcPr>
                <w:p w14:paraId="53CAA9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定期清理外售，厂区不储存</w:t>
                  </w:r>
                </w:p>
              </w:tc>
            </w:tr>
            <w:tr w14:paraId="7ABCE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6B9D8B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140" w:type="pct"/>
                  <w:noWrap w:val="0"/>
                  <w:vAlign w:val="center"/>
                </w:tcPr>
                <w:p w14:paraId="626B9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除尘器收尘</w:t>
                  </w:r>
                </w:p>
              </w:tc>
              <w:tc>
                <w:tcPr>
                  <w:tcW w:w="263" w:type="pct"/>
                  <w:noWrap w:val="0"/>
                  <w:vAlign w:val="center"/>
                </w:tcPr>
                <w:p w14:paraId="69D8F9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废气处理</w:t>
                  </w:r>
                </w:p>
              </w:tc>
              <w:tc>
                <w:tcPr>
                  <w:tcW w:w="140" w:type="pct"/>
                  <w:noWrap w:val="0"/>
                  <w:vAlign w:val="center"/>
                </w:tcPr>
                <w:p w14:paraId="48505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18DCD8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砂石粉尘</w:t>
                  </w:r>
                </w:p>
              </w:tc>
              <w:tc>
                <w:tcPr>
                  <w:tcW w:w="339" w:type="pct"/>
                  <w:noWrap w:val="0"/>
                  <w:vAlign w:val="center"/>
                </w:tcPr>
                <w:p w14:paraId="2EAAA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215" w:type="pct"/>
                  <w:noWrap w:val="0"/>
                  <w:vAlign w:val="center"/>
                </w:tcPr>
                <w:p w14:paraId="6EFCAD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袋装</w:t>
                  </w:r>
                </w:p>
              </w:tc>
              <w:tc>
                <w:tcPr>
                  <w:tcW w:w="627" w:type="pct"/>
                  <w:noWrap w:val="0"/>
                  <w:vAlign w:val="center"/>
                </w:tcPr>
                <w:p w14:paraId="77D042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309-009-66</w:t>
                  </w:r>
                </w:p>
              </w:tc>
              <w:tc>
                <w:tcPr>
                  <w:tcW w:w="421" w:type="pct"/>
                  <w:noWrap w:val="0"/>
                  <w:vAlign w:val="center"/>
                </w:tcPr>
                <w:p w14:paraId="62FC78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12.287</w:t>
                  </w:r>
                </w:p>
              </w:tc>
              <w:tc>
                <w:tcPr>
                  <w:tcW w:w="421" w:type="pct"/>
                  <w:noWrap w:val="0"/>
                  <w:vAlign w:val="center"/>
                </w:tcPr>
                <w:p w14:paraId="4BE39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12.287</w:t>
                  </w:r>
                </w:p>
              </w:tc>
              <w:tc>
                <w:tcPr>
                  <w:tcW w:w="331" w:type="pct"/>
                  <w:noWrap w:val="0"/>
                  <w:vAlign w:val="center"/>
                </w:tcPr>
                <w:p w14:paraId="240FEC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一般工业固废</w:t>
                  </w:r>
                </w:p>
              </w:tc>
              <w:tc>
                <w:tcPr>
                  <w:tcW w:w="465" w:type="pct"/>
                  <w:noWrap w:val="0"/>
                  <w:vAlign w:val="center"/>
                </w:tcPr>
                <w:p w14:paraId="452F0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回用于生产</w:t>
                  </w:r>
                </w:p>
              </w:tc>
              <w:tc>
                <w:tcPr>
                  <w:tcW w:w="293" w:type="pct"/>
                  <w:noWrap w:val="0"/>
                  <w:vAlign w:val="center"/>
                </w:tcPr>
                <w:p w14:paraId="2EA53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27" w:type="pct"/>
                  <w:vMerge w:val="restart"/>
                  <w:noWrap w:val="0"/>
                  <w:vAlign w:val="center"/>
                </w:tcPr>
                <w:p w14:paraId="25B73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车间内设置暂存处，</w:t>
                  </w:r>
                  <w:r>
                    <w:rPr>
                      <w:rFonts w:hint="eastAsia" w:ascii="Times New Roman" w:hAnsi="Times New Roman" w:eastAsia="宋体" w:cs="Times New Roman"/>
                      <w:b w:val="0"/>
                      <w:bCs w:val="0"/>
                      <w:color w:val="auto"/>
                      <w:sz w:val="21"/>
                      <w:szCs w:val="21"/>
                      <w:highlight w:val="none"/>
                      <w:lang w:eastAsia="zh-CN"/>
                    </w:rPr>
                    <w:t>分类存放，</w:t>
                  </w:r>
                  <w:r>
                    <w:rPr>
                      <w:rFonts w:hint="default" w:ascii="Times New Roman" w:hAnsi="Times New Roman" w:eastAsia="宋体" w:cs="Times New Roman"/>
                      <w:b w:val="0"/>
                      <w:bCs w:val="0"/>
                      <w:color w:val="auto"/>
                      <w:sz w:val="21"/>
                      <w:szCs w:val="21"/>
                      <w:highlight w:val="none"/>
                      <w:lang w:eastAsia="zh-CN"/>
                    </w:rPr>
                    <w:t>满足《一般工业固体废物贮存和填埋污染控制标准》（GB18599-2020）以及《中华人民共和国固体废物污染环境防治法》的相关要求</w:t>
                  </w:r>
                </w:p>
              </w:tc>
            </w:tr>
            <w:tr w14:paraId="5867A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32ED7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140" w:type="pct"/>
                  <w:noWrap w:val="0"/>
                  <w:vAlign w:val="center"/>
                </w:tcPr>
                <w:p w14:paraId="3BA34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沥青残渣</w:t>
                  </w:r>
                </w:p>
              </w:tc>
              <w:tc>
                <w:tcPr>
                  <w:tcW w:w="263" w:type="pct"/>
                  <w:noWrap w:val="0"/>
                  <w:vAlign w:val="center"/>
                </w:tcPr>
                <w:p w14:paraId="00A0A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生产工程</w:t>
                  </w:r>
                </w:p>
              </w:tc>
              <w:tc>
                <w:tcPr>
                  <w:tcW w:w="140" w:type="pct"/>
                  <w:noWrap w:val="0"/>
                  <w:vAlign w:val="center"/>
                </w:tcPr>
                <w:p w14:paraId="1D7FC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5142F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沥青、砂石</w:t>
                  </w:r>
                </w:p>
              </w:tc>
              <w:tc>
                <w:tcPr>
                  <w:tcW w:w="339" w:type="pct"/>
                  <w:noWrap w:val="0"/>
                  <w:vAlign w:val="center"/>
                </w:tcPr>
                <w:p w14:paraId="60C18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p>
              </w:tc>
              <w:tc>
                <w:tcPr>
                  <w:tcW w:w="215" w:type="pct"/>
                  <w:noWrap w:val="0"/>
                  <w:vAlign w:val="center"/>
                </w:tcPr>
                <w:p w14:paraId="4C17B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袋装</w:t>
                  </w:r>
                </w:p>
              </w:tc>
              <w:tc>
                <w:tcPr>
                  <w:tcW w:w="627" w:type="pct"/>
                  <w:noWrap w:val="0"/>
                  <w:vAlign w:val="center"/>
                </w:tcPr>
                <w:p w14:paraId="2D8DA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309-009-99</w:t>
                  </w:r>
                </w:p>
              </w:tc>
              <w:tc>
                <w:tcPr>
                  <w:tcW w:w="421" w:type="pct"/>
                  <w:noWrap w:val="0"/>
                  <w:vAlign w:val="center"/>
                </w:tcPr>
                <w:p w14:paraId="53765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421" w:type="pct"/>
                  <w:noWrap w:val="0"/>
                  <w:vAlign w:val="center"/>
                </w:tcPr>
                <w:p w14:paraId="27DF4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331" w:type="pct"/>
                  <w:noWrap w:val="0"/>
                  <w:vAlign w:val="center"/>
                </w:tcPr>
                <w:p w14:paraId="445826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一般工业固废</w:t>
                  </w:r>
                </w:p>
              </w:tc>
              <w:tc>
                <w:tcPr>
                  <w:tcW w:w="465" w:type="pct"/>
                  <w:noWrap w:val="0"/>
                  <w:vAlign w:val="center"/>
                </w:tcPr>
                <w:p w14:paraId="36C844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回用于生产</w:t>
                  </w:r>
                </w:p>
              </w:tc>
              <w:tc>
                <w:tcPr>
                  <w:tcW w:w="293" w:type="pct"/>
                  <w:noWrap w:val="0"/>
                  <w:vAlign w:val="center"/>
                </w:tcPr>
                <w:p w14:paraId="28229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27" w:type="pct"/>
                  <w:vMerge w:val="continue"/>
                  <w:noWrap w:val="0"/>
                  <w:vAlign w:val="center"/>
                </w:tcPr>
                <w:p w14:paraId="1772B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14:paraId="3FE02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13FD5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c>
                <w:tcPr>
                  <w:tcW w:w="140" w:type="pct"/>
                  <w:noWrap w:val="0"/>
                  <w:vAlign w:val="center"/>
                </w:tcPr>
                <w:p w14:paraId="29A81E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废过滤棉</w:t>
                  </w:r>
                </w:p>
              </w:tc>
              <w:tc>
                <w:tcPr>
                  <w:tcW w:w="263" w:type="pct"/>
                  <w:noWrap w:val="0"/>
                  <w:vAlign w:val="center"/>
                </w:tcPr>
                <w:p w14:paraId="13FF8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废气处理</w:t>
                  </w:r>
                </w:p>
              </w:tc>
              <w:tc>
                <w:tcPr>
                  <w:tcW w:w="140" w:type="pct"/>
                  <w:noWrap w:val="0"/>
                  <w:vAlign w:val="center"/>
                </w:tcPr>
                <w:p w14:paraId="4DC5D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526C8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过滤棉</w:t>
                  </w:r>
                </w:p>
              </w:tc>
              <w:tc>
                <w:tcPr>
                  <w:tcW w:w="339" w:type="pct"/>
                  <w:noWrap w:val="0"/>
                  <w:vAlign w:val="center"/>
                </w:tcPr>
                <w:p w14:paraId="46C65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沥青烟、VOCs</w:t>
                  </w:r>
                </w:p>
              </w:tc>
              <w:tc>
                <w:tcPr>
                  <w:tcW w:w="215" w:type="pct"/>
                  <w:noWrap w:val="0"/>
                  <w:vAlign w:val="center"/>
                </w:tcPr>
                <w:p w14:paraId="13FCA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密闭袋装</w:t>
                  </w:r>
                </w:p>
              </w:tc>
              <w:tc>
                <w:tcPr>
                  <w:tcW w:w="627" w:type="pct"/>
                  <w:noWrap w:val="0"/>
                  <w:vAlign w:val="center"/>
                </w:tcPr>
                <w:p w14:paraId="63EF70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900-041-49</w:t>
                  </w:r>
                </w:p>
              </w:tc>
              <w:tc>
                <w:tcPr>
                  <w:tcW w:w="421" w:type="pct"/>
                  <w:noWrap w:val="0"/>
                  <w:vAlign w:val="center"/>
                </w:tcPr>
                <w:p w14:paraId="699F13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0.12</w:t>
                  </w:r>
                </w:p>
              </w:tc>
              <w:tc>
                <w:tcPr>
                  <w:tcW w:w="421" w:type="pct"/>
                  <w:noWrap w:val="0"/>
                  <w:vAlign w:val="center"/>
                </w:tcPr>
                <w:p w14:paraId="30AC6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0.12</w:t>
                  </w:r>
                </w:p>
              </w:tc>
              <w:tc>
                <w:tcPr>
                  <w:tcW w:w="331" w:type="pct"/>
                  <w:noWrap w:val="0"/>
                  <w:vAlign w:val="center"/>
                </w:tcPr>
                <w:p w14:paraId="382C41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578437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29F8C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T/In</w:t>
                  </w:r>
                </w:p>
              </w:tc>
              <w:tc>
                <w:tcPr>
                  <w:tcW w:w="927" w:type="pct"/>
                  <w:vMerge w:val="restart"/>
                  <w:noWrap w:val="0"/>
                  <w:vAlign w:val="center"/>
                </w:tcPr>
                <w:p w14:paraId="5CA41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eastAsia="zh-CN"/>
                    </w:rPr>
                    <w:t>车间内设置危废库，分类存放，满足《危险废物贮存污染控制标准》（GB18597-2023）要求</w:t>
                  </w:r>
                </w:p>
              </w:tc>
            </w:tr>
            <w:tr w14:paraId="40D47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5C2BA2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w:t>
                  </w:r>
                </w:p>
              </w:tc>
              <w:tc>
                <w:tcPr>
                  <w:tcW w:w="140" w:type="pct"/>
                  <w:noWrap w:val="0"/>
                  <w:vAlign w:val="center"/>
                </w:tcPr>
                <w:p w14:paraId="121A9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废活性炭</w:t>
                  </w:r>
                </w:p>
              </w:tc>
              <w:tc>
                <w:tcPr>
                  <w:tcW w:w="263" w:type="pct"/>
                  <w:noWrap w:val="0"/>
                  <w:vAlign w:val="center"/>
                </w:tcPr>
                <w:p w14:paraId="6111ED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废气处理</w:t>
                  </w:r>
                </w:p>
              </w:tc>
              <w:tc>
                <w:tcPr>
                  <w:tcW w:w="140" w:type="pct"/>
                  <w:noWrap w:val="0"/>
                  <w:vAlign w:val="center"/>
                </w:tcPr>
                <w:p w14:paraId="4B3D5F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0B122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活性炭</w:t>
                  </w:r>
                </w:p>
              </w:tc>
              <w:tc>
                <w:tcPr>
                  <w:tcW w:w="339" w:type="pct"/>
                  <w:noWrap w:val="0"/>
                  <w:vAlign w:val="center"/>
                </w:tcPr>
                <w:p w14:paraId="3CA22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沥青烟、VOCs</w:t>
                  </w:r>
                </w:p>
              </w:tc>
              <w:tc>
                <w:tcPr>
                  <w:tcW w:w="215" w:type="pct"/>
                  <w:noWrap w:val="0"/>
                  <w:vAlign w:val="center"/>
                </w:tcPr>
                <w:p w14:paraId="72CFE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w:t>
                  </w:r>
                  <w:r>
                    <w:rPr>
                      <w:rFonts w:hint="default" w:ascii="Times New Roman" w:hAnsi="Times New Roman" w:eastAsia="宋体" w:cs="Times New Roman"/>
                      <w:b w:val="0"/>
                      <w:bCs w:val="0"/>
                      <w:color w:val="auto"/>
                      <w:kern w:val="2"/>
                      <w:sz w:val="21"/>
                      <w:szCs w:val="21"/>
                      <w:highlight w:val="none"/>
                      <w:lang w:val="en-US" w:eastAsia="zh-CN" w:bidi="ar-SA"/>
                    </w:rPr>
                    <w:t>袋装</w:t>
                  </w:r>
                </w:p>
              </w:tc>
              <w:tc>
                <w:tcPr>
                  <w:tcW w:w="627" w:type="pct"/>
                  <w:noWrap w:val="0"/>
                  <w:vAlign w:val="center"/>
                </w:tcPr>
                <w:p w14:paraId="27F57F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900-039-49</w:t>
                  </w:r>
                </w:p>
              </w:tc>
              <w:tc>
                <w:tcPr>
                  <w:tcW w:w="421" w:type="pct"/>
                  <w:noWrap w:val="0"/>
                  <w:vAlign w:val="center"/>
                </w:tcPr>
                <w:p w14:paraId="39A09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1.04</w:t>
                  </w:r>
                </w:p>
              </w:tc>
              <w:tc>
                <w:tcPr>
                  <w:tcW w:w="421" w:type="pct"/>
                  <w:noWrap w:val="0"/>
                  <w:vAlign w:val="center"/>
                </w:tcPr>
                <w:p w14:paraId="0019C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1.04</w:t>
                  </w:r>
                </w:p>
              </w:tc>
              <w:tc>
                <w:tcPr>
                  <w:tcW w:w="331" w:type="pct"/>
                  <w:noWrap w:val="0"/>
                  <w:vAlign w:val="center"/>
                </w:tcPr>
                <w:p w14:paraId="1C2E4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785F7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5AE3AA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w:t>
                  </w:r>
                </w:p>
              </w:tc>
              <w:tc>
                <w:tcPr>
                  <w:tcW w:w="927" w:type="pct"/>
                  <w:vMerge w:val="continue"/>
                  <w:noWrap w:val="0"/>
                  <w:vAlign w:val="center"/>
                </w:tcPr>
                <w:p w14:paraId="1727E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sz w:val="21"/>
                      <w:szCs w:val="21"/>
                      <w:highlight w:val="none"/>
                      <w:lang w:eastAsia="zh-CN"/>
                    </w:rPr>
                  </w:pPr>
                </w:p>
              </w:tc>
            </w:tr>
            <w:tr w14:paraId="7821C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1A925A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140" w:type="pct"/>
                  <w:noWrap w:val="0"/>
                  <w:vAlign w:val="center"/>
                </w:tcPr>
                <w:p w14:paraId="28B180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废导热油</w:t>
                  </w:r>
                </w:p>
              </w:tc>
              <w:tc>
                <w:tcPr>
                  <w:tcW w:w="263" w:type="pct"/>
                  <w:noWrap w:val="0"/>
                  <w:vAlign w:val="center"/>
                </w:tcPr>
                <w:p w14:paraId="42A86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油炉</w:t>
                  </w:r>
                </w:p>
              </w:tc>
              <w:tc>
                <w:tcPr>
                  <w:tcW w:w="140" w:type="pct"/>
                  <w:noWrap w:val="0"/>
                  <w:vAlign w:val="center"/>
                </w:tcPr>
                <w:p w14:paraId="7FE5A7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液态</w:t>
                  </w:r>
                </w:p>
              </w:tc>
              <w:tc>
                <w:tcPr>
                  <w:tcW w:w="272" w:type="pct"/>
                  <w:noWrap w:val="0"/>
                  <w:vAlign w:val="center"/>
                </w:tcPr>
                <w:p w14:paraId="6AF86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矿物油</w:t>
                  </w:r>
                </w:p>
              </w:tc>
              <w:tc>
                <w:tcPr>
                  <w:tcW w:w="339" w:type="pct"/>
                  <w:noWrap w:val="0"/>
                  <w:vAlign w:val="center"/>
                </w:tcPr>
                <w:p w14:paraId="48E35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矿物油</w:t>
                  </w:r>
                </w:p>
              </w:tc>
              <w:tc>
                <w:tcPr>
                  <w:tcW w:w="215" w:type="pct"/>
                  <w:noWrap w:val="0"/>
                  <w:vAlign w:val="center"/>
                </w:tcPr>
                <w:p w14:paraId="6F9864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627" w:type="pct"/>
                  <w:noWrap w:val="0"/>
                  <w:vAlign w:val="center"/>
                </w:tcPr>
                <w:p w14:paraId="29D63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900-249-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8</w:t>
                  </w:r>
                </w:p>
              </w:tc>
              <w:tc>
                <w:tcPr>
                  <w:tcW w:w="421" w:type="pct"/>
                  <w:noWrap w:val="0"/>
                  <w:vAlign w:val="center"/>
                </w:tcPr>
                <w:p w14:paraId="1282C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421" w:type="pct"/>
                  <w:noWrap w:val="0"/>
                  <w:vAlign w:val="center"/>
                </w:tcPr>
                <w:p w14:paraId="674CB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331" w:type="pct"/>
                  <w:noWrap w:val="0"/>
                  <w:vAlign w:val="center"/>
                </w:tcPr>
                <w:p w14:paraId="132FE7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7D279E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6801A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T，I</w:t>
                  </w:r>
                </w:p>
              </w:tc>
              <w:tc>
                <w:tcPr>
                  <w:tcW w:w="927" w:type="pct"/>
                  <w:vMerge w:val="continue"/>
                  <w:noWrap w:val="0"/>
                  <w:vAlign w:val="center"/>
                </w:tcPr>
                <w:p w14:paraId="121E1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sz w:val="21"/>
                      <w:szCs w:val="21"/>
                      <w:highlight w:val="none"/>
                      <w:lang w:eastAsia="zh-CN"/>
                    </w:rPr>
                  </w:pPr>
                </w:p>
              </w:tc>
            </w:tr>
            <w:tr w14:paraId="50849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4381A9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w:t>
                  </w:r>
                </w:p>
              </w:tc>
              <w:tc>
                <w:tcPr>
                  <w:tcW w:w="140" w:type="pct"/>
                  <w:noWrap w:val="0"/>
                  <w:vAlign w:val="center"/>
                </w:tcPr>
                <w:p w14:paraId="79F01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废润滑油</w:t>
                  </w:r>
                </w:p>
              </w:tc>
              <w:tc>
                <w:tcPr>
                  <w:tcW w:w="263" w:type="pct"/>
                  <w:noWrap w:val="0"/>
                  <w:vAlign w:val="center"/>
                </w:tcPr>
                <w:p w14:paraId="06F15B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设备维护</w:t>
                  </w:r>
                </w:p>
              </w:tc>
              <w:tc>
                <w:tcPr>
                  <w:tcW w:w="140" w:type="pct"/>
                  <w:noWrap w:val="0"/>
                  <w:vAlign w:val="center"/>
                </w:tcPr>
                <w:p w14:paraId="42597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液态</w:t>
                  </w:r>
                </w:p>
              </w:tc>
              <w:tc>
                <w:tcPr>
                  <w:tcW w:w="272" w:type="pct"/>
                  <w:noWrap w:val="0"/>
                  <w:vAlign w:val="center"/>
                </w:tcPr>
                <w:p w14:paraId="2E4C3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矿物油</w:t>
                  </w:r>
                </w:p>
              </w:tc>
              <w:tc>
                <w:tcPr>
                  <w:tcW w:w="339" w:type="pct"/>
                  <w:noWrap w:val="0"/>
                  <w:vAlign w:val="center"/>
                </w:tcPr>
                <w:p w14:paraId="55584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矿物油</w:t>
                  </w:r>
                </w:p>
              </w:tc>
              <w:tc>
                <w:tcPr>
                  <w:tcW w:w="215" w:type="pct"/>
                  <w:noWrap w:val="0"/>
                  <w:vAlign w:val="center"/>
                </w:tcPr>
                <w:p w14:paraId="4A4CD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627" w:type="pct"/>
                  <w:noWrap w:val="0"/>
                  <w:vAlign w:val="center"/>
                </w:tcPr>
                <w:p w14:paraId="2E306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900-217-08</w:t>
                  </w:r>
                </w:p>
              </w:tc>
              <w:tc>
                <w:tcPr>
                  <w:tcW w:w="421" w:type="pct"/>
                  <w:noWrap w:val="0"/>
                  <w:vAlign w:val="center"/>
                </w:tcPr>
                <w:p w14:paraId="39F5A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421" w:type="pct"/>
                  <w:noWrap w:val="0"/>
                  <w:vAlign w:val="center"/>
                </w:tcPr>
                <w:p w14:paraId="25388C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331" w:type="pct"/>
                  <w:noWrap w:val="0"/>
                  <w:vAlign w:val="center"/>
                </w:tcPr>
                <w:p w14:paraId="6302B0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3A4F8F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759328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T，I</w:t>
                  </w:r>
                </w:p>
              </w:tc>
              <w:tc>
                <w:tcPr>
                  <w:tcW w:w="927" w:type="pct"/>
                  <w:vMerge w:val="continue"/>
                  <w:noWrap w:val="0"/>
                  <w:vAlign w:val="center"/>
                </w:tcPr>
                <w:p w14:paraId="6DEF7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b w:val="0"/>
                      <w:bCs w:val="0"/>
                      <w:color w:val="auto"/>
                      <w:sz w:val="21"/>
                      <w:szCs w:val="21"/>
                      <w:highlight w:val="none"/>
                      <w:lang w:eastAsia="zh-CN"/>
                    </w:rPr>
                  </w:pPr>
                </w:p>
              </w:tc>
            </w:tr>
            <w:tr w14:paraId="5721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288170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140" w:type="pct"/>
                  <w:noWrap w:val="0"/>
                  <w:vAlign w:val="center"/>
                </w:tcPr>
                <w:p w14:paraId="7F262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废油桶</w:t>
                  </w:r>
                </w:p>
              </w:tc>
              <w:tc>
                <w:tcPr>
                  <w:tcW w:w="263" w:type="pct"/>
                  <w:noWrap w:val="0"/>
                  <w:vAlign w:val="center"/>
                </w:tcPr>
                <w:p w14:paraId="43733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包装物</w:t>
                  </w:r>
                </w:p>
              </w:tc>
              <w:tc>
                <w:tcPr>
                  <w:tcW w:w="140" w:type="pct"/>
                  <w:noWrap w:val="0"/>
                  <w:vAlign w:val="center"/>
                </w:tcPr>
                <w:p w14:paraId="203FD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固态</w:t>
                  </w:r>
                </w:p>
              </w:tc>
              <w:tc>
                <w:tcPr>
                  <w:tcW w:w="272" w:type="pct"/>
                  <w:noWrap w:val="0"/>
                  <w:vAlign w:val="center"/>
                </w:tcPr>
                <w:p w14:paraId="66DB9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矿物油</w:t>
                  </w:r>
                </w:p>
              </w:tc>
              <w:tc>
                <w:tcPr>
                  <w:tcW w:w="339" w:type="pct"/>
                  <w:noWrap w:val="0"/>
                  <w:vAlign w:val="center"/>
                </w:tcPr>
                <w:p w14:paraId="009EF2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矿物油</w:t>
                  </w:r>
                </w:p>
              </w:tc>
              <w:tc>
                <w:tcPr>
                  <w:tcW w:w="215" w:type="pct"/>
                  <w:noWrap w:val="0"/>
                  <w:vAlign w:val="center"/>
                </w:tcPr>
                <w:p w14:paraId="795E4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w:t>
                  </w:r>
                </w:p>
              </w:tc>
              <w:tc>
                <w:tcPr>
                  <w:tcW w:w="627" w:type="pct"/>
                  <w:noWrap w:val="0"/>
                  <w:vAlign w:val="center"/>
                </w:tcPr>
                <w:p w14:paraId="226B2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421" w:type="pct"/>
                  <w:noWrap w:val="0"/>
                  <w:vAlign w:val="center"/>
                </w:tcPr>
                <w:p w14:paraId="7D367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0.1</w:t>
                  </w:r>
                </w:p>
              </w:tc>
              <w:tc>
                <w:tcPr>
                  <w:tcW w:w="421" w:type="pct"/>
                  <w:noWrap w:val="0"/>
                  <w:vAlign w:val="center"/>
                </w:tcPr>
                <w:p w14:paraId="503FC0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0.1</w:t>
                  </w:r>
                </w:p>
              </w:tc>
              <w:tc>
                <w:tcPr>
                  <w:tcW w:w="331" w:type="pct"/>
                  <w:noWrap w:val="0"/>
                  <w:vAlign w:val="center"/>
                </w:tcPr>
                <w:p w14:paraId="07BF5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66B70F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440D2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T，I</w:t>
                  </w:r>
                </w:p>
              </w:tc>
              <w:tc>
                <w:tcPr>
                  <w:tcW w:w="927" w:type="pct"/>
                  <w:vMerge w:val="continue"/>
                  <w:noWrap w:val="0"/>
                  <w:vAlign w:val="center"/>
                </w:tcPr>
                <w:p w14:paraId="57752C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r w14:paraId="5ED2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7B692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140" w:type="pct"/>
                  <w:noWrap w:val="0"/>
                  <w:vAlign w:val="center"/>
                </w:tcPr>
                <w:p w14:paraId="37E2F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ascii="Times New Roman" w:hAnsi="Times New Roman" w:eastAsia="宋体" w:cs="Times New Roman"/>
                      <w:b w:val="0"/>
                      <w:bCs w:val="0"/>
                      <w:color w:val="auto"/>
                      <w:sz w:val="21"/>
                      <w:szCs w:val="21"/>
                      <w:highlight w:val="yellow"/>
                      <w:lang w:val="en-US" w:eastAsia="zh-CN"/>
                    </w:rPr>
                    <w:t>焦油沉渣</w:t>
                  </w:r>
                </w:p>
              </w:tc>
              <w:tc>
                <w:tcPr>
                  <w:tcW w:w="263" w:type="pct"/>
                  <w:noWrap w:val="0"/>
                  <w:vAlign w:val="center"/>
                </w:tcPr>
                <w:p w14:paraId="5DA8A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隔油池</w:t>
                  </w:r>
                </w:p>
              </w:tc>
              <w:tc>
                <w:tcPr>
                  <w:tcW w:w="140" w:type="pct"/>
                  <w:noWrap w:val="0"/>
                  <w:vAlign w:val="center"/>
                </w:tcPr>
                <w:p w14:paraId="5AD7EF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半固态</w:t>
                  </w:r>
                </w:p>
              </w:tc>
              <w:tc>
                <w:tcPr>
                  <w:tcW w:w="272" w:type="pct"/>
                  <w:noWrap w:val="0"/>
                  <w:vAlign w:val="center"/>
                </w:tcPr>
                <w:p w14:paraId="0393E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焦油、沥青等</w:t>
                  </w:r>
                </w:p>
              </w:tc>
              <w:tc>
                <w:tcPr>
                  <w:tcW w:w="339" w:type="pct"/>
                  <w:noWrap w:val="0"/>
                  <w:vAlign w:val="center"/>
                </w:tcPr>
                <w:p w14:paraId="13C97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焦油、沥青等</w:t>
                  </w:r>
                </w:p>
              </w:tc>
              <w:tc>
                <w:tcPr>
                  <w:tcW w:w="215" w:type="pct"/>
                  <w:noWrap w:val="0"/>
                  <w:vAlign w:val="center"/>
                </w:tcPr>
                <w:p w14:paraId="2429F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627" w:type="pct"/>
                  <w:noWrap w:val="0"/>
                  <w:vAlign w:val="center"/>
                </w:tcPr>
                <w:p w14:paraId="5B562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900-210-08</w:t>
                  </w:r>
                </w:p>
              </w:tc>
              <w:tc>
                <w:tcPr>
                  <w:tcW w:w="421" w:type="pct"/>
                  <w:noWrap w:val="0"/>
                  <w:vAlign w:val="center"/>
                </w:tcPr>
                <w:p w14:paraId="123170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421" w:type="pct"/>
                  <w:noWrap w:val="0"/>
                  <w:vAlign w:val="center"/>
                </w:tcPr>
                <w:p w14:paraId="4B8D09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331" w:type="pct"/>
                  <w:noWrap w:val="0"/>
                  <w:vAlign w:val="center"/>
                </w:tcPr>
                <w:p w14:paraId="6CC9C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1D72CA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27E8B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T，I</w:t>
                  </w:r>
                </w:p>
              </w:tc>
              <w:tc>
                <w:tcPr>
                  <w:tcW w:w="927" w:type="pct"/>
                  <w:vMerge w:val="continue"/>
                  <w:noWrap w:val="0"/>
                  <w:vAlign w:val="center"/>
                </w:tcPr>
                <w:p w14:paraId="3AFFA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r w14:paraId="00A2A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 w:type="pct"/>
                  <w:noWrap w:val="0"/>
                  <w:vAlign w:val="center"/>
                </w:tcPr>
                <w:p w14:paraId="2065B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140" w:type="pct"/>
                  <w:noWrap w:val="0"/>
                  <w:vAlign w:val="center"/>
                </w:tcPr>
                <w:p w14:paraId="2E5AC3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电捕焦油器</w:t>
                  </w:r>
                  <w:r>
                    <w:rPr>
                      <w:rFonts w:hint="eastAsia" w:ascii="Times New Roman" w:hAnsi="Times New Roman" w:eastAsia="宋体" w:cs="Times New Roman"/>
                      <w:color w:val="auto"/>
                      <w:sz w:val="21"/>
                      <w:szCs w:val="21"/>
                      <w:highlight w:val="yellow"/>
                      <w:lang w:val="en-US" w:eastAsia="zh-CN"/>
                    </w:rPr>
                    <w:t>废油</w:t>
                  </w:r>
                </w:p>
              </w:tc>
              <w:tc>
                <w:tcPr>
                  <w:tcW w:w="263" w:type="pct"/>
                  <w:noWrap w:val="0"/>
                  <w:vAlign w:val="center"/>
                </w:tcPr>
                <w:p w14:paraId="0413A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废气处理</w:t>
                  </w:r>
                </w:p>
              </w:tc>
              <w:tc>
                <w:tcPr>
                  <w:tcW w:w="140" w:type="pct"/>
                  <w:noWrap w:val="0"/>
                  <w:vAlign w:val="center"/>
                </w:tcPr>
                <w:p w14:paraId="1E409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半固态</w:t>
                  </w:r>
                </w:p>
              </w:tc>
              <w:tc>
                <w:tcPr>
                  <w:tcW w:w="272" w:type="pct"/>
                  <w:noWrap w:val="0"/>
                  <w:vAlign w:val="center"/>
                </w:tcPr>
                <w:p w14:paraId="47DEC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焦油、沥青等</w:t>
                  </w:r>
                </w:p>
              </w:tc>
              <w:tc>
                <w:tcPr>
                  <w:tcW w:w="339" w:type="pct"/>
                  <w:noWrap w:val="0"/>
                  <w:vAlign w:val="center"/>
                </w:tcPr>
                <w:p w14:paraId="3232D8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焦油、沥青等</w:t>
                  </w:r>
                </w:p>
              </w:tc>
              <w:tc>
                <w:tcPr>
                  <w:tcW w:w="215" w:type="pct"/>
                  <w:noWrap w:val="0"/>
                  <w:vAlign w:val="center"/>
                </w:tcPr>
                <w:p w14:paraId="2BDF81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627" w:type="pct"/>
                  <w:noWrap w:val="0"/>
                  <w:vAlign w:val="center"/>
                </w:tcPr>
                <w:p w14:paraId="42525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900-210-08</w:t>
                  </w:r>
                </w:p>
              </w:tc>
              <w:tc>
                <w:tcPr>
                  <w:tcW w:w="421" w:type="pct"/>
                  <w:noWrap w:val="0"/>
                  <w:vAlign w:val="center"/>
                </w:tcPr>
                <w:p w14:paraId="0B1C9E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4.391</w:t>
                  </w:r>
                </w:p>
              </w:tc>
              <w:tc>
                <w:tcPr>
                  <w:tcW w:w="421" w:type="pct"/>
                  <w:noWrap w:val="0"/>
                  <w:vAlign w:val="center"/>
                </w:tcPr>
                <w:p w14:paraId="6835BF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4.391</w:t>
                  </w:r>
                </w:p>
              </w:tc>
              <w:tc>
                <w:tcPr>
                  <w:tcW w:w="331" w:type="pct"/>
                  <w:noWrap w:val="0"/>
                  <w:vAlign w:val="center"/>
                </w:tcPr>
                <w:p w14:paraId="036EE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危险废物</w:t>
                  </w:r>
                </w:p>
              </w:tc>
              <w:tc>
                <w:tcPr>
                  <w:tcW w:w="465" w:type="pct"/>
                  <w:noWrap w:val="0"/>
                  <w:vAlign w:val="center"/>
                </w:tcPr>
                <w:p w14:paraId="611699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委托有资质公司处理</w:t>
                  </w:r>
                </w:p>
              </w:tc>
              <w:tc>
                <w:tcPr>
                  <w:tcW w:w="293" w:type="pct"/>
                  <w:noWrap w:val="0"/>
                  <w:vAlign w:val="center"/>
                </w:tcPr>
                <w:p w14:paraId="0B92CE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T，I</w:t>
                  </w:r>
                </w:p>
              </w:tc>
              <w:tc>
                <w:tcPr>
                  <w:tcW w:w="927" w:type="pct"/>
                  <w:vMerge w:val="continue"/>
                  <w:noWrap w:val="0"/>
                  <w:vAlign w:val="center"/>
                </w:tcPr>
                <w:p w14:paraId="48975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bl>
          <w:p w14:paraId="1D41680B">
            <w:pPr>
              <w:keepNext w:val="0"/>
              <w:keepLines w:val="0"/>
              <w:pageBreakBefore w:val="0"/>
              <w:widowControl w:val="0"/>
              <w:numPr>
                <w:ilvl w:val="0"/>
                <w:numId w:val="13"/>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pPr>
            <w:r>
              <w:rPr>
                <w:rFonts w:hint="eastAsia" w:ascii="Times New Roman" w:hAnsi="Times New Roman" w:eastAsia="宋体" w:cs="Times New Roman"/>
                <w:b/>
                <w:bCs/>
                <w:caps w:val="0"/>
                <w:snapToGrid w:val="0"/>
                <w:color w:val="auto"/>
                <w:spacing w:val="0"/>
                <w:kern w:val="0"/>
                <w:position w:val="0"/>
                <w:sz w:val="24"/>
                <w:szCs w:val="24"/>
                <w:highlight w:val="none"/>
                <w:lang w:val="en-US" w:eastAsia="zh-CN" w:bidi="ar-SA"/>
              </w:rPr>
              <w:t>危废库基本情况一览表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39"/>
              <w:gridCol w:w="964"/>
              <w:gridCol w:w="884"/>
              <w:gridCol w:w="1246"/>
              <w:gridCol w:w="600"/>
              <w:gridCol w:w="679"/>
              <w:gridCol w:w="843"/>
              <w:gridCol w:w="843"/>
              <w:gridCol w:w="673"/>
            </w:tblGrid>
            <w:tr w14:paraId="5DAA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7D20A2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67" w:type="pct"/>
                  <w:noWrap w:val="0"/>
                  <w:vAlign w:val="center"/>
                </w:tcPr>
                <w:p w14:paraId="25A87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贮存场所名称</w:t>
                  </w:r>
                </w:p>
              </w:tc>
              <w:tc>
                <w:tcPr>
                  <w:tcW w:w="610" w:type="pct"/>
                  <w:noWrap w:val="0"/>
                  <w:vAlign w:val="center"/>
                </w:tcPr>
                <w:p w14:paraId="08E4C1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危险废物名称</w:t>
                  </w:r>
                </w:p>
              </w:tc>
              <w:tc>
                <w:tcPr>
                  <w:tcW w:w="559" w:type="pct"/>
                  <w:noWrap w:val="0"/>
                  <w:vAlign w:val="center"/>
                </w:tcPr>
                <w:p w14:paraId="49B99A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危险废物类别</w:t>
                  </w:r>
                </w:p>
              </w:tc>
              <w:tc>
                <w:tcPr>
                  <w:tcW w:w="789" w:type="pct"/>
                  <w:noWrap w:val="0"/>
                  <w:vAlign w:val="center"/>
                </w:tcPr>
                <w:p w14:paraId="3E6A4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危险废物代码</w:t>
                  </w:r>
                </w:p>
              </w:tc>
              <w:tc>
                <w:tcPr>
                  <w:tcW w:w="379" w:type="pct"/>
                  <w:noWrap w:val="0"/>
                  <w:vAlign w:val="center"/>
                </w:tcPr>
                <w:p w14:paraId="6F3C0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429" w:type="pct"/>
                  <w:noWrap w:val="0"/>
                  <w:vAlign w:val="center"/>
                </w:tcPr>
                <w:p w14:paraId="51B1C2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p>
              </w:tc>
              <w:tc>
                <w:tcPr>
                  <w:tcW w:w="533" w:type="pct"/>
                  <w:noWrap w:val="0"/>
                  <w:vAlign w:val="center"/>
                </w:tcPr>
                <w:p w14:paraId="44146A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533" w:type="pct"/>
                  <w:noWrap w:val="0"/>
                  <w:vAlign w:val="center"/>
                </w:tcPr>
                <w:p w14:paraId="5CE9D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贮存能力</w:t>
                  </w:r>
                </w:p>
              </w:tc>
              <w:tc>
                <w:tcPr>
                  <w:tcW w:w="426" w:type="pct"/>
                  <w:noWrap w:val="0"/>
                  <w:vAlign w:val="center"/>
                </w:tcPr>
                <w:p w14:paraId="7ACEE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贮存周期</w:t>
                  </w:r>
                </w:p>
              </w:tc>
            </w:tr>
            <w:tr w14:paraId="635E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4B9701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7" w:type="pct"/>
                  <w:vMerge w:val="restart"/>
                  <w:noWrap w:val="0"/>
                  <w:vAlign w:val="center"/>
                </w:tcPr>
                <w:p w14:paraId="40A1F9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危废</w:t>
                  </w:r>
                  <w:r>
                    <w:rPr>
                      <w:rFonts w:hint="default" w:ascii="Times New Roman" w:hAnsi="Times New Roman" w:eastAsia="宋体" w:cs="Times New Roman"/>
                      <w:color w:val="auto"/>
                      <w:sz w:val="21"/>
                      <w:szCs w:val="21"/>
                    </w:rPr>
                    <w:t>库</w:t>
                  </w:r>
                </w:p>
              </w:tc>
              <w:tc>
                <w:tcPr>
                  <w:tcW w:w="610" w:type="pct"/>
                  <w:noWrap w:val="0"/>
                  <w:vAlign w:val="center"/>
                </w:tcPr>
                <w:p w14:paraId="35410C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废过滤棉</w:t>
                  </w:r>
                </w:p>
              </w:tc>
              <w:tc>
                <w:tcPr>
                  <w:tcW w:w="559" w:type="pct"/>
                  <w:noWrap w:val="0"/>
                  <w:vAlign w:val="center"/>
                </w:tcPr>
                <w:p w14:paraId="56294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tc>
              <w:tc>
                <w:tcPr>
                  <w:tcW w:w="789" w:type="pct"/>
                  <w:noWrap w:val="0"/>
                  <w:vAlign w:val="center"/>
                </w:tcPr>
                <w:p w14:paraId="6D949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900-041-49</w:t>
                  </w:r>
                </w:p>
              </w:tc>
              <w:tc>
                <w:tcPr>
                  <w:tcW w:w="379" w:type="pct"/>
                  <w:vMerge w:val="restart"/>
                  <w:noWrap w:val="0"/>
                  <w:vAlign w:val="center"/>
                </w:tcPr>
                <w:p w14:paraId="7C034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生产车间内</w:t>
                  </w:r>
                </w:p>
              </w:tc>
              <w:tc>
                <w:tcPr>
                  <w:tcW w:w="429" w:type="pct"/>
                  <w:vMerge w:val="restart"/>
                  <w:noWrap w:val="0"/>
                  <w:vAlign w:val="center"/>
                </w:tcPr>
                <w:p w14:paraId="1484DB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533" w:type="pct"/>
                  <w:noWrap w:val="0"/>
                  <w:vAlign w:val="center"/>
                </w:tcPr>
                <w:p w14:paraId="42B5A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密闭袋装</w:t>
                  </w:r>
                </w:p>
              </w:tc>
              <w:tc>
                <w:tcPr>
                  <w:tcW w:w="533" w:type="pct"/>
                  <w:vMerge w:val="restart"/>
                  <w:noWrap w:val="0"/>
                  <w:vAlign w:val="center"/>
                </w:tcPr>
                <w:p w14:paraId="0765B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10t</w:t>
                  </w:r>
                </w:p>
              </w:tc>
              <w:tc>
                <w:tcPr>
                  <w:tcW w:w="426" w:type="pct"/>
                  <w:vMerge w:val="restart"/>
                  <w:noWrap w:val="0"/>
                  <w:vAlign w:val="center"/>
                </w:tcPr>
                <w:p w14:paraId="2BD3F1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1a</w:t>
                  </w:r>
                </w:p>
              </w:tc>
            </w:tr>
            <w:tr w14:paraId="63BF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6E7FA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67" w:type="pct"/>
                  <w:vMerge w:val="continue"/>
                  <w:noWrap w:val="0"/>
                  <w:vAlign w:val="center"/>
                </w:tcPr>
                <w:p w14:paraId="209F2F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7F0EC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废活性炭</w:t>
                  </w:r>
                </w:p>
              </w:tc>
              <w:tc>
                <w:tcPr>
                  <w:tcW w:w="559" w:type="pct"/>
                  <w:noWrap w:val="0"/>
                  <w:vAlign w:val="center"/>
                </w:tcPr>
                <w:p w14:paraId="33FD2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tc>
              <w:tc>
                <w:tcPr>
                  <w:tcW w:w="789" w:type="pct"/>
                  <w:noWrap w:val="0"/>
                  <w:vAlign w:val="center"/>
                </w:tcPr>
                <w:p w14:paraId="4574C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900-039-49</w:t>
                  </w:r>
                </w:p>
              </w:tc>
              <w:tc>
                <w:tcPr>
                  <w:tcW w:w="379" w:type="pct"/>
                  <w:vMerge w:val="continue"/>
                  <w:noWrap w:val="0"/>
                  <w:vAlign w:val="center"/>
                </w:tcPr>
                <w:p w14:paraId="13FDF8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5DF69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12765E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w:t>
                  </w:r>
                  <w:r>
                    <w:rPr>
                      <w:rFonts w:hint="default" w:ascii="Times New Roman" w:hAnsi="Times New Roman" w:eastAsia="宋体" w:cs="Times New Roman"/>
                      <w:b w:val="0"/>
                      <w:bCs w:val="0"/>
                      <w:color w:val="auto"/>
                      <w:kern w:val="2"/>
                      <w:sz w:val="21"/>
                      <w:szCs w:val="21"/>
                      <w:highlight w:val="none"/>
                      <w:lang w:val="en-US" w:eastAsia="zh-CN" w:bidi="ar-SA"/>
                    </w:rPr>
                    <w:t>袋装</w:t>
                  </w:r>
                </w:p>
              </w:tc>
              <w:tc>
                <w:tcPr>
                  <w:tcW w:w="533" w:type="pct"/>
                  <w:vMerge w:val="continue"/>
                  <w:noWrap w:val="0"/>
                  <w:vAlign w:val="center"/>
                </w:tcPr>
                <w:p w14:paraId="37C1F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6" w:type="pct"/>
                  <w:vMerge w:val="continue"/>
                  <w:noWrap w:val="0"/>
                  <w:vAlign w:val="center"/>
                </w:tcPr>
                <w:p w14:paraId="1B0CE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r w14:paraId="24A7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79DD9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467" w:type="pct"/>
                  <w:vMerge w:val="continue"/>
                  <w:noWrap w:val="0"/>
                  <w:vAlign w:val="center"/>
                </w:tcPr>
                <w:p w14:paraId="7D4FE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11CB2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废导热油</w:t>
                  </w:r>
                </w:p>
              </w:tc>
              <w:tc>
                <w:tcPr>
                  <w:tcW w:w="559" w:type="pct"/>
                  <w:noWrap w:val="0"/>
                  <w:vAlign w:val="center"/>
                </w:tcPr>
                <w:p w14:paraId="099BC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789" w:type="pct"/>
                  <w:noWrap w:val="0"/>
                  <w:vAlign w:val="center"/>
                </w:tcPr>
                <w:p w14:paraId="491716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900-249-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8</w:t>
                  </w:r>
                </w:p>
              </w:tc>
              <w:tc>
                <w:tcPr>
                  <w:tcW w:w="379" w:type="pct"/>
                  <w:vMerge w:val="continue"/>
                  <w:noWrap w:val="0"/>
                  <w:vAlign w:val="center"/>
                </w:tcPr>
                <w:p w14:paraId="0F120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56BF7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6D560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533" w:type="pct"/>
                  <w:vMerge w:val="continue"/>
                  <w:noWrap w:val="0"/>
                  <w:vAlign w:val="center"/>
                </w:tcPr>
                <w:p w14:paraId="726B9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p>
              </w:tc>
              <w:tc>
                <w:tcPr>
                  <w:tcW w:w="426" w:type="pct"/>
                  <w:vMerge w:val="continue"/>
                  <w:noWrap w:val="0"/>
                  <w:vAlign w:val="center"/>
                </w:tcPr>
                <w:p w14:paraId="44B95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r w14:paraId="2B90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1268A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67" w:type="pct"/>
                  <w:vMerge w:val="continue"/>
                  <w:noWrap w:val="0"/>
                  <w:vAlign w:val="center"/>
                </w:tcPr>
                <w:p w14:paraId="266AE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140947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废润滑油</w:t>
                  </w:r>
                </w:p>
              </w:tc>
              <w:tc>
                <w:tcPr>
                  <w:tcW w:w="559" w:type="pct"/>
                  <w:noWrap w:val="0"/>
                  <w:vAlign w:val="center"/>
                </w:tcPr>
                <w:p w14:paraId="4F8BE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789" w:type="pct"/>
                  <w:noWrap w:val="0"/>
                  <w:vAlign w:val="center"/>
                </w:tcPr>
                <w:p w14:paraId="53775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900-217-08</w:t>
                  </w:r>
                </w:p>
              </w:tc>
              <w:tc>
                <w:tcPr>
                  <w:tcW w:w="379" w:type="pct"/>
                  <w:vMerge w:val="continue"/>
                  <w:noWrap w:val="0"/>
                  <w:vAlign w:val="center"/>
                </w:tcPr>
                <w:p w14:paraId="11D57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514933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15AF1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533" w:type="pct"/>
                  <w:vMerge w:val="continue"/>
                  <w:noWrap w:val="0"/>
                  <w:vAlign w:val="center"/>
                </w:tcPr>
                <w:p w14:paraId="241C30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p>
              </w:tc>
              <w:tc>
                <w:tcPr>
                  <w:tcW w:w="426" w:type="pct"/>
                  <w:vMerge w:val="continue"/>
                  <w:noWrap w:val="0"/>
                  <w:vAlign w:val="center"/>
                </w:tcPr>
                <w:p w14:paraId="179E4F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r w14:paraId="3852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17DEB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467" w:type="pct"/>
                  <w:vMerge w:val="continue"/>
                  <w:noWrap w:val="0"/>
                  <w:vAlign w:val="center"/>
                </w:tcPr>
                <w:p w14:paraId="285B9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4CFE0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废油桶</w:t>
                  </w:r>
                </w:p>
              </w:tc>
              <w:tc>
                <w:tcPr>
                  <w:tcW w:w="559" w:type="pct"/>
                  <w:noWrap w:val="0"/>
                  <w:vAlign w:val="center"/>
                </w:tcPr>
                <w:p w14:paraId="4E1B0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789" w:type="pct"/>
                  <w:noWrap w:val="0"/>
                  <w:vAlign w:val="center"/>
                </w:tcPr>
                <w:p w14:paraId="5D748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379" w:type="pct"/>
                  <w:vMerge w:val="continue"/>
                  <w:noWrap w:val="0"/>
                  <w:vAlign w:val="center"/>
                </w:tcPr>
                <w:p w14:paraId="6D3C6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791444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3A6DFE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w:t>
                  </w:r>
                </w:p>
              </w:tc>
              <w:tc>
                <w:tcPr>
                  <w:tcW w:w="533" w:type="pct"/>
                  <w:vMerge w:val="continue"/>
                  <w:noWrap w:val="0"/>
                  <w:vAlign w:val="center"/>
                </w:tcPr>
                <w:p w14:paraId="638E6C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p>
              </w:tc>
              <w:tc>
                <w:tcPr>
                  <w:tcW w:w="426" w:type="pct"/>
                  <w:vMerge w:val="continue"/>
                  <w:noWrap w:val="0"/>
                  <w:vAlign w:val="center"/>
                </w:tcPr>
                <w:p w14:paraId="755E3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r w14:paraId="73B6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05E744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467" w:type="pct"/>
                  <w:vMerge w:val="continue"/>
                  <w:noWrap w:val="0"/>
                  <w:vAlign w:val="center"/>
                </w:tcPr>
                <w:p w14:paraId="5AD3A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60A0E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焦油沉渣</w:t>
                  </w:r>
                </w:p>
              </w:tc>
              <w:tc>
                <w:tcPr>
                  <w:tcW w:w="559" w:type="pct"/>
                  <w:noWrap w:val="0"/>
                  <w:vAlign w:val="center"/>
                </w:tcPr>
                <w:p w14:paraId="04B583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789" w:type="pct"/>
                  <w:noWrap w:val="0"/>
                  <w:vAlign w:val="center"/>
                </w:tcPr>
                <w:p w14:paraId="0FAF5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900-210-08</w:t>
                  </w:r>
                </w:p>
              </w:tc>
              <w:tc>
                <w:tcPr>
                  <w:tcW w:w="379" w:type="pct"/>
                  <w:vMerge w:val="continue"/>
                  <w:noWrap w:val="0"/>
                  <w:vAlign w:val="center"/>
                </w:tcPr>
                <w:p w14:paraId="31E9E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49A9EE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25729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533" w:type="pct"/>
                  <w:vMerge w:val="continue"/>
                  <w:noWrap w:val="0"/>
                  <w:vAlign w:val="center"/>
                </w:tcPr>
                <w:p w14:paraId="3BA64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p>
              </w:tc>
              <w:tc>
                <w:tcPr>
                  <w:tcW w:w="426" w:type="pct"/>
                  <w:vMerge w:val="continue"/>
                  <w:noWrap w:val="0"/>
                  <w:vAlign w:val="center"/>
                </w:tcPr>
                <w:p w14:paraId="6C719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r w14:paraId="1C20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 w:type="pct"/>
                  <w:noWrap w:val="0"/>
                  <w:vAlign w:val="center"/>
                </w:tcPr>
                <w:p w14:paraId="44AED9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467" w:type="pct"/>
                  <w:vMerge w:val="continue"/>
                  <w:noWrap w:val="0"/>
                  <w:vAlign w:val="center"/>
                </w:tcPr>
                <w:p w14:paraId="64251D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snapToGrid w:val="0"/>
                      <w:color w:val="auto"/>
                      <w:kern w:val="0"/>
                      <w:sz w:val="21"/>
                      <w:szCs w:val="21"/>
                    </w:rPr>
                  </w:pPr>
                </w:p>
              </w:tc>
              <w:tc>
                <w:tcPr>
                  <w:tcW w:w="610" w:type="pct"/>
                  <w:noWrap w:val="0"/>
                  <w:vAlign w:val="center"/>
                </w:tcPr>
                <w:p w14:paraId="3E233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电捕焦油器</w:t>
                  </w:r>
                  <w:r>
                    <w:rPr>
                      <w:rFonts w:hint="eastAsia" w:ascii="Times New Roman" w:hAnsi="Times New Roman" w:eastAsia="宋体" w:cs="Times New Roman"/>
                      <w:color w:val="auto"/>
                      <w:sz w:val="21"/>
                      <w:szCs w:val="21"/>
                      <w:lang w:val="en-US" w:eastAsia="zh-CN"/>
                    </w:rPr>
                    <w:t>废油</w:t>
                  </w:r>
                </w:p>
              </w:tc>
              <w:tc>
                <w:tcPr>
                  <w:tcW w:w="559" w:type="pct"/>
                  <w:noWrap w:val="0"/>
                  <w:vAlign w:val="center"/>
                </w:tcPr>
                <w:p w14:paraId="54339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789" w:type="pct"/>
                  <w:noWrap w:val="0"/>
                  <w:vAlign w:val="center"/>
                </w:tcPr>
                <w:p w14:paraId="271A3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900-210-08</w:t>
                  </w:r>
                </w:p>
              </w:tc>
              <w:tc>
                <w:tcPr>
                  <w:tcW w:w="379" w:type="pct"/>
                  <w:vMerge w:val="continue"/>
                  <w:noWrap w:val="0"/>
                  <w:vAlign w:val="center"/>
                </w:tcPr>
                <w:p w14:paraId="2AC2C0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429" w:type="pct"/>
                  <w:vMerge w:val="continue"/>
                  <w:noWrap w:val="0"/>
                  <w:vAlign w:val="center"/>
                </w:tcPr>
                <w:p w14:paraId="5322F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c>
                <w:tcPr>
                  <w:tcW w:w="533" w:type="pct"/>
                  <w:noWrap w:val="0"/>
                  <w:vAlign w:val="center"/>
                </w:tcPr>
                <w:p w14:paraId="7A1D7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密闭桶装</w:t>
                  </w:r>
                </w:p>
              </w:tc>
              <w:tc>
                <w:tcPr>
                  <w:tcW w:w="533" w:type="pct"/>
                  <w:vMerge w:val="continue"/>
                  <w:noWrap w:val="0"/>
                  <w:vAlign w:val="center"/>
                </w:tcPr>
                <w:p w14:paraId="68209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eastAsia" w:ascii="Times New Roman" w:hAnsi="Times New Roman" w:eastAsia="宋体" w:cs="Times New Roman"/>
                      <w:color w:val="auto"/>
                      <w:sz w:val="21"/>
                      <w:szCs w:val="21"/>
                      <w:lang w:val="en-US" w:eastAsia="zh-CN"/>
                    </w:rPr>
                  </w:pPr>
                </w:p>
              </w:tc>
              <w:tc>
                <w:tcPr>
                  <w:tcW w:w="426" w:type="pct"/>
                  <w:vMerge w:val="continue"/>
                  <w:noWrap w:val="0"/>
                  <w:vAlign w:val="center"/>
                </w:tcPr>
                <w:p w14:paraId="25FD1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rPr>
                  </w:pPr>
                </w:p>
              </w:tc>
            </w:tr>
          </w:tbl>
          <w:p w14:paraId="612210E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38" w:firstLineChars="200"/>
              <w:jc w:val="both"/>
              <w:textAlignment w:val="auto"/>
              <w:rPr>
                <w:rFonts w:hint="default" w:ascii="Times New Roman" w:hAnsi="Times New Roman" w:eastAsia="宋体" w:cs="Times New Roman"/>
                <w:b/>
                <w:bCs w:val="0"/>
                <w:color w:val="auto"/>
                <w:spacing w:val="-11"/>
                <w:sz w:val="24"/>
                <w:szCs w:val="24"/>
                <w:highlight w:val="none"/>
                <w:lang w:val="en-US" w:eastAsia="zh-CN"/>
              </w:rPr>
            </w:pPr>
            <w:r>
              <w:rPr>
                <w:rFonts w:hint="default" w:ascii="Times New Roman" w:hAnsi="Times New Roman" w:eastAsia="宋体" w:cs="Times New Roman"/>
                <w:b/>
                <w:bCs w:val="0"/>
                <w:color w:val="auto"/>
                <w:spacing w:val="-11"/>
                <w:sz w:val="24"/>
                <w:szCs w:val="24"/>
                <w:highlight w:val="none"/>
                <w:lang w:val="en-US" w:eastAsia="zh-CN"/>
              </w:rPr>
              <w:t>管理要求</w:t>
            </w:r>
          </w:p>
          <w:p w14:paraId="7A27F56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（1）一般废物</w:t>
            </w:r>
            <w:r>
              <w:rPr>
                <w:rFonts w:hint="default" w:ascii="Times New Roman" w:hAnsi="Times New Roman" w:eastAsia="宋体" w:cs="Times New Roman"/>
                <w:snapToGrid w:val="0"/>
                <w:color w:val="auto"/>
                <w:kern w:val="21"/>
                <w:sz w:val="24"/>
                <w:szCs w:val="24"/>
                <w:highlight w:val="none"/>
                <w:lang w:val="en-US" w:eastAsia="zh-CN"/>
              </w:rPr>
              <w:t>管理要求</w:t>
            </w:r>
          </w:p>
          <w:p w14:paraId="5C0359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厂内一般固体废弃物应按</w:t>
            </w:r>
            <w:r>
              <w:rPr>
                <w:rFonts w:hint="default" w:ascii="Times New Roman" w:hAnsi="Times New Roman" w:eastAsia="宋体" w:cs="Times New Roman"/>
                <w:snapToGrid w:val="0"/>
                <w:color w:val="auto"/>
                <w:kern w:val="21"/>
                <w:sz w:val="24"/>
                <w:szCs w:val="24"/>
                <w:highlight w:val="none"/>
                <w:lang w:eastAsia="zh-CN"/>
              </w:rPr>
              <w:t>《一般工业固体废物贮存和填埋污染控制标准》（GB18599-2020）</w:t>
            </w:r>
            <w:r>
              <w:rPr>
                <w:rFonts w:hint="default" w:ascii="Times New Roman" w:hAnsi="Times New Roman" w:eastAsia="宋体" w:cs="Times New Roman"/>
                <w:snapToGrid w:val="0"/>
                <w:color w:val="auto"/>
                <w:kern w:val="21"/>
                <w:sz w:val="24"/>
                <w:szCs w:val="24"/>
                <w:highlight w:val="none"/>
              </w:rPr>
              <w:t>中规定设置一般工业固体废物临时贮存场所，并专人负责固体废物的收集、贮存，同时配合地方要求进行集中处置。一般固废暂存库的固废管理方面的具体要求如下：</w:t>
            </w:r>
          </w:p>
          <w:p w14:paraId="0F6203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1）</w:t>
            </w:r>
            <w:r>
              <w:rPr>
                <w:rFonts w:hint="default" w:ascii="Times New Roman" w:hAnsi="Times New Roman" w:eastAsia="宋体" w:cs="Times New Roman"/>
                <w:snapToGrid w:val="0"/>
                <w:color w:val="auto"/>
                <w:kern w:val="21"/>
                <w:sz w:val="24"/>
                <w:szCs w:val="24"/>
                <w:highlight w:val="none"/>
              </w:rPr>
              <w:t>为防止雨水径流进入贮存、处置场内，贮存、处置场周边应设置导流渠；</w:t>
            </w:r>
          </w:p>
          <w:p w14:paraId="705A8B5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2）</w:t>
            </w:r>
            <w:r>
              <w:rPr>
                <w:rFonts w:hint="default" w:ascii="Times New Roman" w:hAnsi="Times New Roman" w:eastAsia="宋体" w:cs="Times New Roman"/>
                <w:snapToGrid w:val="0"/>
                <w:color w:val="auto"/>
                <w:kern w:val="21"/>
                <w:sz w:val="24"/>
                <w:szCs w:val="24"/>
                <w:highlight w:val="none"/>
              </w:rPr>
              <w:t>应按GBl5562.2设置环境保护</w:t>
            </w:r>
            <w:r>
              <w:rPr>
                <w:rFonts w:hint="default" w:ascii="Times New Roman" w:hAnsi="Times New Roman" w:eastAsia="宋体" w:cs="Times New Roman"/>
                <w:snapToGrid w:val="0"/>
                <w:color w:val="auto"/>
                <w:kern w:val="21"/>
                <w:sz w:val="24"/>
                <w:szCs w:val="24"/>
                <w:highlight w:val="none"/>
              </w:rPr>
              <w:fldChar w:fldCharType="begin"/>
            </w:r>
            <w:r>
              <w:rPr>
                <w:rFonts w:hint="default" w:ascii="Times New Roman" w:hAnsi="Times New Roman" w:eastAsia="宋体" w:cs="Times New Roman"/>
                <w:snapToGrid w:val="0"/>
                <w:color w:val="auto"/>
                <w:kern w:val="21"/>
                <w:sz w:val="24"/>
                <w:szCs w:val="24"/>
                <w:highlight w:val="none"/>
              </w:rPr>
              <w:instrText xml:space="preserve">HYPERLINK"https://baike.sogou.com/lemma/ShowInnerLink.htm?lemmaId=7697566&amp;ss_c=ssc.citiao.link"\t"https://baike.sogou.com/_blank"</w:instrText>
            </w:r>
            <w:r>
              <w:rPr>
                <w:rFonts w:hint="default" w:ascii="Times New Roman" w:hAnsi="Times New Roman" w:eastAsia="宋体" w:cs="Times New Roman"/>
                <w:snapToGrid w:val="0"/>
                <w:color w:val="auto"/>
                <w:kern w:val="21"/>
                <w:sz w:val="24"/>
                <w:szCs w:val="24"/>
                <w:highlight w:val="none"/>
              </w:rPr>
              <w:fldChar w:fldCharType="separate"/>
            </w:r>
            <w:r>
              <w:rPr>
                <w:rFonts w:hint="default" w:ascii="Times New Roman" w:hAnsi="Times New Roman" w:eastAsia="宋体" w:cs="Times New Roman"/>
                <w:snapToGrid w:val="0"/>
                <w:color w:val="auto"/>
                <w:kern w:val="21"/>
                <w:sz w:val="24"/>
                <w:szCs w:val="24"/>
                <w:highlight w:val="none"/>
              </w:rPr>
              <w:t>图形标志</w:t>
            </w:r>
            <w:r>
              <w:rPr>
                <w:rFonts w:hint="default" w:ascii="Times New Roman" w:hAnsi="Times New Roman" w:eastAsia="宋体" w:cs="Times New Roman"/>
                <w:snapToGrid w:val="0"/>
                <w:color w:val="auto"/>
                <w:kern w:val="21"/>
                <w:sz w:val="24"/>
                <w:szCs w:val="24"/>
                <w:highlight w:val="none"/>
              </w:rPr>
              <w:fldChar w:fldCharType="end"/>
            </w:r>
            <w:r>
              <w:rPr>
                <w:rFonts w:hint="default" w:ascii="Times New Roman" w:hAnsi="Times New Roman" w:eastAsia="宋体" w:cs="Times New Roman"/>
                <w:snapToGrid w:val="0"/>
                <w:color w:val="auto"/>
                <w:kern w:val="21"/>
                <w:sz w:val="24"/>
                <w:szCs w:val="24"/>
                <w:highlight w:val="none"/>
              </w:rPr>
              <w:t>；</w:t>
            </w:r>
          </w:p>
          <w:p w14:paraId="75BAB9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3）</w:t>
            </w:r>
            <w:r>
              <w:rPr>
                <w:rFonts w:hint="default" w:ascii="Times New Roman" w:hAnsi="Times New Roman" w:eastAsia="宋体" w:cs="Times New Roman"/>
                <w:snapToGrid w:val="0"/>
                <w:color w:val="auto"/>
                <w:kern w:val="21"/>
                <w:sz w:val="24"/>
                <w:szCs w:val="24"/>
                <w:highlight w:val="none"/>
              </w:rPr>
              <w:t>一般工业固体废物贮存、处置场，禁止危险废物和生活垃圾混入；</w:t>
            </w:r>
          </w:p>
          <w:p w14:paraId="2103AA8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4）</w:t>
            </w:r>
            <w:r>
              <w:rPr>
                <w:rFonts w:hint="default" w:ascii="Times New Roman" w:hAnsi="Times New Roman" w:eastAsia="宋体" w:cs="Times New Roman"/>
                <w:snapToGrid w:val="0"/>
                <w:color w:val="auto"/>
                <w:kern w:val="21"/>
                <w:sz w:val="24"/>
                <w:szCs w:val="24"/>
                <w:highlight w:val="none"/>
              </w:rPr>
              <w:t>应建立检查维护制度，定期检查维护导流渠等设施，发现有损坏可能或异常，应及时采取必要措施，以保障正常运行；</w:t>
            </w:r>
          </w:p>
          <w:p w14:paraId="099B8CB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eastAsia" w:cs="Times New Roman"/>
                <w:snapToGrid w:val="0"/>
                <w:color w:val="auto"/>
                <w:kern w:val="21"/>
                <w:sz w:val="24"/>
                <w:szCs w:val="24"/>
                <w:highlight w:val="none"/>
                <w:lang w:val="en-US" w:eastAsia="zh-CN"/>
              </w:rPr>
              <w:t>5）</w:t>
            </w:r>
            <w:r>
              <w:rPr>
                <w:rFonts w:hint="default" w:ascii="Times New Roman" w:hAnsi="Times New Roman" w:eastAsia="宋体" w:cs="Times New Roman"/>
                <w:snapToGrid w:val="0"/>
                <w:color w:val="auto"/>
                <w:kern w:val="21"/>
                <w:sz w:val="24"/>
                <w:szCs w:val="24"/>
                <w:highlight w:val="none"/>
              </w:rPr>
              <w:t>建立档案制度。应将入场的一般工业固体废物的种类和数量以及下列资料，详细记录在案，长期保存，供随时查阅。</w:t>
            </w:r>
          </w:p>
          <w:p w14:paraId="1E2CB9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rPr>
              <w:t>（2）危险废物</w:t>
            </w:r>
            <w:r>
              <w:rPr>
                <w:rFonts w:hint="default" w:ascii="Times New Roman" w:hAnsi="Times New Roman" w:eastAsia="宋体" w:cs="Times New Roman"/>
                <w:snapToGrid w:val="0"/>
                <w:color w:val="auto"/>
                <w:kern w:val="21"/>
                <w:sz w:val="24"/>
                <w:szCs w:val="24"/>
                <w:highlight w:val="none"/>
                <w:lang w:val="en-US" w:eastAsia="zh-CN"/>
              </w:rPr>
              <w:t>管理要求</w:t>
            </w:r>
          </w:p>
          <w:p w14:paraId="50C9BA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eastAsia" w:cs="Times New Roman"/>
                <w:snapToGrid w:val="0"/>
                <w:color w:val="auto"/>
                <w:kern w:val="21"/>
                <w:sz w:val="24"/>
                <w:szCs w:val="24"/>
                <w:highlight w:val="none"/>
                <w:lang w:eastAsia="zh-CN"/>
              </w:rPr>
              <w:t>本项目</w:t>
            </w:r>
            <w:r>
              <w:rPr>
                <w:rFonts w:hint="default" w:ascii="Times New Roman" w:hAnsi="Times New Roman" w:eastAsia="宋体" w:cs="Times New Roman"/>
                <w:snapToGrid w:val="0"/>
                <w:color w:val="auto"/>
                <w:kern w:val="21"/>
                <w:sz w:val="24"/>
                <w:szCs w:val="24"/>
                <w:highlight w:val="none"/>
              </w:rPr>
              <w:t>严格按照《危险废物贮存污染控制标准》(GB18597-20</w:t>
            </w:r>
            <w:r>
              <w:rPr>
                <w:rFonts w:hint="default" w:ascii="Times New Roman" w:hAnsi="Times New Roman" w:eastAsia="宋体" w:cs="Times New Roman"/>
                <w:snapToGrid w:val="0"/>
                <w:color w:val="auto"/>
                <w:kern w:val="21"/>
                <w:sz w:val="24"/>
                <w:szCs w:val="24"/>
                <w:highlight w:val="none"/>
                <w:lang w:val="en-US" w:eastAsia="zh-CN"/>
              </w:rPr>
              <w:t>23</w:t>
            </w:r>
            <w:r>
              <w:rPr>
                <w:rFonts w:hint="default" w:ascii="Times New Roman" w:hAnsi="Times New Roman" w:eastAsia="宋体" w:cs="Times New Roman"/>
                <w:snapToGrid w:val="0"/>
                <w:color w:val="auto"/>
                <w:kern w:val="21"/>
                <w:sz w:val="24"/>
                <w:szCs w:val="24"/>
                <w:highlight w:val="none"/>
              </w:rPr>
              <w:t>)、《</w:t>
            </w:r>
            <w:r>
              <w:rPr>
                <w:rFonts w:hint="default" w:ascii="Times New Roman" w:hAnsi="Times New Roman" w:eastAsia="宋体" w:cs="Times New Roman"/>
                <w:snapToGrid w:val="0"/>
                <w:color w:val="auto"/>
                <w:kern w:val="21"/>
                <w:sz w:val="24"/>
                <w:szCs w:val="24"/>
                <w:highlight w:val="none"/>
                <w:lang w:eastAsia="zh-CN"/>
              </w:rPr>
              <w:t>危险废物收集、贮存、运输技术规范</w:t>
            </w:r>
            <w:r>
              <w:rPr>
                <w:rFonts w:hint="default" w:ascii="Times New Roman" w:hAnsi="Times New Roman" w:eastAsia="宋体" w:cs="Times New Roman"/>
                <w:snapToGrid w:val="0"/>
                <w:color w:val="auto"/>
                <w:kern w:val="21"/>
                <w:sz w:val="24"/>
                <w:szCs w:val="24"/>
                <w:highlight w:val="none"/>
              </w:rPr>
              <w:t>》(HJ2025-2012)以及《建设项目危险废物评价指南》的相关要求对危险废物进行暂存和处置。</w:t>
            </w:r>
          </w:p>
          <w:p w14:paraId="681F78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1）危险废物收集要求</w:t>
            </w:r>
          </w:p>
          <w:p w14:paraId="4077C8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项目危险废物的收集包括两个方面：一是在危险废物产生节点将危险废物集中到适当的包装容器中的活动；二是将危险废物集中到危险废物暂存仓库的内部转运。</w:t>
            </w:r>
          </w:p>
          <w:p w14:paraId="74C138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危险废物的收集须严格按照《</w:t>
            </w:r>
            <w:r>
              <w:rPr>
                <w:rFonts w:hint="default" w:ascii="Times New Roman" w:hAnsi="Times New Roman" w:eastAsia="宋体" w:cs="Times New Roman"/>
                <w:snapToGrid w:val="0"/>
                <w:color w:val="auto"/>
                <w:kern w:val="21"/>
                <w:sz w:val="24"/>
                <w:szCs w:val="24"/>
                <w:highlight w:val="none"/>
                <w:lang w:eastAsia="zh-CN"/>
              </w:rPr>
              <w:t>危险废物收集、贮存、运输技术规范</w:t>
            </w:r>
            <w:r>
              <w:rPr>
                <w:rFonts w:hint="default" w:ascii="Times New Roman" w:hAnsi="Times New Roman" w:eastAsia="宋体" w:cs="Times New Roman"/>
                <w:snapToGrid w:val="0"/>
                <w:color w:val="auto"/>
                <w:kern w:val="21"/>
                <w:sz w:val="24"/>
                <w:szCs w:val="24"/>
                <w:highlight w:val="none"/>
              </w:rPr>
              <w:t>》（HJ2025-2012）的要求：</w:t>
            </w:r>
          </w:p>
          <w:p w14:paraId="3AED2DE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①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67637ED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②制定危险废物收集操作规程，内容包括适用范围、操作程序和方法、专用设备和工具、转移和交接、安全保障和应急防护等。</w:t>
            </w:r>
          </w:p>
          <w:p w14:paraId="23732F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③危险废物收集和转运作业人员根据工作需要配备必要的个人防护装备，如手套、防护镜、防护服、防毒面具或口罩等。</w:t>
            </w:r>
          </w:p>
          <w:p w14:paraId="2FDA0A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④在危险废物收集和转运过程中，采取相应的安全防护和污染防治措施，包括防爆、防火、防泄漏、防飞扬、防雨或其他防治污染环境的措施。</w:t>
            </w:r>
          </w:p>
          <w:p w14:paraId="3A3C6E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⑤危险废物收集时应根据危险废物的种类、数量、危险特性、物理形态、运输要求等因素选择合适的包装形式。</w:t>
            </w:r>
          </w:p>
          <w:p w14:paraId="032F294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2）暂存要求</w:t>
            </w:r>
          </w:p>
          <w:p w14:paraId="6895C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color w:val="auto"/>
                <w:kern w:val="21"/>
                <w:sz w:val="24"/>
                <w:szCs w:val="24"/>
                <w:highlight w:val="none"/>
                <w:lang w:eastAsia="zh-CN"/>
              </w:rPr>
            </w:pPr>
            <w:r>
              <w:rPr>
                <w:rFonts w:hint="eastAsia" w:cs="Times New Roman"/>
                <w:snapToGrid w:val="0"/>
                <w:color w:val="auto"/>
                <w:kern w:val="21"/>
                <w:sz w:val="24"/>
                <w:szCs w:val="24"/>
                <w:highlight w:val="none"/>
                <w:lang w:eastAsia="zh-CN"/>
              </w:rPr>
              <w:t>本项目依托企业现有危废库，根据现场勘查，现有的危废库建设规范，符合防风、防雨、防晒、防渗漏等要求，剩余储存能力满足本项目要求。</w:t>
            </w:r>
          </w:p>
          <w:p w14:paraId="165ED15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A、项目设置危险废物暂存库，根据《危险废物贮存污染控制标准》(GB18597-20</w:t>
            </w:r>
            <w:r>
              <w:rPr>
                <w:rFonts w:hint="default" w:ascii="Times New Roman" w:hAnsi="Times New Roman" w:eastAsia="宋体" w:cs="Times New Roman"/>
                <w:snapToGrid w:val="0"/>
                <w:color w:val="auto"/>
                <w:kern w:val="21"/>
                <w:sz w:val="24"/>
                <w:szCs w:val="24"/>
                <w:highlight w:val="none"/>
                <w:lang w:val="en-US" w:eastAsia="zh-CN"/>
              </w:rPr>
              <w:t>23</w:t>
            </w:r>
            <w:r>
              <w:rPr>
                <w:rFonts w:hint="default" w:ascii="Times New Roman" w:hAnsi="Times New Roman" w:eastAsia="宋体" w:cs="Times New Roman"/>
                <w:snapToGrid w:val="0"/>
                <w:color w:val="auto"/>
                <w:kern w:val="21"/>
                <w:sz w:val="24"/>
                <w:szCs w:val="24"/>
                <w:highlight w:val="none"/>
              </w:rPr>
              <w:t>)和《</w:t>
            </w:r>
            <w:r>
              <w:rPr>
                <w:rFonts w:hint="default" w:ascii="Times New Roman" w:hAnsi="Times New Roman" w:eastAsia="宋体" w:cs="Times New Roman"/>
                <w:snapToGrid w:val="0"/>
                <w:color w:val="auto"/>
                <w:kern w:val="21"/>
                <w:sz w:val="24"/>
                <w:szCs w:val="24"/>
                <w:highlight w:val="none"/>
                <w:lang w:eastAsia="zh-CN"/>
              </w:rPr>
              <w:t>危险废物收集、贮存、运输技术规范</w:t>
            </w:r>
            <w:r>
              <w:rPr>
                <w:rFonts w:hint="default" w:ascii="Times New Roman" w:hAnsi="Times New Roman" w:eastAsia="宋体" w:cs="Times New Roman"/>
                <w:snapToGrid w:val="0"/>
                <w:color w:val="auto"/>
                <w:kern w:val="21"/>
                <w:sz w:val="24"/>
                <w:szCs w:val="24"/>
                <w:highlight w:val="none"/>
              </w:rPr>
              <w:t>》(HJ2025-2012)的相关要求，危险废物暂存库采取如下措施：</w:t>
            </w:r>
          </w:p>
          <w:p w14:paraId="4F89A93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①危废储存库地面基础应采取防渗，地基采用3:7灰土垫层300mm厚，地面采用C30防渗砼200mm厚，面层用防渗砂浆抹面30mm厚，防渗系数能够达到10-10cm/s，</w:t>
            </w:r>
          </w:p>
          <w:p w14:paraId="2CA7BF8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②危废储存库地面与裙脚应用坚固、防渗的材料建造，建筑材料必须与危险废物兼容；</w:t>
            </w:r>
          </w:p>
          <w:p w14:paraId="3BF553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③库房内危险废物</w:t>
            </w:r>
            <w:r>
              <w:rPr>
                <w:rFonts w:hint="default" w:ascii="Times New Roman" w:hAnsi="Times New Roman" w:eastAsia="宋体" w:cs="Times New Roman"/>
                <w:snapToGrid w:val="0"/>
                <w:color w:val="auto"/>
                <w:kern w:val="21"/>
                <w:sz w:val="24"/>
                <w:szCs w:val="24"/>
                <w:highlight w:val="none"/>
                <w:lang w:val="en-US" w:eastAsia="zh-CN"/>
              </w:rPr>
              <w:t>以桶装的方式放置于金属托盘上，堆放在危废暂存间特定区域</w:t>
            </w:r>
            <w:r>
              <w:rPr>
                <w:rFonts w:hint="default" w:ascii="Times New Roman" w:hAnsi="Times New Roman" w:eastAsia="宋体" w:cs="Times New Roman"/>
                <w:snapToGrid w:val="0"/>
                <w:color w:val="auto"/>
                <w:kern w:val="21"/>
                <w:sz w:val="24"/>
                <w:szCs w:val="24"/>
                <w:highlight w:val="none"/>
              </w:rPr>
              <w:t>；</w:t>
            </w:r>
          </w:p>
          <w:p w14:paraId="4E6A676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④库房内不同危险废物进行隔离存放，隔离区应留出搬运通道；且库房内要有安全照明设施和观察窗口。</w:t>
            </w:r>
          </w:p>
          <w:p w14:paraId="1A462A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⑤危</w:t>
            </w:r>
            <w:r>
              <w:rPr>
                <w:rFonts w:hint="default" w:ascii="Times New Roman" w:hAnsi="Times New Roman" w:eastAsia="宋体" w:cs="Times New Roman"/>
                <w:snapToGrid w:val="0"/>
                <w:color w:val="auto"/>
                <w:kern w:val="21"/>
                <w:sz w:val="24"/>
                <w:szCs w:val="24"/>
                <w:highlight w:val="none"/>
                <w:lang w:val="en-US" w:eastAsia="zh-CN"/>
              </w:rPr>
              <w:t>险</w:t>
            </w:r>
            <w:r>
              <w:rPr>
                <w:rFonts w:hint="default" w:ascii="Times New Roman" w:hAnsi="Times New Roman" w:eastAsia="宋体" w:cs="Times New Roman"/>
                <w:snapToGrid w:val="0"/>
                <w:color w:val="auto"/>
                <w:kern w:val="21"/>
                <w:sz w:val="24"/>
                <w:szCs w:val="24"/>
                <w:highlight w:val="none"/>
              </w:rPr>
              <w:t>废物暂存间应“四防”（防风、防雨、防晒、防渗漏），加强防渗措施和渗漏收集措施，设置警示标志。</w:t>
            </w:r>
          </w:p>
          <w:p w14:paraId="05F448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B、企业须健全危险废物相关管理制度，并严格落实。</w:t>
            </w:r>
          </w:p>
          <w:p w14:paraId="7F88AD6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①企业须配备专业技术人员和管理人员专门负责企业危险废物统计、收集、暂存、转运和管理工作，并对有关危废产生部门员工进行定期教育和培训，强化危险废物管理；</w:t>
            </w:r>
          </w:p>
          <w:p w14:paraId="3B99FB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②企业须建立危险废物收集操作规程、危险废物转运操作规程、危险废物暂存管理规程等相关制度，并认真落实；</w:t>
            </w:r>
          </w:p>
          <w:p w14:paraId="69A3B3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③企业须对危险废物储运场所张贴</w:t>
            </w:r>
            <w:r>
              <w:rPr>
                <w:rFonts w:hint="eastAsia" w:cs="Times New Roman"/>
                <w:snapToGrid w:val="0"/>
                <w:color w:val="auto"/>
                <w:kern w:val="21"/>
                <w:sz w:val="24"/>
                <w:szCs w:val="24"/>
                <w:highlight w:val="none"/>
                <w:lang w:eastAsia="zh-CN"/>
              </w:rPr>
              <w:t>警示标志</w:t>
            </w:r>
            <w:r>
              <w:rPr>
                <w:rFonts w:hint="default" w:ascii="Times New Roman" w:hAnsi="Times New Roman" w:eastAsia="宋体" w:cs="Times New Roman"/>
                <w:snapToGrid w:val="0"/>
                <w:color w:val="auto"/>
                <w:kern w:val="21"/>
                <w:sz w:val="24"/>
                <w:szCs w:val="24"/>
                <w:highlight w:val="none"/>
              </w:rPr>
              <w:t>，危险废物包装物张贴警示标签；</w:t>
            </w:r>
          </w:p>
          <w:p w14:paraId="200602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④规范危险废物统计、建立危险废物收集及储运有关档案，认真填写《危险废物项目区内转运记录表》，</w:t>
            </w:r>
            <w:r>
              <w:rPr>
                <w:rFonts w:hint="default" w:ascii="Times New Roman" w:hAnsi="Times New Roman" w:eastAsia="宋体" w:cs="Times New Roman"/>
                <w:snapToGrid w:val="0"/>
                <w:color w:val="auto"/>
                <w:kern w:val="21"/>
                <w:sz w:val="24"/>
                <w:szCs w:val="24"/>
                <w:highlight w:val="none"/>
                <w:lang w:eastAsia="zh-CN"/>
              </w:rPr>
              <w:t>做好</w:t>
            </w:r>
            <w:r>
              <w:rPr>
                <w:rFonts w:hint="default" w:ascii="Times New Roman" w:hAnsi="Times New Roman" w:eastAsia="宋体" w:cs="Times New Roman"/>
                <w:snapToGrid w:val="0"/>
                <w:color w:val="auto"/>
                <w:kern w:val="21"/>
                <w:sz w:val="24"/>
                <w:szCs w:val="24"/>
                <w:highlight w:val="none"/>
              </w:rPr>
              <w:t>危险废物情况的</w:t>
            </w:r>
            <w:r>
              <w:rPr>
                <w:rFonts w:hint="default" w:ascii="Times New Roman" w:hAnsi="Times New Roman" w:eastAsia="宋体" w:cs="Times New Roman"/>
                <w:snapToGrid w:val="0"/>
                <w:color w:val="auto"/>
                <w:kern w:val="21"/>
                <w:sz w:val="24"/>
                <w:szCs w:val="24"/>
                <w:highlight w:val="none"/>
                <w:lang w:val="en-US" w:eastAsia="zh-CN"/>
              </w:rPr>
              <w:t>台账</w:t>
            </w:r>
            <w:r>
              <w:rPr>
                <w:rFonts w:hint="default" w:ascii="Times New Roman" w:hAnsi="Times New Roman" w:eastAsia="宋体" w:cs="Times New Roman"/>
                <w:snapToGrid w:val="0"/>
                <w:color w:val="auto"/>
                <w:kern w:val="21"/>
                <w:sz w:val="24"/>
                <w:szCs w:val="24"/>
                <w:highlight w:val="none"/>
              </w:rPr>
              <w:t>记录，记录上须注明危险废物的名称、来源、数量、特性和包装容器的类别、入库日期、存放库位、废物出库日期及接收单位名称等，并即时存档以备查阅。</w:t>
            </w:r>
          </w:p>
          <w:p w14:paraId="6FAB87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C、危险废物在危废库房内暂存期间应严格按照《危险废物贮存污染控制标准》（GB1859</w:t>
            </w:r>
            <w:r>
              <w:rPr>
                <w:rFonts w:hint="default" w:ascii="Times New Roman" w:hAnsi="Times New Roman" w:eastAsia="宋体" w:cs="Times New Roman"/>
                <w:snapToGrid w:val="0"/>
                <w:color w:val="auto"/>
                <w:kern w:val="21"/>
                <w:sz w:val="24"/>
                <w:szCs w:val="24"/>
                <w:highlight w:val="none"/>
                <w:lang w:val="en-US" w:eastAsia="zh-CN"/>
              </w:rPr>
              <w:t>7</w:t>
            </w:r>
            <w:r>
              <w:rPr>
                <w:rFonts w:hint="default" w:ascii="Times New Roman" w:hAnsi="Times New Roman" w:eastAsia="宋体" w:cs="Times New Roman"/>
                <w:snapToGrid w:val="0"/>
                <w:color w:val="auto"/>
                <w:kern w:val="21"/>
                <w:sz w:val="24"/>
                <w:szCs w:val="24"/>
                <w:highlight w:val="none"/>
              </w:rPr>
              <w:t>-20</w:t>
            </w:r>
            <w:r>
              <w:rPr>
                <w:rFonts w:hint="default" w:ascii="Times New Roman" w:hAnsi="Times New Roman" w:eastAsia="宋体" w:cs="Times New Roman"/>
                <w:snapToGrid w:val="0"/>
                <w:color w:val="auto"/>
                <w:kern w:val="21"/>
                <w:sz w:val="24"/>
                <w:szCs w:val="24"/>
                <w:highlight w:val="none"/>
                <w:lang w:val="en-US" w:eastAsia="zh-CN"/>
              </w:rPr>
              <w:t>23</w:t>
            </w:r>
            <w:r>
              <w:rPr>
                <w:rFonts w:hint="default" w:ascii="Times New Roman" w:hAnsi="Times New Roman" w:eastAsia="宋体" w:cs="Times New Roman"/>
                <w:snapToGrid w:val="0"/>
                <w:color w:val="auto"/>
                <w:kern w:val="21"/>
                <w:sz w:val="24"/>
                <w:szCs w:val="24"/>
                <w:highlight w:val="none"/>
              </w:rPr>
              <w:t>）和《</w:t>
            </w:r>
            <w:r>
              <w:rPr>
                <w:rFonts w:hint="default" w:ascii="Times New Roman" w:hAnsi="Times New Roman" w:eastAsia="宋体" w:cs="Times New Roman"/>
                <w:snapToGrid w:val="0"/>
                <w:color w:val="auto"/>
                <w:kern w:val="21"/>
                <w:sz w:val="24"/>
                <w:szCs w:val="24"/>
                <w:highlight w:val="none"/>
                <w:lang w:eastAsia="zh-CN"/>
              </w:rPr>
              <w:t>危险废物收集、贮存、运输技术规范</w:t>
            </w:r>
            <w:r>
              <w:rPr>
                <w:rFonts w:hint="default" w:ascii="Times New Roman" w:hAnsi="Times New Roman" w:eastAsia="宋体" w:cs="Times New Roman"/>
                <w:snapToGrid w:val="0"/>
                <w:color w:val="auto"/>
                <w:kern w:val="21"/>
                <w:sz w:val="24"/>
                <w:szCs w:val="24"/>
                <w:highlight w:val="none"/>
              </w:rPr>
              <w:t>》（HJ2025-2012）的相关要求进行存储和管理。</w:t>
            </w:r>
          </w:p>
          <w:p w14:paraId="2A5E03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①必须将危险废物装入容器内进行密封装运，禁止将不兼容（相互反应）的危险废物在同一容器内混装；</w:t>
            </w:r>
          </w:p>
          <w:p w14:paraId="732C69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②盛装危险废物的容器应当符合标准，材质要满足相应的强度要求且必须完好无损，容器材质和衬里要与危险废物兼容（不相互反应）；</w:t>
            </w:r>
          </w:p>
          <w:p w14:paraId="218FE0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③危险废物贮存前应进行检验，确保同预定接收的危险废物一致，并登记注册，不得接收未粘贴符合规定的标签或标签没按规定填写的危险废物；</w:t>
            </w:r>
          </w:p>
          <w:p w14:paraId="0B1BE06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④必须定期对所贮存的危险废物包装容器及贮存设施进行检查，发现破损，应及时采取措施清理更换。</w:t>
            </w:r>
          </w:p>
          <w:p w14:paraId="4B77D1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3）危险废物的转运要求</w:t>
            </w:r>
          </w:p>
          <w:p w14:paraId="106EF8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项目固体废物转运过程中采取篷布遮盖、防滴漏等措施，减少固体废物运输过程给环境带来污染。危险废物的转运还按照《</w:t>
            </w:r>
            <w:r>
              <w:rPr>
                <w:rFonts w:hint="default" w:ascii="Times New Roman" w:hAnsi="Times New Roman" w:eastAsia="宋体" w:cs="Times New Roman"/>
                <w:snapToGrid w:val="0"/>
                <w:color w:val="auto"/>
                <w:kern w:val="21"/>
                <w:sz w:val="24"/>
                <w:szCs w:val="24"/>
                <w:highlight w:val="none"/>
                <w:lang w:eastAsia="zh-CN"/>
              </w:rPr>
              <w:t>危险废物收集、贮存、运输技术规范</w:t>
            </w:r>
            <w:r>
              <w:rPr>
                <w:rFonts w:hint="default" w:ascii="Times New Roman" w:hAnsi="Times New Roman" w:eastAsia="宋体" w:cs="Times New Roman"/>
                <w:snapToGrid w:val="0"/>
                <w:color w:val="auto"/>
                <w:kern w:val="21"/>
                <w:sz w:val="24"/>
                <w:szCs w:val="24"/>
                <w:highlight w:val="none"/>
              </w:rPr>
              <w:t>》（HJ2025-2012）的要求进行，具体如下：</w:t>
            </w:r>
          </w:p>
          <w:p w14:paraId="6C0A1B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①危险废物的运输由持有危险废物经营许可证的单位组织实施，并按照相关危险货物运输管理规定执行；</w:t>
            </w:r>
          </w:p>
          <w:p w14:paraId="059F4A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②</w:t>
            </w:r>
            <w:r>
              <w:rPr>
                <w:rFonts w:hint="eastAsia" w:cs="Times New Roman"/>
                <w:snapToGrid w:val="0"/>
                <w:color w:val="auto"/>
                <w:kern w:val="21"/>
                <w:sz w:val="24"/>
                <w:szCs w:val="24"/>
                <w:highlight w:val="none"/>
                <w:lang w:val="en-US" w:eastAsia="zh-CN"/>
              </w:rPr>
              <w:t>危险废物</w:t>
            </w:r>
            <w:r>
              <w:rPr>
                <w:rFonts w:hint="default" w:ascii="Times New Roman" w:hAnsi="Times New Roman" w:eastAsia="宋体" w:cs="Times New Roman"/>
                <w:snapToGrid w:val="0"/>
                <w:color w:val="auto"/>
                <w:kern w:val="21"/>
                <w:sz w:val="24"/>
                <w:szCs w:val="24"/>
                <w:highlight w:val="none"/>
              </w:rPr>
              <w:t>运输采用公路运输方式，应按照《道路危险货物运输管理规定》（交通运输部令2013年第2号）执行。</w:t>
            </w:r>
          </w:p>
          <w:p w14:paraId="00A2E51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14:paraId="1398B8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165BF16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④废物处置单位的运输人员必须掌握危险废物运输的安全知识，了解所运载的危险废物的性质、危害特性、包装容器的使用特性和发生意外时的应急措施。运输车辆必须具有车辆危险货物运输许可证。</w:t>
            </w:r>
          </w:p>
          <w:p w14:paraId="264B9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pacing w:val="-11"/>
                <w:sz w:val="24"/>
                <w:szCs w:val="24"/>
                <w:highlight w:val="none"/>
                <w:lang w:val="en-US" w:eastAsia="zh-CN"/>
              </w:rPr>
            </w:pPr>
            <w:r>
              <w:rPr>
                <w:rFonts w:hint="default" w:ascii="Times New Roman" w:hAnsi="Times New Roman" w:eastAsia="宋体" w:cs="Times New Roman"/>
                <w:color w:val="auto"/>
                <w:sz w:val="24"/>
                <w:szCs w:val="24"/>
                <w:highlight w:val="none"/>
              </w:rPr>
              <w:t>通过采取以上措施，固体废物均得到有效处理，</w:t>
            </w:r>
            <w:r>
              <w:rPr>
                <w:rFonts w:hint="eastAsia"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lang w:val="en-US" w:eastAsia="zh-CN"/>
              </w:rPr>
              <w:t>固体废物处置能够满足</w:t>
            </w:r>
            <w:r>
              <w:rPr>
                <w:rFonts w:hint="default" w:ascii="Times New Roman" w:hAnsi="Times New Roman" w:eastAsia="宋体" w:cs="Times New Roman"/>
                <w:color w:val="auto"/>
                <w:sz w:val="24"/>
                <w:szCs w:val="24"/>
                <w:highlight w:val="none"/>
              </w:rPr>
              <w:t>《一般工业固体废物贮存和填埋污染控制标准》（GB18599-2020）</w:t>
            </w:r>
            <w:r>
              <w:rPr>
                <w:rFonts w:hint="eastAsia" w:cs="Times New Roman"/>
                <w:color w:val="auto"/>
                <w:sz w:val="24"/>
                <w:szCs w:val="24"/>
                <w:highlight w:val="none"/>
                <w:lang w:eastAsia="zh-CN"/>
              </w:rPr>
              <w:t>和《中华人民共和国固体废物污染环境防治法》</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val="en-US" w:eastAsia="zh-CN"/>
              </w:rPr>
              <w:t>危险废物处置满足</w:t>
            </w:r>
            <w:r>
              <w:rPr>
                <w:rFonts w:hint="default" w:ascii="Times New Roman" w:hAnsi="Times New Roman" w:eastAsia="宋体" w:cs="Times New Roman"/>
                <w:color w:val="auto"/>
                <w:sz w:val="24"/>
                <w:szCs w:val="24"/>
                <w:highlight w:val="none"/>
              </w:rPr>
              <w:t>《危险废物贮存污染控制标准》（GB18597-2</w:t>
            </w:r>
            <w:r>
              <w:rPr>
                <w:rFonts w:hint="default" w:ascii="Times New Roman" w:hAnsi="Times New Roman" w:eastAsia="宋体" w:cs="Times New Roman"/>
                <w:color w:val="auto"/>
                <w:sz w:val="24"/>
                <w:szCs w:val="24"/>
                <w:highlight w:val="none"/>
                <w:lang w:val="en-US" w:eastAsia="zh-CN"/>
              </w:rPr>
              <w:t>023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w:t>
            </w:r>
          </w:p>
          <w:p w14:paraId="1403911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五</w:t>
            </w:r>
            <w:r>
              <w:rPr>
                <w:rFonts w:hint="default" w:ascii="Times New Roman" w:hAnsi="Times New Roman" w:eastAsia="宋体" w:cs="Times New Roman"/>
                <w:b/>
                <w:bCs/>
                <w:color w:val="auto"/>
                <w:sz w:val="24"/>
                <w:szCs w:val="24"/>
                <w:lang w:val="en-US" w:eastAsia="zh-CN"/>
              </w:rPr>
              <w:t>、地下水和土壤</w:t>
            </w:r>
          </w:p>
          <w:p w14:paraId="5F750962">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sz w:val="24"/>
                <w:szCs w:val="24"/>
                <w:highlight w:val="none"/>
              </w:rPr>
              <w:t>污染途径</w:t>
            </w:r>
          </w:p>
          <w:p w14:paraId="24D13E4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本项目在正常工况下，</w:t>
            </w:r>
            <w:r>
              <w:rPr>
                <w:rFonts w:hint="eastAsia" w:cs="Times New Roman"/>
                <w:color w:val="auto"/>
                <w:sz w:val="24"/>
                <w:szCs w:val="24"/>
                <w:highlight w:val="none"/>
                <w:lang w:val="en-US" w:eastAsia="zh-CN"/>
              </w:rPr>
              <w:t>沥青罐、导热油炉存放区、危废库、</w:t>
            </w:r>
            <w:r>
              <w:rPr>
                <w:rFonts w:hint="default" w:ascii="Times New Roman" w:hAnsi="Times New Roman" w:eastAsia="宋体" w:cs="Times New Roman"/>
                <w:color w:val="auto"/>
                <w:sz w:val="24"/>
                <w:szCs w:val="24"/>
                <w:highlight w:val="none"/>
                <w:lang w:val="en-US" w:eastAsia="zh-CN"/>
              </w:rPr>
              <w:t>沉淀池</w:t>
            </w:r>
            <w:r>
              <w:rPr>
                <w:rFonts w:hint="eastAsia"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val="en-US" w:eastAsia="zh-CN"/>
              </w:rPr>
              <w:t>化粪池等处均按标准进行了严格的防渗处理，污染途径被切断，对地下水和土壤均无影响，影响的发生主要是在危险物质</w:t>
            </w:r>
            <w:r>
              <w:rPr>
                <w:rFonts w:hint="eastAsia"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en-US" w:eastAsia="zh-CN"/>
              </w:rPr>
              <w:t>、防渗层破坏等事故状态下。</w:t>
            </w:r>
          </w:p>
          <w:p w14:paraId="4CF47B5C">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本项目非正常情况下，主要污染途径包括：</w:t>
            </w:r>
          </w:p>
          <w:p w14:paraId="0E73231B">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cs="Times New Roman"/>
                <w:color w:val="auto"/>
                <w:sz w:val="24"/>
                <w:szCs w:val="24"/>
                <w:highlight w:val="none"/>
                <w:lang w:val="en-US" w:eastAsia="zh-CN"/>
              </w:rPr>
              <w:t>物料和废水</w:t>
            </w:r>
            <w:r>
              <w:rPr>
                <w:rFonts w:hint="default" w:ascii="Times New Roman" w:hAnsi="Times New Roman" w:eastAsia="宋体" w:cs="Times New Roman"/>
                <w:color w:val="auto"/>
                <w:sz w:val="24"/>
                <w:szCs w:val="24"/>
                <w:highlight w:val="none"/>
              </w:rPr>
              <w:t>等发生泄漏造成污染物质渗透，从而污染地下水和土壤</w:t>
            </w:r>
            <w:r>
              <w:rPr>
                <w:rFonts w:hint="default" w:ascii="Times New Roman" w:hAnsi="Times New Roman" w:eastAsia="宋体" w:cs="Times New Roman"/>
                <w:color w:val="auto"/>
                <w:sz w:val="24"/>
                <w:szCs w:val="24"/>
                <w:highlight w:val="none"/>
                <w:lang w:val="en-US" w:eastAsia="zh-CN"/>
              </w:rPr>
              <w:t>。</w:t>
            </w:r>
          </w:p>
          <w:p w14:paraId="4E6FD7F1">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危废库</w:t>
            </w:r>
            <w:r>
              <w:rPr>
                <w:rFonts w:hint="default" w:ascii="Times New Roman" w:hAnsi="Times New Roman" w:eastAsia="宋体" w:cs="Times New Roman"/>
                <w:color w:val="auto"/>
                <w:sz w:val="24"/>
                <w:szCs w:val="24"/>
                <w:highlight w:val="none"/>
              </w:rPr>
              <w:t>地面防渗不当，造成</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下渗污染地下水和土壤</w:t>
            </w:r>
            <w:r>
              <w:rPr>
                <w:rFonts w:hint="default" w:ascii="Times New Roman" w:hAnsi="Times New Roman" w:eastAsia="宋体" w:cs="Times New Roman"/>
                <w:color w:val="auto"/>
                <w:sz w:val="24"/>
                <w:szCs w:val="24"/>
                <w:highlight w:val="none"/>
                <w:lang w:val="en-US" w:eastAsia="zh-CN"/>
              </w:rPr>
              <w:t>。</w:t>
            </w:r>
          </w:p>
          <w:p w14:paraId="029EF750">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sz w:val="24"/>
                <w:szCs w:val="24"/>
                <w:highlight w:val="none"/>
                <w:lang w:val="en-US" w:eastAsia="zh-CN"/>
              </w:rPr>
              <w:t>污染物类型及危害</w:t>
            </w:r>
          </w:p>
          <w:p w14:paraId="7475E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本项目可能对地下水和土壤造成影响的途径为事故状态下泄漏物料或</w:t>
            </w:r>
            <w:r>
              <w:rPr>
                <w:rFonts w:hint="default" w:ascii="Times New Roman" w:hAnsi="Times New Roman" w:eastAsia="宋体" w:cs="Times New Roman"/>
                <w:color w:val="auto"/>
                <w:sz w:val="24"/>
                <w:szCs w:val="24"/>
                <w:highlight w:val="none"/>
                <w:lang w:val="en-US" w:eastAsia="zh-CN"/>
              </w:rPr>
              <w:t>防渗失效导致</w:t>
            </w:r>
            <w:r>
              <w:rPr>
                <w:rFonts w:hint="default" w:ascii="Times New Roman" w:hAnsi="Times New Roman" w:eastAsia="宋体" w:cs="Times New Roman"/>
                <w:color w:val="auto"/>
                <w:sz w:val="24"/>
                <w:szCs w:val="24"/>
                <w:highlight w:val="none"/>
              </w:rPr>
              <w:t>泄漏</w:t>
            </w:r>
            <w:r>
              <w:rPr>
                <w:rFonts w:hint="default" w:ascii="Times New Roman" w:hAnsi="Times New Roman" w:eastAsia="宋体" w:cs="Times New Roman"/>
                <w:color w:val="auto"/>
                <w:sz w:val="24"/>
                <w:szCs w:val="24"/>
                <w:highlight w:val="none"/>
                <w:lang w:val="en-US" w:eastAsia="zh-CN"/>
              </w:rPr>
              <w:t>物</w:t>
            </w:r>
            <w:r>
              <w:rPr>
                <w:rFonts w:hint="default" w:ascii="Times New Roman" w:hAnsi="Times New Roman" w:eastAsia="宋体" w:cs="Times New Roman"/>
                <w:color w:val="auto"/>
                <w:sz w:val="24"/>
                <w:szCs w:val="24"/>
                <w:highlight w:val="none"/>
              </w:rPr>
              <w:t>下渗影响地下水和土壤，项目占地范围内可能产生的渗漏环节详见表4</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w:t>
            </w:r>
          </w:p>
          <w:p w14:paraId="76F7FD6E">
            <w:pPr>
              <w:keepNext w:val="0"/>
              <w:keepLines w:val="0"/>
              <w:pageBreakBefore w:val="0"/>
              <w:widowControl w:val="0"/>
              <w:numPr>
                <w:ilvl w:val="0"/>
                <w:numId w:val="13"/>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t>污染物类型及危害</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812"/>
              <w:gridCol w:w="2076"/>
              <w:gridCol w:w="1089"/>
              <w:gridCol w:w="2160"/>
            </w:tblGrid>
            <w:tr w14:paraId="0F6D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01891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147" w:type="pct"/>
                  <w:tcBorders>
                    <w:tl2br w:val="nil"/>
                    <w:tr2bl w:val="nil"/>
                  </w:tcBorders>
                  <w:noWrap w:val="0"/>
                  <w:vAlign w:val="center"/>
                </w:tcPr>
                <w:p w14:paraId="1F4B8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污染源</w:t>
                  </w:r>
                </w:p>
              </w:tc>
              <w:tc>
                <w:tcPr>
                  <w:tcW w:w="1315" w:type="pct"/>
                  <w:tcBorders>
                    <w:tl2br w:val="nil"/>
                    <w:tr2bl w:val="nil"/>
                  </w:tcBorders>
                  <w:noWrap w:val="0"/>
                  <w:vAlign w:val="center"/>
                </w:tcPr>
                <w:p w14:paraId="3EE3D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污染物类型</w:t>
                  </w:r>
                </w:p>
              </w:tc>
              <w:tc>
                <w:tcPr>
                  <w:tcW w:w="689" w:type="pct"/>
                  <w:tcBorders>
                    <w:tl2br w:val="nil"/>
                    <w:tr2bl w:val="nil"/>
                  </w:tcBorders>
                  <w:noWrap w:val="0"/>
                  <w:vAlign w:val="center"/>
                </w:tcPr>
                <w:p w14:paraId="5C1A0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污染途径</w:t>
                  </w:r>
                </w:p>
              </w:tc>
              <w:tc>
                <w:tcPr>
                  <w:tcW w:w="1368" w:type="pct"/>
                  <w:tcBorders>
                    <w:tl2br w:val="nil"/>
                    <w:tr2bl w:val="nil"/>
                  </w:tcBorders>
                  <w:noWrap w:val="0"/>
                  <w:vAlign w:val="center"/>
                </w:tcPr>
                <w:p w14:paraId="674D2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主要影响</w:t>
                  </w:r>
                </w:p>
              </w:tc>
            </w:tr>
            <w:tr w14:paraId="3D01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5C9B0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47" w:type="pct"/>
                  <w:tcBorders>
                    <w:tl2br w:val="nil"/>
                    <w:tr2bl w:val="nil"/>
                  </w:tcBorders>
                  <w:noWrap w:val="0"/>
                  <w:vAlign w:val="center"/>
                </w:tcPr>
                <w:p w14:paraId="0DACE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沥青罐、导热油炉存放区、危废库</w:t>
                  </w:r>
                </w:p>
              </w:tc>
              <w:tc>
                <w:tcPr>
                  <w:tcW w:w="1315" w:type="pct"/>
                  <w:tcBorders>
                    <w:tl2br w:val="nil"/>
                    <w:tr2bl w:val="nil"/>
                  </w:tcBorders>
                  <w:noWrap w:val="0"/>
                  <w:vAlign w:val="center"/>
                </w:tcPr>
                <w:p w14:paraId="664BE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沥青、导热油、废导热油、废润滑油</w:t>
                  </w:r>
                </w:p>
              </w:tc>
              <w:tc>
                <w:tcPr>
                  <w:tcW w:w="689" w:type="pct"/>
                  <w:vMerge w:val="restart"/>
                  <w:tcBorders>
                    <w:tl2br w:val="nil"/>
                    <w:tr2bl w:val="nil"/>
                  </w:tcBorders>
                  <w:noWrap w:val="0"/>
                  <w:vAlign w:val="center"/>
                </w:tcPr>
                <w:p w14:paraId="44351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垂直入渗</w:t>
                  </w:r>
                </w:p>
              </w:tc>
              <w:tc>
                <w:tcPr>
                  <w:tcW w:w="1368" w:type="pct"/>
                  <w:tcBorders>
                    <w:tl2br w:val="nil"/>
                    <w:tr2bl w:val="nil"/>
                  </w:tcBorders>
                  <w:noWrap w:val="0"/>
                  <w:vAlign w:val="center"/>
                </w:tcPr>
                <w:p w14:paraId="7D9D2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危废泄漏污染地下水和土壤</w:t>
                  </w:r>
                </w:p>
              </w:tc>
            </w:tr>
            <w:tr w14:paraId="3885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0D7ED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47" w:type="pct"/>
                  <w:tcBorders>
                    <w:tl2br w:val="nil"/>
                    <w:tr2bl w:val="nil"/>
                  </w:tcBorders>
                  <w:noWrap w:val="0"/>
                  <w:vAlign w:val="center"/>
                </w:tcPr>
                <w:p w14:paraId="4E6E4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w:t>
                  </w:r>
                  <w:r>
                    <w:rPr>
                      <w:rFonts w:hint="eastAsia" w:cs="Times New Roman"/>
                      <w:color w:val="auto"/>
                      <w:sz w:val="21"/>
                      <w:szCs w:val="21"/>
                      <w:highlight w:val="none"/>
                      <w:lang w:val="en-US" w:eastAsia="zh-CN"/>
                    </w:rPr>
                    <w:t>、隔油池</w:t>
                  </w:r>
                </w:p>
              </w:tc>
              <w:tc>
                <w:tcPr>
                  <w:tcW w:w="1315" w:type="pct"/>
                  <w:tcBorders>
                    <w:tl2br w:val="nil"/>
                    <w:tr2bl w:val="nil"/>
                  </w:tcBorders>
                  <w:noWrap w:val="0"/>
                  <w:vAlign w:val="center"/>
                </w:tcPr>
                <w:p w14:paraId="6D7B9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洗车废水、</w:t>
                  </w:r>
                  <w:r>
                    <w:rPr>
                      <w:rFonts w:hint="eastAsia" w:cs="Times New Roman"/>
                      <w:color w:val="auto"/>
                      <w:sz w:val="21"/>
                      <w:szCs w:val="21"/>
                      <w:highlight w:val="none"/>
                      <w:lang w:val="en-US" w:eastAsia="zh-CN"/>
                    </w:rPr>
                    <w:t>喷淋废水</w:t>
                  </w:r>
                </w:p>
              </w:tc>
              <w:tc>
                <w:tcPr>
                  <w:tcW w:w="689" w:type="pct"/>
                  <w:vMerge w:val="continue"/>
                  <w:tcBorders>
                    <w:tl2br w:val="nil"/>
                    <w:tr2bl w:val="nil"/>
                  </w:tcBorders>
                  <w:noWrap w:val="0"/>
                  <w:vAlign w:val="center"/>
                </w:tcPr>
                <w:p w14:paraId="22346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368" w:type="pct"/>
                  <w:tcBorders>
                    <w:tl2br w:val="nil"/>
                    <w:tr2bl w:val="nil"/>
                  </w:tcBorders>
                  <w:noWrap w:val="0"/>
                  <w:vAlign w:val="center"/>
                </w:tcPr>
                <w:p w14:paraId="5181F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污染地下水和土壤</w:t>
                  </w:r>
                </w:p>
              </w:tc>
            </w:tr>
            <w:tr w14:paraId="0843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noWrap w:val="0"/>
                  <w:vAlign w:val="center"/>
                </w:tcPr>
                <w:p w14:paraId="6DC50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147" w:type="pct"/>
                  <w:tcBorders>
                    <w:tl2br w:val="nil"/>
                    <w:tr2bl w:val="nil"/>
                  </w:tcBorders>
                  <w:noWrap w:val="0"/>
                  <w:vAlign w:val="center"/>
                </w:tcPr>
                <w:p w14:paraId="12737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w:t>
                  </w:r>
                </w:p>
              </w:tc>
              <w:tc>
                <w:tcPr>
                  <w:tcW w:w="1315" w:type="pct"/>
                  <w:tcBorders>
                    <w:tl2br w:val="nil"/>
                    <w:tr2bl w:val="nil"/>
                  </w:tcBorders>
                  <w:noWrap w:val="0"/>
                  <w:vAlign w:val="center"/>
                </w:tcPr>
                <w:p w14:paraId="646E9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689" w:type="pct"/>
                  <w:vMerge w:val="continue"/>
                  <w:tcBorders>
                    <w:tl2br w:val="nil"/>
                    <w:tr2bl w:val="nil"/>
                  </w:tcBorders>
                  <w:noWrap w:val="0"/>
                  <w:vAlign w:val="center"/>
                </w:tcPr>
                <w:p w14:paraId="5B4CD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368" w:type="pct"/>
                  <w:tcBorders>
                    <w:tl2br w:val="nil"/>
                    <w:tr2bl w:val="nil"/>
                  </w:tcBorders>
                  <w:noWrap w:val="0"/>
                  <w:vAlign w:val="center"/>
                </w:tcPr>
                <w:p w14:paraId="28F7E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污染地下水和土壤</w:t>
                  </w:r>
                </w:p>
              </w:tc>
            </w:tr>
          </w:tbl>
          <w:p w14:paraId="3E15F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w:t>
            </w:r>
            <w:r>
              <w:rPr>
                <w:rFonts w:hint="default" w:ascii="Times New Roman" w:hAnsi="Times New Roman" w:eastAsia="宋体" w:cs="Times New Roman"/>
                <w:color w:val="auto"/>
                <w:sz w:val="24"/>
                <w:szCs w:val="24"/>
                <w:highlight w:val="none"/>
                <w:lang w:val="en-US" w:eastAsia="zh-CN"/>
              </w:rPr>
              <w:t>目</w:t>
            </w:r>
            <w:r>
              <w:rPr>
                <w:rFonts w:hint="eastAsia" w:cs="Times New Roman"/>
                <w:color w:val="auto"/>
                <w:sz w:val="24"/>
                <w:szCs w:val="24"/>
                <w:highlight w:val="none"/>
                <w:lang w:val="en-US" w:eastAsia="zh-CN"/>
              </w:rPr>
              <w:t>沥青罐、导热油炉存放区、危废库</w:t>
            </w:r>
            <w:r>
              <w:rPr>
                <w:rFonts w:hint="default" w:ascii="Times New Roman" w:hAnsi="Times New Roman" w:eastAsia="宋体" w:cs="Times New Roman"/>
                <w:color w:val="auto"/>
                <w:sz w:val="24"/>
                <w:szCs w:val="24"/>
                <w:highlight w:val="none"/>
                <w:lang w:val="en-US" w:eastAsia="zh-CN"/>
              </w:rPr>
              <w:t>、沉淀池</w:t>
            </w:r>
            <w:r>
              <w:rPr>
                <w:rFonts w:hint="eastAsia"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val="en-US" w:eastAsia="zh-CN"/>
              </w:rPr>
              <w:t>化粪池等处可能会对</w:t>
            </w:r>
            <w:r>
              <w:rPr>
                <w:rFonts w:hint="default" w:ascii="Times New Roman" w:hAnsi="Times New Roman" w:eastAsia="宋体" w:cs="Times New Roman"/>
                <w:color w:val="auto"/>
                <w:sz w:val="24"/>
                <w:szCs w:val="24"/>
                <w:highlight w:val="none"/>
              </w:rPr>
              <w:t>地下水和土壤造成污染，应建设严格的防渗漏设施，使可能产生渗漏的环节均得到有效控制，从而避免跑、冒、滴、漏现象的发生。</w:t>
            </w:r>
          </w:p>
          <w:p w14:paraId="312C5D89">
            <w:pPr>
              <w:keepNext w:val="0"/>
              <w:keepLines w:val="0"/>
              <w:pageBreakBefore w:val="0"/>
              <w:widowControl w:val="0"/>
              <w:suppressLineNumbers w:val="0"/>
              <w:tabs>
                <w:tab w:val="left" w:pos="885"/>
              </w:tabs>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sz w:val="24"/>
                <w:szCs w:val="24"/>
                <w:highlight w:val="none"/>
                <w:lang w:val="en-US" w:eastAsia="zh-CN"/>
              </w:rPr>
              <w:t>分区防控及措施</w:t>
            </w:r>
          </w:p>
          <w:p w14:paraId="13A83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下水、土壤保护与污染防治按照“源头控制、分区防治、污染监控、应急响应”的原则。工程生产运行过程中要建立健全地下水、土壤保护与污染防治的措施与方法；必须采取必要监测制度，一旦发现土壤、地下水遭受污染，就应及时采取措施，防微杜渐；尽量减少污染物进入土壤及地下含水层的</w:t>
            </w:r>
            <w:r>
              <w:rPr>
                <w:rFonts w:hint="default" w:ascii="Times New Roman" w:hAnsi="Times New Roman" w:eastAsia="宋体" w:cs="Times New Roman"/>
                <w:color w:val="auto"/>
                <w:sz w:val="24"/>
                <w:szCs w:val="24"/>
                <w:highlight w:val="none"/>
                <w:lang w:val="en-US" w:eastAsia="zh-CN"/>
              </w:rPr>
              <w:t>机会</w:t>
            </w:r>
            <w:r>
              <w:rPr>
                <w:rFonts w:hint="default" w:ascii="Times New Roman" w:hAnsi="Times New Roman" w:eastAsia="宋体" w:cs="Times New Roman"/>
                <w:color w:val="auto"/>
                <w:sz w:val="24"/>
                <w:szCs w:val="24"/>
                <w:highlight w:val="none"/>
              </w:rPr>
              <w:t>和数量。主要采取以下措施：</w:t>
            </w:r>
          </w:p>
          <w:p w14:paraId="6773A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1）源头控制措施</w:t>
            </w:r>
          </w:p>
          <w:p w14:paraId="375DB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定期对</w:t>
            </w:r>
            <w:r>
              <w:rPr>
                <w:rFonts w:hint="eastAsia" w:cs="Times New Roman"/>
                <w:color w:val="auto"/>
                <w:sz w:val="24"/>
                <w:szCs w:val="24"/>
                <w:highlight w:val="none"/>
                <w:lang w:val="en-US" w:eastAsia="zh-CN"/>
              </w:rPr>
              <w:t>沥青罐、导热油炉存放区、危废库、</w:t>
            </w:r>
            <w:r>
              <w:rPr>
                <w:rFonts w:hint="default" w:ascii="Times New Roman" w:hAnsi="Times New Roman" w:eastAsia="宋体" w:cs="Times New Roman"/>
                <w:color w:val="auto"/>
                <w:sz w:val="24"/>
                <w:szCs w:val="24"/>
                <w:highlight w:val="none"/>
                <w:lang w:val="en-US" w:eastAsia="zh-CN"/>
              </w:rPr>
              <w:t>沉淀池</w:t>
            </w:r>
            <w:r>
              <w:rPr>
                <w:rFonts w:hint="eastAsia"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rPr>
              <w:t>的渗漏性进行检查，观察是否有污染物下渗地下水和土壤的情况。</w:t>
            </w:r>
          </w:p>
          <w:p w14:paraId="3F2D3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2）分区防治措施</w:t>
            </w:r>
          </w:p>
          <w:p w14:paraId="0974B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地下水环境》（HJ610-2016），项目区可能泄漏至地面区域、污染物的性质和建筑物的构筑方式，结合所建项目总平面布置情况，将所建项目区分为重点防渗区、一般防渗区和简单防渗区。</w:t>
            </w:r>
            <w:r>
              <w:rPr>
                <w:rFonts w:hint="eastAsia" w:cs="Times New Roman"/>
                <w:color w:val="auto"/>
                <w:sz w:val="24"/>
                <w:szCs w:val="24"/>
                <w:highlight w:val="none"/>
                <w:lang w:val="en-US" w:eastAsia="zh-CN"/>
              </w:rPr>
              <w:t>见下表。</w:t>
            </w:r>
          </w:p>
          <w:p w14:paraId="2A60AFEF">
            <w:pPr>
              <w:keepNext w:val="0"/>
              <w:keepLines w:val="0"/>
              <w:pageBreakBefore w:val="0"/>
              <w:widowControl w:val="0"/>
              <w:numPr>
                <w:ilvl w:val="0"/>
                <w:numId w:val="13"/>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kern w:val="0"/>
                <w:position w:val="0"/>
                <w:sz w:val="24"/>
                <w:szCs w:val="24"/>
                <w:highlight w:val="none"/>
                <w:lang w:val="en-US" w:eastAsia="zh-CN" w:bidi="ar-SA"/>
              </w:rPr>
              <w:t>防渗分区参照表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30"/>
              <w:gridCol w:w="960"/>
              <w:gridCol w:w="4751"/>
            </w:tblGrid>
            <w:tr w14:paraId="3083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0"/>
                  <w:vAlign w:val="center"/>
                </w:tcPr>
                <w:p w14:paraId="4985D179">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69" w:type="pct"/>
                  <w:tcBorders>
                    <w:tl2br w:val="nil"/>
                    <w:tr2bl w:val="nil"/>
                  </w:tcBorders>
                  <w:noWrap w:val="0"/>
                  <w:vAlign w:val="center"/>
                </w:tcPr>
                <w:p w14:paraId="275C1E21">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主要环节</w:t>
                  </w:r>
                </w:p>
              </w:tc>
              <w:tc>
                <w:tcPr>
                  <w:tcW w:w="608" w:type="pct"/>
                  <w:tcBorders>
                    <w:tl2br w:val="nil"/>
                    <w:tr2bl w:val="nil"/>
                  </w:tcBorders>
                  <w:noWrap w:val="0"/>
                  <w:vAlign w:val="center"/>
                </w:tcPr>
                <w:p w14:paraId="16FB546E">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分类</w:t>
                  </w:r>
                </w:p>
              </w:tc>
              <w:tc>
                <w:tcPr>
                  <w:tcW w:w="3008" w:type="pct"/>
                  <w:tcBorders>
                    <w:tl2br w:val="nil"/>
                    <w:tr2bl w:val="nil"/>
                  </w:tcBorders>
                  <w:noWrap w:val="0"/>
                  <w:vAlign w:val="center"/>
                </w:tcPr>
                <w:p w14:paraId="2A09584A">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建议</w:t>
                  </w:r>
                  <w:r>
                    <w:rPr>
                      <w:rFonts w:hint="default" w:ascii="Times New Roman" w:hAnsi="Times New Roman" w:eastAsia="宋体" w:cs="Times New Roman"/>
                      <w:b/>
                      <w:bCs/>
                      <w:color w:val="auto"/>
                      <w:sz w:val="21"/>
                      <w:szCs w:val="21"/>
                      <w:highlight w:val="none"/>
                    </w:rPr>
                    <w:t>防渗措施</w:t>
                  </w:r>
                </w:p>
              </w:tc>
            </w:tr>
            <w:tr w14:paraId="2C98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0"/>
                  <w:vAlign w:val="center"/>
                </w:tcPr>
                <w:p w14:paraId="210D402F">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69" w:type="pct"/>
                  <w:tcBorders>
                    <w:tl2br w:val="nil"/>
                    <w:tr2bl w:val="nil"/>
                  </w:tcBorders>
                  <w:noWrap w:val="0"/>
                  <w:vAlign w:val="center"/>
                </w:tcPr>
                <w:p w14:paraId="52B011EA">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沥青罐、导热油炉存放区、危废库</w:t>
                  </w:r>
                  <w:r>
                    <w:rPr>
                      <w:rFonts w:hint="default" w:ascii="Times New Roman" w:hAnsi="Times New Roman" w:eastAsia="宋体" w:cs="Times New Roman"/>
                      <w:color w:val="auto"/>
                      <w:sz w:val="21"/>
                      <w:szCs w:val="21"/>
                      <w:highlight w:val="none"/>
                      <w:lang w:val="en-US" w:eastAsia="zh-CN"/>
                    </w:rPr>
                    <w:t>、沉淀池</w:t>
                  </w:r>
                  <w:r>
                    <w:rPr>
                      <w:rFonts w:hint="eastAsia"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val="en-US" w:eastAsia="zh-CN"/>
                    </w:rPr>
                    <w:t>化粪池</w:t>
                  </w:r>
                </w:p>
              </w:tc>
              <w:tc>
                <w:tcPr>
                  <w:tcW w:w="608" w:type="pct"/>
                  <w:tcBorders>
                    <w:tl2br w:val="nil"/>
                    <w:tr2bl w:val="nil"/>
                  </w:tcBorders>
                  <w:noWrap w:val="0"/>
                  <w:vAlign w:val="center"/>
                </w:tcPr>
                <w:p w14:paraId="1EBD9914">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w:t>
                  </w:r>
                </w:p>
                <w:p w14:paraId="5430AB5C">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w:t>
                  </w:r>
                </w:p>
              </w:tc>
              <w:tc>
                <w:tcPr>
                  <w:tcW w:w="3008" w:type="pct"/>
                  <w:tcBorders>
                    <w:tl2br w:val="nil"/>
                    <w:tr2bl w:val="nil"/>
                  </w:tcBorders>
                  <w:noWrap w:val="0"/>
                  <w:vAlign w:val="center"/>
                </w:tcPr>
                <w:p w14:paraId="7CC383AC">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按照《危险废物贮存污染控制标准》（GB18597-20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）进行防渗，防渗层为至少6m厚粘土层（渗透系数≤10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cm/s），或2mm厚高密度聚乙烯，或至少2毫米厚</w:t>
                  </w:r>
                  <w:r>
                    <w:rPr>
                      <w:rFonts w:hint="eastAsia" w:cs="Times New Roman"/>
                      <w:color w:val="auto"/>
                      <w:sz w:val="21"/>
                      <w:szCs w:val="21"/>
                      <w:highlight w:val="none"/>
                      <w:lang w:eastAsia="zh-CN"/>
                    </w:rPr>
                    <w:t>的其他</w:t>
                  </w:r>
                  <w:r>
                    <w:rPr>
                      <w:rFonts w:hint="default" w:ascii="Times New Roman" w:hAnsi="Times New Roman" w:eastAsia="宋体" w:cs="Times New Roman"/>
                      <w:color w:val="auto"/>
                      <w:sz w:val="21"/>
                      <w:szCs w:val="21"/>
                      <w:highlight w:val="none"/>
                    </w:rPr>
                    <w:t>人工材料，渗透系数≤10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p>
              </w:tc>
            </w:tr>
            <w:tr w14:paraId="7948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0"/>
                  <w:vAlign w:val="center"/>
                </w:tcPr>
                <w:p w14:paraId="6644935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69" w:type="pct"/>
                  <w:tcBorders>
                    <w:tl2br w:val="nil"/>
                    <w:tr2bl w:val="nil"/>
                  </w:tcBorders>
                  <w:noWrap w:val="0"/>
                  <w:vAlign w:val="center"/>
                </w:tcPr>
                <w:p w14:paraId="3B7A768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生产车间、一般固废暂存间</w:t>
                  </w:r>
                </w:p>
              </w:tc>
              <w:tc>
                <w:tcPr>
                  <w:tcW w:w="608" w:type="pct"/>
                  <w:tcBorders>
                    <w:tl2br w:val="nil"/>
                    <w:tr2bl w:val="nil"/>
                  </w:tcBorders>
                  <w:noWrap w:val="0"/>
                  <w:vAlign w:val="center"/>
                </w:tcPr>
                <w:p w14:paraId="0F887E9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一般防渗区</w:t>
                  </w:r>
                </w:p>
              </w:tc>
              <w:tc>
                <w:tcPr>
                  <w:tcW w:w="3008" w:type="pct"/>
                  <w:tcBorders>
                    <w:tl2br w:val="nil"/>
                    <w:tr2bl w:val="nil"/>
                  </w:tcBorders>
                  <w:noWrap w:val="0"/>
                  <w:vAlign w:val="center"/>
                </w:tcPr>
                <w:p w14:paraId="71DF7B2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按照《一般工业固体废物贮存和填埋污染控制标准》（GB18599-2020）制定防渗措施：</w:t>
                  </w:r>
                </w:p>
                <w:p w14:paraId="4F4812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①等效黏土防渗层Mb≥1.5m，K≤1×10-7cm/s。</w:t>
                  </w:r>
                </w:p>
                <w:p w14:paraId="4020692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②抗渗混凝土的抗渗等级不宜小于P8，其厚度不宜小于100mm。</w:t>
                  </w:r>
                </w:p>
              </w:tc>
            </w:tr>
            <w:tr w14:paraId="15F3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0"/>
                  <w:vAlign w:val="center"/>
                </w:tcPr>
                <w:p w14:paraId="2F0A7834">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969" w:type="pct"/>
                  <w:tcBorders>
                    <w:tl2br w:val="nil"/>
                    <w:tr2bl w:val="nil"/>
                  </w:tcBorders>
                  <w:noWrap w:val="0"/>
                  <w:vAlign w:val="center"/>
                </w:tcPr>
                <w:p w14:paraId="1D5A1CAF">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办公室等</w:t>
                  </w:r>
                </w:p>
              </w:tc>
              <w:tc>
                <w:tcPr>
                  <w:tcW w:w="608" w:type="pct"/>
                  <w:tcBorders>
                    <w:tl2br w:val="nil"/>
                    <w:tr2bl w:val="nil"/>
                  </w:tcBorders>
                  <w:noWrap w:val="0"/>
                  <w:vAlign w:val="center"/>
                </w:tcPr>
                <w:p w14:paraId="03FEB9B9">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简单防渗区</w:t>
                  </w:r>
                </w:p>
              </w:tc>
              <w:tc>
                <w:tcPr>
                  <w:tcW w:w="3008" w:type="pct"/>
                  <w:tcBorders>
                    <w:tl2br w:val="nil"/>
                    <w:tr2bl w:val="nil"/>
                  </w:tcBorders>
                  <w:noWrap w:val="0"/>
                  <w:vAlign w:val="center"/>
                </w:tcPr>
                <w:p w14:paraId="142D0A2C">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bl>
          <w:p w14:paraId="3A0E339F">
            <w:pPr>
              <w:keepNext w:val="0"/>
              <w:keepLines w:val="0"/>
              <w:pageBreakBefore w:val="0"/>
              <w:kinsoku/>
              <w:wordWrap/>
              <w:overflowPunct/>
              <w:topLinePunct w:val="0"/>
              <w:bidi w:val="0"/>
              <w:adjustRightInd/>
              <w:snapToGrid/>
              <w:spacing w:line="360" w:lineRule="auto"/>
              <w:ind w:firstLine="456" w:firstLineChars="200"/>
              <w:jc w:val="both"/>
              <w:textAlignment w:val="auto"/>
              <w:rPr>
                <w:rFonts w:hint="default" w:ascii="Times New Roman" w:hAnsi="Times New Roman" w:eastAsia="宋体" w:cs="Times New Roman"/>
                <w:color w:val="auto"/>
                <w:spacing w:val="-6"/>
                <w:kern w:val="0"/>
                <w:sz w:val="24"/>
                <w:szCs w:val="24"/>
                <w:lang w:val="en-US" w:eastAsia="zh-CN"/>
              </w:rPr>
            </w:pPr>
            <w:r>
              <w:rPr>
                <w:rFonts w:hint="default" w:ascii="Times New Roman" w:hAnsi="Times New Roman" w:eastAsia="宋体" w:cs="Times New Roman"/>
                <w:color w:val="auto"/>
                <w:spacing w:val="-6"/>
                <w:kern w:val="0"/>
                <w:sz w:val="24"/>
                <w:szCs w:val="24"/>
                <w:lang w:eastAsia="zh-CN"/>
              </w:rPr>
              <w:t>（</w:t>
            </w:r>
            <w:r>
              <w:rPr>
                <w:rFonts w:hint="default" w:ascii="Times New Roman" w:hAnsi="Times New Roman" w:eastAsia="宋体" w:cs="Times New Roman"/>
                <w:color w:val="auto"/>
                <w:spacing w:val="-6"/>
                <w:kern w:val="0"/>
                <w:sz w:val="24"/>
                <w:szCs w:val="24"/>
                <w:lang w:val="en-US" w:eastAsia="zh-CN"/>
              </w:rPr>
              <w:t>4</w:t>
            </w:r>
            <w:r>
              <w:rPr>
                <w:rFonts w:hint="default" w:ascii="Times New Roman" w:hAnsi="Times New Roman" w:eastAsia="宋体" w:cs="Times New Roman"/>
                <w:color w:val="auto"/>
                <w:spacing w:val="-6"/>
                <w:kern w:val="0"/>
                <w:sz w:val="24"/>
                <w:szCs w:val="24"/>
                <w:lang w:eastAsia="zh-CN"/>
              </w:rPr>
              <w:t>）</w:t>
            </w:r>
            <w:r>
              <w:rPr>
                <w:rFonts w:hint="default" w:ascii="Times New Roman" w:hAnsi="Times New Roman" w:eastAsia="宋体" w:cs="Times New Roman"/>
                <w:color w:val="auto"/>
                <w:spacing w:val="-6"/>
                <w:kern w:val="0"/>
                <w:sz w:val="24"/>
                <w:szCs w:val="24"/>
                <w:lang w:val="en-US" w:eastAsia="zh-CN"/>
              </w:rPr>
              <w:t>跟踪监测</w:t>
            </w:r>
          </w:p>
          <w:p w14:paraId="671F42C5">
            <w:pPr>
              <w:keepNext w:val="0"/>
              <w:keepLines w:val="0"/>
              <w:pageBreakBefore w:val="0"/>
              <w:kinsoku/>
              <w:wordWrap/>
              <w:overflowPunct/>
              <w:topLinePunct w:val="0"/>
              <w:bidi w:val="0"/>
              <w:adjustRightInd/>
              <w:snapToGrid/>
              <w:spacing w:line="360" w:lineRule="auto"/>
              <w:ind w:firstLine="456" w:firstLineChars="200"/>
              <w:jc w:val="both"/>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kern w:val="0"/>
                <w:sz w:val="24"/>
                <w:szCs w:val="24"/>
              </w:rPr>
              <w:t>企业在采取以上措施后，</w:t>
            </w:r>
            <w:r>
              <w:rPr>
                <w:rFonts w:hint="default" w:ascii="Times New Roman" w:hAnsi="Times New Roman" w:eastAsia="宋体" w:cs="Times New Roman"/>
                <w:color w:val="auto"/>
                <w:spacing w:val="-6"/>
                <w:sz w:val="24"/>
                <w:szCs w:val="24"/>
              </w:rPr>
              <w:t>不会对项目场地范围内及周围区域地下水</w:t>
            </w:r>
            <w:r>
              <w:rPr>
                <w:rFonts w:hint="default" w:ascii="Times New Roman" w:hAnsi="Times New Roman" w:eastAsia="宋体" w:cs="Times New Roman"/>
                <w:color w:val="auto"/>
                <w:spacing w:val="-6"/>
                <w:sz w:val="24"/>
                <w:szCs w:val="24"/>
                <w:lang w:eastAsia="zh-CN"/>
              </w:rPr>
              <w:t>、</w:t>
            </w:r>
            <w:r>
              <w:rPr>
                <w:rFonts w:hint="default" w:ascii="Times New Roman" w:hAnsi="Times New Roman" w:eastAsia="宋体" w:cs="Times New Roman"/>
                <w:color w:val="auto"/>
                <w:spacing w:val="-6"/>
                <w:sz w:val="24"/>
                <w:szCs w:val="24"/>
                <w:lang w:val="en-US" w:eastAsia="zh-CN"/>
              </w:rPr>
              <w:t>土壤</w:t>
            </w:r>
            <w:r>
              <w:rPr>
                <w:rFonts w:hint="default" w:ascii="Times New Roman" w:hAnsi="Times New Roman" w:eastAsia="宋体" w:cs="Times New Roman"/>
                <w:color w:val="auto"/>
                <w:spacing w:val="-6"/>
                <w:sz w:val="24"/>
                <w:szCs w:val="24"/>
              </w:rPr>
              <w:t>造成影响</w:t>
            </w:r>
            <w:r>
              <w:rPr>
                <w:rFonts w:hint="eastAsia" w:cs="Times New Roman"/>
                <w:color w:val="auto"/>
                <w:spacing w:val="-6"/>
                <w:sz w:val="24"/>
                <w:szCs w:val="24"/>
                <w:lang w:eastAsia="zh-CN"/>
              </w:rPr>
              <w:t>，</w:t>
            </w:r>
            <w:r>
              <w:rPr>
                <w:rFonts w:hint="eastAsia" w:cs="Times New Roman"/>
                <w:color w:val="auto"/>
                <w:spacing w:val="-6"/>
                <w:sz w:val="24"/>
                <w:szCs w:val="24"/>
                <w:lang w:val="en-US" w:eastAsia="zh-CN"/>
              </w:rPr>
              <w:t>不再要求开展地下水和土壤跟踪监测</w:t>
            </w:r>
            <w:r>
              <w:rPr>
                <w:rFonts w:hint="default" w:ascii="Times New Roman" w:hAnsi="Times New Roman" w:eastAsia="宋体" w:cs="Times New Roman"/>
                <w:color w:val="auto"/>
                <w:spacing w:val="-6"/>
                <w:sz w:val="24"/>
                <w:szCs w:val="24"/>
              </w:rPr>
              <w:t>。</w:t>
            </w:r>
          </w:p>
          <w:p w14:paraId="7AB28E3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六</w:t>
            </w:r>
            <w:r>
              <w:rPr>
                <w:rFonts w:hint="default" w:ascii="Times New Roman" w:hAnsi="Times New Roman" w:eastAsia="宋体" w:cs="Times New Roman"/>
                <w:b/>
                <w:bCs/>
                <w:color w:val="auto"/>
                <w:sz w:val="24"/>
                <w:szCs w:val="24"/>
                <w:lang w:val="en-US" w:eastAsia="zh-CN"/>
              </w:rPr>
              <w:t>、生态环境</w:t>
            </w:r>
          </w:p>
          <w:p w14:paraId="5B134A4A">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本项目占地范围内无生态环境保护目标。</w:t>
            </w:r>
          </w:p>
          <w:p w14:paraId="52BEFD7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yellow"/>
                <w:lang w:val="en-US" w:eastAsia="zh-CN"/>
              </w:rPr>
            </w:pPr>
            <w:r>
              <w:rPr>
                <w:rFonts w:hint="eastAsia" w:cs="Times New Roman"/>
                <w:b/>
                <w:bCs/>
                <w:color w:val="auto"/>
                <w:sz w:val="24"/>
                <w:szCs w:val="24"/>
                <w:highlight w:val="yellow"/>
                <w:lang w:val="en-US" w:eastAsia="zh-CN"/>
              </w:rPr>
              <w:t>七</w:t>
            </w:r>
            <w:r>
              <w:rPr>
                <w:rFonts w:hint="default" w:ascii="Times New Roman" w:hAnsi="Times New Roman" w:eastAsia="宋体" w:cs="Times New Roman"/>
                <w:b/>
                <w:bCs/>
                <w:color w:val="auto"/>
                <w:sz w:val="24"/>
                <w:szCs w:val="24"/>
                <w:highlight w:val="yellow"/>
                <w:lang w:val="en-US" w:eastAsia="zh-CN"/>
              </w:rPr>
              <w:t>、环境风险</w:t>
            </w:r>
          </w:p>
          <w:p w14:paraId="051FE24F">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eastAsia" w:cs="Times New Roman"/>
                <w:color w:val="auto"/>
                <w:kern w:val="0"/>
                <w:sz w:val="24"/>
                <w:szCs w:val="24"/>
                <w:lang w:eastAsia="zh-CN"/>
              </w:rPr>
              <w:t>根据</w:t>
            </w:r>
            <w:r>
              <w:rPr>
                <w:rFonts w:hint="eastAsia" w:cs="Times New Roman"/>
                <w:color w:val="auto"/>
                <w:kern w:val="0"/>
                <w:sz w:val="24"/>
                <w:szCs w:val="24"/>
                <w:lang w:val="en-US" w:eastAsia="zh-CN"/>
              </w:rPr>
              <w:t>风险</w:t>
            </w:r>
            <w:r>
              <w:rPr>
                <w:rFonts w:hint="default" w:ascii="Times New Roman" w:hAnsi="Times New Roman" w:eastAsia="宋体" w:cs="Times New Roman"/>
                <w:color w:val="auto"/>
                <w:kern w:val="0"/>
                <w:sz w:val="24"/>
                <w:szCs w:val="24"/>
                <w:lang w:eastAsia="zh-CN"/>
              </w:rPr>
              <w:t>专项</w:t>
            </w:r>
            <w:r>
              <w:rPr>
                <w:rFonts w:hint="eastAsia"/>
                <w:color w:val="auto"/>
                <w:sz w:val="24"/>
                <w:szCs w:val="24"/>
                <w:lang w:eastAsia="zh-CN"/>
              </w:rPr>
              <w:t>的</w:t>
            </w:r>
            <w:r>
              <w:rPr>
                <w:rFonts w:hint="eastAsia"/>
                <w:color w:val="auto"/>
                <w:sz w:val="24"/>
                <w:szCs w:val="24"/>
                <w:lang w:val="en-US" w:eastAsia="zh-CN"/>
              </w:rPr>
              <w:t>结论</w:t>
            </w:r>
            <w:r>
              <w:rPr>
                <w:rFonts w:hint="eastAsia" w:cs="Times New Roman"/>
                <w:color w:val="auto"/>
                <w:kern w:val="0"/>
                <w:sz w:val="24"/>
                <w:szCs w:val="24"/>
                <w:lang w:eastAsia="zh-CN"/>
              </w:rPr>
              <w:t>，本项目环境风险评价等级为二级，最大可信事故为</w:t>
            </w:r>
            <w:r>
              <w:rPr>
                <w:rFonts w:hint="eastAsia" w:cs="Times New Roman"/>
                <w:color w:val="auto"/>
                <w:kern w:val="0"/>
                <w:sz w:val="24"/>
                <w:szCs w:val="24"/>
                <w:highlight w:val="none"/>
                <w:lang w:eastAsia="zh-CN"/>
              </w:rPr>
              <w:t>危险物质</w:t>
            </w:r>
            <w:r>
              <w:rPr>
                <w:rFonts w:hint="eastAsia" w:cs="Times New Roman"/>
                <w:color w:val="auto"/>
                <w:kern w:val="0"/>
                <w:sz w:val="24"/>
                <w:szCs w:val="24"/>
                <w:lang w:eastAsia="zh-CN"/>
              </w:rPr>
              <w:t>的泄漏事故。本项目液体原料周边设置围堰，厂区设置事故应急池，事故废水有足够的事故池等容纳设施，能确保废水和物料不外排，对周围水环境影响较小。在生产、储存、安全管理等方面充分考虑预防、控制、削减环境风险的相关措施，物料发生泄漏及火灾爆炸会对周围环境造成短暂影响，但风险处于可接受水平。建设单位严格落实环评提出的各项防范措施和应急预案后，其环境风险就可防可控，项目建设从环保角度上来说是可行的</w:t>
            </w:r>
            <w:r>
              <w:rPr>
                <w:rFonts w:hint="default" w:ascii="Times New Roman" w:hAnsi="Times New Roman" w:eastAsia="宋体" w:cs="Times New Roman"/>
                <w:color w:val="auto"/>
                <w:kern w:val="0"/>
                <w:sz w:val="24"/>
                <w:szCs w:val="24"/>
              </w:rPr>
              <w:t>。</w:t>
            </w:r>
          </w:p>
          <w:p w14:paraId="24FB73E8">
            <w:pPr>
              <w:pStyle w:val="40"/>
              <w:keepNext w:val="0"/>
              <w:keepLines w:val="0"/>
              <w:pageBreakBefore w:val="0"/>
              <w:numPr>
                <w:ilvl w:val="0"/>
                <w:numId w:val="0"/>
              </w:numPr>
              <w:kinsoku/>
              <w:wordWrap/>
              <w:overflowPunct/>
              <w:topLinePunct w:val="0"/>
              <w:bidi w:val="0"/>
              <w:adjustRightInd/>
              <w:snapToGrid/>
              <w:ind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八、电磁辐射</w:t>
            </w:r>
          </w:p>
          <w:p w14:paraId="0515AE32">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本项目不涉及电磁辐射</w:t>
            </w:r>
            <w:r>
              <w:rPr>
                <w:rFonts w:hint="default" w:ascii="Times New Roman" w:hAnsi="Times New Roman" w:eastAsia="宋体" w:cs="Times New Roman"/>
                <w:color w:val="auto"/>
                <w:sz w:val="24"/>
                <w:szCs w:val="24"/>
                <w:highlight w:val="none"/>
                <w:lang w:eastAsia="zh-CN"/>
              </w:rPr>
              <w:t>。</w:t>
            </w:r>
          </w:p>
          <w:p w14:paraId="08D40CF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九、环保设施安全风险分析及防治措施</w:t>
            </w:r>
          </w:p>
          <w:p w14:paraId="412B41C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根据《国务院安委会办公室生态环境部应急管理部关于进一步加强环保设备设施安全生产工作的通知》（安委办明电〔2022〕17号）相关要求，需要开展环保设备设施安全风险辨识评估，具体内容如下：</w:t>
            </w:r>
          </w:p>
          <w:p w14:paraId="417FC78B">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（1）废气治理设施安全管理建议</w:t>
            </w:r>
          </w:p>
          <w:p w14:paraId="013CC41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加强现场和设备设施管理加强现场6S和职业卫生安全管理，加强设备设施管理，尽可能选用安全高效的设备设施，完善安全操作规程，严禁违章作业。在充分分析危险源的基础上，在现场安装安全防护设施，并设立安全警示标志。完善密闭空间通风设施，配备安全器材和有害气体探测仪。通过定制看板、设置设备异常信号灯、安全提醒板、安全曝光台等多种形式，向作业人员充分传递安全信息，提高责任意识和风险识别能力。</w:t>
            </w:r>
          </w:p>
          <w:p w14:paraId="613B7D21">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改进安全管理体系建立明确的安全生产责任制，明确各单位和负责人安全职责，定期进行检查，确保职责落实到位。完善隐患排查治理机制，定期对现场隐患进行检查，查出隐患及时治理，举一反三，避免重复隐患。开展安全生产标准化工作，通过对标管理，提高安全生产管理水平。</w:t>
            </w:r>
          </w:p>
          <w:p w14:paraId="5E487DC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突出安全管理重点加强特殊时段、重点部位安全风险管控，尤其做好设备检修过程、受限空间的安全管理。凡涉及动火、受限空间、盲板抽堵、高空、断路、动土、吊装、用电、设备检修等作业必须按照相关作业规程办理票证方可作业，确保安全防护设施和现场监管到位。</w:t>
            </w:r>
          </w:p>
          <w:p w14:paraId="053B16D9">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提高员工安全知识和安全技能加强员工安全知识和安全技能培训，通过经常性的案例警示教育和应急预案演练，提高员工应急处置能力和风险防范能力，提高员工自救和施救能力。让作业安全成为员工发自内心的需求和追求，提高作业人员安全素养。</w:t>
            </w:r>
          </w:p>
          <w:p w14:paraId="1CC2F498">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⑤采取本质安全的控制措施采用先进技术，消除密闭空间，降低窒息中毒和火灾爆炸事故风险。</w:t>
            </w:r>
          </w:p>
          <w:p w14:paraId="173A6B1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（2）环保设施安全管理注意事项</w:t>
            </w:r>
          </w:p>
          <w:p w14:paraId="78D44FF1">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①是否将环保设施和项目纳入双重预防机制管理，是否进行安全风险辨识、分级管控，是否开展隐患排查治理。</w:t>
            </w:r>
          </w:p>
          <w:p w14:paraId="63EA497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②是否建立环保设施和项目台账，包括设施部位、存在风险、事故类型、主要管控措施、责任部门和责任人等内容。</w:t>
            </w:r>
          </w:p>
          <w:p w14:paraId="61294C7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③是否经过正规设计或设计诊断，是否经过安全评价，纳入安全评价报告。</w:t>
            </w:r>
          </w:p>
          <w:p w14:paraId="60266F3E">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④是否根据环保设施和项目工艺特点，制定完善相应的安全管理制度和安全操作规程。</w:t>
            </w:r>
          </w:p>
          <w:p w14:paraId="4F6A2E2B">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⑤是否在安全生产教育培训中安排专门课时对环保设施和项目风险辨识方法和风险管控措施进行培训。</w:t>
            </w:r>
          </w:p>
          <w:p w14:paraId="16DE0980">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⑥是否针对环保设施和项目风险，在危险源处设置安全警示标志，开展危险岗位应急处置能力训练。</w:t>
            </w:r>
          </w:p>
          <w:p w14:paraId="14137EC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⑦是否与企业环保设施和项目承包、承租单位签订专门的安全生产管理协议或在承包合同中明确各方安全生产管理职责，对承包、承租单位的安全生产工作实施统一协调、管理。</w:t>
            </w:r>
          </w:p>
          <w:p w14:paraId="087C4E30">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⑧是否按照相关要求，设置安全帽、全身式安全带、安全绳、三脚架，以及与作业环境危险有害因素相适应的气体探测仪器、空气呼吸器、通风设备等应急装备和防护用品</w:t>
            </w:r>
            <w:r>
              <w:rPr>
                <w:rFonts w:hint="default" w:ascii="Times New Roman" w:hAnsi="Times New Roman" w:eastAsia="宋体" w:cs="Times New Roman"/>
                <w:color w:val="auto"/>
                <w:sz w:val="24"/>
                <w:szCs w:val="24"/>
                <w:highlight w:val="none"/>
                <w:lang w:eastAsia="zh-CN"/>
              </w:rPr>
              <w:t>。</w:t>
            </w:r>
          </w:p>
          <w:p w14:paraId="1BEF59DB">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5ABC3E04">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3A206B7D">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571F801C">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5E65F44B">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102738E1">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28B5D08F">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6A0D55F0">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51B0742B">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35FC4D3B">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62FF8C38">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08599E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tc>
      </w:tr>
    </w:tbl>
    <w:p w14:paraId="67F7B8E5">
      <w:pPr>
        <w:adjustRightInd w:val="0"/>
        <w:snapToGrid w:val="0"/>
        <w:spacing w:line="360" w:lineRule="auto"/>
        <w:jc w:val="center"/>
        <w:rPr>
          <w:rFonts w:hint="default" w:ascii="Times New Roman" w:hAnsi="Times New Roman" w:eastAsia="宋体" w:cs="Times New Roman"/>
          <w:b/>
          <w:color w:val="auto"/>
          <w:kern w:val="0"/>
          <w:sz w:val="21"/>
          <w:szCs w:val="21"/>
        </w:rPr>
      </w:pPr>
    </w:p>
    <w:p w14:paraId="72DE9806">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42271584">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w:t>
      </w:r>
      <w:bookmarkStart w:id="5" w:name="_Hlk54167917"/>
      <w:r>
        <w:rPr>
          <w:rFonts w:hint="default" w:ascii="Times New Roman" w:hAnsi="Times New Roman" w:eastAsia="宋体" w:cs="Times New Roman"/>
          <w:snapToGrid w:val="0"/>
          <w:color w:val="auto"/>
          <w:sz w:val="30"/>
          <w:szCs w:val="30"/>
        </w:rPr>
        <w:t>环境保护措施监督检查清单</w:t>
      </w:r>
      <w:bookmarkEnd w:id="5"/>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285"/>
        <w:gridCol w:w="1332"/>
        <w:gridCol w:w="1099"/>
        <w:gridCol w:w="1095"/>
        <w:gridCol w:w="2538"/>
      </w:tblGrid>
      <w:tr w14:paraId="546B1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tcBorders>
              <w:tl2br w:val="single" w:color="auto" w:sz="4" w:space="0"/>
            </w:tcBorders>
            <w:noWrap w:val="0"/>
            <w:vAlign w:val="top"/>
          </w:tcPr>
          <w:p w14:paraId="63D9FE39">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14:paraId="58D34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p w14:paraId="526F03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754" w:type="pct"/>
            <w:noWrap w:val="0"/>
            <w:vAlign w:val="center"/>
          </w:tcPr>
          <w:p w14:paraId="225BDA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781" w:type="pct"/>
            <w:noWrap w:val="0"/>
            <w:vAlign w:val="center"/>
          </w:tcPr>
          <w:p w14:paraId="6A0905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288" w:type="pct"/>
            <w:gridSpan w:val="2"/>
            <w:noWrap w:val="0"/>
            <w:vAlign w:val="center"/>
          </w:tcPr>
          <w:p w14:paraId="45336C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489" w:type="pct"/>
            <w:noWrap w:val="0"/>
            <w:vAlign w:val="center"/>
          </w:tcPr>
          <w:p w14:paraId="1472C9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0DA7F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restart"/>
            <w:noWrap w:val="0"/>
            <w:vAlign w:val="center"/>
          </w:tcPr>
          <w:p w14:paraId="33E179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754" w:type="pct"/>
            <w:vMerge w:val="restart"/>
            <w:noWrap w:val="0"/>
            <w:vAlign w:val="center"/>
          </w:tcPr>
          <w:p w14:paraId="507AD4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DA001/上料、干燥</w:t>
            </w:r>
          </w:p>
        </w:tc>
        <w:tc>
          <w:tcPr>
            <w:tcW w:w="781" w:type="pct"/>
            <w:noWrap w:val="0"/>
            <w:vAlign w:val="center"/>
          </w:tcPr>
          <w:p w14:paraId="439E60BC">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颗粒物</w:t>
            </w:r>
          </w:p>
        </w:tc>
        <w:tc>
          <w:tcPr>
            <w:tcW w:w="645" w:type="pct"/>
            <w:tcBorders>
              <w:right w:val="single" w:color="000000" w:sz="4" w:space="0"/>
            </w:tcBorders>
            <w:noWrap w:val="0"/>
            <w:vAlign w:val="center"/>
          </w:tcPr>
          <w:p w14:paraId="072C96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aps w:val="0"/>
                <w:color w:val="auto"/>
                <w:spacing w:val="0"/>
                <w:kern w:val="0"/>
                <w:sz w:val="21"/>
                <w:szCs w:val="21"/>
                <w:shd w:val="clear" w:color="auto" w:fill="FFFFFF"/>
                <w:lang w:val="en-US" w:eastAsia="zh-CN" w:bidi="ar"/>
              </w:rPr>
              <w:t>旋风除尘器+布袋除尘器</w:t>
            </w:r>
          </w:p>
        </w:tc>
        <w:tc>
          <w:tcPr>
            <w:tcW w:w="642" w:type="pct"/>
            <w:vMerge w:val="restart"/>
            <w:tcBorders>
              <w:left w:val="single" w:color="000000" w:sz="4" w:space="0"/>
            </w:tcBorders>
            <w:noWrap w:val="0"/>
            <w:vAlign w:val="center"/>
          </w:tcPr>
          <w:p w14:paraId="7F7F7F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废气通过15m排气筒DA001排放</w:t>
            </w:r>
          </w:p>
        </w:tc>
        <w:tc>
          <w:tcPr>
            <w:tcW w:w="1489" w:type="pct"/>
            <w:vMerge w:val="restart"/>
            <w:noWrap w:val="0"/>
            <w:vAlign w:val="center"/>
          </w:tcPr>
          <w:p w14:paraId="5B4DF3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《区域性大气污染物综合排放标准》（DB37/2376-2019）表1</w:t>
            </w:r>
            <w:r>
              <w:rPr>
                <w:rFonts w:hint="eastAsia" w:cs="Times New Roman"/>
                <w:color w:val="auto"/>
                <w:sz w:val="21"/>
                <w:szCs w:val="21"/>
                <w:highlight w:val="none"/>
                <w:lang w:val="en-US" w:eastAsia="zh-CN"/>
              </w:rPr>
              <w:t>重点</w:t>
            </w:r>
            <w:r>
              <w:rPr>
                <w:rFonts w:hint="default" w:ascii="Times New Roman" w:hAnsi="Times New Roman" w:eastAsia="宋体" w:cs="Times New Roman"/>
                <w:color w:val="auto"/>
                <w:sz w:val="21"/>
                <w:szCs w:val="21"/>
                <w:highlight w:val="none"/>
                <w:lang w:eastAsia="zh-CN"/>
              </w:rPr>
              <w:t>控制区</w:t>
            </w:r>
            <w:r>
              <w:rPr>
                <w:rFonts w:hint="eastAsia" w:cs="Times New Roman"/>
                <w:color w:val="auto"/>
                <w:sz w:val="21"/>
                <w:szCs w:val="21"/>
                <w:highlight w:val="none"/>
                <w:lang w:val="en-US" w:eastAsia="zh-CN"/>
              </w:rPr>
              <w:t>和</w:t>
            </w:r>
            <w:r>
              <w:rPr>
                <w:rFonts w:hint="default" w:ascii="Times New Roman" w:hAnsi="Times New Roman" w:eastAsia="宋体" w:cs="Times New Roman"/>
                <w:color w:val="auto"/>
                <w:sz w:val="21"/>
                <w:szCs w:val="21"/>
                <w:lang w:val="en-US" w:eastAsia="zh-CN"/>
              </w:rPr>
              <w:t>《大气污染物综合排放标准》（GB</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6297-1996）表2二级标准要求</w:t>
            </w:r>
          </w:p>
        </w:tc>
      </w:tr>
      <w:tr w14:paraId="6FB3B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continue"/>
            <w:noWrap w:val="0"/>
            <w:vAlign w:val="center"/>
          </w:tcPr>
          <w:p w14:paraId="7E5088D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51325E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noWrap w:val="0"/>
            <w:vAlign w:val="center"/>
          </w:tcPr>
          <w:p w14:paraId="3D09A732">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645" w:type="pct"/>
            <w:tcBorders>
              <w:right w:val="single" w:color="000000" w:sz="4" w:space="0"/>
            </w:tcBorders>
            <w:noWrap w:val="0"/>
            <w:vAlign w:val="center"/>
          </w:tcPr>
          <w:p w14:paraId="64F7CD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42" w:type="pct"/>
            <w:vMerge w:val="continue"/>
            <w:tcBorders>
              <w:left w:val="single" w:color="000000" w:sz="4" w:space="0"/>
            </w:tcBorders>
            <w:noWrap w:val="0"/>
            <w:vAlign w:val="center"/>
          </w:tcPr>
          <w:p w14:paraId="38A119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i w:val="0"/>
                <w:iCs w:val="0"/>
                <w:caps w:val="0"/>
                <w:color w:val="auto"/>
                <w:spacing w:val="0"/>
                <w:kern w:val="0"/>
                <w:sz w:val="21"/>
                <w:szCs w:val="21"/>
                <w:shd w:val="clear" w:color="auto" w:fill="FFFFFF"/>
                <w:lang w:val="en-US" w:eastAsia="zh-CN" w:bidi="ar"/>
              </w:rPr>
            </w:pPr>
          </w:p>
        </w:tc>
        <w:tc>
          <w:tcPr>
            <w:tcW w:w="1489" w:type="pct"/>
            <w:vMerge w:val="continue"/>
            <w:noWrap w:val="0"/>
            <w:vAlign w:val="center"/>
          </w:tcPr>
          <w:p w14:paraId="18AB9D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r>
      <w:tr w14:paraId="00E42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continue"/>
            <w:noWrap w:val="0"/>
            <w:vAlign w:val="center"/>
          </w:tcPr>
          <w:p w14:paraId="7A1DF32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32783D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noWrap w:val="0"/>
            <w:vAlign w:val="center"/>
          </w:tcPr>
          <w:p w14:paraId="147F8927">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NOx</w:t>
            </w:r>
          </w:p>
        </w:tc>
        <w:tc>
          <w:tcPr>
            <w:tcW w:w="645" w:type="pct"/>
            <w:tcBorders>
              <w:bottom w:val="single" w:color="000000" w:sz="4" w:space="0"/>
              <w:right w:val="single" w:color="000000" w:sz="4" w:space="0"/>
            </w:tcBorders>
            <w:noWrap w:val="0"/>
            <w:vAlign w:val="center"/>
          </w:tcPr>
          <w:p w14:paraId="698A8E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i w:val="0"/>
                <w:iCs w:val="0"/>
                <w:caps w:val="0"/>
                <w:color w:val="auto"/>
                <w:spacing w:val="0"/>
                <w:kern w:val="0"/>
                <w:sz w:val="21"/>
                <w:szCs w:val="21"/>
                <w:shd w:val="clear" w:color="auto" w:fill="FFFFFF"/>
                <w:lang w:val="en-US" w:eastAsia="zh-CN" w:bidi="ar"/>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低氮燃烧</w:t>
            </w:r>
          </w:p>
        </w:tc>
        <w:tc>
          <w:tcPr>
            <w:tcW w:w="642" w:type="pct"/>
            <w:vMerge w:val="continue"/>
            <w:tcBorders>
              <w:left w:val="single" w:color="000000" w:sz="4" w:space="0"/>
            </w:tcBorders>
            <w:noWrap w:val="0"/>
            <w:vAlign w:val="center"/>
          </w:tcPr>
          <w:p w14:paraId="00737F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p>
        </w:tc>
        <w:tc>
          <w:tcPr>
            <w:tcW w:w="1489" w:type="pct"/>
            <w:vMerge w:val="continue"/>
            <w:tcBorders>
              <w:bottom w:val="single" w:color="000000" w:sz="4" w:space="0"/>
            </w:tcBorders>
            <w:noWrap w:val="0"/>
            <w:vAlign w:val="center"/>
          </w:tcPr>
          <w:p w14:paraId="0F67283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r>
      <w:tr w14:paraId="715B8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685" w:type="pct"/>
            <w:vMerge w:val="continue"/>
            <w:noWrap w:val="0"/>
            <w:vAlign w:val="center"/>
          </w:tcPr>
          <w:p w14:paraId="04310F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restart"/>
            <w:noWrap w:val="0"/>
            <w:vAlign w:val="center"/>
          </w:tcPr>
          <w:p w14:paraId="54629D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DA001/沥青烟气</w:t>
            </w:r>
          </w:p>
        </w:tc>
        <w:tc>
          <w:tcPr>
            <w:tcW w:w="781" w:type="pct"/>
            <w:tcBorders>
              <w:bottom w:val="single" w:color="000000" w:sz="4" w:space="0"/>
            </w:tcBorders>
            <w:noWrap w:val="0"/>
            <w:vAlign w:val="center"/>
          </w:tcPr>
          <w:p w14:paraId="71458097">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沥青烟</w:t>
            </w:r>
          </w:p>
        </w:tc>
        <w:tc>
          <w:tcPr>
            <w:tcW w:w="645" w:type="pct"/>
            <w:vMerge w:val="restart"/>
            <w:tcBorders>
              <w:right w:val="single" w:color="000000" w:sz="4" w:space="0"/>
            </w:tcBorders>
            <w:noWrap w:val="0"/>
            <w:vAlign w:val="center"/>
          </w:tcPr>
          <w:p w14:paraId="174D96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t>水喷淋+电捕焦油器+二级活性炭</w:t>
            </w:r>
          </w:p>
        </w:tc>
        <w:tc>
          <w:tcPr>
            <w:tcW w:w="642" w:type="pct"/>
            <w:vMerge w:val="continue"/>
            <w:tcBorders>
              <w:left w:val="single" w:color="000000" w:sz="4" w:space="0"/>
            </w:tcBorders>
            <w:noWrap w:val="0"/>
            <w:vAlign w:val="center"/>
          </w:tcPr>
          <w:p w14:paraId="665E7C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89" w:type="pct"/>
            <w:vMerge w:val="restart"/>
            <w:tcBorders>
              <w:top w:val="single" w:color="000000" w:sz="4" w:space="0"/>
            </w:tcBorders>
            <w:noWrap w:val="0"/>
            <w:vAlign w:val="center"/>
          </w:tcPr>
          <w:p w14:paraId="0D1D557C">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highlight w:val="none"/>
                <w:lang w:eastAsia="zh-CN"/>
              </w:rPr>
              <w:t>《大气污染物综合排放标准》（GB16297-1996）表2二级标准</w:t>
            </w:r>
          </w:p>
        </w:tc>
      </w:tr>
      <w:tr w14:paraId="078CC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85" w:type="pct"/>
            <w:vMerge w:val="continue"/>
            <w:noWrap w:val="0"/>
            <w:vAlign w:val="center"/>
          </w:tcPr>
          <w:p w14:paraId="648614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6FA912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bottom w:val="single" w:color="000000" w:sz="4" w:space="0"/>
            </w:tcBorders>
            <w:noWrap w:val="0"/>
            <w:vAlign w:val="center"/>
          </w:tcPr>
          <w:p w14:paraId="5BC016CC">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position w:val="2"/>
                <w:sz w:val="21"/>
                <w:szCs w:val="21"/>
              </w:rPr>
              <w:t>苯并[a]芘</w:t>
            </w:r>
          </w:p>
        </w:tc>
        <w:tc>
          <w:tcPr>
            <w:tcW w:w="645" w:type="pct"/>
            <w:vMerge w:val="continue"/>
            <w:tcBorders>
              <w:right w:val="single" w:color="000000" w:sz="4" w:space="0"/>
            </w:tcBorders>
            <w:noWrap w:val="0"/>
            <w:vAlign w:val="center"/>
          </w:tcPr>
          <w:p w14:paraId="31E70A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42" w:type="pct"/>
            <w:vMerge w:val="continue"/>
            <w:tcBorders>
              <w:left w:val="single" w:color="000000" w:sz="4" w:space="0"/>
            </w:tcBorders>
            <w:noWrap w:val="0"/>
            <w:vAlign w:val="center"/>
          </w:tcPr>
          <w:p w14:paraId="6FDC58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89" w:type="pct"/>
            <w:vMerge w:val="continue"/>
            <w:tcBorders>
              <w:top w:val="single" w:color="000000" w:sz="4" w:space="0"/>
              <w:bottom w:val="single" w:color="000000" w:sz="4" w:space="0"/>
            </w:tcBorders>
            <w:noWrap w:val="0"/>
            <w:vAlign w:val="center"/>
          </w:tcPr>
          <w:p w14:paraId="20B200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p>
        </w:tc>
      </w:tr>
      <w:tr w14:paraId="6A02E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85" w:type="pct"/>
            <w:vMerge w:val="continue"/>
            <w:noWrap w:val="0"/>
            <w:vAlign w:val="center"/>
          </w:tcPr>
          <w:p w14:paraId="60A82D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001537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bottom w:val="single" w:color="000000" w:sz="4" w:space="0"/>
            </w:tcBorders>
            <w:noWrap w:val="0"/>
            <w:vAlign w:val="center"/>
          </w:tcPr>
          <w:p w14:paraId="4D9FB5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5"/>
                <w:sz w:val="21"/>
                <w:szCs w:val="21"/>
              </w:rPr>
              <w:t>VOCs</w:t>
            </w:r>
          </w:p>
        </w:tc>
        <w:tc>
          <w:tcPr>
            <w:tcW w:w="645" w:type="pct"/>
            <w:vMerge w:val="continue"/>
            <w:tcBorders>
              <w:right w:val="single" w:color="000000" w:sz="4" w:space="0"/>
            </w:tcBorders>
            <w:noWrap w:val="0"/>
            <w:vAlign w:val="center"/>
          </w:tcPr>
          <w:p w14:paraId="318C94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42" w:type="pct"/>
            <w:vMerge w:val="continue"/>
            <w:tcBorders>
              <w:left w:val="single" w:color="000000" w:sz="4" w:space="0"/>
            </w:tcBorders>
            <w:noWrap w:val="0"/>
            <w:vAlign w:val="center"/>
          </w:tcPr>
          <w:p w14:paraId="687CE0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89" w:type="pct"/>
            <w:tcBorders>
              <w:top w:val="single" w:color="000000" w:sz="4" w:space="0"/>
              <w:bottom w:val="single" w:color="000000" w:sz="4" w:space="0"/>
            </w:tcBorders>
            <w:noWrap w:val="0"/>
            <w:vAlign w:val="center"/>
          </w:tcPr>
          <w:p w14:paraId="45933791">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8"/>
                <w:sz w:val="21"/>
                <w:szCs w:val="21"/>
              </w:rPr>
              <w:t>《挥发性有机物排放标准第7部分：</w:t>
            </w:r>
            <w:r>
              <w:rPr>
                <w:rFonts w:hint="default" w:ascii="Times New Roman" w:hAnsi="Times New Roman" w:eastAsia="宋体" w:cs="Times New Roman"/>
                <w:color w:val="auto"/>
                <w:spacing w:val="2"/>
                <w:sz w:val="21"/>
                <w:szCs w:val="21"/>
              </w:rPr>
              <w:t>其他行业》（</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pacing w:val="2"/>
                <w:sz w:val="21"/>
                <w:szCs w:val="21"/>
              </w:rPr>
              <w:t>37/2801.7-2019）表1</w:t>
            </w:r>
          </w:p>
        </w:tc>
      </w:tr>
      <w:tr w14:paraId="02640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85" w:type="pct"/>
            <w:vMerge w:val="continue"/>
            <w:noWrap w:val="0"/>
            <w:vAlign w:val="center"/>
          </w:tcPr>
          <w:p w14:paraId="0DBD15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427EADE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tcBorders>
            <w:noWrap w:val="0"/>
            <w:vAlign w:val="center"/>
          </w:tcPr>
          <w:p w14:paraId="5200CC42">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臭气浓度</w:t>
            </w:r>
          </w:p>
        </w:tc>
        <w:tc>
          <w:tcPr>
            <w:tcW w:w="645" w:type="pct"/>
            <w:vMerge w:val="continue"/>
            <w:tcBorders>
              <w:right w:val="single" w:color="000000" w:sz="4" w:space="0"/>
            </w:tcBorders>
            <w:noWrap w:val="0"/>
            <w:vAlign w:val="center"/>
          </w:tcPr>
          <w:p w14:paraId="771756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42" w:type="pct"/>
            <w:vMerge w:val="continue"/>
            <w:tcBorders>
              <w:left w:val="single" w:color="000000" w:sz="4" w:space="0"/>
            </w:tcBorders>
            <w:noWrap w:val="0"/>
            <w:vAlign w:val="center"/>
          </w:tcPr>
          <w:p w14:paraId="3D1FBF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89" w:type="pct"/>
            <w:tcBorders>
              <w:top w:val="single" w:color="000000" w:sz="4" w:space="0"/>
            </w:tcBorders>
            <w:noWrap w:val="0"/>
            <w:vAlign w:val="center"/>
          </w:tcPr>
          <w:p w14:paraId="123365A5">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7"/>
                <w:sz w:val="21"/>
                <w:szCs w:val="21"/>
              </w:rPr>
              <w:t>《恶臭污染物排放标准》（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7"/>
                <w:sz w:val="21"/>
                <w:szCs w:val="21"/>
              </w:rPr>
              <w:t>14554-93）表2</w:t>
            </w:r>
          </w:p>
        </w:tc>
      </w:tr>
      <w:tr w14:paraId="682B7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85" w:type="pct"/>
            <w:vMerge w:val="continue"/>
            <w:noWrap w:val="0"/>
            <w:vAlign w:val="center"/>
          </w:tcPr>
          <w:p w14:paraId="16DCD0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restart"/>
            <w:noWrap w:val="0"/>
            <w:vAlign w:val="center"/>
          </w:tcPr>
          <w:p w14:paraId="1E093E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DA002/导热油炉</w:t>
            </w:r>
          </w:p>
        </w:tc>
        <w:tc>
          <w:tcPr>
            <w:tcW w:w="781" w:type="pct"/>
            <w:tcBorders>
              <w:bottom w:val="single" w:color="000000" w:sz="4" w:space="0"/>
            </w:tcBorders>
            <w:noWrap w:val="0"/>
            <w:vAlign w:val="center"/>
          </w:tcPr>
          <w:p w14:paraId="0FE216B8">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7"/>
                <w:sz w:val="21"/>
                <w:szCs w:val="21"/>
              </w:rPr>
              <w:t>颗粒物</w:t>
            </w:r>
          </w:p>
        </w:tc>
        <w:tc>
          <w:tcPr>
            <w:tcW w:w="645" w:type="pct"/>
            <w:tcBorders>
              <w:bottom w:val="single" w:color="000000" w:sz="4" w:space="0"/>
              <w:right w:val="single" w:color="000000" w:sz="4" w:space="0"/>
            </w:tcBorders>
            <w:noWrap w:val="0"/>
            <w:vAlign w:val="center"/>
          </w:tcPr>
          <w:p w14:paraId="6348A54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42" w:type="pct"/>
            <w:vMerge w:val="restart"/>
            <w:tcBorders>
              <w:left w:val="single" w:color="000000" w:sz="4" w:space="0"/>
            </w:tcBorders>
            <w:noWrap w:val="0"/>
            <w:vAlign w:val="center"/>
          </w:tcPr>
          <w:p w14:paraId="6D794C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废气通过15m排气筒DA002排放</w:t>
            </w:r>
          </w:p>
        </w:tc>
        <w:tc>
          <w:tcPr>
            <w:tcW w:w="1489" w:type="pct"/>
            <w:vMerge w:val="restart"/>
            <w:noWrap w:val="0"/>
            <w:vAlign w:val="center"/>
          </w:tcPr>
          <w:p w14:paraId="04091AE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《锅炉大气污染物排放标准》（DB37/</w:t>
            </w:r>
            <w:r>
              <w:rPr>
                <w:rFonts w:hint="default" w:ascii="Times New Roman" w:hAnsi="Times New Roman" w:eastAsia="宋体" w:cs="Times New Roman"/>
                <w:color w:val="auto"/>
                <w:spacing w:val="6"/>
                <w:sz w:val="21"/>
                <w:szCs w:val="21"/>
              </w:rPr>
              <w:t>2374-2018）表2</w:t>
            </w:r>
            <w:r>
              <w:rPr>
                <w:rFonts w:hint="eastAsia" w:ascii="Times New Roman" w:hAnsi="Times New Roman" w:eastAsia="宋体" w:cs="Times New Roman"/>
                <w:color w:val="auto"/>
                <w:spacing w:val="6"/>
                <w:sz w:val="21"/>
                <w:szCs w:val="21"/>
                <w:lang w:val="en-US" w:eastAsia="zh-CN"/>
              </w:rPr>
              <w:t>重点</w:t>
            </w:r>
            <w:r>
              <w:rPr>
                <w:rFonts w:hint="default" w:ascii="Times New Roman" w:hAnsi="Times New Roman" w:eastAsia="宋体" w:cs="Times New Roman"/>
                <w:color w:val="auto"/>
                <w:spacing w:val="6"/>
                <w:sz w:val="21"/>
                <w:szCs w:val="21"/>
              </w:rPr>
              <w:t>控制区</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z w:val="21"/>
                <w:szCs w:val="21"/>
                <w:lang w:val="en-US" w:eastAsia="zh-CN"/>
              </w:rPr>
              <w:t>《关于印发济宁市2018年大气污染防治工作方案的通知》</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济气综治办发</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2018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43号）</w:t>
            </w:r>
          </w:p>
        </w:tc>
      </w:tr>
      <w:tr w14:paraId="63452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14:paraId="2642CF2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1B93E3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bottom w:val="single" w:color="000000" w:sz="4" w:space="0"/>
            </w:tcBorders>
            <w:noWrap w:val="0"/>
            <w:vAlign w:val="center"/>
          </w:tcPr>
          <w:p w14:paraId="22831A36">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SO</w:t>
            </w:r>
            <w:r>
              <w:rPr>
                <w:rFonts w:hint="default" w:ascii="Times New Roman" w:hAnsi="Times New Roman" w:eastAsia="宋体" w:cs="Times New Roman"/>
                <w:color w:val="auto"/>
                <w:sz w:val="21"/>
                <w:szCs w:val="21"/>
                <w:vertAlign w:val="subscript"/>
                <w:lang w:eastAsia="zh-CN"/>
              </w:rPr>
              <w:t>2</w:t>
            </w:r>
          </w:p>
        </w:tc>
        <w:tc>
          <w:tcPr>
            <w:tcW w:w="645" w:type="pct"/>
            <w:tcBorders>
              <w:top w:val="single" w:color="000000" w:sz="4" w:space="0"/>
              <w:bottom w:val="single" w:color="000000" w:sz="4" w:space="0"/>
              <w:right w:val="single" w:color="000000" w:sz="4" w:space="0"/>
            </w:tcBorders>
            <w:noWrap w:val="0"/>
            <w:vAlign w:val="center"/>
          </w:tcPr>
          <w:p w14:paraId="57B4B4A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42" w:type="pct"/>
            <w:vMerge w:val="continue"/>
            <w:tcBorders>
              <w:left w:val="single" w:color="000000" w:sz="4" w:space="0"/>
            </w:tcBorders>
            <w:noWrap w:val="0"/>
            <w:vAlign w:val="center"/>
          </w:tcPr>
          <w:p w14:paraId="78F2F2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p>
        </w:tc>
        <w:tc>
          <w:tcPr>
            <w:tcW w:w="1489" w:type="pct"/>
            <w:vMerge w:val="continue"/>
            <w:noWrap w:val="0"/>
            <w:vAlign w:val="center"/>
          </w:tcPr>
          <w:p w14:paraId="47E0105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661FA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5" w:type="pct"/>
            <w:vMerge w:val="continue"/>
            <w:noWrap w:val="0"/>
            <w:vAlign w:val="center"/>
          </w:tcPr>
          <w:p w14:paraId="087A16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1F20C45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bottom w:val="single" w:color="000000" w:sz="4" w:space="0"/>
            </w:tcBorders>
            <w:noWrap w:val="0"/>
            <w:vAlign w:val="center"/>
          </w:tcPr>
          <w:p w14:paraId="4622E2A4">
            <w:pPr>
              <w:pStyle w:val="47"/>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NOx</w:t>
            </w:r>
          </w:p>
        </w:tc>
        <w:tc>
          <w:tcPr>
            <w:tcW w:w="645" w:type="pct"/>
            <w:tcBorders>
              <w:top w:val="single" w:color="000000" w:sz="4" w:space="0"/>
              <w:bottom w:val="single" w:color="000000" w:sz="4" w:space="0"/>
              <w:right w:val="single" w:color="000000" w:sz="4" w:space="0"/>
            </w:tcBorders>
            <w:noWrap w:val="0"/>
            <w:vAlign w:val="center"/>
          </w:tcPr>
          <w:p w14:paraId="5AC5D5B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低氮燃烧</w:t>
            </w:r>
          </w:p>
        </w:tc>
        <w:tc>
          <w:tcPr>
            <w:tcW w:w="642" w:type="pct"/>
            <w:vMerge w:val="continue"/>
            <w:tcBorders>
              <w:left w:val="single" w:color="000000" w:sz="4" w:space="0"/>
            </w:tcBorders>
            <w:noWrap w:val="0"/>
            <w:vAlign w:val="center"/>
          </w:tcPr>
          <w:p w14:paraId="3BD7E5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p>
        </w:tc>
        <w:tc>
          <w:tcPr>
            <w:tcW w:w="1489" w:type="pct"/>
            <w:vMerge w:val="continue"/>
            <w:noWrap w:val="0"/>
            <w:vAlign w:val="center"/>
          </w:tcPr>
          <w:p w14:paraId="089181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26B48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85" w:type="pct"/>
            <w:vMerge w:val="continue"/>
            <w:noWrap w:val="0"/>
            <w:vAlign w:val="center"/>
          </w:tcPr>
          <w:p w14:paraId="1F881D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36D69B3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781" w:type="pct"/>
            <w:tcBorders>
              <w:top w:val="single" w:color="000000" w:sz="4" w:space="0"/>
            </w:tcBorders>
            <w:noWrap w:val="0"/>
            <w:vAlign w:val="center"/>
          </w:tcPr>
          <w:p w14:paraId="5E9FDDED">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7"/>
                <w:sz w:val="21"/>
                <w:szCs w:val="21"/>
              </w:rPr>
              <w:t>林格曼黑度</w:t>
            </w:r>
          </w:p>
        </w:tc>
        <w:tc>
          <w:tcPr>
            <w:tcW w:w="645" w:type="pct"/>
            <w:tcBorders>
              <w:top w:val="single" w:color="000000" w:sz="4" w:space="0"/>
              <w:right w:val="single" w:color="000000" w:sz="4" w:space="0"/>
            </w:tcBorders>
            <w:noWrap w:val="0"/>
            <w:vAlign w:val="center"/>
          </w:tcPr>
          <w:p w14:paraId="393D2F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r>
              <w:rPr>
                <w:rFonts w:hint="eastAsia" w:cs="Times New Roman"/>
                <w:i w:val="0"/>
                <w:iCs w:val="0"/>
                <w:caps w:val="0"/>
                <w:color w:val="auto"/>
                <w:spacing w:val="0"/>
                <w:kern w:val="0"/>
                <w:sz w:val="21"/>
                <w:szCs w:val="21"/>
                <w:shd w:val="clear" w:color="auto" w:fill="FFFFFF"/>
                <w:lang w:val="en-US" w:eastAsia="zh-CN" w:bidi="ar"/>
              </w:rPr>
              <w:t>/</w:t>
            </w:r>
          </w:p>
        </w:tc>
        <w:tc>
          <w:tcPr>
            <w:tcW w:w="642" w:type="pct"/>
            <w:vMerge w:val="continue"/>
            <w:tcBorders>
              <w:left w:val="single" w:color="000000" w:sz="4" w:space="0"/>
            </w:tcBorders>
            <w:noWrap w:val="0"/>
            <w:vAlign w:val="center"/>
          </w:tcPr>
          <w:p w14:paraId="37215E2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
              </w:rPr>
            </w:pPr>
          </w:p>
        </w:tc>
        <w:tc>
          <w:tcPr>
            <w:tcW w:w="1489" w:type="pct"/>
            <w:vMerge w:val="continue"/>
            <w:noWrap w:val="0"/>
            <w:vAlign w:val="center"/>
          </w:tcPr>
          <w:p w14:paraId="59C1FC4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5FC44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5" w:type="pct"/>
            <w:vMerge w:val="continue"/>
            <w:noWrap w:val="0"/>
            <w:vAlign w:val="center"/>
          </w:tcPr>
          <w:p w14:paraId="0BDB19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restart"/>
            <w:noWrap w:val="0"/>
            <w:vAlign w:val="center"/>
          </w:tcPr>
          <w:p w14:paraId="1683D22F">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0"/>
                <w:sz w:val="21"/>
                <w:szCs w:val="21"/>
                <w:highlight w:val="none"/>
                <w:vertAlign w:val="baseline"/>
                <w:lang w:val="en-US" w:eastAsia="zh-CN"/>
              </w:rPr>
              <w:t>厂界</w:t>
            </w:r>
          </w:p>
        </w:tc>
        <w:tc>
          <w:tcPr>
            <w:tcW w:w="781" w:type="pct"/>
            <w:tcBorders>
              <w:bottom w:val="single" w:color="000000" w:sz="4" w:space="0"/>
            </w:tcBorders>
            <w:noWrap w:val="0"/>
            <w:vAlign w:val="center"/>
          </w:tcPr>
          <w:p w14:paraId="6CC981EE">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颗粒物</w:t>
            </w:r>
          </w:p>
        </w:tc>
        <w:tc>
          <w:tcPr>
            <w:tcW w:w="1288" w:type="pct"/>
            <w:gridSpan w:val="2"/>
            <w:vMerge w:val="restart"/>
            <w:noWrap w:val="0"/>
            <w:vAlign w:val="center"/>
          </w:tcPr>
          <w:p w14:paraId="67CCB9A5">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pacing w:val="0"/>
                <w:sz w:val="21"/>
                <w:szCs w:val="21"/>
                <w:highlight w:val="none"/>
                <w:vertAlign w:val="baseline"/>
                <w:lang w:val="en-US" w:eastAsia="zh-CN"/>
              </w:rPr>
              <w:t>车辆冲洗，道路硬化、洒水。车间密闭，设置喷淋设施。加强管理，提高废气收集效率</w:t>
            </w:r>
          </w:p>
        </w:tc>
        <w:tc>
          <w:tcPr>
            <w:tcW w:w="1489" w:type="pct"/>
            <w:noWrap w:val="0"/>
            <w:vAlign w:val="center"/>
          </w:tcPr>
          <w:p w14:paraId="00F991AD">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eastAsia="zh-CN"/>
              </w:rPr>
              <w:t>《建材工业大气污染物排放标准》（DB37/2373-2018）表</w:t>
            </w:r>
            <w:r>
              <w:rPr>
                <w:rFonts w:hint="eastAsia" w:cs="Times New Roman"/>
                <w:color w:val="auto"/>
                <w:sz w:val="21"/>
                <w:szCs w:val="21"/>
                <w:highlight w:val="none"/>
                <w:lang w:val="en-US" w:eastAsia="zh-CN"/>
              </w:rPr>
              <w:t>3（水泥行业）</w:t>
            </w:r>
          </w:p>
        </w:tc>
      </w:tr>
      <w:tr w14:paraId="2AA9C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5" w:type="pct"/>
            <w:vMerge w:val="continue"/>
            <w:noWrap w:val="0"/>
            <w:vAlign w:val="center"/>
          </w:tcPr>
          <w:p w14:paraId="7F1304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0A2B5E90">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pacing w:val="0"/>
                <w:sz w:val="21"/>
                <w:szCs w:val="21"/>
                <w:highlight w:val="none"/>
                <w:vertAlign w:val="baseline"/>
                <w:lang w:val="en-US" w:eastAsia="zh-CN"/>
              </w:rPr>
            </w:pPr>
          </w:p>
        </w:tc>
        <w:tc>
          <w:tcPr>
            <w:tcW w:w="781" w:type="pct"/>
            <w:tcBorders>
              <w:top w:val="single" w:color="000000" w:sz="4" w:space="0"/>
              <w:bottom w:val="single" w:color="000000" w:sz="4" w:space="0"/>
            </w:tcBorders>
            <w:noWrap w:val="0"/>
            <w:vAlign w:val="center"/>
          </w:tcPr>
          <w:p w14:paraId="36A85DED">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沥青烟</w:t>
            </w:r>
          </w:p>
        </w:tc>
        <w:tc>
          <w:tcPr>
            <w:tcW w:w="1288" w:type="pct"/>
            <w:gridSpan w:val="2"/>
            <w:vMerge w:val="continue"/>
            <w:noWrap w:val="0"/>
            <w:vAlign w:val="center"/>
          </w:tcPr>
          <w:p w14:paraId="5EA5F8BD">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c>
          <w:tcPr>
            <w:tcW w:w="1489" w:type="pct"/>
            <w:vMerge w:val="restart"/>
            <w:noWrap w:val="0"/>
            <w:vAlign w:val="center"/>
          </w:tcPr>
          <w:p w14:paraId="0B72CBC9">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ru-RU" w:eastAsia="zh-CN" w:bidi="ar-SA"/>
              </w:rPr>
            </w:pPr>
            <w:r>
              <w:rPr>
                <w:rFonts w:hint="eastAsia" w:ascii="Times New Roman" w:hAnsi="Times New Roman" w:eastAsia="宋体" w:cs="Times New Roman"/>
                <w:color w:val="auto"/>
                <w:sz w:val="21"/>
                <w:szCs w:val="21"/>
                <w:highlight w:val="none"/>
                <w:lang w:eastAsia="zh-CN"/>
              </w:rPr>
              <w:t>《大气污染物综合排放标准》（GB16297-1996）表</w:t>
            </w:r>
            <w:r>
              <w:rPr>
                <w:rFonts w:hint="eastAsia" w:cs="Times New Roman"/>
                <w:color w:val="auto"/>
                <w:sz w:val="21"/>
                <w:szCs w:val="21"/>
                <w:highlight w:val="none"/>
                <w:lang w:val="en-US" w:eastAsia="zh-CN"/>
              </w:rPr>
              <w:t>2</w:t>
            </w:r>
          </w:p>
        </w:tc>
      </w:tr>
      <w:tr w14:paraId="54F63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5" w:type="pct"/>
            <w:vMerge w:val="continue"/>
            <w:noWrap w:val="0"/>
            <w:vAlign w:val="center"/>
          </w:tcPr>
          <w:p w14:paraId="3DB47F2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4DA2B72D">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pacing w:val="0"/>
                <w:sz w:val="21"/>
                <w:szCs w:val="21"/>
                <w:highlight w:val="none"/>
                <w:vertAlign w:val="baseline"/>
                <w:lang w:val="en-US" w:eastAsia="zh-CN"/>
              </w:rPr>
            </w:pPr>
          </w:p>
        </w:tc>
        <w:tc>
          <w:tcPr>
            <w:tcW w:w="781" w:type="pct"/>
            <w:tcBorders>
              <w:top w:val="single" w:color="000000" w:sz="4" w:space="0"/>
              <w:bottom w:val="single" w:color="000000" w:sz="4" w:space="0"/>
            </w:tcBorders>
            <w:noWrap w:val="0"/>
            <w:vAlign w:val="center"/>
          </w:tcPr>
          <w:p w14:paraId="032FEC12">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position w:val="2"/>
                <w:sz w:val="21"/>
                <w:szCs w:val="21"/>
              </w:rPr>
              <w:t>苯并[a]芘</w:t>
            </w:r>
          </w:p>
        </w:tc>
        <w:tc>
          <w:tcPr>
            <w:tcW w:w="1288" w:type="pct"/>
            <w:gridSpan w:val="2"/>
            <w:vMerge w:val="continue"/>
            <w:noWrap w:val="0"/>
            <w:vAlign w:val="center"/>
          </w:tcPr>
          <w:p w14:paraId="604CBBC1">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c>
          <w:tcPr>
            <w:tcW w:w="1489" w:type="pct"/>
            <w:vMerge w:val="continue"/>
            <w:noWrap w:val="0"/>
            <w:vAlign w:val="center"/>
          </w:tcPr>
          <w:p w14:paraId="68BDD4B4">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ru-RU" w:eastAsia="zh-CN" w:bidi="ar-SA"/>
              </w:rPr>
            </w:pPr>
          </w:p>
        </w:tc>
      </w:tr>
      <w:tr w14:paraId="2B60A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5" w:type="pct"/>
            <w:vMerge w:val="continue"/>
            <w:noWrap w:val="0"/>
            <w:vAlign w:val="center"/>
          </w:tcPr>
          <w:p w14:paraId="5CE1FBB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4D35D15E">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pacing w:val="0"/>
                <w:sz w:val="21"/>
                <w:szCs w:val="21"/>
                <w:highlight w:val="none"/>
                <w:vertAlign w:val="baseline"/>
                <w:lang w:val="en-US" w:eastAsia="zh-CN"/>
              </w:rPr>
            </w:pPr>
          </w:p>
        </w:tc>
        <w:tc>
          <w:tcPr>
            <w:tcW w:w="781" w:type="pct"/>
            <w:tcBorders>
              <w:top w:val="single" w:color="000000" w:sz="4" w:space="0"/>
              <w:bottom w:val="single" w:color="000000" w:sz="4" w:space="0"/>
            </w:tcBorders>
            <w:noWrap w:val="0"/>
            <w:vAlign w:val="center"/>
          </w:tcPr>
          <w:p w14:paraId="1881DB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VOCs</w:t>
            </w:r>
          </w:p>
        </w:tc>
        <w:tc>
          <w:tcPr>
            <w:tcW w:w="1288" w:type="pct"/>
            <w:gridSpan w:val="2"/>
            <w:vMerge w:val="continue"/>
            <w:noWrap w:val="0"/>
            <w:vAlign w:val="center"/>
          </w:tcPr>
          <w:p w14:paraId="0B5D14DD">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c>
          <w:tcPr>
            <w:tcW w:w="1489" w:type="pct"/>
            <w:vMerge w:val="restart"/>
            <w:noWrap w:val="0"/>
            <w:vAlign w:val="center"/>
          </w:tcPr>
          <w:p w14:paraId="5DAE9082">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ru-RU" w:eastAsia="zh-CN" w:bidi="ar-SA"/>
              </w:rPr>
            </w:pPr>
            <w:r>
              <w:rPr>
                <w:rFonts w:hint="eastAsia" w:cs="Times New Roman"/>
                <w:i w:val="0"/>
                <w:iCs w:val="0"/>
                <w:caps w:val="0"/>
                <w:color w:val="auto"/>
                <w:spacing w:val="0"/>
                <w:kern w:val="0"/>
                <w:sz w:val="21"/>
                <w:szCs w:val="21"/>
                <w:shd w:val="clear" w:color="auto" w:fill="FFFFFF"/>
                <w:lang w:val="en-US" w:eastAsia="zh-CN" w:bidi="ar"/>
              </w:rPr>
              <w:t>《挥发性有机物排放标准第7部分：其他行业》（DB37/2801.7-2019）表2</w:t>
            </w:r>
          </w:p>
        </w:tc>
      </w:tr>
      <w:tr w14:paraId="63586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85" w:type="pct"/>
            <w:vMerge w:val="continue"/>
            <w:noWrap w:val="0"/>
            <w:vAlign w:val="center"/>
          </w:tcPr>
          <w:p w14:paraId="1AA922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vMerge w:val="continue"/>
            <w:noWrap w:val="0"/>
            <w:vAlign w:val="center"/>
          </w:tcPr>
          <w:p w14:paraId="448D75CC">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pacing w:val="0"/>
                <w:sz w:val="21"/>
                <w:szCs w:val="21"/>
                <w:highlight w:val="none"/>
                <w:vertAlign w:val="baseline"/>
                <w:lang w:val="en-US" w:eastAsia="zh-CN"/>
              </w:rPr>
            </w:pPr>
          </w:p>
        </w:tc>
        <w:tc>
          <w:tcPr>
            <w:tcW w:w="781" w:type="pct"/>
            <w:tcBorders>
              <w:top w:val="single" w:color="000000" w:sz="4" w:space="0"/>
            </w:tcBorders>
            <w:noWrap w:val="0"/>
            <w:vAlign w:val="center"/>
          </w:tcPr>
          <w:p w14:paraId="3B2DA22D">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臭气浓度</w:t>
            </w:r>
          </w:p>
        </w:tc>
        <w:tc>
          <w:tcPr>
            <w:tcW w:w="1288" w:type="pct"/>
            <w:gridSpan w:val="2"/>
            <w:vMerge w:val="continue"/>
            <w:noWrap w:val="0"/>
            <w:vAlign w:val="center"/>
          </w:tcPr>
          <w:p w14:paraId="69E0B428">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c>
          <w:tcPr>
            <w:tcW w:w="1489" w:type="pct"/>
            <w:vMerge w:val="continue"/>
            <w:noWrap w:val="0"/>
            <w:vAlign w:val="center"/>
          </w:tcPr>
          <w:p w14:paraId="0E60047B">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ru-RU" w:eastAsia="zh-CN" w:bidi="ar-SA"/>
              </w:rPr>
            </w:pPr>
          </w:p>
        </w:tc>
      </w:tr>
      <w:tr w14:paraId="700B5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85" w:type="pct"/>
            <w:vMerge w:val="continue"/>
            <w:noWrap w:val="0"/>
            <w:vAlign w:val="center"/>
          </w:tcPr>
          <w:p w14:paraId="0B211B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noWrap w:val="0"/>
            <w:vAlign w:val="center"/>
          </w:tcPr>
          <w:p w14:paraId="2788AE05">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7"/>
                <w:sz w:val="21"/>
                <w:szCs w:val="21"/>
                <w:lang w:val="en-US" w:eastAsia="zh-CN"/>
              </w:rPr>
              <w:t>厂房外厂界内</w:t>
            </w:r>
          </w:p>
        </w:tc>
        <w:tc>
          <w:tcPr>
            <w:tcW w:w="781" w:type="pct"/>
            <w:tcBorders>
              <w:top w:val="single" w:color="000000" w:sz="4" w:space="0"/>
            </w:tcBorders>
            <w:noWrap w:val="0"/>
            <w:vAlign w:val="center"/>
          </w:tcPr>
          <w:p w14:paraId="75C459C8">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5"/>
                <w:sz w:val="21"/>
                <w:szCs w:val="21"/>
              </w:rPr>
              <w:t>VOCs</w:t>
            </w:r>
          </w:p>
        </w:tc>
        <w:tc>
          <w:tcPr>
            <w:tcW w:w="1288" w:type="pct"/>
            <w:gridSpan w:val="2"/>
            <w:vMerge w:val="continue"/>
            <w:noWrap w:val="0"/>
            <w:vAlign w:val="center"/>
          </w:tcPr>
          <w:p w14:paraId="7D2B19E7">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c>
          <w:tcPr>
            <w:tcW w:w="1489" w:type="pct"/>
            <w:noWrap w:val="0"/>
            <w:vAlign w:val="center"/>
          </w:tcPr>
          <w:p w14:paraId="5F1B1714">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ru-RU" w:eastAsia="zh-CN" w:bidi="ar-SA"/>
              </w:rPr>
            </w:pPr>
            <w:r>
              <w:rPr>
                <w:rFonts w:hint="default" w:ascii="Times New Roman" w:hAnsi="Times New Roman" w:eastAsia="宋体" w:cs="Times New Roman"/>
                <w:color w:val="auto"/>
                <w:sz w:val="21"/>
                <w:szCs w:val="21"/>
                <w:highlight w:val="none"/>
                <w:lang w:val="en-US" w:eastAsia="zh-CN"/>
              </w:rPr>
              <w:t>《挥发性有机物无组织排放控制标准》（GB37822-2019）表A.1</w:t>
            </w:r>
          </w:p>
        </w:tc>
      </w:tr>
      <w:tr w14:paraId="3A90C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restart"/>
            <w:noWrap w:val="0"/>
            <w:vAlign w:val="center"/>
          </w:tcPr>
          <w:p w14:paraId="64CF3B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754" w:type="pct"/>
            <w:noWrap w:val="0"/>
            <w:vAlign w:val="center"/>
          </w:tcPr>
          <w:p w14:paraId="221B2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val="en-US" w:eastAsia="zh-CN"/>
              </w:rPr>
              <w:t>生活污水</w:t>
            </w:r>
          </w:p>
        </w:tc>
        <w:tc>
          <w:tcPr>
            <w:tcW w:w="781" w:type="pct"/>
            <w:noWrap w:val="0"/>
            <w:vAlign w:val="center"/>
          </w:tcPr>
          <w:p w14:paraId="588569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val="en-US" w:eastAsia="zh-CN"/>
              </w:rPr>
              <w:t>COD、氨氮、SS等</w:t>
            </w:r>
          </w:p>
        </w:tc>
        <w:tc>
          <w:tcPr>
            <w:tcW w:w="1288" w:type="pct"/>
            <w:gridSpan w:val="2"/>
            <w:noWrap w:val="0"/>
            <w:vAlign w:val="center"/>
          </w:tcPr>
          <w:p w14:paraId="5A55A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1"/>
                <w:vertAlign w:val="baseline"/>
                <w:lang w:val="en-US" w:eastAsia="zh-CN"/>
              </w:rPr>
              <w:t>化粪池处理后排入嘉祥公用水务有限公司处理</w:t>
            </w:r>
          </w:p>
        </w:tc>
        <w:tc>
          <w:tcPr>
            <w:tcW w:w="1489" w:type="pct"/>
            <w:noWrap w:val="0"/>
            <w:vAlign w:val="center"/>
          </w:tcPr>
          <w:p w14:paraId="59B2A1A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eastAsia="zh-CN" w:bidi="ar"/>
              </w:rPr>
              <w:t>《污水综合排放标准》（GB8978-1996）表4三级标准</w:t>
            </w:r>
            <w:r>
              <w:rPr>
                <w:rFonts w:hint="eastAsia"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eastAsia="zh-CN" w:bidi="ar"/>
              </w:rPr>
              <w:t>同时满足</w:t>
            </w:r>
            <w:r>
              <w:rPr>
                <w:rFonts w:hint="eastAsia" w:cs="Times New Roman"/>
                <w:color w:val="auto"/>
                <w:kern w:val="0"/>
                <w:sz w:val="21"/>
                <w:szCs w:val="21"/>
                <w:lang w:val="en-US" w:eastAsia="zh-CN" w:bidi="ar"/>
              </w:rPr>
              <w:t>嘉祥公用水务有限公司</w:t>
            </w:r>
            <w:r>
              <w:rPr>
                <w:rFonts w:hint="default" w:ascii="Times New Roman" w:hAnsi="Times New Roman" w:eastAsia="宋体" w:cs="Times New Roman"/>
                <w:color w:val="auto"/>
                <w:kern w:val="0"/>
                <w:sz w:val="21"/>
                <w:szCs w:val="21"/>
                <w:lang w:eastAsia="zh-CN" w:bidi="ar"/>
              </w:rPr>
              <w:t>进水指标</w:t>
            </w:r>
            <w:r>
              <w:rPr>
                <w:rFonts w:hint="eastAsia" w:cs="Times New Roman"/>
                <w:color w:val="auto"/>
                <w:kern w:val="0"/>
                <w:sz w:val="21"/>
                <w:szCs w:val="21"/>
                <w:lang w:val="en-US" w:eastAsia="zh-CN" w:bidi="ar"/>
              </w:rPr>
              <w:t>要求</w:t>
            </w:r>
          </w:p>
        </w:tc>
      </w:tr>
      <w:tr w14:paraId="785B9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continue"/>
            <w:noWrap w:val="0"/>
            <w:vAlign w:val="center"/>
          </w:tcPr>
          <w:p w14:paraId="1E34E1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noWrap w:val="0"/>
            <w:vAlign w:val="center"/>
          </w:tcPr>
          <w:p w14:paraId="1E5E36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bCs/>
                <w:color w:val="auto"/>
                <w:sz w:val="21"/>
                <w:szCs w:val="21"/>
                <w:vertAlign w:val="baseline"/>
                <w:lang w:val="en-US" w:eastAsia="zh-CN"/>
              </w:rPr>
              <w:t>喷淋塔废水</w:t>
            </w:r>
          </w:p>
        </w:tc>
        <w:tc>
          <w:tcPr>
            <w:tcW w:w="781" w:type="pct"/>
            <w:noWrap w:val="0"/>
            <w:vAlign w:val="center"/>
          </w:tcPr>
          <w:p w14:paraId="742B4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0"/>
                <w:sz w:val="21"/>
                <w:szCs w:val="21"/>
                <w:highlight w:val="none"/>
                <w:lang w:val="en-US" w:eastAsia="zh-CN" w:bidi="ar-SA"/>
              </w:rPr>
            </w:pPr>
            <w:r>
              <w:rPr>
                <w:rFonts w:hint="eastAsia" w:cs="Times New Roman"/>
                <w:bCs/>
                <w:color w:val="auto"/>
                <w:sz w:val="21"/>
                <w:szCs w:val="21"/>
                <w:vertAlign w:val="baseline"/>
                <w:lang w:val="en-US" w:eastAsia="zh-CN"/>
              </w:rPr>
              <w:t>SS、石油类等</w:t>
            </w:r>
          </w:p>
        </w:tc>
        <w:tc>
          <w:tcPr>
            <w:tcW w:w="1288" w:type="pct"/>
            <w:gridSpan w:val="2"/>
            <w:noWrap w:val="0"/>
            <w:vAlign w:val="center"/>
          </w:tcPr>
          <w:p w14:paraId="61A09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vertAlign w:val="baseline"/>
                <w:lang w:val="en-US" w:eastAsia="zh-CN"/>
              </w:rPr>
              <w:t>隔油沉淀后循环使用</w:t>
            </w:r>
          </w:p>
        </w:tc>
        <w:tc>
          <w:tcPr>
            <w:tcW w:w="1489" w:type="pct"/>
            <w:noWrap w:val="0"/>
            <w:vAlign w:val="center"/>
          </w:tcPr>
          <w:p w14:paraId="36378CF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不外排</w:t>
            </w:r>
          </w:p>
        </w:tc>
      </w:tr>
      <w:tr w14:paraId="20E95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Merge w:val="continue"/>
            <w:noWrap w:val="0"/>
            <w:vAlign w:val="center"/>
          </w:tcPr>
          <w:p w14:paraId="01ADB9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54" w:type="pct"/>
            <w:noWrap w:val="0"/>
            <w:vAlign w:val="center"/>
          </w:tcPr>
          <w:p w14:paraId="62D4A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vertAlign w:val="baseline"/>
                <w:lang w:val="en-US" w:eastAsia="zh-CN"/>
              </w:rPr>
              <w:t>洗车废水</w:t>
            </w:r>
          </w:p>
        </w:tc>
        <w:tc>
          <w:tcPr>
            <w:tcW w:w="781" w:type="pct"/>
            <w:noWrap w:val="0"/>
            <w:vAlign w:val="center"/>
          </w:tcPr>
          <w:p w14:paraId="0FEEB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val="en-US" w:eastAsia="zh-CN"/>
              </w:rPr>
              <w:t>SS等</w:t>
            </w:r>
          </w:p>
        </w:tc>
        <w:tc>
          <w:tcPr>
            <w:tcW w:w="1288" w:type="pct"/>
            <w:gridSpan w:val="2"/>
            <w:noWrap w:val="0"/>
            <w:vAlign w:val="center"/>
          </w:tcPr>
          <w:p w14:paraId="754AB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1"/>
                <w:vertAlign w:val="baseline"/>
                <w:lang w:val="en-US" w:eastAsia="zh-CN"/>
              </w:rPr>
              <w:t>沉淀后循环使用</w:t>
            </w:r>
          </w:p>
        </w:tc>
        <w:tc>
          <w:tcPr>
            <w:tcW w:w="1489" w:type="pct"/>
            <w:noWrap w:val="0"/>
            <w:vAlign w:val="center"/>
          </w:tcPr>
          <w:p w14:paraId="06AF536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highlight w:val="none"/>
                <w:lang w:val="en-US" w:eastAsia="zh-CN" w:bidi="ar-SA"/>
              </w:rPr>
              <w:t>不外排</w:t>
            </w:r>
          </w:p>
        </w:tc>
      </w:tr>
      <w:tr w14:paraId="52087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730B16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54" w:type="pct"/>
            <w:noWrap w:val="0"/>
            <w:vAlign w:val="center"/>
          </w:tcPr>
          <w:p w14:paraId="1E9877CB">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生产设备</w:t>
            </w:r>
          </w:p>
        </w:tc>
        <w:tc>
          <w:tcPr>
            <w:tcW w:w="781" w:type="pct"/>
            <w:noWrap w:val="0"/>
            <w:vAlign w:val="center"/>
          </w:tcPr>
          <w:p w14:paraId="29013D68">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等效A声级</w:t>
            </w:r>
          </w:p>
        </w:tc>
        <w:tc>
          <w:tcPr>
            <w:tcW w:w="1288" w:type="pct"/>
            <w:gridSpan w:val="2"/>
            <w:noWrap w:val="0"/>
            <w:vAlign w:val="center"/>
          </w:tcPr>
          <w:p w14:paraId="1FCFD039">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aps w:val="0"/>
                <w:color w:val="auto"/>
                <w:spacing w:val="0"/>
                <w:kern w:val="0"/>
                <w:position w:val="0"/>
                <w:sz w:val="21"/>
                <w:szCs w:val="21"/>
                <w:highlight w:val="none"/>
                <w:lang w:eastAsia="zh-CN"/>
              </w:rPr>
              <w:t>车间隔声，设备减振</w:t>
            </w:r>
          </w:p>
        </w:tc>
        <w:tc>
          <w:tcPr>
            <w:tcW w:w="1489" w:type="pct"/>
            <w:noWrap w:val="0"/>
            <w:vAlign w:val="center"/>
          </w:tcPr>
          <w:p w14:paraId="0C89ED19">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《工业企业厂界环境噪声排放标准》（BG12348-2008）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r>
              <w:rPr>
                <w:rFonts w:hint="eastAsia" w:cs="Times New Roman"/>
                <w:color w:val="auto"/>
                <w:sz w:val="21"/>
                <w:szCs w:val="21"/>
                <w:highlight w:val="none"/>
                <w:lang w:val="en-US" w:eastAsia="zh-CN"/>
              </w:rPr>
              <w:t>要求</w:t>
            </w:r>
          </w:p>
        </w:tc>
      </w:tr>
      <w:tr w14:paraId="465A1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7310C9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754" w:type="pct"/>
            <w:noWrap w:val="0"/>
            <w:vAlign w:val="center"/>
          </w:tcPr>
          <w:p w14:paraId="42741F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highlight w:val="none"/>
                <w:lang w:val="en-US" w:eastAsia="zh-CN" w:bidi="ar"/>
              </w:rPr>
              <w:t>/</w:t>
            </w:r>
          </w:p>
        </w:tc>
        <w:tc>
          <w:tcPr>
            <w:tcW w:w="781" w:type="pct"/>
            <w:noWrap w:val="0"/>
            <w:vAlign w:val="center"/>
          </w:tcPr>
          <w:p w14:paraId="18CBB1C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highlight w:val="none"/>
                <w:lang w:val="en-US" w:eastAsia="zh-CN" w:bidi="ar"/>
              </w:rPr>
              <w:t>/</w:t>
            </w:r>
          </w:p>
        </w:tc>
        <w:tc>
          <w:tcPr>
            <w:tcW w:w="1288" w:type="pct"/>
            <w:gridSpan w:val="2"/>
            <w:noWrap w:val="0"/>
            <w:vAlign w:val="center"/>
          </w:tcPr>
          <w:p w14:paraId="34216D3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highlight w:val="none"/>
                <w:lang w:val="en-US" w:eastAsia="zh-CN" w:bidi="ar"/>
              </w:rPr>
              <w:t>/</w:t>
            </w:r>
          </w:p>
        </w:tc>
        <w:tc>
          <w:tcPr>
            <w:tcW w:w="1489" w:type="pct"/>
            <w:noWrap w:val="0"/>
            <w:vAlign w:val="center"/>
          </w:tcPr>
          <w:p w14:paraId="7FF45D7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highlight w:val="none"/>
                <w:lang w:val="en-US" w:eastAsia="zh-CN" w:bidi="ar"/>
              </w:rPr>
              <w:t>/</w:t>
            </w:r>
          </w:p>
        </w:tc>
      </w:tr>
      <w:tr w14:paraId="35D0E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754ACE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4314" w:type="pct"/>
            <w:gridSpan w:val="5"/>
            <w:noWrap w:val="0"/>
            <w:vAlign w:val="center"/>
          </w:tcPr>
          <w:p w14:paraId="6A1BAE32">
            <w:pPr>
              <w:adjustRightInd w:val="0"/>
              <w:snapToGrid w:val="0"/>
              <w:jc w:val="both"/>
              <w:rPr>
                <w:rFonts w:hint="default" w:ascii="Times New Roman" w:hAnsi="Times New Roman" w:eastAsia="宋体" w:cs="Times New Roman"/>
                <w:color w:val="auto"/>
                <w:sz w:val="21"/>
                <w:szCs w:val="21"/>
              </w:rPr>
            </w:pPr>
            <w:r>
              <w:rPr>
                <w:rFonts w:hint="eastAsia" w:cs="Times New Roman"/>
                <w:bCs/>
                <w:color w:val="auto"/>
                <w:sz w:val="21"/>
                <w:szCs w:val="21"/>
                <w:vertAlign w:val="baseline"/>
                <w:lang w:val="en-US" w:eastAsia="zh-CN"/>
              </w:rPr>
              <w:t>职工</w:t>
            </w:r>
            <w:r>
              <w:rPr>
                <w:rFonts w:hint="default" w:ascii="Times New Roman" w:hAnsi="Times New Roman" w:eastAsia="宋体" w:cs="Times New Roman"/>
                <w:bCs/>
                <w:color w:val="auto"/>
                <w:sz w:val="21"/>
                <w:szCs w:val="21"/>
                <w:vertAlign w:val="baseline"/>
                <w:lang w:val="en-US" w:eastAsia="zh-CN"/>
              </w:rPr>
              <w:t>生活垃圾</w:t>
            </w:r>
            <w:r>
              <w:rPr>
                <w:rFonts w:hint="eastAsia" w:cs="Times New Roman"/>
                <w:bCs/>
                <w:color w:val="auto"/>
                <w:sz w:val="21"/>
                <w:szCs w:val="21"/>
                <w:vertAlign w:val="baseline"/>
                <w:lang w:val="en-US" w:eastAsia="zh-CN"/>
              </w:rPr>
              <w:t>委托环卫部门清运，废布袋委托厂家更换回收，</w:t>
            </w:r>
            <w:r>
              <w:rPr>
                <w:rFonts w:hint="default" w:ascii="Times New Roman" w:hAnsi="Times New Roman" w:eastAsia="宋体" w:cs="Times New Roman"/>
                <w:bCs/>
                <w:color w:val="auto"/>
                <w:sz w:val="21"/>
                <w:szCs w:val="21"/>
                <w:vertAlign w:val="baseline"/>
                <w:lang w:val="en-US" w:eastAsia="zh-CN"/>
              </w:rPr>
              <w:t>沉淀池沉渣</w:t>
            </w:r>
            <w:r>
              <w:rPr>
                <w:rFonts w:hint="eastAsia" w:ascii="Times New Roman" w:hAnsi="Times New Roman" w:eastAsia="宋体" w:cs="Times New Roman"/>
                <w:bCs/>
                <w:color w:val="auto"/>
                <w:sz w:val="21"/>
                <w:szCs w:val="21"/>
                <w:vertAlign w:val="baseline"/>
                <w:lang w:val="en-US" w:eastAsia="zh-CN"/>
              </w:rPr>
              <w:t>外售其他建材企业，</w:t>
            </w:r>
            <w:r>
              <w:rPr>
                <w:rFonts w:hint="default" w:ascii="Times New Roman" w:hAnsi="Times New Roman" w:eastAsia="宋体" w:cs="Times New Roman"/>
                <w:bCs/>
                <w:color w:val="auto"/>
                <w:sz w:val="21"/>
                <w:szCs w:val="21"/>
                <w:vertAlign w:val="baseline"/>
                <w:lang w:val="en-US" w:eastAsia="zh-CN"/>
              </w:rPr>
              <w:t>除尘器收尘、沥青残渣</w:t>
            </w:r>
            <w:r>
              <w:rPr>
                <w:rFonts w:hint="eastAsia" w:cs="Times New Roman"/>
                <w:bCs/>
                <w:color w:val="auto"/>
                <w:sz w:val="21"/>
                <w:szCs w:val="21"/>
                <w:vertAlign w:val="baseline"/>
                <w:lang w:val="en-US" w:eastAsia="zh-CN"/>
              </w:rPr>
              <w:t>回用于生产，废过滤棉、</w:t>
            </w:r>
            <w:r>
              <w:rPr>
                <w:rFonts w:hint="default" w:ascii="Times New Roman" w:hAnsi="Times New Roman" w:eastAsia="宋体" w:cs="Times New Roman"/>
                <w:bCs/>
                <w:color w:val="auto"/>
                <w:sz w:val="21"/>
                <w:szCs w:val="21"/>
                <w:vertAlign w:val="baseline"/>
                <w:lang w:val="en-US" w:eastAsia="zh-CN"/>
              </w:rPr>
              <w:t>废活性炭、废导热油、废润滑油、</w:t>
            </w:r>
            <w:r>
              <w:rPr>
                <w:rFonts w:hint="eastAsia" w:cs="Times New Roman"/>
                <w:bCs/>
                <w:color w:val="auto"/>
                <w:sz w:val="21"/>
                <w:szCs w:val="21"/>
                <w:vertAlign w:val="baseline"/>
                <w:lang w:val="en-US" w:eastAsia="zh-CN"/>
              </w:rPr>
              <w:t>废油桶</w:t>
            </w:r>
            <w:r>
              <w:rPr>
                <w:rFonts w:hint="default" w:ascii="Times New Roman" w:hAnsi="Times New Roman" w:eastAsia="宋体" w:cs="Times New Roman"/>
                <w:bCs/>
                <w:color w:val="auto"/>
                <w:sz w:val="21"/>
                <w:szCs w:val="21"/>
                <w:vertAlign w:val="baseline"/>
                <w:lang w:val="en-US" w:eastAsia="zh-CN"/>
              </w:rPr>
              <w:t>、焦油沉渣、电捕焦油器废油暂存</w:t>
            </w:r>
            <w:r>
              <w:rPr>
                <w:rFonts w:hint="eastAsia" w:cs="Times New Roman"/>
                <w:bCs/>
                <w:color w:val="auto"/>
                <w:sz w:val="21"/>
                <w:szCs w:val="21"/>
                <w:vertAlign w:val="baseline"/>
                <w:lang w:val="en-US" w:eastAsia="zh-CN"/>
              </w:rPr>
              <w:t>危废库</w:t>
            </w:r>
            <w:r>
              <w:rPr>
                <w:rFonts w:hint="default" w:ascii="Times New Roman" w:hAnsi="Times New Roman" w:eastAsia="宋体" w:cs="Times New Roman"/>
                <w:bCs/>
                <w:color w:val="auto"/>
                <w:sz w:val="21"/>
                <w:szCs w:val="21"/>
                <w:vertAlign w:val="baseline"/>
                <w:lang w:val="en-US" w:eastAsia="zh-CN"/>
              </w:rPr>
              <w:t>，委托有资质单位处置</w:t>
            </w:r>
          </w:p>
        </w:tc>
      </w:tr>
      <w:tr w14:paraId="75036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0A6597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4314" w:type="pct"/>
            <w:gridSpan w:val="5"/>
            <w:noWrap w:val="0"/>
            <w:vAlign w:val="center"/>
          </w:tcPr>
          <w:p w14:paraId="2438131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分区防渗，源头控制</w:t>
            </w:r>
          </w:p>
        </w:tc>
      </w:tr>
      <w:tr w14:paraId="20068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7FC81F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4314" w:type="pct"/>
            <w:gridSpan w:val="5"/>
            <w:noWrap w:val="0"/>
            <w:vAlign w:val="center"/>
          </w:tcPr>
          <w:p w14:paraId="7797372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r>
      <w:tr w14:paraId="2D9D7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14AADA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714765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c>
          <w:tcPr>
            <w:tcW w:w="4314" w:type="pct"/>
            <w:gridSpan w:val="5"/>
            <w:noWrap w:val="0"/>
            <w:vAlign w:val="center"/>
          </w:tcPr>
          <w:p w14:paraId="472B0D6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严格落实</w:t>
            </w:r>
            <w:r>
              <w:rPr>
                <w:rFonts w:hint="eastAsia" w:cs="Times New Roman"/>
                <w:snapToGrid w:val="0"/>
                <w:color w:val="auto"/>
                <w:kern w:val="0"/>
                <w:sz w:val="21"/>
                <w:szCs w:val="21"/>
                <w:highlight w:val="none"/>
                <w:lang w:val="en-US" w:eastAsia="zh-CN" w:bidi="ar"/>
              </w:rPr>
              <w:t>专项中</w:t>
            </w:r>
            <w:r>
              <w:rPr>
                <w:rFonts w:hint="default" w:ascii="Times New Roman" w:hAnsi="Times New Roman" w:eastAsia="宋体" w:cs="Times New Roman"/>
                <w:snapToGrid w:val="0"/>
                <w:color w:val="auto"/>
                <w:kern w:val="0"/>
                <w:sz w:val="21"/>
                <w:szCs w:val="21"/>
                <w:highlight w:val="none"/>
                <w:lang w:val="en-US" w:eastAsia="zh-CN" w:bidi="ar"/>
              </w:rPr>
              <w:t>提出的各项环境风险防范措施，配备必要的应急物资，对员工进行消防培训</w:t>
            </w:r>
          </w:p>
        </w:tc>
      </w:tr>
      <w:tr w14:paraId="0B11A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noWrap w:val="0"/>
            <w:vAlign w:val="center"/>
          </w:tcPr>
          <w:p w14:paraId="06AEA3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14:paraId="3827E9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4314" w:type="pct"/>
            <w:gridSpan w:val="5"/>
            <w:noWrap w:val="0"/>
            <w:vAlign w:val="center"/>
          </w:tcPr>
          <w:p w14:paraId="5228E71A">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Autospacing="0" w:afterAutospacing="0" w:line="240" w:lineRule="auto"/>
              <w:ind w:left="0" w:right="0"/>
              <w:jc w:val="both"/>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color w:val="auto"/>
                <w:sz w:val="21"/>
                <w:szCs w:val="21"/>
                <w:lang w:val="en-US" w:eastAsia="zh-CN"/>
              </w:rPr>
              <w:t>取得审批意见后重新申请排污许可证</w:t>
            </w:r>
            <w:r>
              <w:rPr>
                <w:rFonts w:hint="eastAsia" w:cs="Times New Roman"/>
                <w:color w:val="auto"/>
                <w:sz w:val="21"/>
                <w:szCs w:val="21"/>
                <w:lang w:eastAsia="zh-CN"/>
              </w:rPr>
              <w:t>。</w:t>
            </w:r>
          </w:p>
          <w:p w14:paraId="560D5B79">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Autospacing="0" w:afterAutospacing="0" w:line="240" w:lineRule="auto"/>
              <w:ind w:left="0" w:right="0"/>
              <w:jc w:val="both"/>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color w:val="auto"/>
                <w:sz w:val="21"/>
                <w:szCs w:val="21"/>
                <w:lang w:val="en-US" w:eastAsia="zh-CN"/>
              </w:rPr>
              <w:t>落实好现有工程存在问题的整改措施</w:t>
            </w:r>
            <w:r>
              <w:rPr>
                <w:rFonts w:hint="eastAsia" w:cs="Times New Roman"/>
                <w:color w:val="auto"/>
                <w:sz w:val="21"/>
                <w:szCs w:val="21"/>
                <w:lang w:eastAsia="zh-CN"/>
              </w:rPr>
              <w:t>。</w:t>
            </w:r>
          </w:p>
          <w:p w14:paraId="4FA51442">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Autospacing="0" w:afterAutospacing="0" w:line="240" w:lineRule="auto"/>
              <w:ind w:left="0" w:right="0"/>
              <w:jc w:val="both"/>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sz w:val="21"/>
                <w:szCs w:val="21"/>
              </w:rPr>
              <w:t>按照规范进行台账记录，主要内容包括生产信息、原辅材料使用情况、污染防治设施运行记录、监测数据等。</w:t>
            </w:r>
          </w:p>
          <w:p w14:paraId="537D9973">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Autospacing="0" w:afterAutospacing="0" w:line="240" w:lineRule="auto"/>
              <w:ind w:left="0" w:right="0"/>
              <w:jc w:val="both"/>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sz w:val="21"/>
                <w:szCs w:val="21"/>
              </w:rPr>
              <w:t>环境保护理念要贯穿企业生产全过程，环境保护责任要落实到个人，企业污染物产生、治理、排放过程要明晰，环保标志标识标语要清楚易懂，环保管理台账要完备。</w:t>
            </w:r>
          </w:p>
          <w:p w14:paraId="5D2B666F">
            <w:pPr>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Autospacing="0" w:afterAutospacing="0" w:line="240" w:lineRule="auto"/>
              <w:ind w:left="0" w:right="0"/>
              <w:jc w:val="both"/>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color w:val="auto"/>
                <w:sz w:val="21"/>
                <w:szCs w:val="21"/>
                <w:lang w:val="en-US" w:eastAsia="zh-CN"/>
              </w:rPr>
              <w:t>修订突发环境事件应急预案并备案</w:t>
            </w:r>
            <w:r>
              <w:rPr>
                <w:rFonts w:hint="eastAsia" w:cs="Times New Roman"/>
                <w:color w:val="auto"/>
                <w:sz w:val="21"/>
                <w:szCs w:val="21"/>
                <w:lang w:eastAsia="zh-CN"/>
              </w:rPr>
              <w:t>。</w:t>
            </w:r>
          </w:p>
          <w:p w14:paraId="62A396F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6、按照</w:t>
            </w:r>
            <w:r>
              <w:rPr>
                <w:rFonts w:hint="default" w:ascii="Times New Roman" w:hAnsi="Times New Roman" w:eastAsia="宋体" w:cs="Times New Roman"/>
                <w:color w:val="auto"/>
                <w:sz w:val="21"/>
                <w:szCs w:val="21"/>
              </w:rPr>
              <w:t>《建设项目竣工环境保护验收暂行办法》规定的程序和标准，组织</w:t>
            </w:r>
            <w:r>
              <w:rPr>
                <w:rFonts w:hint="eastAsia" w:cs="Times New Roman"/>
                <w:color w:val="auto"/>
                <w:sz w:val="21"/>
                <w:szCs w:val="21"/>
                <w:lang w:val="en-US" w:eastAsia="zh-CN"/>
              </w:rPr>
              <w:t>竣工环保验收</w:t>
            </w:r>
            <w:r>
              <w:rPr>
                <w:rFonts w:hint="default" w:ascii="Times New Roman" w:hAnsi="Times New Roman" w:eastAsia="宋体" w:cs="Times New Roman"/>
                <w:color w:val="auto"/>
                <w:sz w:val="21"/>
                <w:szCs w:val="21"/>
              </w:rPr>
              <w:t>，公开相关信息，接受社会监督，确保建设项目需要配套建设的环境保护设施与主体工程同时投产或者使用，并对验收内容、结论和所公开信息的真实性、准确性和完整性负责，不得在验收过程中弄虚作假。</w:t>
            </w:r>
          </w:p>
        </w:tc>
      </w:tr>
    </w:tbl>
    <w:p w14:paraId="1AD3EC2D">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snapToGrid w:val="0"/>
          <w:color w:val="auto"/>
          <w:sz w:val="30"/>
          <w:szCs w:val="30"/>
        </w:rPr>
        <w:t>六、结论</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B362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50AE8254">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r>
              <w:rPr>
                <w:rFonts w:hint="default" w:ascii="Times New Roman" w:hAnsi="Times New Roman" w:eastAsia="宋体" w:cs="Times New Roman"/>
                <w:color w:val="auto"/>
                <w:kern w:val="0"/>
                <w:sz w:val="24"/>
                <w:szCs w:val="24"/>
                <w:lang w:val="en-US" w:eastAsia="zh-CN" w:bidi="ar"/>
              </w:rPr>
              <w:t>综上所述，</w:t>
            </w:r>
            <w:r>
              <w:rPr>
                <w:rFonts w:hint="default" w:ascii="Times New Roman" w:hAnsi="Times New Roman" w:eastAsia="宋体" w:cs="Times New Roman"/>
                <w:color w:val="auto"/>
                <w:kern w:val="0"/>
                <w:sz w:val="24"/>
                <w:szCs w:val="24"/>
                <w:lang w:val="en-GB" w:eastAsia="zh-CN" w:bidi="ar"/>
              </w:rPr>
              <w:t>本项目符合国家产业政策，符合相关环保政策，选址符合当地规划。在严格加强管理、落实各项污染防治措施后，项目污染物排放可以满足国家规定的相应排放标准要求，对周围环境影响较小。</w:t>
            </w:r>
            <w:r>
              <w:rPr>
                <w:rFonts w:hint="default" w:ascii="Times New Roman" w:hAnsi="Times New Roman" w:eastAsia="宋体" w:cs="Times New Roman"/>
                <w:color w:val="auto"/>
                <w:kern w:val="0"/>
                <w:sz w:val="24"/>
                <w:szCs w:val="24"/>
                <w:lang w:val="en-US" w:eastAsia="zh-CN" w:bidi="ar"/>
              </w:rPr>
              <w:t>通过落实各项防范措施和应急预案后，项目环境风险处于可防可控可接受状态。</w:t>
            </w:r>
            <w:r>
              <w:rPr>
                <w:rFonts w:hint="default" w:ascii="Times New Roman" w:hAnsi="Times New Roman" w:eastAsia="宋体" w:cs="Times New Roman"/>
                <w:color w:val="auto"/>
                <w:kern w:val="0"/>
                <w:sz w:val="24"/>
                <w:szCs w:val="24"/>
                <w:lang w:val="en-GB" w:eastAsia="zh-CN" w:bidi="ar"/>
              </w:rPr>
              <w:t>从环境保护的角度分析，本项目是可行的</w:t>
            </w:r>
            <w:r>
              <w:rPr>
                <w:rFonts w:hint="eastAsia" w:cs="Times New Roman"/>
                <w:color w:val="auto"/>
                <w:kern w:val="0"/>
                <w:sz w:val="24"/>
                <w:szCs w:val="24"/>
                <w:lang w:val="en-GB" w:eastAsia="zh-CN" w:bidi="ar"/>
              </w:rPr>
              <w:t>。</w:t>
            </w:r>
          </w:p>
          <w:p w14:paraId="24E2F83E">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1739C9F1">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28FCDD6C">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27F7E5D">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61AEF0C3">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BC56EC9">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1D1380A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7304731A">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2ED610D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3DDEE93A">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11DC975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66AFCF5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1CA342F2">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5F7B48E0">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5F5E14D2">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320076A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2A704256">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4843FAA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70EE3B5">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3B26F02B">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610A71F9">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6EBF14BC">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089635D">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51A07098">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BD9D98A">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2E4FBA52">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GB" w:eastAsia="zh-CN" w:bidi="ar"/>
              </w:rPr>
            </w:pPr>
          </w:p>
          <w:p w14:paraId="007DC427">
            <w:pPr>
              <w:keepNext w:val="0"/>
              <w:keepLines w:val="0"/>
              <w:pageBreakBefore w:val="0"/>
              <w:widowControl w:val="0"/>
              <w:tabs>
                <w:tab w:val="left" w:pos="905"/>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p>
        </w:tc>
      </w:tr>
    </w:tbl>
    <w:p w14:paraId="434F16C2">
      <w:pPr>
        <w:rPr>
          <w:rFonts w:hint="default" w:ascii="Times New Roman" w:hAnsi="Times New Roman" w:eastAsia="宋体" w:cs="Times New Roman"/>
          <w:color w:val="auto"/>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58926E49">
      <w:pPr>
        <w:pStyle w:val="21"/>
        <w:adjustRightInd w:val="0"/>
        <w:snapToGrid w:val="0"/>
        <w:spacing w:before="0" w:beforeAutospacing="0" w:after="0" w:afterAutospacing="0" w:line="648" w:lineRule="auto"/>
        <w:outlineLvl w:val="0"/>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14:paraId="0ED75A90">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sz w:val="38"/>
          <w:szCs w:val="38"/>
        </w:rPr>
        <w:t>建设项目污染物排放量汇总表</w:t>
      </w:r>
    </w:p>
    <w:tbl>
      <w:tblPr>
        <w:tblStyle w:val="2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424"/>
        <w:gridCol w:w="1786"/>
        <w:gridCol w:w="1288"/>
        <w:gridCol w:w="1786"/>
        <w:gridCol w:w="1648"/>
        <w:gridCol w:w="1715"/>
        <w:gridCol w:w="1875"/>
        <w:gridCol w:w="1536"/>
      </w:tblGrid>
      <w:tr w14:paraId="63FA6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single" w:color="auto" w:sz="4" w:space="0"/>
            </w:tcBorders>
            <w:noWrap w:val="0"/>
            <w:tcMar>
              <w:left w:w="28" w:type="dxa"/>
              <w:right w:w="28" w:type="dxa"/>
            </w:tcMar>
            <w:vAlign w:val="center"/>
          </w:tcPr>
          <w:p w14:paraId="398E6B58">
            <w:pPr>
              <w:pStyle w:val="48"/>
              <w:spacing w:beforeLines="0" w:afterLines="0" w:line="240" w:lineRule="auto"/>
              <w:jc w:val="right"/>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项目</w:t>
            </w:r>
          </w:p>
          <w:p w14:paraId="3E6F2012">
            <w:pPr>
              <w:pStyle w:val="48"/>
              <w:spacing w:beforeLines="0" w:afterLines="0" w:line="240" w:lineRule="auto"/>
              <w:jc w:val="left"/>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分类</w:t>
            </w:r>
          </w:p>
        </w:tc>
        <w:tc>
          <w:tcPr>
            <w:tcW w:w="483" w:type="pct"/>
            <w:noWrap w:val="0"/>
            <w:tcMar>
              <w:left w:w="28" w:type="dxa"/>
              <w:right w:w="28" w:type="dxa"/>
            </w:tcMar>
            <w:vAlign w:val="center"/>
          </w:tcPr>
          <w:p w14:paraId="0614BF85">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污染物名称</w:t>
            </w:r>
          </w:p>
        </w:tc>
        <w:tc>
          <w:tcPr>
            <w:tcW w:w="606" w:type="pct"/>
            <w:noWrap w:val="0"/>
            <w:tcMar>
              <w:left w:w="28" w:type="dxa"/>
              <w:right w:w="28" w:type="dxa"/>
            </w:tcMar>
            <w:vAlign w:val="center"/>
          </w:tcPr>
          <w:p w14:paraId="51ED0131">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现有工程排放量（固体废物产生量）</w:t>
            </w: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1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①</w:t>
            </w:r>
            <w:r>
              <w:rPr>
                <w:rFonts w:hint="default" w:ascii="Times New Roman" w:hAnsi="Times New Roman" w:eastAsia="宋体" w:cs="Times New Roman"/>
                <w:snapToGrid w:val="0"/>
                <w:color w:val="auto"/>
                <w:spacing w:val="0"/>
                <w:kern w:val="0"/>
                <w:sz w:val="21"/>
                <w:szCs w:val="21"/>
              </w:rPr>
              <w:fldChar w:fldCharType="end"/>
            </w:r>
          </w:p>
        </w:tc>
        <w:tc>
          <w:tcPr>
            <w:tcW w:w="437" w:type="pct"/>
            <w:noWrap w:val="0"/>
            <w:tcMar>
              <w:left w:w="28" w:type="dxa"/>
              <w:right w:w="28" w:type="dxa"/>
            </w:tcMar>
            <w:vAlign w:val="center"/>
          </w:tcPr>
          <w:p w14:paraId="24C6D066">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现有工程许可排放量</w:t>
            </w:r>
          </w:p>
          <w:p w14:paraId="24354FE8">
            <w:pPr>
              <w:pStyle w:val="48"/>
              <w:spacing w:beforeLines="0" w:afterLines="0"/>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2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snapToGrid w:val="0"/>
                <w:color w:val="auto"/>
                <w:spacing w:val="0"/>
                <w:kern w:val="0"/>
                <w:sz w:val="21"/>
                <w:szCs w:val="21"/>
              </w:rPr>
              <w:t>②</w:t>
            </w:r>
            <w:r>
              <w:rPr>
                <w:rFonts w:hint="default" w:ascii="Times New Roman" w:hAnsi="Times New Roman" w:eastAsia="宋体" w:cs="Times New Roman"/>
                <w:snapToGrid w:val="0"/>
                <w:color w:val="auto"/>
                <w:spacing w:val="0"/>
                <w:kern w:val="0"/>
                <w:sz w:val="21"/>
                <w:szCs w:val="21"/>
              </w:rPr>
              <w:fldChar w:fldCharType="end"/>
            </w:r>
          </w:p>
        </w:tc>
        <w:tc>
          <w:tcPr>
            <w:tcW w:w="606" w:type="pct"/>
            <w:noWrap w:val="0"/>
            <w:tcMar>
              <w:left w:w="28" w:type="dxa"/>
              <w:right w:w="28" w:type="dxa"/>
            </w:tcMar>
            <w:vAlign w:val="center"/>
          </w:tcPr>
          <w:p w14:paraId="45542A8A">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在建工程排放量（固体废物产生量）</w:t>
            </w: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3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③</w:t>
            </w:r>
            <w:r>
              <w:rPr>
                <w:rFonts w:hint="default" w:ascii="Times New Roman" w:hAnsi="Times New Roman" w:eastAsia="宋体" w:cs="Times New Roman"/>
                <w:snapToGrid w:val="0"/>
                <w:color w:val="auto"/>
                <w:spacing w:val="0"/>
                <w:kern w:val="0"/>
                <w:sz w:val="21"/>
                <w:szCs w:val="21"/>
              </w:rPr>
              <w:fldChar w:fldCharType="end"/>
            </w:r>
          </w:p>
        </w:tc>
        <w:tc>
          <w:tcPr>
            <w:tcW w:w="559" w:type="pct"/>
            <w:noWrap w:val="0"/>
            <w:tcMar>
              <w:left w:w="28" w:type="dxa"/>
              <w:right w:w="28" w:type="dxa"/>
            </w:tcMar>
            <w:vAlign w:val="center"/>
          </w:tcPr>
          <w:p w14:paraId="15637B53">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本项目排放量（固体废物产生量）</w:t>
            </w: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4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④</w:t>
            </w:r>
            <w:r>
              <w:rPr>
                <w:rFonts w:hint="default" w:ascii="Times New Roman" w:hAnsi="Times New Roman" w:eastAsia="宋体" w:cs="Times New Roman"/>
                <w:snapToGrid w:val="0"/>
                <w:color w:val="auto"/>
                <w:spacing w:val="0"/>
                <w:kern w:val="0"/>
                <w:sz w:val="21"/>
                <w:szCs w:val="21"/>
              </w:rPr>
              <w:fldChar w:fldCharType="end"/>
            </w:r>
          </w:p>
        </w:tc>
        <w:tc>
          <w:tcPr>
            <w:tcW w:w="582" w:type="pct"/>
            <w:noWrap w:val="0"/>
            <w:tcMar>
              <w:left w:w="28" w:type="dxa"/>
              <w:right w:w="28" w:type="dxa"/>
            </w:tcMar>
            <w:vAlign w:val="center"/>
          </w:tcPr>
          <w:p w14:paraId="22FBB1EE">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以新带老削减量（新建项目不填）</w:t>
            </w: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5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⑤</w:t>
            </w:r>
            <w:r>
              <w:rPr>
                <w:rFonts w:hint="default" w:ascii="Times New Roman" w:hAnsi="Times New Roman" w:eastAsia="宋体" w:cs="Times New Roman"/>
                <w:snapToGrid w:val="0"/>
                <w:color w:val="auto"/>
                <w:spacing w:val="0"/>
                <w:kern w:val="0"/>
                <w:sz w:val="21"/>
                <w:szCs w:val="21"/>
              </w:rPr>
              <w:fldChar w:fldCharType="end"/>
            </w:r>
          </w:p>
        </w:tc>
        <w:tc>
          <w:tcPr>
            <w:tcW w:w="636" w:type="pct"/>
            <w:noWrap w:val="0"/>
            <w:tcMar>
              <w:left w:w="28" w:type="dxa"/>
              <w:right w:w="28" w:type="dxa"/>
            </w:tcMar>
            <w:vAlign w:val="center"/>
          </w:tcPr>
          <w:p w14:paraId="34D7D16E">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本项目建成后全厂排放量（固体废物产生量）</w:t>
            </w: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6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⑥</w:t>
            </w:r>
            <w:r>
              <w:rPr>
                <w:rFonts w:hint="default" w:ascii="Times New Roman" w:hAnsi="Times New Roman" w:eastAsia="宋体" w:cs="Times New Roman"/>
                <w:snapToGrid w:val="0"/>
                <w:color w:val="auto"/>
                <w:spacing w:val="0"/>
                <w:kern w:val="0"/>
                <w:sz w:val="21"/>
                <w:szCs w:val="21"/>
              </w:rPr>
              <w:fldChar w:fldCharType="end"/>
            </w:r>
          </w:p>
        </w:tc>
        <w:tc>
          <w:tcPr>
            <w:tcW w:w="521" w:type="pct"/>
            <w:noWrap w:val="0"/>
            <w:tcMar>
              <w:left w:w="28" w:type="dxa"/>
              <w:right w:w="28" w:type="dxa"/>
            </w:tcMar>
            <w:vAlign w:val="center"/>
          </w:tcPr>
          <w:p w14:paraId="769B0CB1">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变化量</w:t>
            </w:r>
          </w:p>
          <w:p w14:paraId="480776FF">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fldChar w:fldCharType="begin"/>
            </w:r>
            <w:r>
              <w:rPr>
                <w:rFonts w:hint="default" w:ascii="Times New Roman" w:hAnsi="Times New Roman" w:eastAsia="宋体" w:cs="Times New Roman"/>
                <w:snapToGrid w:val="0"/>
                <w:color w:val="auto"/>
                <w:spacing w:val="0"/>
                <w:kern w:val="0"/>
                <w:sz w:val="21"/>
                <w:szCs w:val="21"/>
              </w:rPr>
              <w:instrText xml:space="preserve"> = 7 \* GB3 \* MERGEFORMAT </w:instrText>
            </w:r>
            <w:r>
              <w:rPr>
                <w:rFonts w:hint="default" w:ascii="Times New Roman" w:hAnsi="Times New Roman" w:eastAsia="宋体" w:cs="Times New Roman"/>
                <w:snapToGrid w:val="0"/>
                <w:color w:val="auto"/>
                <w:spacing w:val="0"/>
                <w:kern w:val="0"/>
                <w:sz w:val="21"/>
                <w:szCs w:val="21"/>
              </w:rPr>
              <w:fldChar w:fldCharType="separate"/>
            </w:r>
            <w:r>
              <w:rPr>
                <w:rFonts w:hint="default" w:ascii="Times New Roman" w:hAnsi="Times New Roman" w:eastAsia="宋体" w:cs="Times New Roman"/>
                <w:color w:val="auto"/>
                <w:spacing w:val="0"/>
                <w:kern w:val="0"/>
                <w:sz w:val="21"/>
                <w:szCs w:val="21"/>
              </w:rPr>
              <w:t>⑦</w:t>
            </w:r>
            <w:r>
              <w:rPr>
                <w:rFonts w:hint="default" w:ascii="Times New Roman" w:hAnsi="Times New Roman" w:eastAsia="宋体" w:cs="Times New Roman"/>
                <w:snapToGrid w:val="0"/>
                <w:color w:val="auto"/>
                <w:spacing w:val="0"/>
                <w:kern w:val="0"/>
                <w:sz w:val="21"/>
                <w:szCs w:val="21"/>
              </w:rPr>
              <w:fldChar w:fldCharType="end"/>
            </w:r>
          </w:p>
        </w:tc>
      </w:tr>
      <w:tr w14:paraId="55B53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restart"/>
            <w:noWrap w:val="0"/>
            <w:vAlign w:val="center"/>
          </w:tcPr>
          <w:p w14:paraId="10CE9A30">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废气</w:t>
            </w:r>
          </w:p>
        </w:tc>
        <w:tc>
          <w:tcPr>
            <w:tcW w:w="483" w:type="pct"/>
            <w:noWrap w:val="0"/>
            <w:vAlign w:val="center"/>
          </w:tcPr>
          <w:p w14:paraId="092C68B8">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rPr>
            </w:pPr>
            <w:r>
              <w:rPr>
                <w:rFonts w:hint="eastAsia" w:ascii="宋体" w:hAnsi="宋体" w:eastAsia="宋体" w:cs="宋体"/>
                <w:i w:val="0"/>
                <w:iCs w:val="0"/>
                <w:color w:val="auto"/>
                <w:kern w:val="0"/>
                <w:sz w:val="21"/>
                <w:szCs w:val="21"/>
                <w:u w:val="none"/>
                <w:lang w:val="en-US" w:eastAsia="zh-CN" w:bidi="ar"/>
              </w:rPr>
              <w:t>沥青烟</w:t>
            </w:r>
          </w:p>
        </w:tc>
        <w:tc>
          <w:tcPr>
            <w:tcW w:w="606" w:type="pct"/>
            <w:noWrap w:val="0"/>
            <w:vAlign w:val="center"/>
          </w:tcPr>
          <w:p w14:paraId="600C31F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0.034</w:t>
            </w:r>
          </w:p>
        </w:tc>
        <w:tc>
          <w:tcPr>
            <w:tcW w:w="437" w:type="pct"/>
            <w:noWrap w:val="0"/>
            <w:vAlign w:val="center"/>
          </w:tcPr>
          <w:p w14:paraId="21F0EBA1">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1F0B4F14">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199969AD">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rPr>
            </w:pPr>
            <w:r>
              <w:rPr>
                <w:rFonts w:hint="eastAsia" w:cs="Times New Roman"/>
                <w:snapToGrid w:val="0"/>
                <w:color w:val="0000FF"/>
                <w:spacing w:val="0"/>
                <w:kern w:val="0"/>
                <w:sz w:val="21"/>
                <w:szCs w:val="21"/>
                <w:lang w:val="en-US" w:eastAsia="zh-CN"/>
              </w:rPr>
              <w:t>0.023</w:t>
            </w:r>
          </w:p>
        </w:tc>
        <w:tc>
          <w:tcPr>
            <w:tcW w:w="582" w:type="pct"/>
            <w:noWrap w:val="0"/>
            <w:vAlign w:val="center"/>
          </w:tcPr>
          <w:p w14:paraId="3EF49A18">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0.034</w:t>
            </w:r>
          </w:p>
        </w:tc>
        <w:tc>
          <w:tcPr>
            <w:tcW w:w="636" w:type="pct"/>
            <w:noWrap w:val="0"/>
            <w:vAlign w:val="center"/>
          </w:tcPr>
          <w:p w14:paraId="5CD1DC53">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rPr>
            </w:pPr>
            <w:r>
              <w:rPr>
                <w:rFonts w:hint="eastAsia" w:cs="Times New Roman"/>
                <w:snapToGrid w:val="0"/>
                <w:color w:val="0000FF"/>
                <w:spacing w:val="0"/>
                <w:kern w:val="0"/>
                <w:sz w:val="21"/>
                <w:szCs w:val="21"/>
                <w:lang w:val="en-US" w:eastAsia="zh-CN"/>
              </w:rPr>
              <w:t>0.023</w:t>
            </w:r>
          </w:p>
        </w:tc>
        <w:tc>
          <w:tcPr>
            <w:tcW w:w="521" w:type="pct"/>
            <w:noWrap w:val="0"/>
            <w:vAlign w:val="center"/>
          </w:tcPr>
          <w:p w14:paraId="0225435C">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0000FF"/>
                <w:spacing w:val="0"/>
                <w:kern w:val="0"/>
                <w:sz w:val="21"/>
                <w:szCs w:val="21"/>
                <w:lang w:val="en-US" w:eastAsia="zh-CN"/>
              </w:rPr>
              <w:t>-0.011</w:t>
            </w:r>
          </w:p>
        </w:tc>
      </w:tr>
      <w:tr w14:paraId="413DC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40F41104">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415625E6">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rPr>
            </w:pPr>
            <w:r>
              <w:rPr>
                <w:rFonts w:hint="eastAsia" w:ascii="宋体" w:hAnsi="宋体" w:eastAsia="宋体" w:cs="宋体"/>
                <w:i w:val="0"/>
                <w:iCs w:val="0"/>
                <w:color w:val="auto"/>
                <w:kern w:val="0"/>
                <w:sz w:val="21"/>
                <w:szCs w:val="21"/>
                <w:u w:val="none"/>
                <w:lang w:val="en-US" w:eastAsia="zh-CN" w:bidi="ar"/>
              </w:rPr>
              <w:t>苯并</w:t>
            </w:r>
            <w:r>
              <w:rPr>
                <w:rStyle w:val="66"/>
                <w:rFonts w:eastAsia="宋体"/>
                <w:color w:val="auto"/>
                <w:lang w:val="en-US" w:eastAsia="zh-CN" w:bidi="ar"/>
              </w:rPr>
              <w:t>[a]</w:t>
            </w:r>
            <w:r>
              <w:rPr>
                <w:rFonts w:hint="eastAsia" w:ascii="宋体" w:hAnsi="宋体" w:eastAsia="宋体" w:cs="宋体"/>
                <w:i w:val="0"/>
                <w:iCs w:val="0"/>
                <w:color w:val="auto"/>
                <w:kern w:val="0"/>
                <w:sz w:val="21"/>
                <w:szCs w:val="21"/>
                <w:u w:val="none"/>
                <w:lang w:val="en-US" w:eastAsia="zh-CN" w:bidi="ar"/>
              </w:rPr>
              <w:t>芘</w:t>
            </w:r>
          </w:p>
        </w:tc>
        <w:tc>
          <w:tcPr>
            <w:tcW w:w="606" w:type="pct"/>
            <w:noWrap w:val="0"/>
            <w:vAlign w:val="center"/>
          </w:tcPr>
          <w:p w14:paraId="74647B5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b w:val="0"/>
                <w:bCs w:val="0"/>
                <w:color w:val="auto"/>
                <w:sz w:val="21"/>
                <w:szCs w:val="21"/>
                <w:highlight w:val="none"/>
                <w:lang w:val="en-US" w:eastAsia="zh-CN"/>
              </w:rPr>
              <w:t>0.000336‬</w:t>
            </w:r>
          </w:p>
        </w:tc>
        <w:tc>
          <w:tcPr>
            <w:tcW w:w="437" w:type="pct"/>
            <w:noWrap w:val="0"/>
            <w:vAlign w:val="center"/>
          </w:tcPr>
          <w:p w14:paraId="33278A0A">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7B49D401">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4ED7053F">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0000FF"/>
                <w:spacing w:val="0"/>
                <w:kern w:val="0"/>
                <w:sz w:val="21"/>
                <w:szCs w:val="21"/>
                <w:lang w:val="en-US" w:eastAsia="zh-CN"/>
              </w:rPr>
              <w:t>0.00000029</w:t>
            </w:r>
          </w:p>
        </w:tc>
        <w:tc>
          <w:tcPr>
            <w:tcW w:w="582" w:type="pct"/>
            <w:noWrap w:val="0"/>
            <w:vAlign w:val="center"/>
          </w:tcPr>
          <w:p w14:paraId="18A16D25">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b w:val="0"/>
                <w:bCs w:val="0"/>
                <w:color w:val="auto"/>
                <w:sz w:val="21"/>
                <w:szCs w:val="21"/>
                <w:highlight w:val="none"/>
                <w:lang w:val="en-US" w:eastAsia="zh-CN"/>
              </w:rPr>
              <w:t>0.000336‬</w:t>
            </w:r>
          </w:p>
        </w:tc>
        <w:tc>
          <w:tcPr>
            <w:tcW w:w="636" w:type="pct"/>
            <w:noWrap w:val="0"/>
            <w:vAlign w:val="center"/>
          </w:tcPr>
          <w:p w14:paraId="0C1B9C91">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0000FF"/>
                <w:spacing w:val="0"/>
                <w:kern w:val="0"/>
                <w:sz w:val="21"/>
                <w:szCs w:val="21"/>
                <w:lang w:val="en-US" w:eastAsia="zh-CN"/>
              </w:rPr>
              <w:t>0.00000029</w:t>
            </w:r>
          </w:p>
        </w:tc>
        <w:tc>
          <w:tcPr>
            <w:tcW w:w="521" w:type="pct"/>
            <w:noWrap w:val="0"/>
            <w:vAlign w:val="center"/>
          </w:tcPr>
          <w:p w14:paraId="47C5E037">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0000FF"/>
                <w:spacing w:val="0"/>
                <w:kern w:val="0"/>
                <w:sz w:val="21"/>
                <w:szCs w:val="21"/>
              </w:rPr>
              <w:t>-0.00033571</w:t>
            </w:r>
          </w:p>
        </w:tc>
      </w:tr>
      <w:tr w14:paraId="5BC54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0B3184A6">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20A816C9">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606" w:type="pct"/>
            <w:noWrap w:val="0"/>
            <w:vAlign w:val="center"/>
          </w:tcPr>
          <w:p w14:paraId="68B95D5B">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437" w:type="pct"/>
            <w:noWrap w:val="0"/>
            <w:vAlign w:val="center"/>
          </w:tcPr>
          <w:p w14:paraId="6701F716">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384277A4">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34D5EF0C">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rPr>
            </w:pPr>
            <w:r>
              <w:rPr>
                <w:rFonts w:hint="eastAsia" w:cs="Times New Roman"/>
                <w:snapToGrid w:val="0"/>
                <w:color w:val="0000FF"/>
                <w:spacing w:val="0"/>
                <w:kern w:val="0"/>
                <w:sz w:val="21"/>
                <w:szCs w:val="21"/>
                <w:lang w:val="en-US" w:eastAsia="zh-CN"/>
              </w:rPr>
              <w:t>0.016</w:t>
            </w:r>
          </w:p>
        </w:tc>
        <w:tc>
          <w:tcPr>
            <w:tcW w:w="582" w:type="pct"/>
            <w:noWrap w:val="0"/>
            <w:vAlign w:val="center"/>
          </w:tcPr>
          <w:p w14:paraId="0D694234">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636" w:type="pct"/>
            <w:noWrap w:val="0"/>
            <w:vAlign w:val="center"/>
          </w:tcPr>
          <w:p w14:paraId="5EC444D0">
            <w:pPr>
              <w:spacing w:beforeLines="0" w:afterLines="0" w:line="240" w:lineRule="auto"/>
              <w:jc w:val="center"/>
              <w:rPr>
                <w:rFonts w:hint="default" w:ascii="Times New Roman" w:hAnsi="Times New Roman" w:eastAsia="宋体" w:cs="Times New Roman"/>
                <w:snapToGrid w:val="0"/>
                <w:color w:val="0000FF"/>
                <w:spacing w:val="0"/>
                <w:kern w:val="0"/>
                <w:sz w:val="21"/>
                <w:szCs w:val="21"/>
                <w:lang w:val="en-US"/>
              </w:rPr>
            </w:pPr>
            <w:r>
              <w:rPr>
                <w:rFonts w:hint="eastAsia" w:cs="Times New Roman"/>
                <w:snapToGrid w:val="0"/>
                <w:color w:val="0000FF"/>
                <w:spacing w:val="0"/>
                <w:kern w:val="0"/>
                <w:sz w:val="21"/>
                <w:szCs w:val="21"/>
                <w:lang w:val="en-US" w:eastAsia="zh-CN"/>
              </w:rPr>
              <w:t>0.016</w:t>
            </w:r>
          </w:p>
        </w:tc>
        <w:tc>
          <w:tcPr>
            <w:tcW w:w="521" w:type="pct"/>
            <w:noWrap w:val="0"/>
            <w:vAlign w:val="center"/>
          </w:tcPr>
          <w:p w14:paraId="39602FF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+0.016</w:t>
            </w:r>
          </w:p>
        </w:tc>
      </w:tr>
      <w:tr w14:paraId="7DFEA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4DED7017">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69FCFDE1">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rPr>
            </w:pPr>
            <w:r>
              <w:rPr>
                <w:rFonts w:hint="eastAsia" w:ascii="宋体" w:hAnsi="宋体" w:eastAsia="宋体" w:cs="宋体"/>
                <w:i w:val="0"/>
                <w:iCs w:val="0"/>
                <w:color w:val="auto"/>
                <w:kern w:val="0"/>
                <w:sz w:val="21"/>
                <w:szCs w:val="21"/>
                <w:u w:val="none"/>
                <w:lang w:val="en-US" w:eastAsia="zh-CN" w:bidi="ar"/>
              </w:rPr>
              <w:t>颗粒物</w:t>
            </w:r>
          </w:p>
        </w:tc>
        <w:tc>
          <w:tcPr>
            <w:tcW w:w="606" w:type="pct"/>
            <w:noWrap w:val="0"/>
            <w:vAlign w:val="center"/>
          </w:tcPr>
          <w:p w14:paraId="0A6BEF1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0.14</w:t>
            </w:r>
          </w:p>
        </w:tc>
        <w:tc>
          <w:tcPr>
            <w:tcW w:w="437" w:type="pct"/>
            <w:noWrap w:val="0"/>
            <w:vAlign w:val="center"/>
          </w:tcPr>
          <w:p w14:paraId="3EC3E142">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740928CC">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02305DD1">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rPr>
            </w:pPr>
            <w:r>
              <w:rPr>
                <w:rFonts w:hint="eastAsia" w:cs="Times New Roman"/>
                <w:snapToGrid w:val="0"/>
                <w:color w:val="0000FF"/>
                <w:spacing w:val="0"/>
                <w:kern w:val="0"/>
                <w:sz w:val="21"/>
                <w:szCs w:val="21"/>
                <w:lang w:val="en-US" w:eastAsia="zh-CN"/>
              </w:rPr>
              <w:t>0.072</w:t>
            </w:r>
          </w:p>
        </w:tc>
        <w:tc>
          <w:tcPr>
            <w:tcW w:w="582" w:type="pct"/>
            <w:noWrap w:val="0"/>
            <w:vAlign w:val="center"/>
          </w:tcPr>
          <w:p w14:paraId="654F4854">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0.14</w:t>
            </w:r>
          </w:p>
        </w:tc>
        <w:tc>
          <w:tcPr>
            <w:tcW w:w="636" w:type="pct"/>
            <w:noWrap w:val="0"/>
            <w:vAlign w:val="center"/>
          </w:tcPr>
          <w:p w14:paraId="60F5AEFC">
            <w:pPr>
              <w:spacing w:beforeLines="0" w:afterLines="0" w:line="240" w:lineRule="auto"/>
              <w:jc w:val="center"/>
              <w:rPr>
                <w:rFonts w:hint="default" w:ascii="Times New Roman" w:hAnsi="Times New Roman" w:eastAsia="宋体" w:cs="Times New Roman"/>
                <w:snapToGrid w:val="0"/>
                <w:color w:val="0000FF"/>
                <w:spacing w:val="0"/>
                <w:kern w:val="0"/>
                <w:sz w:val="21"/>
                <w:szCs w:val="21"/>
                <w:lang w:val="en-US"/>
              </w:rPr>
            </w:pPr>
            <w:r>
              <w:rPr>
                <w:rFonts w:hint="eastAsia" w:cs="Times New Roman"/>
                <w:snapToGrid w:val="0"/>
                <w:color w:val="0000FF"/>
                <w:spacing w:val="0"/>
                <w:kern w:val="0"/>
                <w:sz w:val="21"/>
                <w:szCs w:val="21"/>
                <w:lang w:val="en-US" w:eastAsia="zh-CN"/>
              </w:rPr>
              <w:t>0.072</w:t>
            </w:r>
          </w:p>
        </w:tc>
        <w:tc>
          <w:tcPr>
            <w:tcW w:w="521" w:type="pct"/>
            <w:noWrap w:val="0"/>
            <w:vAlign w:val="center"/>
          </w:tcPr>
          <w:p w14:paraId="50C8D7D8">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-0.068</w:t>
            </w:r>
          </w:p>
        </w:tc>
      </w:tr>
      <w:tr w14:paraId="66727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6F3C7761">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7D9005FA">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SO</w:t>
            </w:r>
            <w:r>
              <w:rPr>
                <w:rStyle w:val="67"/>
                <w:rFonts w:eastAsia="宋体"/>
                <w:color w:val="auto"/>
                <w:lang w:val="en-US" w:eastAsia="zh-CN" w:bidi="ar"/>
              </w:rPr>
              <w:t>2</w:t>
            </w:r>
          </w:p>
        </w:tc>
        <w:tc>
          <w:tcPr>
            <w:tcW w:w="606" w:type="pct"/>
            <w:noWrap w:val="0"/>
            <w:vAlign w:val="center"/>
          </w:tcPr>
          <w:p w14:paraId="6F21900B">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0.317</w:t>
            </w:r>
          </w:p>
        </w:tc>
        <w:tc>
          <w:tcPr>
            <w:tcW w:w="437" w:type="pct"/>
            <w:noWrap w:val="0"/>
            <w:vAlign w:val="center"/>
          </w:tcPr>
          <w:p w14:paraId="2AE4F21B">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281D2477">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13F61AC3">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auto"/>
                <w:spacing w:val="0"/>
                <w:kern w:val="0"/>
                <w:sz w:val="21"/>
                <w:szCs w:val="21"/>
                <w:lang w:val="en-US" w:eastAsia="zh-CN"/>
              </w:rPr>
              <w:t>0.062</w:t>
            </w:r>
          </w:p>
        </w:tc>
        <w:tc>
          <w:tcPr>
            <w:tcW w:w="582" w:type="pct"/>
            <w:noWrap w:val="0"/>
            <w:vAlign w:val="center"/>
          </w:tcPr>
          <w:p w14:paraId="3F6894E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0.317</w:t>
            </w:r>
          </w:p>
        </w:tc>
        <w:tc>
          <w:tcPr>
            <w:tcW w:w="636" w:type="pct"/>
            <w:noWrap w:val="0"/>
            <w:vAlign w:val="center"/>
          </w:tcPr>
          <w:p w14:paraId="125DE4FE">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auto"/>
                <w:spacing w:val="0"/>
                <w:kern w:val="0"/>
                <w:sz w:val="21"/>
                <w:szCs w:val="21"/>
                <w:lang w:val="en-US" w:eastAsia="zh-CN"/>
              </w:rPr>
              <w:t>0.062</w:t>
            </w:r>
          </w:p>
        </w:tc>
        <w:tc>
          <w:tcPr>
            <w:tcW w:w="521" w:type="pct"/>
            <w:noWrap w:val="0"/>
            <w:vAlign w:val="center"/>
          </w:tcPr>
          <w:p w14:paraId="3337DCD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-0.255</w:t>
            </w:r>
          </w:p>
        </w:tc>
      </w:tr>
      <w:tr w14:paraId="230BB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6AFC1BB3">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62703AFA">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606" w:type="pct"/>
            <w:noWrap w:val="0"/>
            <w:vAlign w:val="center"/>
          </w:tcPr>
          <w:p w14:paraId="4B65225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0.651</w:t>
            </w:r>
          </w:p>
        </w:tc>
        <w:tc>
          <w:tcPr>
            <w:tcW w:w="437" w:type="pct"/>
            <w:noWrap w:val="0"/>
            <w:vAlign w:val="center"/>
          </w:tcPr>
          <w:p w14:paraId="14BEDD46">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snapToGrid w:val="0"/>
                <w:color w:val="auto"/>
                <w:spacing w:val="0"/>
                <w:kern w:val="0"/>
                <w:sz w:val="21"/>
                <w:szCs w:val="21"/>
                <w:lang w:val="en-US" w:eastAsia="zh-CN"/>
              </w:rPr>
              <w:t>0</w:t>
            </w:r>
          </w:p>
        </w:tc>
        <w:tc>
          <w:tcPr>
            <w:tcW w:w="606" w:type="pct"/>
            <w:noWrap w:val="0"/>
            <w:vAlign w:val="center"/>
          </w:tcPr>
          <w:p w14:paraId="467D7355">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lang w:val="en-US" w:eastAsia="zh-CN"/>
              </w:rPr>
              <w:t>0</w:t>
            </w:r>
          </w:p>
        </w:tc>
        <w:tc>
          <w:tcPr>
            <w:tcW w:w="559" w:type="pct"/>
            <w:noWrap w:val="0"/>
            <w:vAlign w:val="center"/>
          </w:tcPr>
          <w:p w14:paraId="7786DB40">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auto"/>
                <w:spacing w:val="0"/>
                <w:kern w:val="0"/>
                <w:sz w:val="21"/>
                <w:szCs w:val="21"/>
                <w:lang w:val="en-US" w:eastAsia="zh-CN"/>
              </w:rPr>
              <w:t>0.094</w:t>
            </w:r>
          </w:p>
        </w:tc>
        <w:tc>
          <w:tcPr>
            <w:tcW w:w="582" w:type="pct"/>
            <w:noWrap w:val="0"/>
            <w:vAlign w:val="center"/>
          </w:tcPr>
          <w:p w14:paraId="43BBE250">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0.651</w:t>
            </w:r>
          </w:p>
        </w:tc>
        <w:tc>
          <w:tcPr>
            <w:tcW w:w="636" w:type="pct"/>
            <w:noWrap w:val="0"/>
            <w:vAlign w:val="center"/>
          </w:tcPr>
          <w:p w14:paraId="4C6A48FA">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snapToGrid w:val="0"/>
                <w:color w:val="auto"/>
                <w:spacing w:val="0"/>
                <w:kern w:val="0"/>
                <w:sz w:val="21"/>
                <w:szCs w:val="21"/>
                <w:lang w:val="en-US" w:eastAsia="zh-CN"/>
              </w:rPr>
              <w:t>0.094</w:t>
            </w:r>
          </w:p>
        </w:tc>
        <w:tc>
          <w:tcPr>
            <w:tcW w:w="521" w:type="pct"/>
            <w:noWrap w:val="0"/>
            <w:vAlign w:val="center"/>
          </w:tcPr>
          <w:p w14:paraId="5C815AD5">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-0.557</w:t>
            </w:r>
          </w:p>
        </w:tc>
      </w:tr>
      <w:tr w14:paraId="794F0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restart"/>
            <w:noWrap w:val="0"/>
            <w:vAlign w:val="center"/>
          </w:tcPr>
          <w:p w14:paraId="107C57B6">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废水</w:t>
            </w:r>
          </w:p>
        </w:tc>
        <w:tc>
          <w:tcPr>
            <w:tcW w:w="483" w:type="pct"/>
            <w:noWrap w:val="0"/>
            <w:vAlign w:val="center"/>
          </w:tcPr>
          <w:p w14:paraId="0913A952">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cs="Times New Roman"/>
                <w:snapToGrid w:val="0"/>
                <w:color w:val="auto"/>
                <w:spacing w:val="0"/>
                <w:kern w:val="0"/>
                <w:sz w:val="21"/>
                <w:szCs w:val="21"/>
                <w:lang w:val="en-US" w:eastAsia="zh-CN"/>
              </w:rPr>
              <w:t>COD</w:t>
            </w:r>
          </w:p>
        </w:tc>
        <w:tc>
          <w:tcPr>
            <w:tcW w:w="606" w:type="pct"/>
            <w:noWrap w:val="0"/>
            <w:vAlign w:val="center"/>
          </w:tcPr>
          <w:p w14:paraId="5AFB311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0.067</w:t>
            </w:r>
          </w:p>
        </w:tc>
        <w:tc>
          <w:tcPr>
            <w:tcW w:w="437" w:type="pct"/>
            <w:noWrap w:val="0"/>
            <w:vAlign w:val="center"/>
          </w:tcPr>
          <w:p w14:paraId="3F00015F">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06" w:type="pct"/>
            <w:noWrap w:val="0"/>
            <w:vAlign w:val="center"/>
          </w:tcPr>
          <w:p w14:paraId="035B523B">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559" w:type="pct"/>
            <w:noWrap w:val="0"/>
            <w:vAlign w:val="center"/>
          </w:tcPr>
          <w:p w14:paraId="4D32F91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0.002</w:t>
            </w:r>
          </w:p>
        </w:tc>
        <w:tc>
          <w:tcPr>
            <w:tcW w:w="582" w:type="pct"/>
            <w:noWrap w:val="0"/>
            <w:vAlign w:val="center"/>
          </w:tcPr>
          <w:p w14:paraId="307A62F5">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44885E13">
            <w:pPr>
              <w:spacing w:beforeLines="0" w:afterLines="0" w:line="240" w:lineRule="auto"/>
              <w:jc w:val="center"/>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0.069</w:t>
            </w:r>
          </w:p>
        </w:tc>
        <w:tc>
          <w:tcPr>
            <w:tcW w:w="1536" w:type="dxa"/>
            <w:noWrap w:val="0"/>
            <w:vAlign w:val="center"/>
          </w:tcPr>
          <w:p w14:paraId="6BE527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bidi="ar-SA"/>
              </w:rPr>
            </w:pPr>
            <w:r>
              <w:rPr>
                <w:rFonts w:hint="eastAsia" w:cs="Times New Roman"/>
                <w:snapToGrid w:val="0"/>
                <w:color w:val="0000FF"/>
                <w:spacing w:val="0"/>
                <w:kern w:val="0"/>
                <w:sz w:val="21"/>
                <w:szCs w:val="21"/>
                <w:lang w:val="en-US" w:eastAsia="zh-CN"/>
              </w:rPr>
              <w:t>+0.002</w:t>
            </w:r>
          </w:p>
        </w:tc>
      </w:tr>
      <w:tr w14:paraId="18A74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6BF7D456">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6FBD6BAC">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cs="Times New Roman"/>
                <w:snapToGrid w:val="0"/>
                <w:color w:val="auto"/>
                <w:spacing w:val="0"/>
                <w:kern w:val="0"/>
                <w:sz w:val="21"/>
                <w:szCs w:val="21"/>
                <w:lang w:val="en-US" w:eastAsia="zh-CN"/>
              </w:rPr>
              <w:t>氨氮</w:t>
            </w:r>
          </w:p>
        </w:tc>
        <w:tc>
          <w:tcPr>
            <w:tcW w:w="606" w:type="pct"/>
            <w:noWrap w:val="0"/>
            <w:vAlign w:val="center"/>
          </w:tcPr>
          <w:p w14:paraId="290D0B8E">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b w:val="0"/>
                <w:bCs w:val="0"/>
                <w:color w:val="auto"/>
                <w:sz w:val="21"/>
                <w:szCs w:val="21"/>
                <w:highlight w:val="none"/>
                <w:lang w:val="en-US" w:eastAsia="zh-CN"/>
              </w:rPr>
              <w:t>0.0067</w:t>
            </w:r>
          </w:p>
        </w:tc>
        <w:tc>
          <w:tcPr>
            <w:tcW w:w="437" w:type="pct"/>
            <w:noWrap w:val="0"/>
            <w:vAlign w:val="center"/>
          </w:tcPr>
          <w:p w14:paraId="6D62D486">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06" w:type="pct"/>
            <w:noWrap w:val="0"/>
            <w:vAlign w:val="center"/>
          </w:tcPr>
          <w:p w14:paraId="3ECFE6E8">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559" w:type="pct"/>
            <w:noWrap w:val="0"/>
            <w:vAlign w:val="center"/>
          </w:tcPr>
          <w:p w14:paraId="2FCEEE9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0.0002</w:t>
            </w:r>
          </w:p>
        </w:tc>
        <w:tc>
          <w:tcPr>
            <w:tcW w:w="582" w:type="pct"/>
            <w:noWrap w:val="0"/>
            <w:vAlign w:val="center"/>
          </w:tcPr>
          <w:p w14:paraId="2D98B7C9">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48D96FCA">
            <w:pPr>
              <w:spacing w:beforeLines="0" w:afterLines="0" w:line="240" w:lineRule="auto"/>
              <w:jc w:val="center"/>
              <w:rPr>
                <w:rFonts w:hint="default" w:ascii="Times New Roman" w:hAnsi="Times New Roman" w:eastAsia="宋体" w:cs="Times New Roman"/>
                <w:snapToGrid w:val="0"/>
                <w:color w:val="0000FF"/>
                <w:spacing w:val="0"/>
                <w:kern w:val="0"/>
                <w:sz w:val="21"/>
                <w:szCs w:val="21"/>
                <w:lang w:val="en-US" w:eastAsia="zh-CN"/>
              </w:rPr>
            </w:pPr>
            <w:r>
              <w:rPr>
                <w:rFonts w:hint="eastAsia" w:cs="Times New Roman"/>
                <w:snapToGrid w:val="0"/>
                <w:color w:val="0000FF"/>
                <w:spacing w:val="0"/>
                <w:kern w:val="0"/>
                <w:sz w:val="21"/>
                <w:szCs w:val="21"/>
                <w:lang w:val="en-US" w:eastAsia="zh-CN"/>
              </w:rPr>
              <w:t>0.0069</w:t>
            </w:r>
          </w:p>
        </w:tc>
        <w:tc>
          <w:tcPr>
            <w:tcW w:w="1536" w:type="dxa"/>
            <w:noWrap w:val="0"/>
            <w:vAlign w:val="center"/>
          </w:tcPr>
          <w:p w14:paraId="618E11B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0000FF"/>
                <w:spacing w:val="0"/>
                <w:kern w:val="0"/>
                <w:sz w:val="21"/>
                <w:szCs w:val="21"/>
                <w:lang w:val="en-US" w:eastAsia="zh-CN" w:bidi="ar-SA"/>
              </w:rPr>
            </w:pPr>
            <w:r>
              <w:rPr>
                <w:rFonts w:hint="eastAsia" w:cs="Times New Roman"/>
                <w:snapToGrid w:val="0"/>
                <w:color w:val="0000FF"/>
                <w:spacing w:val="0"/>
                <w:kern w:val="0"/>
                <w:sz w:val="21"/>
                <w:szCs w:val="21"/>
                <w:lang w:val="en-US" w:eastAsia="zh-CN"/>
              </w:rPr>
              <w:t>+0.0002</w:t>
            </w:r>
          </w:p>
        </w:tc>
      </w:tr>
      <w:tr w14:paraId="4DF46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restart"/>
            <w:noWrap w:val="0"/>
            <w:vAlign w:val="center"/>
          </w:tcPr>
          <w:p w14:paraId="253DB283">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一般工业</w:t>
            </w:r>
          </w:p>
          <w:p w14:paraId="5E24491A">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固体废物</w:t>
            </w:r>
          </w:p>
        </w:tc>
        <w:tc>
          <w:tcPr>
            <w:tcW w:w="483" w:type="pct"/>
            <w:noWrap w:val="0"/>
            <w:vAlign w:val="center"/>
          </w:tcPr>
          <w:p w14:paraId="1DB88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废布袋</w:t>
            </w:r>
          </w:p>
        </w:tc>
        <w:tc>
          <w:tcPr>
            <w:tcW w:w="606" w:type="pct"/>
            <w:noWrap w:val="0"/>
            <w:vAlign w:val="center"/>
          </w:tcPr>
          <w:p w14:paraId="785235C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0</w:t>
            </w:r>
          </w:p>
        </w:tc>
        <w:tc>
          <w:tcPr>
            <w:tcW w:w="437" w:type="pct"/>
            <w:noWrap w:val="0"/>
            <w:vAlign w:val="center"/>
          </w:tcPr>
          <w:p w14:paraId="7F81C301">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7C145880">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4B810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0.05</w:t>
            </w:r>
          </w:p>
        </w:tc>
        <w:tc>
          <w:tcPr>
            <w:tcW w:w="582" w:type="pct"/>
            <w:noWrap w:val="0"/>
            <w:vAlign w:val="center"/>
          </w:tcPr>
          <w:p w14:paraId="65C7E012">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0</w:t>
            </w:r>
          </w:p>
        </w:tc>
        <w:tc>
          <w:tcPr>
            <w:tcW w:w="636" w:type="pct"/>
            <w:noWrap w:val="0"/>
            <w:vAlign w:val="center"/>
          </w:tcPr>
          <w:p w14:paraId="69325D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0.05</w:t>
            </w:r>
          </w:p>
        </w:tc>
        <w:tc>
          <w:tcPr>
            <w:tcW w:w="521" w:type="pct"/>
            <w:noWrap w:val="0"/>
            <w:vAlign w:val="center"/>
          </w:tcPr>
          <w:p w14:paraId="3116D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0.05</w:t>
            </w:r>
          </w:p>
        </w:tc>
      </w:tr>
      <w:tr w14:paraId="36D7A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06D7EF00">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5900B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沉淀池沉渣</w:t>
            </w:r>
          </w:p>
        </w:tc>
        <w:tc>
          <w:tcPr>
            <w:tcW w:w="606" w:type="pct"/>
            <w:noWrap w:val="0"/>
            <w:vAlign w:val="center"/>
          </w:tcPr>
          <w:p w14:paraId="50358AC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0</w:t>
            </w:r>
          </w:p>
        </w:tc>
        <w:tc>
          <w:tcPr>
            <w:tcW w:w="437" w:type="pct"/>
            <w:noWrap w:val="0"/>
            <w:vAlign w:val="center"/>
          </w:tcPr>
          <w:p w14:paraId="060E234A">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38AC930D">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456546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c>
          <w:tcPr>
            <w:tcW w:w="582" w:type="pct"/>
            <w:noWrap w:val="0"/>
            <w:vAlign w:val="center"/>
          </w:tcPr>
          <w:p w14:paraId="3F177BBA">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0</w:t>
            </w:r>
          </w:p>
        </w:tc>
        <w:tc>
          <w:tcPr>
            <w:tcW w:w="636" w:type="pct"/>
            <w:noWrap w:val="0"/>
            <w:vAlign w:val="center"/>
          </w:tcPr>
          <w:p w14:paraId="030839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p>
        </w:tc>
        <w:tc>
          <w:tcPr>
            <w:tcW w:w="521" w:type="pct"/>
            <w:noWrap w:val="0"/>
            <w:vAlign w:val="center"/>
          </w:tcPr>
          <w:p w14:paraId="2F6D9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10</w:t>
            </w:r>
          </w:p>
        </w:tc>
      </w:tr>
      <w:tr w14:paraId="25C32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18F8B0A4">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711CA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除尘器收尘</w:t>
            </w:r>
          </w:p>
        </w:tc>
        <w:tc>
          <w:tcPr>
            <w:tcW w:w="606" w:type="pct"/>
            <w:noWrap w:val="0"/>
            <w:vAlign w:val="center"/>
          </w:tcPr>
          <w:p w14:paraId="284B8073">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7.73</w:t>
            </w:r>
          </w:p>
        </w:tc>
        <w:tc>
          <w:tcPr>
            <w:tcW w:w="437" w:type="pct"/>
            <w:noWrap w:val="0"/>
            <w:vAlign w:val="center"/>
          </w:tcPr>
          <w:p w14:paraId="0A2AB3FB">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5706EB78">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233BD2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12.287</w:t>
            </w:r>
          </w:p>
        </w:tc>
        <w:tc>
          <w:tcPr>
            <w:tcW w:w="582" w:type="pct"/>
            <w:noWrap w:val="0"/>
            <w:vAlign w:val="center"/>
          </w:tcPr>
          <w:p w14:paraId="7E0F795D">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snapToGrid w:val="0"/>
                <w:color w:val="auto"/>
                <w:spacing w:val="0"/>
                <w:kern w:val="0"/>
                <w:sz w:val="21"/>
                <w:szCs w:val="21"/>
                <w:lang w:val="en-US" w:eastAsia="zh-CN"/>
              </w:rPr>
              <w:t>7.73</w:t>
            </w:r>
          </w:p>
        </w:tc>
        <w:tc>
          <w:tcPr>
            <w:tcW w:w="636" w:type="pct"/>
            <w:noWrap w:val="0"/>
            <w:vAlign w:val="center"/>
          </w:tcPr>
          <w:p w14:paraId="7F498D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20.017</w:t>
            </w:r>
          </w:p>
        </w:tc>
        <w:tc>
          <w:tcPr>
            <w:tcW w:w="521" w:type="pct"/>
            <w:noWrap w:val="0"/>
            <w:vAlign w:val="center"/>
          </w:tcPr>
          <w:p w14:paraId="56CA49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w:t>
            </w:r>
            <w:r>
              <w:rPr>
                <w:rFonts w:hint="eastAsia" w:cs="Times New Roman"/>
                <w:b w:val="0"/>
                <w:bCs w:val="0"/>
                <w:color w:val="0000FF"/>
                <w:sz w:val="21"/>
                <w:szCs w:val="21"/>
                <w:highlight w:val="none"/>
                <w:lang w:val="en-US" w:eastAsia="zh-CN"/>
              </w:rPr>
              <w:t>12.287</w:t>
            </w:r>
          </w:p>
        </w:tc>
      </w:tr>
      <w:tr w14:paraId="2193B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178D8BB8">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1C7D8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cs="Times New Roman"/>
                <w:b w:val="0"/>
                <w:bCs w:val="0"/>
                <w:color w:val="auto"/>
                <w:sz w:val="21"/>
                <w:szCs w:val="21"/>
                <w:highlight w:val="none"/>
                <w:lang w:val="en-US" w:eastAsia="zh-CN"/>
              </w:rPr>
              <w:t>沥青残渣</w:t>
            </w:r>
          </w:p>
        </w:tc>
        <w:tc>
          <w:tcPr>
            <w:tcW w:w="606" w:type="pct"/>
            <w:noWrap w:val="0"/>
            <w:vAlign w:val="center"/>
          </w:tcPr>
          <w:p w14:paraId="2B4FC43C">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0.15</w:t>
            </w:r>
          </w:p>
        </w:tc>
        <w:tc>
          <w:tcPr>
            <w:tcW w:w="437" w:type="pct"/>
            <w:noWrap w:val="0"/>
            <w:vAlign w:val="center"/>
          </w:tcPr>
          <w:p w14:paraId="1B255F9A">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19D163F3">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35226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82" w:type="pct"/>
            <w:noWrap w:val="0"/>
            <w:vAlign w:val="center"/>
          </w:tcPr>
          <w:p w14:paraId="5C9631E6">
            <w:pPr>
              <w:pStyle w:val="5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cs="Times New Roman"/>
                <w:snapToGrid w:val="0"/>
                <w:color w:val="auto"/>
                <w:spacing w:val="0"/>
                <w:kern w:val="0"/>
                <w:sz w:val="21"/>
                <w:szCs w:val="21"/>
                <w:lang w:val="en-US" w:eastAsia="zh-CN"/>
              </w:rPr>
              <w:t>0.15</w:t>
            </w:r>
          </w:p>
        </w:tc>
        <w:tc>
          <w:tcPr>
            <w:tcW w:w="636" w:type="pct"/>
            <w:noWrap w:val="0"/>
            <w:vAlign w:val="center"/>
          </w:tcPr>
          <w:p w14:paraId="3CBB9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21" w:type="pct"/>
            <w:noWrap w:val="0"/>
            <w:vAlign w:val="center"/>
          </w:tcPr>
          <w:p w14:paraId="7B40A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+0.85</w:t>
            </w:r>
          </w:p>
        </w:tc>
      </w:tr>
      <w:tr w14:paraId="4215A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restart"/>
            <w:noWrap w:val="0"/>
            <w:vAlign w:val="center"/>
          </w:tcPr>
          <w:p w14:paraId="19CFF1A2">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危险废物</w:t>
            </w:r>
          </w:p>
        </w:tc>
        <w:tc>
          <w:tcPr>
            <w:tcW w:w="483" w:type="pct"/>
            <w:noWrap w:val="0"/>
            <w:vAlign w:val="center"/>
          </w:tcPr>
          <w:p w14:paraId="4BCF5C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废过滤棉</w:t>
            </w:r>
          </w:p>
        </w:tc>
        <w:tc>
          <w:tcPr>
            <w:tcW w:w="606" w:type="pct"/>
            <w:noWrap w:val="0"/>
            <w:vAlign w:val="center"/>
          </w:tcPr>
          <w:p w14:paraId="5FDF21AA">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437" w:type="pct"/>
            <w:noWrap w:val="0"/>
            <w:vAlign w:val="center"/>
          </w:tcPr>
          <w:p w14:paraId="53970E93">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706AF9A6">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39FBFC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0.12</w:t>
            </w:r>
          </w:p>
        </w:tc>
        <w:tc>
          <w:tcPr>
            <w:tcW w:w="582" w:type="pct"/>
            <w:noWrap w:val="0"/>
            <w:vAlign w:val="center"/>
          </w:tcPr>
          <w:p w14:paraId="36A85581">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22576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0.12</w:t>
            </w:r>
          </w:p>
        </w:tc>
        <w:tc>
          <w:tcPr>
            <w:tcW w:w="521" w:type="pct"/>
            <w:noWrap w:val="0"/>
            <w:vAlign w:val="center"/>
          </w:tcPr>
          <w:p w14:paraId="2A86F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0.12</w:t>
            </w:r>
          </w:p>
        </w:tc>
      </w:tr>
      <w:tr w14:paraId="5DC80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0893A66E">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5453D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废活性炭</w:t>
            </w:r>
          </w:p>
        </w:tc>
        <w:tc>
          <w:tcPr>
            <w:tcW w:w="606" w:type="pct"/>
            <w:noWrap w:val="0"/>
            <w:vAlign w:val="center"/>
          </w:tcPr>
          <w:p w14:paraId="6D77A823">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0.5</w:t>
            </w:r>
          </w:p>
        </w:tc>
        <w:tc>
          <w:tcPr>
            <w:tcW w:w="437" w:type="pct"/>
            <w:noWrap w:val="0"/>
            <w:vAlign w:val="center"/>
          </w:tcPr>
          <w:p w14:paraId="3B830B12">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634342E2">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1D9D2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1.04</w:t>
            </w:r>
          </w:p>
        </w:tc>
        <w:tc>
          <w:tcPr>
            <w:tcW w:w="582" w:type="pct"/>
            <w:noWrap w:val="0"/>
            <w:vAlign w:val="center"/>
          </w:tcPr>
          <w:p w14:paraId="5A329D7E">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0.5</w:t>
            </w:r>
          </w:p>
        </w:tc>
        <w:tc>
          <w:tcPr>
            <w:tcW w:w="636" w:type="pct"/>
            <w:noWrap w:val="0"/>
            <w:vAlign w:val="center"/>
          </w:tcPr>
          <w:p w14:paraId="6849F2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1.04</w:t>
            </w:r>
          </w:p>
        </w:tc>
        <w:tc>
          <w:tcPr>
            <w:tcW w:w="521" w:type="pct"/>
            <w:noWrap w:val="0"/>
            <w:vAlign w:val="center"/>
          </w:tcPr>
          <w:p w14:paraId="0F825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+0.54</w:t>
            </w:r>
          </w:p>
        </w:tc>
      </w:tr>
      <w:tr w14:paraId="02BB9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10007885">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32FB96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废导热油</w:t>
            </w:r>
          </w:p>
        </w:tc>
        <w:tc>
          <w:tcPr>
            <w:tcW w:w="606" w:type="pct"/>
            <w:noWrap w:val="0"/>
            <w:vAlign w:val="center"/>
          </w:tcPr>
          <w:p w14:paraId="066CBD74">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0.5</w:t>
            </w:r>
          </w:p>
        </w:tc>
        <w:tc>
          <w:tcPr>
            <w:tcW w:w="437" w:type="pct"/>
            <w:noWrap w:val="0"/>
            <w:vAlign w:val="center"/>
          </w:tcPr>
          <w:p w14:paraId="3A7B7C88">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33269409">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33FA2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82" w:type="pct"/>
            <w:noWrap w:val="0"/>
            <w:vAlign w:val="center"/>
          </w:tcPr>
          <w:p w14:paraId="0F7A9538">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0.5</w:t>
            </w:r>
          </w:p>
        </w:tc>
        <w:tc>
          <w:tcPr>
            <w:tcW w:w="636" w:type="pct"/>
            <w:noWrap w:val="0"/>
            <w:vAlign w:val="center"/>
          </w:tcPr>
          <w:p w14:paraId="5B5C8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21" w:type="pct"/>
            <w:noWrap w:val="0"/>
            <w:vAlign w:val="center"/>
          </w:tcPr>
          <w:p w14:paraId="27551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+0.5</w:t>
            </w:r>
          </w:p>
        </w:tc>
      </w:tr>
      <w:tr w14:paraId="30B36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219492A2">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45997B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废润滑油</w:t>
            </w:r>
          </w:p>
        </w:tc>
        <w:tc>
          <w:tcPr>
            <w:tcW w:w="606" w:type="pct"/>
            <w:noWrap w:val="0"/>
            <w:vAlign w:val="center"/>
          </w:tcPr>
          <w:p w14:paraId="063D90BB">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437" w:type="pct"/>
            <w:noWrap w:val="0"/>
            <w:vAlign w:val="center"/>
          </w:tcPr>
          <w:p w14:paraId="533DCA62">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4BDAECA8">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0DF720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0.02</w:t>
            </w:r>
          </w:p>
        </w:tc>
        <w:tc>
          <w:tcPr>
            <w:tcW w:w="582" w:type="pct"/>
            <w:noWrap w:val="0"/>
            <w:vAlign w:val="center"/>
          </w:tcPr>
          <w:p w14:paraId="7129EE7A">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5C9FA6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0.02</w:t>
            </w:r>
          </w:p>
        </w:tc>
        <w:tc>
          <w:tcPr>
            <w:tcW w:w="521" w:type="pct"/>
            <w:noWrap w:val="0"/>
            <w:vAlign w:val="center"/>
          </w:tcPr>
          <w:p w14:paraId="58293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0.02</w:t>
            </w:r>
          </w:p>
        </w:tc>
      </w:tr>
      <w:tr w14:paraId="557BF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21CA0C61">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58C6B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废油桶</w:t>
            </w:r>
          </w:p>
        </w:tc>
        <w:tc>
          <w:tcPr>
            <w:tcW w:w="606" w:type="pct"/>
            <w:noWrap w:val="0"/>
            <w:vAlign w:val="center"/>
          </w:tcPr>
          <w:p w14:paraId="7DA4C7BF">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437" w:type="pct"/>
            <w:noWrap w:val="0"/>
            <w:vAlign w:val="center"/>
          </w:tcPr>
          <w:p w14:paraId="525BCB37">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0482C4CE">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1A3D4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0.1</w:t>
            </w:r>
          </w:p>
        </w:tc>
        <w:tc>
          <w:tcPr>
            <w:tcW w:w="582" w:type="pct"/>
            <w:noWrap w:val="0"/>
            <w:vAlign w:val="center"/>
          </w:tcPr>
          <w:p w14:paraId="446E4659">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77141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0.1</w:t>
            </w:r>
          </w:p>
        </w:tc>
        <w:tc>
          <w:tcPr>
            <w:tcW w:w="521" w:type="pct"/>
            <w:noWrap w:val="0"/>
            <w:vAlign w:val="center"/>
          </w:tcPr>
          <w:p w14:paraId="42032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+0.1</w:t>
            </w:r>
          </w:p>
        </w:tc>
      </w:tr>
      <w:tr w14:paraId="1D615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09FF9494">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0254E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eastAsia" w:ascii="Times New Roman" w:hAnsi="Times New Roman" w:eastAsia="宋体" w:cs="Times New Roman"/>
                <w:b w:val="0"/>
                <w:bCs w:val="0"/>
                <w:color w:val="auto"/>
                <w:sz w:val="21"/>
                <w:szCs w:val="21"/>
                <w:highlight w:val="none"/>
                <w:lang w:val="en-US" w:eastAsia="zh-CN"/>
              </w:rPr>
              <w:t>焦油沉渣</w:t>
            </w:r>
          </w:p>
        </w:tc>
        <w:tc>
          <w:tcPr>
            <w:tcW w:w="606" w:type="pct"/>
            <w:noWrap w:val="0"/>
            <w:vAlign w:val="center"/>
          </w:tcPr>
          <w:p w14:paraId="375389AE">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437" w:type="pct"/>
            <w:noWrap w:val="0"/>
            <w:vAlign w:val="center"/>
          </w:tcPr>
          <w:p w14:paraId="5CC73DFB">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606" w:type="pct"/>
            <w:noWrap w:val="0"/>
            <w:vAlign w:val="center"/>
          </w:tcPr>
          <w:p w14:paraId="0F4292E5">
            <w:pPr>
              <w:spacing w:beforeLines="0" w:afterLines="0" w:line="240" w:lineRule="auto"/>
              <w:jc w:val="center"/>
              <w:rPr>
                <w:rFonts w:hint="default" w:ascii="Times New Roman" w:hAnsi="Times New Roman" w:eastAsia="宋体" w:cs="Times New Roman"/>
                <w:snapToGrid w:val="0"/>
                <w:color w:val="auto"/>
                <w:spacing w:val="0"/>
                <w:kern w:val="0"/>
                <w:sz w:val="21"/>
                <w:szCs w:val="21"/>
              </w:rPr>
            </w:pPr>
            <w:r>
              <w:rPr>
                <w:rFonts w:hint="eastAsia" w:cs="Times New Roman"/>
                <w:snapToGrid w:val="0"/>
                <w:color w:val="auto"/>
                <w:spacing w:val="0"/>
                <w:kern w:val="0"/>
                <w:sz w:val="21"/>
                <w:szCs w:val="21"/>
                <w:lang w:val="en-US" w:eastAsia="zh-CN"/>
              </w:rPr>
              <w:t>0</w:t>
            </w:r>
          </w:p>
        </w:tc>
        <w:tc>
          <w:tcPr>
            <w:tcW w:w="559" w:type="pct"/>
            <w:noWrap w:val="0"/>
            <w:vAlign w:val="center"/>
          </w:tcPr>
          <w:p w14:paraId="7E567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82" w:type="pct"/>
            <w:noWrap w:val="0"/>
            <w:vAlign w:val="center"/>
          </w:tcPr>
          <w:p w14:paraId="65298F08">
            <w:pPr>
              <w:spacing w:beforeLines="0" w:afterLines="0" w:line="240" w:lineRule="auto"/>
              <w:jc w:val="center"/>
              <w:rPr>
                <w:rFonts w:hint="eastAsia"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5B494E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p>
        </w:tc>
        <w:tc>
          <w:tcPr>
            <w:tcW w:w="521" w:type="pct"/>
            <w:noWrap w:val="0"/>
            <w:vAlign w:val="center"/>
          </w:tcPr>
          <w:p w14:paraId="64F24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r>
      <w:tr w14:paraId="4E568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vMerge w:val="continue"/>
            <w:noWrap w:val="0"/>
            <w:vAlign w:val="center"/>
          </w:tcPr>
          <w:p w14:paraId="2FE2037A">
            <w:pPr>
              <w:pStyle w:val="48"/>
              <w:spacing w:beforeLines="0" w:afterLines="0" w:line="240" w:lineRule="auto"/>
              <w:jc w:val="center"/>
              <w:rPr>
                <w:rFonts w:hint="default" w:ascii="Times New Roman" w:hAnsi="Times New Roman" w:eastAsia="宋体" w:cs="Times New Roman"/>
                <w:snapToGrid w:val="0"/>
                <w:color w:val="auto"/>
                <w:spacing w:val="0"/>
                <w:kern w:val="0"/>
                <w:sz w:val="21"/>
                <w:szCs w:val="21"/>
              </w:rPr>
            </w:pPr>
          </w:p>
        </w:tc>
        <w:tc>
          <w:tcPr>
            <w:tcW w:w="483" w:type="pct"/>
            <w:noWrap w:val="0"/>
            <w:vAlign w:val="center"/>
          </w:tcPr>
          <w:p w14:paraId="35BE60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电捕焦油器废油</w:t>
            </w:r>
          </w:p>
        </w:tc>
        <w:tc>
          <w:tcPr>
            <w:tcW w:w="606" w:type="pct"/>
            <w:noWrap w:val="0"/>
            <w:vAlign w:val="center"/>
          </w:tcPr>
          <w:p w14:paraId="0D674F07">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437" w:type="pct"/>
            <w:noWrap w:val="0"/>
            <w:vAlign w:val="center"/>
          </w:tcPr>
          <w:p w14:paraId="46FD18FE">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06" w:type="pct"/>
            <w:noWrap w:val="0"/>
            <w:vAlign w:val="center"/>
          </w:tcPr>
          <w:p w14:paraId="285FF361">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559" w:type="pct"/>
            <w:noWrap w:val="0"/>
            <w:vAlign w:val="center"/>
          </w:tcPr>
          <w:p w14:paraId="6D8976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0000FF"/>
                <w:sz w:val="21"/>
                <w:szCs w:val="21"/>
                <w:highlight w:val="none"/>
                <w:lang w:val="en-US" w:eastAsia="zh-CN"/>
              </w:rPr>
              <w:t>4.391</w:t>
            </w:r>
          </w:p>
        </w:tc>
        <w:tc>
          <w:tcPr>
            <w:tcW w:w="582" w:type="pct"/>
            <w:noWrap w:val="0"/>
            <w:vAlign w:val="center"/>
          </w:tcPr>
          <w:p w14:paraId="6374573D">
            <w:pPr>
              <w:spacing w:beforeLines="0" w:afterLines="0" w:line="240" w:lineRule="auto"/>
              <w:jc w:val="center"/>
              <w:rPr>
                <w:rFonts w:hint="default" w:ascii="Times New Roman" w:hAnsi="Times New Roman" w:eastAsia="宋体" w:cs="Times New Roman"/>
                <w:snapToGrid w:val="0"/>
                <w:color w:val="auto"/>
                <w:spacing w:val="0"/>
                <w:kern w:val="0"/>
                <w:sz w:val="21"/>
                <w:szCs w:val="21"/>
                <w:lang w:val="en-US" w:eastAsia="zh-CN"/>
              </w:rPr>
            </w:pPr>
            <w:r>
              <w:rPr>
                <w:rFonts w:hint="eastAsia" w:cs="Times New Roman"/>
                <w:snapToGrid w:val="0"/>
                <w:color w:val="auto"/>
                <w:spacing w:val="0"/>
                <w:kern w:val="0"/>
                <w:sz w:val="21"/>
                <w:szCs w:val="21"/>
                <w:lang w:val="en-US" w:eastAsia="zh-CN"/>
              </w:rPr>
              <w:t>0</w:t>
            </w:r>
          </w:p>
        </w:tc>
        <w:tc>
          <w:tcPr>
            <w:tcW w:w="636" w:type="pct"/>
            <w:noWrap w:val="0"/>
            <w:vAlign w:val="center"/>
          </w:tcPr>
          <w:p w14:paraId="4C360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0000FF"/>
                <w:sz w:val="21"/>
                <w:szCs w:val="21"/>
                <w:highlight w:val="none"/>
                <w:lang w:val="en-US" w:eastAsia="zh-CN"/>
              </w:rPr>
              <w:t>4.391</w:t>
            </w:r>
          </w:p>
        </w:tc>
        <w:tc>
          <w:tcPr>
            <w:tcW w:w="521" w:type="pct"/>
            <w:noWrap w:val="0"/>
            <w:vAlign w:val="center"/>
          </w:tcPr>
          <w:p w14:paraId="3DCF9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0000FF"/>
                <w:sz w:val="21"/>
                <w:szCs w:val="21"/>
                <w:highlight w:val="none"/>
                <w:lang w:val="en-US" w:eastAsia="zh-CN"/>
              </w:rPr>
              <w:t>+</w:t>
            </w:r>
            <w:r>
              <w:rPr>
                <w:rFonts w:hint="eastAsia" w:cs="Times New Roman"/>
                <w:color w:val="0000FF"/>
                <w:sz w:val="21"/>
                <w:szCs w:val="21"/>
                <w:highlight w:val="none"/>
                <w:lang w:val="en-US" w:eastAsia="zh-CN"/>
              </w:rPr>
              <w:t>4.391</w:t>
            </w:r>
          </w:p>
        </w:tc>
      </w:tr>
    </w:tbl>
    <w:p w14:paraId="7DDD6FE7">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6"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T T 846o 00">
    <w:altName w:val="宋体"/>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PMingLiU">
    <w:altName w:val="PMingLiU-ExtB"/>
    <w:panose1 w:val="02020500000000000000"/>
    <w:charset w:val="88"/>
    <w:family w:val="auto"/>
    <w:pitch w:val="default"/>
    <w:sig w:usb0="00000000" w:usb1="00000000" w:usb2="00000016" w:usb3="00000000" w:csb0="0010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78F09">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37B84">
    <w:pPr>
      <w:pStyle w:val="20"/>
      <w:framePr w:wrap="around" w:vAnchor="text" w:hAnchor="margin" w:xAlign="center" w:y="1"/>
      <w:rPr>
        <w:rStyle w:val="28"/>
      </w:rPr>
    </w:pPr>
    <w:r>
      <w:fldChar w:fldCharType="begin"/>
    </w:r>
    <w:r>
      <w:rPr>
        <w:rStyle w:val="28"/>
      </w:rPr>
      <w:instrText xml:space="preserve">PAGE  </w:instrText>
    </w:r>
    <w:r>
      <w:fldChar w:fldCharType="end"/>
    </w:r>
  </w:p>
  <w:p w14:paraId="6AF62E19">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4FB7">
    <w:pPr>
      <w:pStyle w:val="20"/>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D563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4CFD563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7E84">
    <w:pPr>
      <w:pStyle w:val="20"/>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0A6BE">
                          <w:pPr>
                            <w:pStyle w:val="2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2370A6BE">
                    <w:pPr>
                      <w:pStyle w:val="2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7F46A"/>
    <w:multiLevelType w:val="multilevel"/>
    <w:tmpl w:val="A1D7F46A"/>
    <w:lvl w:ilvl="0" w:tentative="0">
      <w:start w:val="1"/>
      <w:numFmt w:val="decimal"/>
      <w:pStyle w:val="9"/>
      <w:suff w:val="space"/>
      <w:lvlText w:val="第%1章"/>
      <w:lvlJc w:val="left"/>
      <w:pPr>
        <w:ind w:left="567" w:hanging="567"/>
      </w:pPr>
      <w:rPr>
        <w:rFonts w:hint="default" w:ascii="Times New Roman" w:hAnsi="Times New Roman" w:eastAsia="宋体"/>
        <w:b/>
        <w:i w:val="0"/>
        <w:sz w:val="32"/>
      </w:rPr>
    </w:lvl>
    <w:lvl w:ilvl="1" w:tentative="0">
      <w:start w:val="1"/>
      <w:numFmt w:val="decimal"/>
      <w:lvlText w:val="%1.%2."/>
      <w:lvlJc w:val="left"/>
      <w:pPr>
        <w:tabs>
          <w:tab w:val="left" w:pos="737"/>
        </w:tabs>
        <w:ind w:left="737" w:hanging="737"/>
      </w:pPr>
      <w:rPr>
        <w:rFonts w:hint="default" w:ascii="Times New Roman" w:hAnsi="Times New Roman" w:eastAsia="宋体"/>
        <w:b w:val="0"/>
        <w:i w:val="0"/>
        <w:caps w:val="0"/>
        <w:strike w:val="0"/>
        <w:dstrike w:val="0"/>
        <w:vanish w:val="0"/>
        <w:color w:val="000000"/>
        <w:sz w:val="28"/>
        <w:vertAlign w:val="baseline"/>
        <w14:shadow w14:blurRad="0" w14:dist="0" w14:dir="0" w14:sx="0" w14:sy="0" w14:kx="0" w14:ky="0" w14:algn="none">
          <w14:srgbClr w14:val="000000"/>
        </w14:shadow>
      </w:rPr>
    </w:lvl>
    <w:lvl w:ilvl="2" w:tentative="0">
      <w:start w:val="1"/>
      <w:numFmt w:val="decimal"/>
      <w:lvlText w:val="%1.%2.%3."/>
      <w:lvlJc w:val="left"/>
      <w:pPr>
        <w:tabs>
          <w:tab w:val="left" w:pos="1500"/>
        </w:tabs>
        <w:ind w:left="647" w:hanging="227"/>
      </w:pPr>
      <w:rPr>
        <w:rFonts w:hint="eastAsia"/>
        <w:b w:val="0"/>
        <w:i w:val="0"/>
      </w:rPr>
    </w:lvl>
    <w:lvl w:ilvl="3" w:tentative="0">
      <w:start w:val="1"/>
      <w:numFmt w:val="decimal"/>
      <w:lvlText w:val="%1.%2.%3.%4."/>
      <w:lvlJc w:val="left"/>
      <w:pPr>
        <w:tabs>
          <w:tab w:val="left" w:pos="1290"/>
        </w:tabs>
        <w:ind w:left="380" w:hanging="170"/>
      </w:pPr>
      <w:rPr>
        <w:rFonts w:hint="default" w:ascii="Times New Roman" w:hAnsi="Times New Roman"/>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AABF3370"/>
    <w:multiLevelType w:val="multilevel"/>
    <w:tmpl w:val="AABF3370"/>
    <w:lvl w:ilvl="0" w:tentative="0">
      <w:start w:val="1"/>
      <w:numFmt w:val="decimal"/>
      <w:suff w:val="space"/>
      <w:lvlText w:val="表1-%1 "/>
      <w:lvlJc w:val="left"/>
      <w:pPr>
        <w:tabs>
          <w:tab w:val="left" w:pos="0"/>
        </w:tabs>
        <w:ind w:left="420" w:hanging="420"/>
      </w:pPr>
      <w:rPr>
        <w:rFonts w:hint="default" w:ascii="Times New Roman" w:hAnsi="Times New Roman" w:eastAsia="宋体" w:cs="Times New Roman"/>
        <w:b/>
        <w:i w:val="0"/>
        <w:caps w:val="0"/>
        <w:strike w:val="0"/>
        <w:dstrike w:val="0"/>
        <w:vanish w:val="0"/>
        <w:sz w:val="21"/>
        <w:szCs w:val="21"/>
        <w:vertAlign w:val="baseline"/>
      </w:rPr>
    </w:lvl>
    <w:lvl w:ilvl="1" w:tentative="0">
      <w:start w:val="1"/>
      <w:numFmt w:val="lowerLetter"/>
      <w:lvlText w:val="%2)"/>
      <w:lvlJc w:val="left"/>
      <w:pPr>
        <w:tabs>
          <w:tab w:val="left" w:pos="420"/>
        </w:tabs>
        <w:ind w:left="840" w:hanging="420"/>
      </w:pPr>
      <w:rPr>
        <w:rFonts w:hint="default"/>
      </w:rPr>
    </w:lvl>
    <w:lvl w:ilvl="2" w:tentative="0">
      <w:start w:val="1"/>
      <w:numFmt w:val="lowerRoman"/>
      <w:lvlText w:val="%3."/>
      <w:lvlJc w:val="right"/>
      <w:pPr>
        <w:ind w:left="1260" w:hanging="420"/>
      </w:pPr>
    </w:lvl>
    <w:lvl w:ilvl="3" w:tentative="0">
      <w:start w:val="1"/>
      <w:numFmt w:val="decimal"/>
      <w:lvlText w:val="4-%4  "/>
      <w:lvlJc w:val="left"/>
      <w:pPr>
        <w:tabs>
          <w:tab w:val="left" w:pos="420"/>
        </w:tabs>
        <w:ind w:left="1680" w:hanging="4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CEF3A863"/>
    <w:multiLevelType w:val="singleLevel"/>
    <w:tmpl w:val="CEF3A863"/>
    <w:lvl w:ilvl="0" w:tentative="0">
      <w:start w:val="1"/>
      <w:numFmt w:val="chineseCounting"/>
      <w:suff w:val="nothing"/>
      <w:lvlText w:val="（%1）"/>
      <w:lvlJc w:val="left"/>
      <w:rPr>
        <w:rFonts w:hint="eastAsia"/>
      </w:rPr>
    </w:lvl>
  </w:abstractNum>
  <w:abstractNum w:abstractNumId="3">
    <w:nsid w:val="E9E4738C"/>
    <w:multiLevelType w:val="singleLevel"/>
    <w:tmpl w:val="E9E4738C"/>
    <w:lvl w:ilvl="0" w:tentative="0">
      <w:start w:val="1"/>
      <w:numFmt w:val="decimal"/>
      <w:lvlText w:val="%1."/>
      <w:lvlJc w:val="left"/>
      <w:pPr>
        <w:tabs>
          <w:tab w:val="left" w:pos="312"/>
        </w:tabs>
      </w:pPr>
    </w:lvl>
  </w:abstractNum>
  <w:abstractNum w:abstractNumId="4">
    <w:nsid w:val="E9EB9899"/>
    <w:multiLevelType w:val="singleLevel"/>
    <w:tmpl w:val="E9EB9899"/>
    <w:lvl w:ilvl="0" w:tentative="0">
      <w:start w:val="1"/>
      <w:numFmt w:val="decimal"/>
      <w:lvlText w:val="%1."/>
      <w:lvlJc w:val="left"/>
      <w:pPr>
        <w:tabs>
          <w:tab w:val="left" w:pos="312"/>
        </w:tabs>
      </w:pPr>
    </w:lvl>
  </w:abstractNum>
  <w:abstractNum w:abstractNumId="5">
    <w:nsid w:val="EF83EF83"/>
    <w:multiLevelType w:val="singleLevel"/>
    <w:tmpl w:val="EF83EF83"/>
    <w:lvl w:ilvl="0" w:tentative="0">
      <w:start w:val="1"/>
      <w:numFmt w:val="decimal"/>
      <w:lvlText w:val="%1."/>
      <w:lvlJc w:val="left"/>
      <w:pPr>
        <w:tabs>
          <w:tab w:val="left" w:pos="312"/>
        </w:tabs>
      </w:pPr>
    </w:lvl>
  </w:abstractNum>
  <w:abstractNum w:abstractNumId="6">
    <w:nsid w:val="F5EB3B5F"/>
    <w:multiLevelType w:val="singleLevel"/>
    <w:tmpl w:val="F5EB3B5F"/>
    <w:lvl w:ilvl="0" w:tentative="0">
      <w:start w:val="1"/>
      <w:numFmt w:val="decimal"/>
      <w:suff w:val="nothing"/>
      <w:lvlText w:val="%1、"/>
      <w:lvlJc w:val="left"/>
    </w:lvl>
  </w:abstractNum>
  <w:abstractNum w:abstractNumId="7">
    <w:nsid w:val="F6ADEDD9"/>
    <w:multiLevelType w:val="multilevel"/>
    <w:tmpl w:val="F6ADEDD9"/>
    <w:lvl w:ilvl="0" w:tentative="0">
      <w:start w:val="1"/>
      <w:numFmt w:val="decimal"/>
      <w:suff w:val="space"/>
      <w:lvlText w:val="表4-%1"/>
      <w:lvlJc w:val="left"/>
      <w:pPr>
        <w:tabs>
          <w:tab w:val="left" w:pos="0"/>
        </w:tabs>
        <w:ind w:left="420" w:hanging="420"/>
      </w:pPr>
      <w:rPr>
        <w:rFonts w:hint="default" w:ascii="Times New Roman" w:hAnsi="Times New Roman" w:eastAsia="宋体" w:cs="Times New Roman"/>
        <w:b/>
        <w:i w:val="0"/>
        <w:caps w:val="0"/>
        <w:strike w:val="0"/>
        <w:dstrike w:val="0"/>
        <w:vanish w:val="0"/>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FA8DD0CF"/>
    <w:multiLevelType w:val="singleLevel"/>
    <w:tmpl w:val="FA8DD0CF"/>
    <w:lvl w:ilvl="0" w:tentative="0">
      <w:start w:val="1"/>
      <w:numFmt w:val="decimal"/>
      <w:lvlText w:val="%1."/>
      <w:lvlJc w:val="left"/>
      <w:pPr>
        <w:tabs>
          <w:tab w:val="left" w:pos="312"/>
        </w:tabs>
      </w:pPr>
    </w:lvl>
  </w:abstractNum>
  <w:abstractNum w:abstractNumId="9">
    <w:nsid w:val="034E0D8A"/>
    <w:multiLevelType w:val="multilevel"/>
    <w:tmpl w:val="034E0D8A"/>
    <w:lvl w:ilvl="0" w:tentative="0">
      <w:start w:val="1"/>
      <w:numFmt w:val="decimal"/>
      <w:suff w:val="space"/>
      <w:lvlText w:val="表3-%1"/>
      <w:lvlJc w:val="left"/>
      <w:pPr>
        <w:tabs>
          <w:tab w:val="left" w:pos="0"/>
        </w:tabs>
        <w:ind w:left="420" w:hanging="420"/>
      </w:pPr>
      <w:rPr>
        <w:rFonts w:hint="default" w:ascii="Times New Roman" w:hAnsi="Times New Roman" w:eastAsia="宋体" w:cs="宋体"/>
        <w:b/>
        <w:i w:val="0"/>
        <w:caps w:val="0"/>
        <w:strike w:val="0"/>
        <w:dstrike w:val="0"/>
        <w:vanish w:val="0"/>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B4B810F"/>
    <w:multiLevelType w:val="multilevel"/>
    <w:tmpl w:val="3B4B810F"/>
    <w:lvl w:ilvl="0" w:tentative="0">
      <w:start w:val="1"/>
      <w:numFmt w:val="decimal"/>
      <w:lvlText w:val="%1."/>
      <w:lvlJc w:val="left"/>
      <w:pPr>
        <w:ind w:left="851" w:hanging="432"/>
      </w:pPr>
      <w:rPr>
        <w:rFonts w:hint="default"/>
      </w:rPr>
    </w:lvl>
    <w:lvl w:ilvl="1" w:tentative="0">
      <w:start w:val="1"/>
      <w:numFmt w:val="decimal"/>
      <w:lvlText w:val="%1.%2."/>
      <w:lvlJc w:val="left"/>
      <w:pPr>
        <w:ind w:left="-721" w:hanging="575"/>
      </w:pPr>
      <w:rPr>
        <w:rFonts w:hint="default"/>
      </w:rPr>
    </w:lvl>
    <w:lvl w:ilvl="2" w:tentative="0">
      <w:start w:val="1"/>
      <w:numFmt w:val="decimal"/>
      <w:lvlText w:val="%1.%2.%3."/>
      <w:lvlJc w:val="left"/>
      <w:pPr>
        <w:ind w:left="0" w:hanging="720"/>
      </w:pPr>
      <w:rPr>
        <w:rFonts w:hint="default"/>
      </w:rPr>
    </w:lvl>
    <w:lvl w:ilvl="3" w:tentative="0">
      <w:start w:val="1"/>
      <w:numFmt w:val="decimal"/>
      <w:lvlText w:val="%1.%2.%3.%4."/>
      <w:lvlJc w:val="left"/>
      <w:pPr>
        <w:ind w:left="0"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Restart w:val="2"/>
      <w:pStyle w:val="8"/>
      <w:suff w:val="space"/>
      <w:lvlText w:val="表%1.%2-%9"/>
      <w:lvlJc w:val="left"/>
      <w:pPr>
        <w:tabs>
          <w:tab w:val="left" w:pos="420"/>
        </w:tabs>
        <w:ind w:left="0" w:firstLine="0"/>
      </w:pPr>
      <w:rPr>
        <w:rFonts w:hint="default" w:ascii="宋体" w:hAnsi="宋体" w:eastAsia="宋体" w:cs="宋体"/>
        <w:b/>
        <w:sz w:val="24"/>
        <w:szCs w:val="24"/>
      </w:rPr>
    </w:lvl>
  </w:abstractNum>
  <w:abstractNum w:abstractNumId="11">
    <w:nsid w:val="48273669"/>
    <w:multiLevelType w:val="multilevel"/>
    <w:tmpl w:val="48273669"/>
    <w:lvl w:ilvl="0" w:tentative="0">
      <w:start w:val="1"/>
      <w:numFmt w:val="decimal"/>
      <w:pStyle w:val="40"/>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A20CD90"/>
    <w:multiLevelType w:val="singleLevel"/>
    <w:tmpl w:val="6A20CD90"/>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3">
    <w:nsid w:val="7F68866E"/>
    <w:multiLevelType w:val="multilevel"/>
    <w:tmpl w:val="7F68866E"/>
    <w:lvl w:ilvl="0" w:tentative="0">
      <w:start w:val="1"/>
      <w:numFmt w:val="decimal"/>
      <w:suff w:val="space"/>
      <w:lvlText w:val="表2-%1"/>
      <w:lvlJc w:val="left"/>
      <w:pPr>
        <w:tabs>
          <w:tab w:val="left" w:pos="0"/>
        </w:tabs>
        <w:ind w:left="420" w:hanging="420"/>
      </w:pPr>
      <w:rPr>
        <w:rFonts w:hint="default" w:ascii="Times New Roman" w:hAnsi="Times New Roman" w:eastAsia="宋体" w:cs="宋体"/>
        <w:b/>
        <w:i w:val="0"/>
        <w:caps w:val="0"/>
        <w:strike w:val="0"/>
        <w:dstrike w:val="0"/>
        <w:vanish w:val="0"/>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0"/>
  </w:num>
  <w:num w:numId="3">
    <w:abstractNumId w:val="12"/>
  </w:num>
  <w:num w:numId="4">
    <w:abstractNumId w:val="11"/>
  </w:num>
  <w:num w:numId="5">
    <w:abstractNumId w:val="1"/>
  </w:num>
  <w:num w:numId="6">
    <w:abstractNumId w:val="5"/>
  </w:num>
  <w:num w:numId="7">
    <w:abstractNumId w:val="8"/>
  </w:num>
  <w:num w:numId="8">
    <w:abstractNumId w:val="4"/>
  </w:num>
  <w:num w:numId="9">
    <w:abstractNumId w:val="3"/>
  </w:num>
  <w:num w:numId="10">
    <w:abstractNumId w:val="13"/>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1NDhkMjgzZTUyZTVjMDJjYTMxMjNjMTBjYmE0MjkifQ=="/>
  </w:docVars>
  <w:rsids>
    <w:rsidRoot w:val="00BE34C3"/>
    <w:rsid w:val="00046CA0"/>
    <w:rsid w:val="000B6281"/>
    <w:rsid w:val="000C024B"/>
    <w:rsid w:val="00135135"/>
    <w:rsid w:val="001F1D2C"/>
    <w:rsid w:val="001F3ADA"/>
    <w:rsid w:val="002425B8"/>
    <w:rsid w:val="002630BB"/>
    <w:rsid w:val="00285085"/>
    <w:rsid w:val="002B247F"/>
    <w:rsid w:val="00305CE7"/>
    <w:rsid w:val="00346098"/>
    <w:rsid w:val="00382DEE"/>
    <w:rsid w:val="00384B9C"/>
    <w:rsid w:val="003A2503"/>
    <w:rsid w:val="003B643A"/>
    <w:rsid w:val="003C0FD1"/>
    <w:rsid w:val="003D21B2"/>
    <w:rsid w:val="003F23CE"/>
    <w:rsid w:val="00411CA3"/>
    <w:rsid w:val="00443541"/>
    <w:rsid w:val="00457B13"/>
    <w:rsid w:val="0047108C"/>
    <w:rsid w:val="00496DA9"/>
    <w:rsid w:val="004B2897"/>
    <w:rsid w:val="004D6899"/>
    <w:rsid w:val="00537C28"/>
    <w:rsid w:val="0055574E"/>
    <w:rsid w:val="0055651A"/>
    <w:rsid w:val="00563274"/>
    <w:rsid w:val="005A0A26"/>
    <w:rsid w:val="005B5276"/>
    <w:rsid w:val="005C6ADC"/>
    <w:rsid w:val="00602B86"/>
    <w:rsid w:val="006911F9"/>
    <w:rsid w:val="00692945"/>
    <w:rsid w:val="0069744B"/>
    <w:rsid w:val="006C25B2"/>
    <w:rsid w:val="0070277A"/>
    <w:rsid w:val="007402CA"/>
    <w:rsid w:val="00744674"/>
    <w:rsid w:val="00745BFE"/>
    <w:rsid w:val="0077113E"/>
    <w:rsid w:val="00785BD8"/>
    <w:rsid w:val="007904D4"/>
    <w:rsid w:val="007958E0"/>
    <w:rsid w:val="007A3406"/>
    <w:rsid w:val="007B65AA"/>
    <w:rsid w:val="007E2EF7"/>
    <w:rsid w:val="00844285"/>
    <w:rsid w:val="00846033"/>
    <w:rsid w:val="00861DAB"/>
    <w:rsid w:val="0087362D"/>
    <w:rsid w:val="008B1170"/>
    <w:rsid w:val="009049D8"/>
    <w:rsid w:val="00930024"/>
    <w:rsid w:val="009444C8"/>
    <w:rsid w:val="00951FEE"/>
    <w:rsid w:val="00953D9C"/>
    <w:rsid w:val="00977B14"/>
    <w:rsid w:val="009C15CF"/>
    <w:rsid w:val="009C512B"/>
    <w:rsid w:val="00A65FA9"/>
    <w:rsid w:val="00A7656B"/>
    <w:rsid w:val="00A77BFD"/>
    <w:rsid w:val="00A95A9A"/>
    <w:rsid w:val="00A97848"/>
    <w:rsid w:val="00AB1812"/>
    <w:rsid w:val="00B561ED"/>
    <w:rsid w:val="00B701B7"/>
    <w:rsid w:val="00B71F65"/>
    <w:rsid w:val="00B76409"/>
    <w:rsid w:val="00B80488"/>
    <w:rsid w:val="00BC57CD"/>
    <w:rsid w:val="00BD02F5"/>
    <w:rsid w:val="00BE34C3"/>
    <w:rsid w:val="00BF706B"/>
    <w:rsid w:val="00C11035"/>
    <w:rsid w:val="00C12DE3"/>
    <w:rsid w:val="00C14B91"/>
    <w:rsid w:val="00C30909"/>
    <w:rsid w:val="00C44682"/>
    <w:rsid w:val="00C46A2B"/>
    <w:rsid w:val="00C57EBB"/>
    <w:rsid w:val="00C8683C"/>
    <w:rsid w:val="00C91C98"/>
    <w:rsid w:val="00CB3C62"/>
    <w:rsid w:val="00CE72AE"/>
    <w:rsid w:val="00CF3752"/>
    <w:rsid w:val="00CF5500"/>
    <w:rsid w:val="00D03026"/>
    <w:rsid w:val="00D5063D"/>
    <w:rsid w:val="00D63A11"/>
    <w:rsid w:val="00D64207"/>
    <w:rsid w:val="00D72607"/>
    <w:rsid w:val="00D736A4"/>
    <w:rsid w:val="00D9637F"/>
    <w:rsid w:val="00DC574A"/>
    <w:rsid w:val="00DF3269"/>
    <w:rsid w:val="00E371FE"/>
    <w:rsid w:val="00E60A9C"/>
    <w:rsid w:val="00EB60B2"/>
    <w:rsid w:val="00EB7E60"/>
    <w:rsid w:val="00ED3BD8"/>
    <w:rsid w:val="00F036C9"/>
    <w:rsid w:val="00F52A8D"/>
    <w:rsid w:val="00F72CA9"/>
    <w:rsid w:val="00F76805"/>
    <w:rsid w:val="00F907CF"/>
    <w:rsid w:val="00F9432B"/>
    <w:rsid w:val="00FD131B"/>
    <w:rsid w:val="00FE7B94"/>
    <w:rsid w:val="0100390C"/>
    <w:rsid w:val="01011432"/>
    <w:rsid w:val="01042CD0"/>
    <w:rsid w:val="010A65EE"/>
    <w:rsid w:val="01113D6B"/>
    <w:rsid w:val="01130DE1"/>
    <w:rsid w:val="01141165"/>
    <w:rsid w:val="01154EDD"/>
    <w:rsid w:val="01161381"/>
    <w:rsid w:val="011B0745"/>
    <w:rsid w:val="011B6997"/>
    <w:rsid w:val="011C44BE"/>
    <w:rsid w:val="011E0236"/>
    <w:rsid w:val="011E4B8A"/>
    <w:rsid w:val="01201F55"/>
    <w:rsid w:val="01203FAE"/>
    <w:rsid w:val="01205D5C"/>
    <w:rsid w:val="012375FA"/>
    <w:rsid w:val="012515C4"/>
    <w:rsid w:val="01255120"/>
    <w:rsid w:val="012670EA"/>
    <w:rsid w:val="0127533C"/>
    <w:rsid w:val="012B64AF"/>
    <w:rsid w:val="012D2227"/>
    <w:rsid w:val="013138BB"/>
    <w:rsid w:val="01325A8F"/>
    <w:rsid w:val="01341807"/>
    <w:rsid w:val="01347A59"/>
    <w:rsid w:val="013533A9"/>
    <w:rsid w:val="013622FB"/>
    <w:rsid w:val="01390BCC"/>
    <w:rsid w:val="013B4944"/>
    <w:rsid w:val="013C06BC"/>
    <w:rsid w:val="013C3EBE"/>
    <w:rsid w:val="014029CF"/>
    <w:rsid w:val="014063FE"/>
    <w:rsid w:val="014319D8"/>
    <w:rsid w:val="01440FE6"/>
    <w:rsid w:val="014632E9"/>
    <w:rsid w:val="01487061"/>
    <w:rsid w:val="014A2F2B"/>
    <w:rsid w:val="014B08FF"/>
    <w:rsid w:val="014D4D61"/>
    <w:rsid w:val="014F6641"/>
    <w:rsid w:val="015021FE"/>
    <w:rsid w:val="0156177E"/>
    <w:rsid w:val="0156352C"/>
    <w:rsid w:val="015754F6"/>
    <w:rsid w:val="015920E6"/>
    <w:rsid w:val="0159301C"/>
    <w:rsid w:val="015A4817"/>
    <w:rsid w:val="015B3238"/>
    <w:rsid w:val="015B4FE6"/>
    <w:rsid w:val="015B6D94"/>
    <w:rsid w:val="015C48BA"/>
    <w:rsid w:val="015E6884"/>
    <w:rsid w:val="01671BDD"/>
    <w:rsid w:val="016814B1"/>
    <w:rsid w:val="01695955"/>
    <w:rsid w:val="016D6AC7"/>
    <w:rsid w:val="017165B7"/>
    <w:rsid w:val="01722330"/>
    <w:rsid w:val="01747E56"/>
    <w:rsid w:val="01761E20"/>
    <w:rsid w:val="017936BE"/>
    <w:rsid w:val="017A53FC"/>
    <w:rsid w:val="017C6910"/>
    <w:rsid w:val="017D31AE"/>
    <w:rsid w:val="01805291"/>
    <w:rsid w:val="018207C5"/>
    <w:rsid w:val="01826A17"/>
    <w:rsid w:val="01853E11"/>
    <w:rsid w:val="01873A23"/>
    <w:rsid w:val="018C1643"/>
    <w:rsid w:val="018C33F1"/>
    <w:rsid w:val="018C519F"/>
    <w:rsid w:val="018F2EE2"/>
    <w:rsid w:val="018F4C90"/>
    <w:rsid w:val="01964270"/>
    <w:rsid w:val="01981D96"/>
    <w:rsid w:val="019D115B"/>
    <w:rsid w:val="019D73AC"/>
    <w:rsid w:val="019E081A"/>
    <w:rsid w:val="019E4ED3"/>
    <w:rsid w:val="01A00C4B"/>
    <w:rsid w:val="01A06E9D"/>
    <w:rsid w:val="01A319FB"/>
    <w:rsid w:val="01A4698D"/>
    <w:rsid w:val="01A71FD9"/>
    <w:rsid w:val="01AA7D1B"/>
    <w:rsid w:val="01AC5842"/>
    <w:rsid w:val="01AE3368"/>
    <w:rsid w:val="01AF7D53"/>
    <w:rsid w:val="01B04370"/>
    <w:rsid w:val="01B12E58"/>
    <w:rsid w:val="01B3097E"/>
    <w:rsid w:val="01B42948"/>
    <w:rsid w:val="01B6221C"/>
    <w:rsid w:val="01BA61B0"/>
    <w:rsid w:val="01BB2C92"/>
    <w:rsid w:val="01BD35AB"/>
    <w:rsid w:val="01BF37C7"/>
    <w:rsid w:val="01C2462C"/>
    <w:rsid w:val="01C25065"/>
    <w:rsid w:val="01C60C56"/>
    <w:rsid w:val="01C64788"/>
    <w:rsid w:val="01C944D6"/>
    <w:rsid w:val="01CA5CC8"/>
    <w:rsid w:val="01CF1530"/>
    <w:rsid w:val="01D134FA"/>
    <w:rsid w:val="01D31020"/>
    <w:rsid w:val="01D37272"/>
    <w:rsid w:val="01D628BE"/>
    <w:rsid w:val="01D6466C"/>
    <w:rsid w:val="01D90CF6"/>
    <w:rsid w:val="01D91A77"/>
    <w:rsid w:val="01D95F0B"/>
    <w:rsid w:val="01DA23AF"/>
    <w:rsid w:val="01DB1C83"/>
    <w:rsid w:val="01DD3C4D"/>
    <w:rsid w:val="01DE1773"/>
    <w:rsid w:val="01E054EB"/>
    <w:rsid w:val="01E351BB"/>
    <w:rsid w:val="01E44FDB"/>
    <w:rsid w:val="01E46D89"/>
    <w:rsid w:val="01E50D53"/>
    <w:rsid w:val="01E55632"/>
    <w:rsid w:val="01E734EB"/>
    <w:rsid w:val="01E865C1"/>
    <w:rsid w:val="01EC3E90"/>
    <w:rsid w:val="01EC5C3E"/>
    <w:rsid w:val="01EE084F"/>
    <w:rsid w:val="01EF3980"/>
    <w:rsid w:val="01F114A6"/>
    <w:rsid w:val="01F30184"/>
    <w:rsid w:val="01FF0067"/>
    <w:rsid w:val="01FF1E15"/>
    <w:rsid w:val="0200793B"/>
    <w:rsid w:val="02016FAB"/>
    <w:rsid w:val="020236B3"/>
    <w:rsid w:val="02094A42"/>
    <w:rsid w:val="020A2568"/>
    <w:rsid w:val="020D21BB"/>
    <w:rsid w:val="020F7B7E"/>
    <w:rsid w:val="02105DD0"/>
    <w:rsid w:val="02111B48"/>
    <w:rsid w:val="0213766F"/>
    <w:rsid w:val="021749AE"/>
    <w:rsid w:val="02193B81"/>
    <w:rsid w:val="021A09FD"/>
    <w:rsid w:val="021C29C7"/>
    <w:rsid w:val="021D70DF"/>
    <w:rsid w:val="02244E19"/>
    <w:rsid w:val="0227136C"/>
    <w:rsid w:val="022950E4"/>
    <w:rsid w:val="022B2C0A"/>
    <w:rsid w:val="022C0730"/>
    <w:rsid w:val="022C24DE"/>
    <w:rsid w:val="022C2E9B"/>
    <w:rsid w:val="02315D47"/>
    <w:rsid w:val="02322A46"/>
    <w:rsid w:val="02331ABF"/>
    <w:rsid w:val="023575E5"/>
    <w:rsid w:val="023976A3"/>
    <w:rsid w:val="023B0973"/>
    <w:rsid w:val="023D14B8"/>
    <w:rsid w:val="023F2212"/>
    <w:rsid w:val="0240322F"/>
    <w:rsid w:val="02405F8A"/>
    <w:rsid w:val="024141DC"/>
    <w:rsid w:val="02441F1E"/>
    <w:rsid w:val="02443CCC"/>
    <w:rsid w:val="02447B02"/>
    <w:rsid w:val="02477318"/>
    <w:rsid w:val="024D6822"/>
    <w:rsid w:val="024E68F9"/>
    <w:rsid w:val="025263E9"/>
    <w:rsid w:val="02532161"/>
    <w:rsid w:val="025657AD"/>
    <w:rsid w:val="0256755B"/>
    <w:rsid w:val="025739FF"/>
    <w:rsid w:val="025832D3"/>
    <w:rsid w:val="025A704C"/>
    <w:rsid w:val="025C0E9F"/>
    <w:rsid w:val="025D4D8E"/>
    <w:rsid w:val="02624152"/>
    <w:rsid w:val="02641C78"/>
    <w:rsid w:val="0264611C"/>
    <w:rsid w:val="02646866"/>
    <w:rsid w:val="026A6B75"/>
    <w:rsid w:val="026B3007"/>
    <w:rsid w:val="026B74AB"/>
    <w:rsid w:val="026C4FD1"/>
    <w:rsid w:val="0270061D"/>
    <w:rsid w:val="02702D13"/>
    <w:rsid w:val="0270686F"/>
    <w:rsid w:val="027520D7"/>
    <w:rsid w:val="027A5940"/>
    <w:rsid w:val="027A76EE"/>
    <w:rsid w:val="027C5214"/>
    <w:rsid w:val="027F6AB2"/>
    <w:rsid w:val="02810A7C"/>
    <w:rsid w:val="02816CCE"/>
    <w:rsid w:val="028422ED"/>
    <w:rsid w:val="028B36A9"/>
    <w:rsid w:val="028B5457"/>
    <w:rsid w:val="028E3199"/>
    <w:rsid w:val="02906F11"/>
    <w:rsid w:val="029167E5"/>
    <w:rsid w:val="02924A37"/>
    <w:rsid w:val="029307AF"/>
    <w:rsid w:val="02953272"/>
    <w:rsid w:val="029A38EC"/>
    <w:rsid w:val="029D33DC"/>
    <w:rsid w:val="02A1111E"/>
    <w:rsid w:val="02A209F3"/>
    <w:rsid w:val="02A36C44"/>
    <w:rsid w:val="02A81D04"/>
    <w:rsid w:val="02A93B2F"/>
    <w:rsid w:val="02AA4008"/>
    <w:rsid w:val="02AB558C"/>
    <w:rsid w:val="02AD5A20"/>
    <w:rsid w:val="02AE1145"/>
    <w:rsid w:val="02AF2B29"/>
    <w:rsid w:val="02B01361"/>
    <w:rsid w:val="02B32C00"/>
    <w:rsid w:val="02B50726"/>
    <w:rsid w:val="02B5111B"/>
    <w:rsid w:val="02B7624C"/>
    <w:rsid w:val="02B81FC4"/>
    <w:rsid w:val="02BA21E0"/>
    <w:rsid w:val="02BD75DA"/>
    <w:rsid w:val="02BF23FC"/>
    <w:rsid w:val="02C1356F"/>
    <w:rsid w:val="02C24BF1"/>
    <w:rsid w:val="02C30465"/>
    <w:rsid w:val="02C32E43"/>
    <w:rsid w:val="02C40969"/>
    <w:rsid w:val="02C44E0D"/>
    <w:rsid w:val="02C646E1"/>
    <w:rsid w:val="02C80459"/>
    <w:rsid w:val="02C80F58"/>
    <w:rsid w:val="02C848FD"/>
    <w:rsid w:val="02C92423"/>
    <w:rsid w:val="02CB7F49"/>
    <w:rsid w:val="02CE17E8"/>
    <w:rsid w:val="02CF7A3A"/>
    <w:rsid w:val="02D05560"/>
    <w:rsid w:val="02D0730E"/>
    <w:rsid w:val="02D212D8"/>
    <w:rsid w:val="02D52B76"/>
    <w:rsid w:val="02D7069C"/>
    <w:rsid w:val="02DA1F3A"/>
    <w:rsid w:val="02DB2FCC"/>
    <w:rsid w:val="02DC5CB3"/>
    <w:rsid w:val="02DF57A3"/>
    <w:rsid w:val="02E132C9"/>
    <w:rsid w:val="02E5725D"/>
    <w:rsid w:val="02E62FD5"/>
    <w:rsid w:val="02E828A9"/>
    <w:rsid w:val="02EA0864"/>
    <w:rsid w:val="02EE59E6"/>
    <w:rsid w:val="02EF1E8A"/>
    <w:rsid w:val="02F72AEC"/>
    <w:rsid w:val="02FF5E45"/>
    <w:rsid w:val="03031491"/>
    <w:rsid w:val="03082F4B"/>
    <w:rsid w:val="030A3426"/>
    <w:rsid w:val="030F4862"/>
    <w:rsid w:val="031077B9"/>
    <w:rsid w:val="03123DCA"/>
    <w:rsid w:val="03127926"/>
    <w:rsid w:val="03196F07"/>
    <w:rsid w:val="031A5554"/>
    <w:rsid w:val="031C69F7"/>
    <w:rsid w:val="031E62CB"/>
    <w:rsid w:val="0321400D"/>
    <w:rsid w:val="03231B33"/>
    <w:rsid w:val="03247659"/>
    <w:rsid w:val="032B09E8"/>
    <w:rsid w:val="03304250"/>
    <w:rsid w:val="03343D40"/>
    <w:rsid w:val="03367AB9"/>
    <w:rsid w:val="033736CD"/>
    <w:rsid w:val="03391357"/>
    <w:rsid w:val="033C49A3"/>
    <w:rsid w:val="033D6E0E"/>
    <w:rsid w:val="033E4BBF"/>
    <w:rsid w:val="034018FF"/>
    <w:rsid w:val="03435D9C"/>
    <w:rsid w:val="03436045"/>
    <w:rsid w:val="034C72DC"/>
    <w:rsid w:val="034D6BB0"/>
    <w:rsid w:val="034F0B7A"/>
    <w:rsid w:val="034F46D6"/>
    <w:rsid w:val="0350044F"/>
    <w:rsid w:val="03561F09"/>
    <w:rsid w:val="035A307B"/>
    <w:rsid w:val="035B20F9"/>
    <w:rsid w:val="03600692"/>
    <w:rsid w:val="03604B36"/>
    <w:rsid w:val="036068E4"/>
    <w:rsid w:val="03653EFA"/>
    <w:rsid w:val="036D7252"/>
    <w:rsid w:val="036E2742"/>
    <w:rsid w:val="036F4D79"/>
    <w:rsid w:val="03707C33"/>
    <w:rsid w:val="037151E1"/>
    <w:rsid w:val="037405E1"/>
    <w:rsid w:val="0374238F"/>
    <w:rsid w:val="037B54CB"/>
    <w:rsid w:val="037E6D6A"/>
    <w:rsid w:val="0382372D"/>
    <w:rsid w:val="03844968"/>
    <w:rsid w:val="038500F8"/>
    <w:rsid w:val="038720C2"/>
    <w:rsid w:val="03903BBF"/>
    <w:rsid w:val="039106AD"/>
    <w:rsid w:val="03912F41"/>
    <w:rsid w:val="03942A31"/>
    <w:rsid w:val="03993BA4"/>
    <w:rsid w:val="03A04F32"/>
    <w:rsid w:val="03A34A22"/>
    <w:rsid w:val="03A569EC"/>
    <w:rsid w:val="03A82039"/>
    <w:rsid w:val="03AA5DB1"/>
    <w:rsid w:val="03AA7B5F"/>
    <w:rsid w:val="03AD58A1"/>
    <w:rsid w:val="03AF33C7"/>
    <w:rsid w:val="03AF3C36"/>
    <w:rsid w:val="03B03D9B"/>
    <w:rsid w:val="03B10EED"/>
    <w:rsid w:val="03B22EB7"/>
    <w:rsid w:val="03B44E81"/>
    <w:rsid w:val="03B54ED7"/>
    <w:rsid w:val="03B56367"/>
    <w:rsid w:val="03B60BF9"/>
    <w:rsid w:val="03B66504"/>
    <w:rsid w:val="03B70B69"/>
    <w:rsid w:val="03B70C87"/>
    <w:rsid w:val="03B92498"/>
    <w:rsid w:val="03BB1D6C"/>
    <w:rsid w:val="03C055D4"/>
    <w:rsid w:val="03C2134C"/>
    <w:rsid w:val="03CD1A9F"/>
    <w:rsid w:val="03CF3A69"/>
    <w:rsid w:val="03D55518"/>
    <w:rsid w:val="03D66BA6"/>
    <w:rsid w:val="03D80B70"/>
    <w:rsid w:val="03DC38F5"/>
    <w:rsid w:val="03DD7F34"/>
    <w:rsid w:val="03DE3CAC"/>
    <w:rsid w:val="03E034D9"/>
    <w:rsid w:val="03E2379C"/>
    <w:rsid w:val="03E31959"/>
    <w:rsid w:val="03E56DE9"/>
    <w:rsid w:val="03E641B3"/>
    <w:rsid w:val="03E72D97"/>
    <w:rsid w:val="03E77005"/>
    <w:rsid w:val="03EE0393"/>
    <w:rsid w:val="03EF1A15"/>
    <w:rsid w:val="03EF5EB9"/>
    <w:rsid w:val="03F4702C"/>
    <w:rsid w:val="03F50C28"/>
    <w:rsid w:val="03F7776A"/>
    <w:rsid w:val="03FA360A"/>
    <w:rsid w:val="03FB03BA"/>
    <w:rsid w:val="03FD2384"/>
    <w:rsid w:val="03FF3B22"/>
    <w:rsid w:val="03FF434E"/>
    <w:rsid w:val="03FF60FC"/>
    <w:rsid w:val="04001E75"/>
    <w:rsid w:val="04003C23"/>
    <w:rsid w:val="04026C48"/>
    <w:rsid w:val="04041965"/>
    <w:rsid w:val="0405071D"/>
    <w:rsid w:val="040556DD"/>
    <w:rsid w:val="04071455"/>
    <w:rsid w:val="04074FB1"/>
    <w:rsid w:val="040C7798"/>
    <w:rsid w:val="04106F71"/>
    <w:rsid w:val="04117BDE"/>
    <w:rsid w:val="04133956"/>
    <w:rsid w:val="04161C22"/>
    <w:rsid w:val="04163446"/>
    <w:rsid w:val="041B0A5C"/>
    <w:rsid w:val="041B6CAE"/>
    <w:rsid w:val="041D47D5"/>
    <w:rsid w:val="04221DEB"/>
    <w:rsid w:val="04280A34"/>
    <w:rsid w:val="042A0CA0"/>
    <w:rsid w:val="042E253E"/>
    <w:rsid w:val="042E69E2"/>
    <w:rsid w:val="04333D99"/>
    <w:rsid w:val="04352B98"/>
    <w:rsid w:val="04371D19"/>
    <w:rsid w:val="04387860"/>
    <w:rsid w:val="04455AD9"/>
    <w:rsid w:val="04470273"/>
    <w:rsid w:val="044A706A"/>
    <w:rsid w:val="044B1342"/>
    <w:rsid w:val="044B1820"/>
    <w:rsid w:val="044C50BA"/>
    <w:rsid w:val="04506958"/>
    <w:rsid w:val="045126D0"/>
    <w:rsid w:val="04545D1C"/>
    <w:rsid w:val="04561A95"/>
    <w:rsid w:val="04575F38"/>
    <w:rsid w:val="046046C1"/>
    <w:rsid w:val="046248DD"/>
    <w:rsid w:val="0462668B"/>
    <w:rsid w:val="0466617C"/>
    <w:rsid w:val="046917C8"/>
    <w:rsid w:val="0469394E"/>
    <w:rsid w:val="04700DA8"/>
    <w:rsid w:val="04714B20"/>
    <w:rsid w:val="047313BB"/>
    <w:rsid w:val="04732647"/>
    <w:rsid w:val="0475354E"/>
    <w:rsid w:val="04762137"/>
    <w:rsid w:val="04763EE5"/>
    <w:rsid w:val="047A1C27"/>
    <w:rsid w:val="047C774D"/>
    <w:rsid w:val="047D1717"/>
    <w:rsid w:val="047D5273"/>
    <w:rsid w:val="047F723D"/>
    <w:rsid w:val="048609F2"/>
    <w:rsid w:val="0486237A"/>
    <w:rsid w:val="04876502"/>
    <w:rsid w:val="04893C18"/>
    <w:rsid w:val="048D195A"/>
    <w:rsid w:val="048D643D"/>
    <w:rsid w:val="049525BD"/>
    <w:rsid w:val="04974587"/>
    <w:rsid w:val="04975FD0"/>
    <w:rsid w:val="049F51EA"/>
    <w:rsid w:val="04A10F62"/>
    <w:rsid w:val="04A171B4"/>
    <w:rsid w:val="04A24CDA"/>
    <w:rsid w:val="04A3117E"/>
    <w:rsid w:val="04A44EF6"/>
    <w:rsid w:val="04A46CA4"/>
    <w:rsid w:val="04A86794"/>
    <w:rsid w:val="04A96068"/>
    <w:rsid w:val="04AB3B8E"/>
    <w:rsid w:val="04AD3DAA"/>
    <w:rsid w:val="04AD79E5"/>
    <w:rsid w:val="04AE367F"/>
    <w:rsid w:val="04B01CF2"/>
    <w:rsid w:val="04B05649"/>
    <w:rsid w:val="04B63B3E"/>
    <w:rsid w:val="04B85ED2"/>
    <w:rsid w:val="04B9220D"/>
    <w:rsid w:val="04BD34A6"/>
    <w:rsid w:val="04BF763A"/>
    <w:rsid w:val="04C133B2"/>
    <w:rsid w:val="04C17856"/>
    <w:rsid w:val="04C335CE"/>
    <w:rsid w:val="04C74740"/>
    <w:rsid w:val="04C85151"/>
    <w:rsid w:val="04CA2EB8"/>
    <w:rsid w:val="04CC1D57"/>
    <w:rsid w:val="04CD7FA9"/>
    <w:rsid w:val="04CE3D21"/>
    <w:rsid w:val="04D17C54"/>
    <w:rsid w:val="04D330E5"/>
    <w:rsid w:val="04D72BD5"/>
    <w:rsid w:val="04DA4474"/>
    <w:rsid w:val="04DC4690"/>
    <w:rsid w:val="04DD5D12"/>
    <w:rsid w:val="04DF5F2E"/>
    <w:rsid w:val="04E11CA6"/>
    <w:rsid w:val="04E83035"/>
    <w:rsid w:val="04E92909"/>
    <w:rsid w:val="04EB042F"/>
    <w:rsid w:val="04ED23F9"/>
    <w:rsid w:val="04ED4B11"/>
    <w:rsid w:val="04F01EE9"/>
    <w:rsid w:val="04F254C4"/>
    <w:rsid w:val="04F55751"/>
    <w:rsid w:val="04F9194D"/>
    <w:rsid w:val="04FA2D68"/>
    <w:rsid w:val="04FC088E"/>
    <w:rsid w:val="04FE63B4"/>
    <w:rsid w:val="05017C52"/>
    <w:rsid w:val="05070289"/>
    <w:rsid w:val="050E411D"/>
    <w:rsid w:val="05104339"/>
    <w:rsid w:val="051931EE"/>
    <w:rsid w:val="051F632A"/>
    <w:rsid w:val="05227593"/>
    <w:rsid w:val="0526590B"/>
    <w:rsid w:val="052D6C99"/>
    <w:rsid w:val="052F5589"/>
    <w:rsid w:val="05322502"/>
    <w:rsid w:val="053973EC"/>
    <w:rsid w:val="053A3164"/>
    <w:rsid w:val="053A4F12"/>
    <w:rsid w:val="053C0C8A"/>
    <w:rsid w:val="053E4A03"/>
    <w:rsid w:val="053F077B"/>
    <w:rsid w:val="053F305D"/>
    <w:rsid w:val="05412745"/>
    <w:rsid w:val="05413450"/>
    <w:rsid w:val="054162A1"/>
    <w:rsid w:val="05446D9B"/>
    <w:rsid w:val="0548762F"/>
    <w:rsid w:val="054A784B"/>
    <w:rsid w:val="054B2058"/>
    <w:rsid w:val="054B3811"/>
    <w:rsid w:val="05500BDA"/>
    <w:rsid w:val="05512AE0"/>
    <w:rsid w:val="05525E63"/>
    <w:rsid w:val="05557F9E"/>
    <w:rsid w:val="055661F0"/>
    <w:rsid w:val="05597A8E"/>
    <w:rsid w:val="055A31BB"/>
    <w:rsid w:val="055B3806"/>
    <w:rsid w:val="055C3A53"/>
    <w:rsid w:val="055C757F"/>
    <w:rsid w:val="055F2BCB"/>
    <w:rsid w:val="0560706F"/>
    <w:rsid w:val="05634469"/>
    <w:rsid w:val="05634BC0"/>
    <w:rsid w:val="05656433"/>
    <w:rsid w:val="05663F59"/>
    <w:rsid w:val="056802AA"/>
    <w:rsid w:val="05685F23"/>
    <w:rsid w:val="056D52E8"/>
    <w:rsid w:val="056F1060"/>
    <w:rsid w:val="057031D9"/>
    <w:rsid w:val="0571302A"/>
    <w:rsid w:val="05760640"/>
    <w:rsid w:val="05781604"/>
    <w:rsid w:val="057C377D"/>
    <w:rsid w:val="057C552B"/>
    <w:rsid w:val="05816FE5"/>
    <w:rsid w:val="05850883"/>
    <w:rsid w:val="058663AA"/>
    <w:rsid w:val="058A40EC"/>
    <w:rsid w:val="058A5E9A"/>
    <w:rsid w:val="058C1C12"/>
    <w:rsid w:val="058C5590"/>
    <w:rsid w:val="058D7738"/>
    <w:rsid w:val="058F1702"/>
    <w:rsid w:val="05917228"/>
    <w:rsid w:val="05922FA0"/>
    <w:rsid w:val="05924D4E"/>
    <w:rsid w:val="05926AFC"/>
    <w:rsid w:val="05943B3E"/>
    <w:rsid w:val="05945F5E"/>
    <w:rsid w:val="05955D32"/>
    <w:rsid w:val="059565ED"/>
    <w:rsid w:val="0599432F"/>
    <w:rsid w:val="059A3C03"/>
    <w:rsid w:val="05A156A4"/>
    <w:rsid w:val="05A25958"/>
    <w:rsid w:val="05A64326"/>
    <w:rsid w:val="05A86320"/>
    <w:rsid w:val="05AC22B4"/>
    <w:rsid w:val="05AC79A0"/>
    <w:rsid w:val="05AF5900"/>
    <w:rsid w:val="05AF76AE"/>
    <w:rsid w:val="05B13426"/>
    <w:rsid w:val="05B66C8F"/>
    <w:rsid w:val="05B72A07"/>
    <w:rsid w:val="05BD626F"/>
    <w:rsid w:val="05BF6CDE"/>
    <w:rsid w:val="05C04DF3"/>
    <w:rsid w:val="05C25634"/>
    <w:rsid w:val="05CA098C"/>
    <w:rsid w:val="05D13AC9"/>
    <w:rsid w:val="05D610DF"/>
    <w:rsid w:val="05D76C05"/>
    <w:rsid w:val="05DB4D76"/>
    <w:rsid w:val="05DE7F94"/>
    <w:rsid w:val="05E05ABA"/>
    <w:rsid w:val="05E11832"/>
    <w:rsid w:val="05E355AA"/>
    <w:rsid w:val="05E441BB"/>
    <w:rsid w:val="05E535CA"/>
    <w:rsid w:val="05E57574"/>
    <w:rsid w:val="05E57ADF"/>
    <w:rsid w:val="05EC445F"/>
    <w:rsid w:val="05ED01D7"/>
    <w:rsid w:val="05EF21A1"/>
    <w:rsid w:val="05F15F19"/>
    <w:rsid w:val="05F94DCD"/>
    <w:rsid w:val="05FD2B10"/>
    <w:rsid w:val="05FE0636"/>
    <w:rsid w:val="06022AF2"/>
    <w:rsid w:val="06084DCB"/>
    <w:rsid w:val="06093262"/>
    <w:rsid w:val="060C2D53"/>
    <w:rsid w:val="060D1490"/>
    <w:rsid w:val="06113EC5"/>
    <w:rsid w:val="06135E8F"/>
    <w:rsid w:val="06141C07"/>
    <w:rsid w:val="06180320"/>
    <w:rsid w:val="061834A6"/>
    <w:rsid w:val="0619721E"/>
    <w:rsid w:val="061B11E8"/>
    <w:rsid w:val="061E4834"/>
    <w:rsid w:val="0621237C"/>
    <w:rsid w:val="06222576"/>
    <w:rsid w:val="06231E4A"/>
    <w:rsid w:val="06233BF8"/>
    <w:rsid w:val="06287461"/>
    <w:rsid w:val="062A31D9"/>
    <w:rsid w:val="062F5869"/>
    <w:rsid w:val="063127B9"/>
    <w:rsid w:val="06316315"/>
    <w:rsid w:val="06344057"/>
    <w:rsid w:val="063522A9"/>
    <w:rsid w:val="063D6CAF"/>
    <w:rsid w:val="06432B56"/>
    <w:rsid w:val="06450013"/>
    <w:rsid w:val="06456265"/>
    <w:rsid w:val="06471FDD"/>
    <w:rsid w:val="06473D8B"/>
    <w:rsid w:val="064A73D7"/>
    <w:rsid w:val="064C13A1"/>
    <w:rsid w:val="064E6EC7"/>
    <w:rsid w:val="06500E91"/>
    <w:rsid w:val="06532730"/>
    <w:rsid w:val="065837C4"/>
    <w:rsid w:val="06587D46"/>
    <w:rsid w:val="065A1D10"/>
    <w:rsid w:val="066164F3"/>
    <w:rsid w:val="066315A3"/>
    <w:rsid w:val="06652463"/>
    <w:rsid w:val="06654211"/>
    <w:rsid w:val="066A7A79"/>
    <w:rsid w:val="066B1964"/>
    <w:rsid w:val="06732DD2"/>
    <w:rsid w:val="067B0511"/>
    <w:rsid w:val="067B1C86"/>
    <w:rsid w:val="06846D8D"/>
    <w:rsid w:val="068723D9"/>
    <w:rsid w:val="068C6F7E"/>
    <w:rsid w:val="0696086E"/>
    <w:rsid w:val="069A210C"/>
    <w:rsid w:val="069B13D8"/>
    <w:rsid w:val="069B308D"/>
    <w:rsid w:val="069C40D7"/>
    <w:rsid w:val="069E5BE2"/>
    <w:rsid w:val="06A72A7B"/>
    <w:rsid w:val="06AB4624"/>
    <w:rsid w:val="06AB60C8"/>
    <w:rsid w:val="06AC1E40"/>
    <w:rsid w:val="06B04265"/>
    <w:rsid w:val="06B17456"/>
    <w:rsid w:val="06B807E5"/>
    <w:rsid w:val="06BA27AF"/>
    <w:rsid w:val="06C07699"/>
    <w:rsid w:val="06C12B4D"/>
    <w:rsid w:val="06C13B3D"/>
    <w:rsid w:val="06C21663"/>
    <w:rsid w:val="06C929F2"/>
    <w:rsid w:val="06CA3F77"/>
    <w:rsid w:val="06CB0518"/>
    <w:rsid w:val="06CB49BC"/>
    <w:rsid w:val="06CD24E2"/>
    <w:rsid w:val="06CE0008"/>
    <w:rsid w:val="06D03D80"/>
    <w:rsid w:val="06D1633E"/>
    <w:rsid w:val="06D575E9"/>
    <w:rsid w:val="06D73FF6"/>
    <w:rsid w:val="06D849E3"/>
    <w:rsid w:val="06E23AB3"/>
    <w:rsid w:val="06E60517"/>
    <w:rsid w:val="06E97196"/>
    <w:rsid w:val="06EA0C8C"/>
    <w:rsid w:val="06EB2968"/>
    <w:rsid w:val="06EC048E"/>
    <w:rsid w:val="06EE5866"/>
    <w:rsid w:val="06F35CC1"/>
    <w:rsid w:val="06F37A6F"/>
    <w:rsid w:val="06F53E3D"/>
    <w:rsid w:val="06F7130D"/>
    <w:rsid w:val="06F7755F"/>
    <w:rsid w:val="06FA704F"/>
    <w:rsid w:val="06FD269B"/>
    <w:rsid w:val="06FF6413"/>
    <w:rsid w:val="070103DE"/>
    <w:rsid w:val="07043A2A"/>
    <w:rsid w:val="070752C8"/>
    <w:rsid w:val="0708351A"/>
    <w:rsid w:val="070B125C"/>
    <w:rsid w:val="070C28DE"/>
    <w:rsid w:val="07133C6D"/>
    <w:rsid w:val="0717375D"/>
    <w:rsid w:val="07181283"/>
    <w:rsid w:val="071B348F"/>
    <w:rsid w:val="071D4AEC"/>
    <w:rsid w:val="071E2D3E"/>
    <w:rsid w:val="071F3871"/>
    <w:rsid w:val="07201E36"/>
    <w:rsid w:val="0721282E"/>
    <w:rsid w:val="0721638A"/>
    <w:rsid w:val="072365A6"/>
    <w:rsid w:val="07287718"/>
    <w:rsid w:val="072A7934"/>
    <w:rsid w:val="072D11D3"/>
    <w:rsid w:val="07304B1A"/>
    <w:rsid w:val="07314632"/>
    <w:rsid w:val="0733430F"/>
    <w:rsid w:val="073836D3"/>
    <w:rsid w:val="073C0184"/>
    <w:rsid w:val="073C1416"/>
    <w:rsid w:val="07464042"/>
    <w:rsid w:val="07481B68"/>
    <w:rsid w:val="07484826"/>
    <w:rsid w:val="074C0E53"/>
    <w:rsid w:val="074D67A4"/>
    <w:rsid w:val="074D778D"/>
    <w:rsid w:val="074F1149"/>
    <w:rsid w:val="07500A1D"/>
    <w:rsid w:val="07504EC1"/>
    <w:rsid w:val="07506C6F"/>
    <w:rsid w:val="075078CF"/>
    <w:rsid w:val="075229E7"/>
    <w:rsid w:val="0753050D"/>
    <w:rsid w:val="07550729"/>
    <w:rsid w:val="075859CA"/>
    <w:rsid w:val="075C5D77"/>
    <w:rsid w:val="075E138C"/>
    <w:rsid w:val="075F5E39"/>
    <w:rsid w:val="07615D19"/>
    <w:rsid w:val="076369A2"/>
    <w:rsid w:val="0768045D"/>
    <w:rsid w:val="076F5347"/>
    <w:rsid w:val="077010BF"/>
    <w:rsid w:val="07702E6D"/>
    <w:rsid w:val="07715947"/>
    <w:rsid w:val="07724E37"/>
    <w:rsid w:val="07771DC8"/>
    <w:rsid w:val="0777244E"/>
    <w:rsid w:val="07797F74"/>
    <w:rsid w:val="077A5DB9"/>
    <w:rsid w:val="077C7A64"/>
    <w:rsid w:val="077E558A"/>
    <w:rsid w:val="077F1302"/>
    <w:rsid w:val="07805172"/>
    <w:rsid w:val="078132CC"/>
    <w:rsid w:val="07833AF3"/>
    <w:rsid w:val="0785600D"/>
    <w:rsid w:val="07862691"/>
    <w:rsid w:val="078A41B2"/>
    <w:rsid w:val="078B2AD4"/>
    <w:rsid w:val="078B7CA7"/>
    <w:rsid w:val="078F59E9"/>
    <w:rsid w:val="07921036"/>
    <w:rsid w:val="0797664C"/>
    <w:rsid w:val="079823B2"/>
    <w:rsid w:val="079833F9"/>
    <w:rsid w:val="07990616"/>
    <w:rsid w:val="07996868"/>
    <w:rsid w:val="079C3C62"/>
    <w:rsid w:val="079E786F"/>
    <w:rsid w:val="079F3753"/>
    <w:rsid w:val="07A33243"/>
    <w:rsid w:val="07A50D69"/>
    <w:rsid w:val="07A56FBB"/>
    <w:rsid w:val="07A64AE1"/>
    <w:rsid w:val="07A86AAB"/>
    <w:rsid w:val="07AB20F7"/>
    <w:rsid w:val="07AD40C1"/>
    <w:rsid w:val="07AD6D60"/>
    <w:rsid w:val="07B0770E"/>
    <w:rsid w:val="07B13BB2"/>
    <w:rsid w:val="07B729E3"/>
    <w:rsid w:val="07B92A66"/>
    <w:rsid w:val="07BB058C"/>
    <w:rsid w:val="07BB67DE"/>
    <w:rsid w:val="07BC4304"/>
    <w:rsid w:val="07C02047"/>
    <w:rsid w:val="07C733D5"/>
    <w:rsid w:val="07CA6A21"/>
    <w:rsid w:val="07D01B5E"/>
    <w:rsid w:val="07D4164E"/>
    <w:rsid w:val="07D433FC"/>
    <w:rsid w:val="07D57174"/>
    <w:rsid w:val="07D653C6"/>
    <w:rsid w:val="07D93108"/>
    <w:rsid w:val="07D94EB6"/>
    <w:rsid w:val="07E51AAD"/>
    <w:rsid w:val="07E61381"/>
    <w:rsid w:val="07E80C77"/>
    <w:rsid w:val="07E8334B"/>
    <w:rsid w:val="07EA3DB1"/>
    <w:rsid w:val="07EA70C4"/>
    <w:rsid w:val="07F044FE"/>
    <w:rsid w:val="07F12200"/>
    <w:rsid w:val="07F4584C"/>
    <w:rsid w:val="07F626D4"/>
    <w:rsid w:val="07F817E1"/>
    <w:rsid w:val="07FC0BA5"/>
    <w:rsid w:val="07FE66CB"/>
    <w:rsid w:val="08000695"/>
    <w:rsid w:val="080041F1"/>
    <w:rsid w:val="08017F69"/>
    <w:rsid w:val="0802440D"/>
    <w:rsid w:val="08065580"/>
    <w:rsid w:val="080C703A"/>
    <w:rsid w:val="080D2DB2"/>
    <w:rsid w:val="080D690E"/>
    <w:rsid w:val="080F6B2A"/>
    <w:rsid w:val="0817488F"/>
    <w:rsid w:val="081839A6"/>
    <w:rsid w:val="08204893"/>
    <w:rsid w:val="082223BA"/>
    <w:rsid w:val="08253C58"/>
    <w:rsid w:val="0828199A"/>
    <w:rsid w:val="08281AC6"/>
    <w:rsid w:val="082C3238"/>
    <w:rsid w:val="0831084F"/>
    <w:rsid w:val="08326375"/>
    <w:rsid w:val="08332819"/>
    <w:rsid w:val="08352FC5"/>
    <w:rsid w:val="08365E65"/>
    <w:rsid w:val="08394BED"/>
    <w:rsid w:val="08395058"/>
    <w:rsid w:val="083A10B9"/>
    <w:rsid w:val="083D5445"/>
    <w:rsid w:val="083E11BD"/>
    <w:rsid w:val="08400A92"/>
    <w:rsid w:val="084367D4"/>
    <w:rsid w:val="08470072"/>
    <w:rsid w:val="08501053"/>
    <w:rsid w:val="08534C69"/>
    <w:rsid w:val="08566507"/>
    <w:rsid w:val="0858227F"/>
    <w:rsid w:val="0858402D"/>
    <w:rsid w:val="08585DDB"/>
    <w:rsid w:val="08591B53"/>
    <w:rsid w:val="085A5FF7"/>
    <w:rsid w:val="085D1644"/>
    <w:rsid w:val="086504F8"/>
    <w:rsid w:val="086A3D60"/>
    <w:rsid w:val="086E1AA3"/>
    <w:rsid w:val="086F75C9"/>
    <w:rsid w:val="087028C8"/>
    <w:rsid w:val="08710AC9"/>
    <w:rsid w:val="08711187"/>
    <w:rsid w:val="08724874"/>
    <w:rsid w:val="08730E67"/>
    <w:rsid w:val="08744BDF"/>
    <w:rsid w:val="08752E31"/>
    <w:rsid w:val="0878022B"/>
    <w:rsid w:val="087A0447"/>
    <w:rsid w:val="087D1CE6"/>
    <w:rsid w:val="087F5A5E"/>
    <w:rsid w:val="08805332"/>
    <w:rsid w:val="08850A8D"/>
    <w:rsid w:val="08874912"/>
    <w:rsid w:val="088766C0"/>
    <w:rsid w:val="088A61B1"/>
    <w:rsid w:val="08901A19"/>
    <w:rsid w:val="08907C6B"/>
    <w:rsid w:val="089A2898"/>
    <w:rsid w:val="089B216C"/>
    <w:rsid w:val="089D4136"/>
    <w:rsid w:val="089D7C92"/>
    <w:rsid w:val="089E3A0A"/>
    <w:rsid w:val="08A059D4"/>
    <w:rsid w:val="08A2174C"/>
    <w:rsid w:val="08A47272"/>
    <w:rsid w:val="08A52FEB"/>
    <w:rsid w:val="08A54D99"/>
    <w:rsid w:val="08A90304"/>
    <w:rsid w:val="08A94889"/>
    <w:rsid w:val="08AA23AF"/>
    <w:rsid w:val="08AC4379"/>
    <w:rsid w:val="08AF79C5"/>
    <w:rsid w:val="08B03E69"/>
    <w:rsid w:val="08B1198F"/>
    <w:rsid w:val="08B62A49"/>
    <w:rsid w:val="08B651F8"/>
    <w:rsid w:val="08BA6A96"/>
    <w:rsid w:val="08BF5E5A"/>
    <w:rsid w:val="08C3308B"/>
    <w:rsid w:val="08C461D1"/>
    <w:rsid w:val="08C47915"/>
    <w:rsid w:val="08C6368D"/>
    <w:rsid w:val="08C77405"/>
    <w:rsid w:val="08C94F2B"/>
    <w:rsid w:val="08CF5BE4"/>
    <w:rsid w:val="08D15B8E"/>
    <w:rsid w:val="08D4742C"/>
    <w:rsid w:val="08D631A4"/>
    <w:rsid w:val="08DA0EE6"/>
    <w:rsid w:val="08DB6A0C"/>
    <w:rsid w:val="08DB7FFD"/>
    <w:rsid w:val="08DD2784"/>
    <w:rsid w:val="08DD6D78"/>
    <w:rsid w:val="08E24BB7"/>
    <w:rsid w:val="08E458C1"/>
    <w:rsid w:val="08E51639"/>
    <w:rsid w:val="08E6531C"/>
    <w:rsid w:val="08E73603"/>
    <w:rsid w:val="08E7715F"/>
    <w:rsid w:val="08E9737B"/>
    <w:rsid w:val="08EC0C19"/>
    <w:rsid w:val="08ED6E6B"/>
    <w:rsid w:val="08F04266"/>
    <w:rsid w:val="08F326DF"/>
    <w:rsid w:val="08F5187C"/>
    <w:rsid w:val="08F63846"/>
    <w:rsid w:val="08F71A98"/>
    <w:rsid w:val="08F85810"/>
    <w:rsid w:val="08F875BE"/>
    <w:rsid w:val="08FA0E71"/>
    <w:rsid w:val="08FB2C0B"/>
    <w:rsid w:val="08FD2E27"/>
    <w:rsid w:val="08FD4BD5"/>
    <w:rsid w:val="08FF26FB"/>
    <w:rsid w:val="090146C5"/>
    <w:rsid w:val="09030A93"/>
    <w:rsid w:val="09064339"/>
    <w:rsid w:val="09067F2D"/>
    <w:rsid w:val="090743B8"/>
    <w:rsid w:val="09081A53"/>
    <w:rsid w:val="09093579"/>
    <w:rsid w:val="090B5543"/>
    <w:rsid w:val="090B7225"/>
    <w:rsid w:val="090D306A"/>
    <w:rsid w:val="09123260"/>
    <w:rsid w:val="091361A6"/>
    <w:rsid w:val="09163637"/>
    <w:rsid w:val="09167A44"/>
    <w:rsid w:val="09173EE8"/>
    <w:rsid w:val="09175C96"/>
    <w:rsid w:val="091B505B"/>
    <w:rsid w:val="091C32AD"/>
    <w:rsid w:val="091D1DA1"/>
    <w:rsid w:val="091F2D9D"/>
    <w:rsid w:val="0920136B"/>
    <w:rsid w:val="092108C3"/>
    <w:rsid w:val="09212671"/>
    <w:rsid w:val="0921772D"/>
    <w:rsid w:val="092403B3"/>
    <w:rsid w:val="09261A80"/>
    <w:rsid w:val="0926237D"/>
    <w:rsid w:val="09297778"/>
    <w:rsid w:val="092C7268"/>
    <w:rsid w:val="092D3D00"/>
    <w:rsid w:val="09302681"/>
    <w:rsid w:val="09322AD0"/>
    <w:rsid w:val="09341002"/>
    <w:rsid w:val="093920B1"/>
    <w:rsid w:val="093C74AB"/>
    <w:rsid w:val="093D3223"/>
    <w:rsid w:val="093E3544"/>
    <w:rsid w:val="093F0D49"/>
    <w:rsid w:val="093F6F9B"/>
    <w:rsid w:val="09401953"/>
    <w:rsid w:val="09414AC1"/>
    <w:rsid w:val="09442803"/>
    <w:rsid w:val="094445B2"/>
    <w:rsid w:val="09453417"/>
    <w:rsid w:val="094B5940"/>
    <w:rsid w:val="094B7289"/>
    <w:rsid w:val="094E3682"/>
    <w:rsid w:val="09521BCF"/>
    <w:rsid w:val="0955056D"/>
    <w:rsid w:val="095567BF"/>
    <w:rsid w:val="09581E0B"/>
    <w:rsid w:val="095B5D52"/>
    <w:rsid w:val="095C7B4D"/>
    <w:rsid w:val="095E1B17"/>
    <w:rsid w:val="095E38C5"/>
    <w:rsid w:val="095F763D"/>
    <w:rsid w:val="0960544E"/>
    <w:rsid w:val="096133B5"/>
    <w:rsid w:val="09622C8A"/>
    <w:rsid w:val="09652EA6"/>
    <w:rsid w:val="0965715D"/>
    <w:rsid w:val="0966277A"/>
    <w:rsid w:val="0969226A"/>
    <w:rsid w:val="096B4234"/>
    <w:rsid w:val="096D58B6"/>
    <w:rsid w:val="096E0EE2"/>
    <w:rsid w:val="096F5AD2"/>
    <w:rsid w:val="09724070"/>
    <w:rsid w:val="09740081"/>
    <w:rsid w:val="09772BD9"/>
    <w:rsid w:val="09774987"/>
    <w:rsid w:val="097C01EF"/>
    <w:rsid w:val="0983332C"/>
    <w:rsid w:val="098350DA"/>
    <w:rsid w:val="098615E3"/>
    <w:rsid w:val="09866978"/>
    <w:rsid w:val="09880942"/>
    <w:rsid w:val="098826F0"/>
    <w:rsid w:val="09886B94"/>
    <w:rsid w:val="09905A49"/>
    <w:rsid w:val="099077F7"/>
    <w:rsid w:val="0990783C"/>
    <w:rsid w:val="0992356F"/>
    <w:rsid w:val="099A2423"/>
    <w:rsid w:val="099C263F"/>
    <w:rsid w:val="099E3CC2"/>
    <w:rsid w:val="09A137B2"/>
    <w:rsid w:val="09AB2883"/>
    <w:rsid w:val="09AC4ECD"/>
    <w:rsid w:val="09B0764C"/>
    <w:rsid w:val="09B2776D"/>
    <w:rsid w:val="09B47989"/>
    <w:rsid w:val="09B74D83"/>
    <w:rsid w:val="09B94F9F"/>
    <w:rsid w:val="09B96D4E"/>
    <w:rsid w:val="09BA00EB"/>
    <w:rsid w:val="09BC683E"/>
    <w:rsid w:val="09BE0882"/>
    <w:rsid w:val="09BE4364"/>
    <w:rsid w:val="09C0632E"/>
    <w:rsid w:val="09C13E54"/>
    <w:rsid w:val="09C15C02"/>
    <w:rsid w:val="09C3197A"/>
    <w:rsid w:val="09C6214F"/>
    <w:rsid w:val="09C83435"/>
    <w:rsid w:val="09C94AB7"/>
    <w:rsid w:val="09CA2D09"/>
    <w:rsid w:val="09D122E9"/>
    <w:rsid w:val="09D65B51"/>
    <w:rsid w:val="09D678FF"/>
    <w:rsid w:val="09D9119E"/>
    <w:rsid w:val="09D973F0"/>
    <w:rsid w:val="09D978FA"/>
    <w:rsid w:val="09DB2862"/>
    <w:rsid w:val="09DB3168"/>
    <w:rsid w:val="09DB4F16"/>
    <w:rsid w:val="09DC0C8E"/>
    <w:rsid w:val="09DE0562"/>
    <w:rsid w:val="09DE4A06"/>
    <w:rsid w:val="09E0252C"/>
    <w:rsid w:val="09E162A4"/>
    <w:rsid w:val="09E244F6"/>
    <w:rsid w:val="09E3201C"/>
    <w:rsid w:val="09E55D95"/>
    <w:rsid w:val="09E638BB"/>
    <w:rsid w:val="09E71B0D"/>
    <w:rsid w:val="09E85885"/>
    <w:rsid w:val="09ED2E9B"/>
    <w:rsid w:val="09EF6C13"/>
    <w:rsid w:val="09FC30DE"/>
    <w:rsid w:val="0A0064DD"/>
    <w:rsid w:val="0A03446D"/>
    <w:rsid w:val="0A04296A"/>
    <w:rsid w:val="0A051F93"/>
    <w:rsid w:val="0A0A1357"/>
    <w:rsid w:val="0A0B50CF"/>
    <w:rsid w:val="0A0B7D0E"/>
    <w:rsid w:val="0A1246B0"/>
    <w:rsid w:val="0A12645E"/>
    <w:rsid w:val="0A1421D6"/>
    <w:rsid w:val="0A1610AD"/>
    <w:rsid w:val="0A171CC6"/>
    <w:rsid w:val="0A173A74"/>
    <w:rsid w:val="0A1977EC"/>
    <w:rsid w:val="0A1A7B5B"/>
    <w:rsid w:val="0A1E12A6"/>
    <w:rsid w:val="0A200B7B"/>
    <w:rsid w:val="0A232419"/>
    <w:rsid w:val="0A245EBD"/>
    <w:rsid w:val="0A2543E3"/>
    <w:rsid w:val="0A2763AD"/>
    <w:rsid w:val="0A287A2F"/>
    <w:rsid w:val="0A2C29C3"/>
    <w:rsid w:val="0A2C5771"/>
    <w:rsid w:val="0A2D5046"/>
    <w:rsid w:val="0A304297"/>
    <w:rsid w:val="0A312D88"/>
    <w:rsid w:val="0A32761B"/>
    <w:rsid w:val="0A334D52"/>
    <w:rsid w:val="0A374116"/>
    <w:rsid w:val="0A3F7698"/>
    <w:rsid w:val="0A4047F0"/>
    <w:rsid w:val="0A4505E1"/>
    <w:rsid w:val="0A453416"/>
    <w:rsid w:val="0A4C6688"/>
    <w:rsid w:val="0A4C7BC2"/>
    <w:rsid w:val="0A4E393A"/>
    <w:rsid w:val="0A5151D8"/>
    <w:rsid w:val="0A530F50"/>
    <w:rsid w:val="0A53598C"/>
    <w:rsid w:val="0A560A40"/>
    <w:rsid w:val="0A595E3B"/>
    <w:rsid w:val="0A5F5B47"/>
    <w:rsid w:val="0A650C83"/>
    <w:rsid w:val="0A652A31"/>
    <w:rsid w:val="0A6767AA"/>
    <w:rsid w:val="0A6D7B38"/>
    <w:rsid w:val="0A7113D6"/>
    <w:rsid w:val="0A7315F2"/>
    <w:rsid w:val="0A764C3F"/>
    <w:rsid w:val="0A780920"/>
    <w:rsid w:val="0A7964DD"/>
    <w:rsid w:val="0A7B2255"/>
    <w:rsid w:val="0A7D7D7B"/>
    <w:rsid w:val="0A7E1D45"/>
    <w:rsid w:val="0A805ABD"/>
    <w:rsid w:val="0A8074DF"/>
    <w:rsid w:val="0A821835"/>
    <w:rsid w:val="0A850E88"/>
    <w:rsid w:val="0A8530D4"/>
    <w:rsid w:val="0A876E4C"/>
    <w:rsid w:val="0A8C4462"/>
    <w:rsid w:val="0A8C6210"/>
    <w:rsid w:val="0A8C7FBE"/>
    <w:rsid w:val="0A8E1F88"/>
    <w:rsid w:val="0A8F23A3"/>
    <w:rsid w:val="0A8F5EC1"/>
    <w:rsid w:val="0A917CCA"/>
    <w:rsid w:val="0A9357F1"/>
    <w:rsid w:val="0A96708F"/>
    <w:rsid w:val="0A99092D"/>
    <w:rsid w:val="0A9B3267"/>
    <w:rsid w:val="0A9B46A5"/>
    <w:rsid w:val="0A9B6453"/>
    <w:rsid w:val="0AA063EB"/>
    <w:rsid w:val="0AA16180"/>
    <w:rsid w:val="0AA277E2"/>
    <w:rsid w:val="0AA572D2"/>
    <w:rsid w:val="0AA7304A"/>
    <w:rsid w:val="0AA96DC2"/>
    <w:rsid w:val="0AAC2517"/>
    <w:rsid w:val="0AAC60CF"/>
    <w:rsid w:val="0AAC68B2"/>
    <w:rsid w:val="0AAE6186"/>
    <w:rsid w:val="0AB22379"/>
    <w:rsid w:val="0AB80DB3"/>
    <w:rsid w:val="0ABC3FED"/>
    <w:rsid w:val="0ABD7054"/>
    <w:rsid w:val="0AC21C32"/>
    <w:rsid w:val="0AC345EC"/>
    <w:rsid w:val="0AC41E4E"/>
    <w:rsid w:val="0AC51722"/>
    <w:rsid w:val="0AC534D0"/>
    <w:rsid w:val="0AC66C76"/>
    <w:rsid w:val="0AC901C8"/>
    <w:rsid w:val="0AC91212"/>
    <w:rsid w:val="0AC92FC0"/>
    <w:rsid w:val="0ACC485F"/>
    <w:rsid w:val="0ACF434F"/>
    <w:rsid w:val="0AD16319"/>
    <w:rsid w:val="0AD211C7"/>
    <w:rsid w:val="0AD2152B"/>
    <w:rsid w:val="0AD57BB7"/>
    <w:rsid w:val="0AD6392F"/>
    <w:rsid w:val="0ADB7197"/>
    <w:rsid w:val="0ADE6740"/>
    <w:rsid w:val="0ADF0F5E"/>
    <w:rsid w:val="0AE0655C"/>
    <w:rsid w:val="0AE147AE"/>
    <w:rsid w:val="0AE26690"/>
    <w:rsid w:val="0AE53B72"/>
    <w:rsid w:val="0AE55920"/>
    <w:rsid w:val="0AEC0E40"/>
    <w:rsid w:val="0AEC3153"/>
    <w:rsid w:val="0AEF054D"/>
    <w:rsid w:val="0AF0019D"/>
    <w:rsid w:val="0AF0679F"/>
    <w:rsid w:val="0AF142C5"/>
    <w:rsid w:val="0AF3003D"/>
    <w:rsid w:val="0AF5500B"/>
    <w:rsid w:val="0AF85654"/>
    <w:rsid w:val="0AFD710E"/>
    <w:rsid w:val="0B0142F8"/>
    <w:rsid w:val="0B024724"/>
    <w:rsid w:val="0B065FC2"/>
    <w:rsid w:val="0B071EAE"/>
    <w:rsid w:val="0B0B182B"/>
    <w:rsid w:val="0B0B37C4"/>
    <w:rsid w:val="0B0C4E07"/>
    <w:rsid w:val="0B0F299D"/>
    <w:rsid w:val="0B1A1A6E"/>
    <w:rsid w:val="0B1B1342"/>
    <w:rsid w:val="0B1D330C"/>
    <w:rsid w:val="0B226B74"/>
    <w:rsid w:val="0B2527F9"/>
    <w:rsid w:val="0B264B83"/>
    <w:rsid w:val="0B266665"/>
    <w:rsid w:val="0B2823DD"/>
    <w:rsid w:val="0B2B3C7B"/>
    <w:rsid w:val="0B2E5519"/>
    <w:rsid w:val="0B2F3171"/>
    <w:rsid w:val="0B30303F"/>
    <w:rsid w:val="0B310B66"/>
    <w:rsid w:val="0B330D82"/>
    <w:rsid w:val="0B397091"/>
    <w:rsid w:val="0B3A3EBE"/>
    <w:rsid w:val="0B3A5C6C"/>
    <w:rsid w:val="0B3B2C01"/>
    <w:rsid w:val="0B3B5918"/>
    <w:rsid w:val="0B3F14D4"/>
    <w:rsid w:val="0B3F3C9B"/>
    <w:rsid w:val="0B420935"/>
    <w:rsid w:val="0B436851"/>
    <w:rsid w:val="0B446AEB"/>
    <w:rsid w:val="0B462863"/>
    <w:rsid w:val="0B48482D"/>
    <w:rsid w:val="0B4B7E79"/>
    <w:rsid w:val="0B4D3BF1"/>
    <w:rsid w:val="0B4E5BBB"/>
    <w:rsid w:val="0B52745A"/>
    <w:rsid w:val="0B563C61"/>
    <w:rsid w:val="0B574A70"/>
    <w:rsid w:val="0B584344"/>
    <w:rsid w:val="0B5A00BC"/>
    <w:rsid w:val="0B5A3A72"/>
    <w:rsid w:val="0B5A4560"/>
    <w:rsid w:val="0B5C3E34"/>
    <w:rsid w:val="0B5D195B"/>
    <w:rsid w:val="0B5D1CFF"/>
    <w:rsid w:val="0B5D7BAD"/>
    <w:rsid w:val="0B5F3925"/>
    <w:rsid w:val="0B6131F9"/>
    <w:rsid w:val="0B6251C3"/>
    <w:rsid w:val="0B6727D9"/>
    <w:rsid w:val="0B6C7DF0"/>
    <w:rsid w:val="0B6D6042"/>
    <w:rsid w:val="0B7032C4"/>
    <w:rsid w:val="0B745622"/>
    <w:rsid w:val="0B770950"/>
    <w:rsid w:val="0B7A075E"/>
    <w:rsid w:val="0B7D1FFD"/>
    <w:rsid w:val="0B7E024F"/>
    <w:rsid w:val="0B81389B"/>
    <w:rsid w:val="0B84338B"/>
    <w:rsid w:val="0B863A17"/>
    <w:rsid w:val="0B8E7D66"/>
    <w:rsid w:val="0B941820"/>
    <w:rsid w:val="0B9423AE"/>
    <w:rsid w:val="0B9510F4"/>
    <w:rsid w:val="0B995089"/>
    <w:rsid w:val="0B9A7A1D"/>
    <w:rsid w:val="0B9B6FB8"/>
    <w:rsid w:val="0B9F3D21"/>
    <w:rsid w:val="0BA23811"/>
    <w:rsid w:val="0BA457DB"/>
    <w:rsid w:val="0BA90928"/>
    <w:rsid w:val="0BAE0408"/>
    <w:rsid w:val="0BB377CC"/>
    <w:rsid w:val="0BB73AA3"/>
    <w:rsid w:val="0BB772BD"/>
    <w:rsid w:val="0BBA4FFF"/>
    <w:rsid w:val="0BBB3692"/>
    <w:rsid w:val="0BBE689D"/>
    <w:rsid w:val="0BBF6171"/>
    <w:rsid w:val="0BC639A4"/>
    <w:rsid w:val="0BC63EC1"/>
    <w:rsid w:val="0BCD4D32"/>
    <w:rsid w:val="0BCE0041"/>
    <w:rsid w:val="0BD0037E"/>
    <w:rsid w:val="0BD16E51"/>
    <w:rsid w:val="0BD240F7"/>
    <w:rsid w:val="0BD25035"/>
    <w:rsid w:val="0BD25EA5"/>
    <w:rsid w:val="0BDF6813"/>
    <w:rsid w:val="0BE04A65"/>
    <w:rsid w:val="0BE1369A"/>
    <w:rsid w:val="0BE43E2A"/>
    <w:rsid w:val="0BE470A9"/>
    <w:rsid w:val="0BE52FF0"/>
    <w:rsid w:val="0BE67BA2"/>
    <w:rsid w:val="0BEC26EB"/>
    <w:rsid w:val="0BEF2EFA"/>
    <w:rsid w:val="0BEF4CA9"/>
    <w:rsid w:val="0BEF6A57"/>
    <w:rsid w:val="0BF059ED"/>
    <w:rsid w:val="0BF636EE"/>
    <w:rsid w:val="0BF73B5D"/>
    <w:rsid w:val="0BF7590B"/>
    <w:rsid w:val="0BF91683"/>
    <w:rsid w:val="0BFE6C9A"/>
    <w:rsid w:val="0C000C64"/>
    <w:rsid w:val="0C0011BA"/>
    <w:rsid w:val="0C023496"/>
    <w:rsid w:val="0C0A1AE2"/>
    <w:rsid w:val="0C0D6BFB"/>
    <w:rsid w:val="0C0F534B"/>
    <w:rsid w:val="0C122745"/>
    <w:rsid w:val="0C1666D9"/>
    <w:rsid w:val="0C173769"/>
    <w:rsid w:val="0C1B5A9E"/>
    <w:rsid w:val="0C1E10EA"/>
    <w:rsid w:val="0C1F4E62"/>
    <w:rsid w:val="0C2030B4"/>
    <w:rsid w:val="0C230DF6"/>
    <w:rsid w:val="0C25691C"/>
    <w:rsid w:val="0C2B1A59"/>
    <w:rsid w:val="0C2F779B"/>
    <w:rsid w:val="0C300E1D"/>
    <w:rsid w:val="0C4112ED"/>
    <w:rsid w:val="0C41302A"/>
    <w:rsid w:val="0C460641"/>
    <w:rsid w:val="0C4843B9"/>
    <w:rsid w:val="0C4B5C57"/>
    <w:rsid w:val="0C4C20FB"/>
    <w:rsid w:val="0C4C3EA9"/>
    <w:rsid w:val="0C526FE5"/>
    <w:rsid w:val="0C540FAF"/>
    <w:rsid w:val="0C542D5E"/>
    <w:rsid w:val="0C5600D7"/>
    <w:rsid w:val="0C564B9B"/>
    <w:rsid w:val="0C580AA0"/>
    <w:rsid w:val="0C580BFC"/>
    <w:rsid w:val="0C5B0590"/>
    <w:rsid w:val="0C5B233E"/>
    <w:rsid w:val="0C601702"/>
    <w:rsid w:val="0C607954"/>
    <w:rsid w:val="0C686809"/>
    <w:rsid w:val="0C6F1945"/>
    <w:rsid w:val="0C7451AE"/>
    <w:rsid w:val="0C78326D"/>
    <w:rsid w:val="0C7B653C"/>
    <w:rsid w:val="0C7D042D"/>
    <w:rsid w:val="0C7E427E"/>
    <w:rsid w:val="0C85560D"/>
    <w:rsid w:val="0C875416"/>
    <w:rsid w:val="0C895E65"/>
    <w:rsid w:val="0C8C24F7"/>
    <w:rsid w:val="0C8D626F"/>
    <w:rsid w:val="0C8F023A"/>
    <w:rsid w:val="0C8F3D96"/>
    <w:rsid w:val="0C923886"/>
    <w:rsid w:val="0C9475FE"/>
    <w:rsid w:val="0C9B098C"/>
    <w:rsid w:val="0C9D4705"/>
    <w:rsid w:val="0C9E047D"/>
    <w:rsid w:val="0C9E15DD"/>
    <w:rsid w:val="0CA05FA3"/>
    <w:rsid w:val="0CA5180B"/>
    <w:rsid w:val="0CA57A5D"/>
    <w:rsid w:val="0CA70EDB"/>
    <w:rsid w:val="0CAF4315"/>
    <w:rsid w:val="0CAF4438"/>
    <w:rsid w:val="0CB101B0"/>
    <w:rsid w:val="0CB11F5E"/>
    <w:rsid w:val="0CB33F28"/>
    <w:rsid w:val="0CB90E13"/>
    <w:rsid w:val="0CBA1428"/>
    <w:rsid w:val="0CBD0903"/>
    <w:rsid w:val="0CC003F3"/>
    <w:rsid w:val="0CC15CA8"/>
    <w:rsid w:val="0CC27BBA"/>
    <w:rsid w:val="0CC55A09"/>
    <w:rsid w:val="0CC83E60"/>
    <w:rsid w:val="0CC954FA"/>
    <w:rsid w:val="0CCA0F1D"/>
    <w:rsid w:val="0CCA3020"/>
    <w:rsid w:val="0CCD22DF"/>
    <w:rsid w:val="0CCE0D62"/>
    <w:rsid w:val="0CD276AF"/>
    <w:rsid w:val="0CD81BE1"/>
    <w:rsid w:val="0CD8573D"/>
    <w:rsid w:val="0CDA7707"/>
    <w:rsid w:val="0CDB6FDB"/>
    <w:rsid w:val="0CDC5C3A"/>
    <w:rsid w:val="0CDD0FA5"/>
    <w:rsid w:val="0CDD7393"/>
    <w:rsid w:val="0CE048A7"/>
    <w:rsid w:val="0CE15D14"/>
    <w:rsid w:val="0CE44695"/>
    <w:rsid w:val="0CE71E24"/>
    <w:rsid w:val="0CE916F8"/>
    <w:rsid w:val="0CE95B9C"/>
    <w:rsid w:val="0CEC2F96"/>
    <w:rsid w:val="0CEC743A"/>
    <w:rsid w:val="0CF62067"/>
    <w:rsid w:val="0CF77F3A"/>
    <w:rsid w:val="0CF84031"/>
    <w:rsid w:val="0CFB1028"/>
    <w:rsid w:val="0CFF53BF"/>
    <w:rsid w:val="0D002EE5"/>
    <w:rsid w:val="0D006A41"/>
    <w:rsid w:val="0D0429D6"/>
    <w:rsid w:val="0D046532"/>
    <w:rsid w:val="0D054058"/>
    <w:rsid w:val="0D074274"/>
    <w:rsid w:val="0D093B48"/>
    <w:rsid w:val="0D0C3638"/>
    <w:rsid w:val="0D0E115E"/>
    <w:rsid w:val="0D1349C7"/>
    <w:rsid w:val="0D161737"/>
    <w:rsid w:val="0D1644B7"/>
    <w:rsid w:val="0D17249C"/>
    <w:rsid w:val="0D197B03"/>
    <w:rsid w:val="0D1C7D1F"/>
    <w:rsid w:val="0D1F336B"/>
    <w:rsid w:val="0D2070E4"/>
    <w:rsid w:val="0D2210AE"/>
    <w:rsid w:val="0D224C0A"/>
    <w:rsid w:val="0D246F57"/>
    <w:rsid w:val="0D2546FA"/>
    <w:rsid w:val="0D257882"/>
    <w:rsid w:val="0D270472"/>
    <w:rsid w:val="0D295F98"/>
    <w:rsid w:val="0D2E7A52"/>
    <w:rsid w:val="0D305579"/>
    <w:rsid w:val="0D32412C"/>
    <w:rsid w:val="0D352B8F"/>
    <w:rsid w:val="0D3606B5"/>
    <w:rsid w:val="0D38442D"/>
    <w:rsid w:val="0D3B7311"/>
    <w:rsid w:val="0D3C216F"/>
    <w:rsid w:val="0D3D1A44"/>
    <w:rsid w:val="0D3F3A0E"/>
    <w:rsid w:val="0D42705A"/>
    <w:rsid w:val="0D442DD2"/>
    <w:rsid w:val="0D474670"/>
    <w:rsid w:val="0D496672"/>
    <w:rsid w:val="0D4B4161"/>
    <w:rsid w:val="0D4B4CD3"/>
    <w:rsid w:val="0D4C7ED9"/>
    <w:rsid w:val="0D4E1EA3"/>
    <w:rsid w:val="0D51729D"/>
    <w:rsid w:val="0D5648B3"/>
    <w:rsid w:val="0D5A0B4E"/>
    <w:rsid w:val="0D5D20E6"/>
    <w:rsid w:val="0D5F19BA"/>
    <w:rsid w:val="0D6671EC"/>
    <w:rsid w:val="0D682F64"/>
    <w:rsid w:val="0D696CDD"/>
    <w:rsid w:val="0D6C2329"/>
    <w:rsid w:val="0D6C40D7"/>
    <w:rsid w:val="0D6E4DCD"/>
    <w:rsid w:val="0D725B91"/>
    <w:rsid w:val="0D731909"/>
    <w:rsid w:val="0D780CCE"/>
    <w:rsid w:val="0D790AD4"/>
    <w:rsid w:val="0D7C6A10"/>
    <w:rsid w:val="0D7D4536"/>
    <w:rsid w:val="0D892EDB"/>
    <w:rsid w:val="0D8E6743"/>
    <w:rsid w:val="0D921D8F"/>
    <w:rsid w:val="0D970709"/>
    <w:rsid w:val="0D9755F8"/>
    <w:rsid w:val="0D9773A6"/>
    <w:rsid w:val="0D9A5BFA"/>
    <w:rsid w:val="0D9B708A"/>
    <w:rsid w:val="0D9F26FE"/>
    <w:rsid w:val="0DA25D4B"/>
    <w:rsid w:val="0DA41AC3"/>
    <w:rsid w:val="0DA47D15"/>
    <w:rsid w:val="0DA8327A"/>
    <w:rsid w:val="0DAB10A3"/>
    <w:rsid w:val="0DAB4BFF"/>
    <w:rsid w:val="0DAF0B93"/>
    <w:rsid w:val="0DB066B9"/>
    <w:rsid w:val="0DB5782C"/>
    <w:rsid w:val="0DB8731C"/>
    <w:rsid w:val="0DBB4461"/>
    <w:rsid w:val="0DBC0BBA"/>
    <w:rsid w:val="0DBC505E"/>
    <w:rsid w:val="0DBC6E0C"/>
    <w:rsid w:val="0DBE2B84"/>
    <w:rsid w:val="0DC161D1"/>
    <w:rsid w:val="0DC21F49"/>
    <w:rsid w:val="0DC3019B"/>
    <w:rsid w:val="0DC34588"/>
    <w:rsid w:val="0DC43F13"/>
    <w:rsid w:val="0DC45C7F"/>
    <w:rsid w:val="0DC67C8B"/>
    <w:rsid w:val="0DC83A03"/>
    <w:rsid w:val="0DCB34F3"/>
    <w:rsid w:val="0DD00B0A"/>
    <w:rsid w:val="0DD405FA"/>
    <w:rsid w:val="0DD423A8"/>
    <w:rsid w:val="0DDC300B"/>
    <w:rsid w:val="0DDE3227"/>
    <w:rsid w:val="0DDF0D4D"/>
    <w:rsid w:val="0DDF6F9F"/>
    <w:rsid w:val="0DE3083D"/>
    <w:rsid w:val="0DE545B5"/>
    <w:rsid w:val="0DE64201"/>
    <w:rsid w:val="0DE95727"/>
    <w:rsid w:val="0DEB14A0"/>
    <w:rsid w:val="0DEE2993"/>
    <w:rsid w:val="0DEF54F6"/>
    <w:rsid w:val="0DF06AB6"/>
    <w:rsid w:val="0DF50570"/>
    <w:rsid w:val="0DF76096"/>
    <w:rsid w:val="0DF90060"/>
    <w:rsid w:val="0DF91E0E"/>
    <w:rsid w:val="0DFE5677"/>
    <w:rsid w:val="0DFF4F4B"/>
    <w:rsid w:val="0E032C8D"/>
    <w:rsid w:val="0E0407B3"/>
    <w:rsid w:val="0E056A05"/>
    <w:rsid w:val="0E097B78"/>
    <w:rsid w:val="0E0B38F0"/>
    <w:rsid w:val="0E1108FE"/>
    <w:rsid w:val="0E122B6E"/>
    <w:rsid w:val="0E1529C0"/>
    <w:rsid w:val="0E176739"/>
    <w:rsid w:val="0E185C00"/>
    <w:rsid w:val="0E19600D"/>
    <w:rsid w:val="0E197DBB"/>
    <w:rsid w:val="0E1A3B33"/>
    <w:rsid w:val="0E1C3D4F"/>
    <w:rsid w:val="0E1C78AB"/>
    <w:rsid w:val="0E230C39"/>
    <w:rsid w:val="0E250E55"/>
    <w:rsid w:val="0E2B5D40"/>
    <w:rsid w:val="0E2F5830"/>
    <w:rsid w:val="0E341099"/>
    <w:rsid w:val="0E342E47"/>
    <w:rsid w:val="0E344BF5"/>
    <w:rsid w:val="0E35096D"/>
    <w:rsid w:val="0E355127"/>
    <w:rsid w:val="0E3966AF"/>
    <w:rsid w:val="0E3C5D68"/>
    <w:rsid w:val="0E3E5A73"/>
    <w:rsid w:val="0E4137B5"/>
    <w:rsid w:val="0E4312DC"/>
    <w:rsid w:val="0E456E02"/>
    <w:rsid w:val="0E460DCC"/>
    <w:rsid w:val="0E4868F2"/>
    <w:rsid w:val="0E4F0FCA"/>
    <w:rsid w:val="0E4F7C80"/>
    <w:rsid w:val="0E5005EE"/>
    <w:rsid w:val="0E5232CD"/>
    <w:rsid w:val="0E527220"/>
    <w:rsid w:val="0E590AFF"/>
    <w:rsid w:val="0E5E4367"/>
    <w:rsid w:val="0E5E7B56"/>
    <w:rsid w:val="0E6024C2"/>
    <w:rsid w:val="0E625C06"/>
    <w:rsid w:val="0E63372C"/>
    <w:rsid w:val="0E652462"/>
    <w:rsid w:val="0E6A2D0C"/>
    <w:rsid w:val="0E6D0107"/>
    <w:rsid w:val="0E721BC1"/>
    <w:rsid w:val="0E7616B1"/>
    <w:rsid w:val="0E76785D"/>
    <w:rsid w:val="0E794CFD"/>
    <w:rsid w:val="0E7C659C"/>
    <w:rsid w:val="0E80608C"/>
    <w:rsid w:val="0E811E04"/>
    <w:rsid w:val="0E83347D"/>
    <w:rsid w:val="0E8813E4"/>
    <w:rsid w:val="0E8A2A67"/>
    <w:rsid w:val="0E8A6F0A"/>
    <w:rsid w:val="0E8F62CF"/>
    <w:rsid w:val="0E927B6D"/>
    <w:rsid w:val="0E963B01"/>
    <w:rsid w:val="0E96765D"/>
    <w:rsid w:val="0E9733D5"/>
    <w:rsid w:val="0E990930"/>
    <w:rsid w:val="0E99714E"/>
    <w:rsid w:val="0E9B4C74"/>
    <w:rsid w:val="0EA02EE4"/>
    <w:rsid w:val="0EA17AC9"/>
    <w:rsid w:val="0EA24254"/>
    <w:rsid w:val="0EA37FCC"/>
    <w:rsid w:val="0EA53D44"/>
    <w:rsid w:val="0EAA293A"/>
    <w:rsid w:val="0EAC0C2F"/>
    <w:rsid w:val="0EB110CC"/>
    <w:rsid w:val="0EB126E9"/>
    <w:rsid w:val="0EB16245"/>
    <w:rsid w:val="0EB421D9"/>
    <w:rsid w:val="0EB6385C"/>
    <w:rsid w:val="0EB65F51"/>
    <w:rsid w:val="0EB67D00"/>
    <w:rsid w:val="0EB9159E"/>
    <w:rsid w:val="0EBE4E06"/>
    <w:rsid w:val="0EC35F79"/>
    <w:rsid w:val="0EC51CF1"/>
    <w:rsid w:val="0EC75A69"/>
    <w:rsid w:val="0ECA7307"/>
    <w:rsid w:val="0ECC4670"/>
    <w:rsid w:val="0ECE5049"/>
    <w:rsid w:val="0ED146B6"/>
    <w:rsid w:val="0ED32660"/>
    <w:rsid w:val="0ED32A27"/>
    <w:rsid w:val="0ED40186"/>
    <w:rsid w:val="0ED57440"/>
    <w:rsid w:val="0ED63EFE"/>
    <w:rsid w:val="0ED91C40"/>
    <w:rsid w:val="0ED9579C"/>
    <w:rsid w:val="0EDB1514"/>
    <w:rsid w:val="0EDD528C"/>
    <w:rsid w:val="0EDE1004"/>
    <w:rsid w:val="0EE155DA"/>
    <w:rsid w:val="0EE859DF"/>
    <w:rsid w:val="0EEA1757"/>
    <w:rsid w:val="0EEC54CF"/>
    <w:rsid w:val="0EF10D38"/>
    <w:rsid w:val="0EF40828"/>
    <w:rsid w:val="0EF44384"/>
    <w:rsid w:val="0EF54EE0"/>
    <w:rsid w:val="0EF6634E"/>
    <w:rsid w:val="0EF80318"/>
    <w:rsid w:val="0EFE3455"/>
    <w:rsid w:val="0F006472"/>
    <w:rsid w:val="0F0071CD"/>
    <w:rsid w:val="0F056591"/>
    <w:rsid w:val="0F071E5B"/>
    <w:rsid w:val="0F0C5B71"/>
    <w:rsid w:val="0F1113DA"/>
    <w:rsid w:val="0F1605D0"/>
    <w:rsid w:val="0F182768"/>
    <w:rsid w:val="0F184516"/>
    <w:rsid w:val="0F1A350D"/>
    <w:rsid w:val="0F1B5DB5"/>
    <w:rsid w:val="0F1B7B63"/>
    <w:rsid w:val="0F1D1B2D"/>
    <w:rsid w:val="0F264E85"/>
    <w:rsid w:val="0F2729AB"/>
    <w:rsid w:val="0F2954D4"/>
    <w:rsid w:val="0F2A424A"/>
    <w:rsid w:val="0F2A5FF8"/>
    <w:rsid w:val="0F2B249C"/>
    <w:rsid w:val="0F2B6A4C"/>
    <w:rsid w:val="0F2C7FC2"/>
    <w:rsid w:val="0F2D24A0"/>
    <w:rsid w:val="0F2E5AE8"/>
    <w:rsid w:val="0F2F5B7D"/>
    <w:rsid w:val="0F3477A2"/>
    <w:rsid w:val="0F380715"/>
    <w:rsid w:val="0F3D3F7D"/>
    <w:rsid w:val="0F3D5D2B"/>
    <w:rsid w:val="0F3F1AA3"/>
    <w:rsid w:val="0F423341"/>
    <w:rsid w:val="0F44530B"/>
    <w:rsid w:val="0F490B74"/>
    <w:rsid w:val="0F4C41C0"/>
    <w:rsid w:val="0F4E1CE6"/>
    <w:rsid w:val="0F535410"/>
    <w:rsid w:val="0F5372FC"/>
    <w:rsid w:val="0F543075"/>
    <w:rsid w:val="0F580DB7"/>
    <w:rsid w:val="0F582B65"/>
    <w:rsid w:val="0F5A5680"/>
    <w:rsid w:val="0F5D017B"/>
    <w:rsid w:val="0F5D63CD"/>
    <w:rsid w:val="0F5F3EF3"/>
    <w:rsid w:val="0F6239E3"/>
    <w:rsid w:val="0F625791"/>
    <w:rsid w:val="0F64150A"/>
    <w:rsid w:val="0F64775C"/>
    <w:rsid w:val="0F670FFA"/>
    <w:rsid w:val="0F672DA8"/>
    <w:rsid w:val="0F693C5F"/>
    <w:rsid w:val="0F6A2898"/>
    <w:rsid w:val="0F706100"/>
    <w:rsid w:val="0F707EAE"/>
    <w:rsid w:val="0F751969"/>
    <w:rsid w:val="0F783207"/>
    <w:rsid w:val="0F7F4595"/>
    <w:rsid w:val="0F81030D"/>
    <w:rsid w:val="0F8120BC"/>
    <w:rsid w:val="0F824086"/>
    <w:rsid w:val="0F84395A"/>
    <w:rsid w:val="0F87169C"/>
    <w:rsid w:val="0F8830AB"/>
    <w:rsid w:val="0F8C0A60"/>
    <w:rsid w:val="0F8C6CB2"/>
    <w:rsid w:val="0F8D4569"/>
    <w:rsid w:val="0F902CCD"/>
    <w:rsid w:val="0F916077"/>
    <w:rsid w:val="0F917E25"/>
    <w:rsid w:val="0F9718DF"/>
    <w:rsid w:val="0F987405"/>
    <w:rsid w:val="0FA20284"/>
    <w:rsid w:val="0FA47B58"/>
    <w:rsid w:val="0FA61B22"/>
    <w:rsid w:val="0FA714CC"/>
    <w:rsid w:val="0FA7589A"/>
    <w:rsid w:val="0FA77648"/>
    <w:rsid w:val="0FA97864"/>
    <w:rsid w:val="0FAE09D7"/>
    <w:rsid w:val="0FAE4E7B"/>
    <w:rsid w:val="0FAE6C29"/>
    <w:rsid w:val="0FB0474F"/>
    <w:rsid w:val="0FB24BD6"/>
    <w:rsid w:val="0FB669C1"/>
    <w:rsid w:val="0FBD0C1A"/>
    <w:rsid w:val="0FBD6E6C"/>
    <w:rsid w:val="0FC14BAE"/>
    <w:rsid w:val="0FC621C4"/>
    <w:rsid w:val="0FC85F3C"/>
    <w:rsid w:val="0FC87CEA"/>
    <w:rsid w:val="0FCC70AF"/>
    <w:rsid w:val="0FCD5301"/>
    <w:rsid w:val="0FCE1079"/>
    <w:rsid w:val="0FD0094D"/>
    <w:rsid w:val="0FD03043"/>
    <w:rsid w:val="0FD06B9F"/>
    <w:rsid w:val="0FD51400"/>
    <w:rsid w:val="0FD541B5"/>
    <w:rsid w:val="0FD61CDB"/>
    <w:rsid w:val="0FD77F2D"/>
    <w:rsid w:val="0FD83CA6"/>
    <w:rsid w:val="0FD94404"/>
    <w:rsid w:val="0FDA7A1E"/>
    <w:rsid w:val="0FDC5544"/>
    <w:rsid w:val="0FDF6DE2"/>
    <w:rsid w:val="0FE16FFE"/>
    <w:rsid w:val="0FE20680"/>
    <w:rsid w:val="0FE4089C"/>
    <w:rsid w:val="0FE4264A"/>
    <w:rsid w:val="0FE663C2"/>
    <w:rsid w:val="0FE91A0F"/>
    <w:rsid w:val="0FEB39D9"/>
    <w:rsid w:val="0FEC7938"/>
    <w:rsid w:val="0FEE6083"/>
    <w:rsid w:val="0FF116DF"/>
    <w:rsid w:val="0FF22FB9"/>
    <w:rsid w:val="0FF56606"/>
    <w:rsid w:val="0FF7237E"/>
    <w:rsid w:val="0FFA1E6E"/>
    <w:rsid w:val="0FFC3E38"/>
    <w:rsid w:val="0FFE370C"/>
    <w:rsid w:val="0FFF0EC2"/>
    <w:rsid w:val="0FFF1232"/>
    <w:rsid w:val="0FFF1A9C"/>
    <w:rsid w:val="10066A65"/>
    <w:rsid w:val="100B7BD7"/>
    <w:rsid w:val="100F5919"/>
    <w:rsid w:val="10101691"/>
    <w:rsid w:val="10134CDE"/>
    <w:rsid w:val="10142F30"/>
    <w:rsid w:val="10150A56"/>
    <w:rsid w:val="10152804"/>
    <w:rsid w:val="101A42BE"/>
    <w:rsid w:val="101C0036"/>
    <w:rsid w:val="1021389E"/>
    <w:rsid w:val="1021564D"/>
    <w:rsid w:val="10233173"/>
    <w:rsid w:val="10240C99"/>
    <w:rsid w:val="10264A11"/>
    <w:rsid w:val="10282537"/>
    <w:rsid w:val="102A0C8F"/>
    <w:rsid w:val="102A2753"/>
    <w:rsid w:val="102D2243"/>
    <w:rsid w:val="102E38C6"/>
    <w:rsid w:val="10341ED8"/>
    <w:rsid w:val="103435D2"/>
    <w:rsid w:val="10394744"/>
    <w:rsid w:val="103E7FAD"/>
    <w:rsid w:val="103F3D25"/>
    <w:rsid w:val="103F5AD3"/>
    <w:rsid w:val="1041184B"/>
    <w:rsid w:val="1043262A"/>
    <w:rsid w:val="10433325"/>
    <w:rsid w:val="10433815"/>
    <w:rsid w:val="104355C3"/>
    <w:rsid w:val="104906FF"/>
    <w:rsid w:val="10492BB2"/>
    <w:rsid w:val="104D4694"/>
    <w:rsid w:val="105013C5"/>
    <w:rsid w:val="10501A8E"/>
    <w:rsid w:val="10505F32"/>
    <w:rsid w:val="1053332C"/>
    <w:rsid w:val="105772C0"/>
    <w:rsid w:val="10593160"/>
    <w:rsid w:val="10594DE6"/>
    <w:rsid w:val="105C2DC6"/>
    <w:rsid w:val="105E08C5"/>
    <w:rsid w:val="105E41AB"/>
    <w:rsid w:val="106043C7"/>
    <w:rsid w:val="106317C1"/>
    <w:rsid w:val="10675755"/>
    <w:rsid w:val="1068327B"/>
    <w:rsid w:val="106A61FD"/>
    <w:rsid w:val="106B4B1A"/>
    <w:rsid w:val="106B68C8"/>
    <w:rsid w:val="106E1F77"/>
    <w:rsid w:val="106F63B8"/>
    <w:rsid w:val="1070147D"/>
    <w:rsid w:val="1072498F"/>
    <w:rsid w:val="1077526D"/>
    <w:rsid w:val="10783709"/>
    <w:rsid w:val="107B4D5D"/>
    <w:rsid w:val="10831E63"/>
    <w:rsid w:val="10833C11"/>
    <w:rsid w:val="10853E2D"/>
    <w:rsid w:val="108616C4"/>
    <w:rsid w:val="108654B0"/>
    <w:rsid w:val="10865ABA"/>
    <w:rsid w:val="10891786"/>
    <w:rsid w:val="108A31F2"/>
    <w:rsid w:val="108B0D18"/>
    <w:rsid w:val="108F0808"/>
    <w:rsid w:val="10907147"/>
    <w:rsid w:val="10923E54"/>
    <w:rsid w:val="10966FDE"/>
    <w:rsid w:val="109936C0"/>
    <w:rsid w:val="109C789E"/>
    <w:rsid w:val="109E4EEF"/>
    <w:rsid w:val="109E6C9D"/>
    <w:rsid w:val="10A32505"/>
    <w:rsid w:val="10A36062"/>
    <w:rsid w:val="10A65B52"/>
    <w:rsid w:val="10A67900"/>
    <w:rsid w:val="10A73DA4"/>
    <w:rsid w:val="10AC760C"/>
    <w:rsid w:val="10AD6EE0"/>
    <w:rsid w:val="10B464C1"/>
    <w:rsid w:val="10B63FE7"/>
    <w:rsid w:val="10B65D95"/>
    <w:rsid w:val="10B93AD7"/>
    <w:rsid w:val="10BC5375"/>
    <w:rsid w:val="10BE2E9B"/>
    <w:rsid w:val="10BE733F"/>
    <w:rsid w:val="10C10FE4"/>
    <w:rsid w:val="10C36704"/>
    <w:rsid w:val="10C55FD8"/>
    <w:rsid w:val="10C61D50"/>
    <w:rsid w:val="10C83D1A"/>
    <w:rsid w:val="10C85AC8"/>
    <w:rsid w:val="10CA7A92"/>
    <w:rsid w:val="10CC3E59"/>
    <w:rsid w:val="10CD52E9"/>
    <w:rsid w:val="10CF178C"/>
    <w:rsid w:val="10CF6E57"/>
    <w:rsid w:val="10D0497D"/>
    <w:rsid w:val="10D601E5"/>
    <w:rsid w:val="10D66437"/>
    <w:rsid w:val="10D676BD"/>
    <w:rsid w:val="10D97CD5"/>
    <w:rsid w:val="10DB1C9F"/>
    <w:rsid w:val="10DC1574"/>
    <w:rsid w:val="10DE709A"/>
    <w:rsid w:val="10E24DDC"/>
    <w:rsid w:val="10E50428"/>
    <w:rsid w:val="10E741A0"/>
    <w:rsid w:val="10EA0134"/>
    <w:rsid w:val="10EA3C90"/>
    <w:rsid w:val="10F22B45"/>
    <w:rsid w:val="10F42D61"/>
    <w:rsid w:val="10F60887"/>
    <w:rsid w:val="10F90377"/>
    <w:rsid w:val="10FE14EA"/>
    <w:rsid w:val="10FE598E"/>
    <w:rsid w:val="10FE6461"/>
    <w:rsid w:val="11001706"/>
    <w:rsid w:val="110805BA"/>
    <w:rsid w:val="110A01F1"/>
    <w:rsid w:val="110F1949"/>
    <w:rsid w:val="111156C1"/>
    <w:rsid w:val="1112515E"/>
    <w:rsid w:val="111331E7"/>
    <w:rsid w:val="11140D0D"/>
    <w:rsid w:val="11164A85"/>
    <w:rsid w:val="11166865"/>
    <w:rsid w:val="111923AE"/>
    <w:rsid w:val="111B02EE"/>
    <w:rsid w:val="111C65E6"/>
    <w:rsid w:val="111C6951"/>
    <w:rsid w:val="111D4066"/>
    <w:rsid w:val="111D5E14"/>
    <w:rsid w:val="111E0C8C"/>
    <w:rsid w:val="111E393A"/>
    <w:rsid w:val="11203B56"/>
    <w:rsid w:val="11205904"/>
    <w:rsid w:val="112076B2"/>
    <w:rsid w:val="11252483"/>
    <w:rsid w:val="112A22DF"/>
    <w:rsid w:val="112F3D99"/>
    <w:rsid w:val="113118BF"/>
    <w:rsid w:val="1131366D"/>
    <w:rsid w:val="11317B11"/>
    <w:rsid w:val="1134315E"/>
    <w:rsid w:val="11380EA0"/>
    <w:rsid w:val="113849FC"/>
    <w:rsid w:val="113B0990"/>
    <w:rsid w:val="113B145B"/>
    <w:rsid w:val="113B273E"/>
    <w:rsid w:val="113D0264"/>
    <w:rsid w:val="113F716A"/>
    <w:rsid w:val="114101DB"/>
    <w:rsid w:val="11427629"/>
    <w:rsid w:val="11457119"/>
    <w:rsid w:val="114B271D"/>
    <w:rsid w:val="114C04A7"/>
    <w:rsid w:val="114F1D45"/>
    <w:rsid w:val="11572401"/>
    <w:rsid w:val="115B06EA"/>
    <w:rsid w:val="115B693C"/>
    <w:rsid w:val="11643A43"/>
    <w:rsid w:val="116577BB"/>
    <w:rsid w:val="1173012A"/>
    <w:rsid w:val="117417AC"/>
    <w:rsid w:val="11743EDB"/>
    <w:rsid w:val="117619C8"/>
    <w:rsid w:val="11765524"/>
    <w:rsid w:val="117A1F45"/>
    <w:rsid w:val="117D2D56"/>
    <w:rsid w:val="117D4B05"/>
    <w:rsid w:val="11837A3E"/>
    <w:rsid w:val="11867E5D"/>
    <w:rsid w:val="11877731"/>
    <w:rsid w:val="118925A4"/>
    <w:rsid w:val="11895257"/>
    <w:rsid w:val="118A0FD0"/>
    <w:rsid w:val="118E0AC0"/>
    <w:rsid w:val="118E6D12"/>
    <w:rsid w:val="11904838"/>
    <w:rsid w:val="11916802"/>
    <w:rsid w:val="11924EB2"/>
    <w:rsid w:val="119360D6"/>
    <w:rsid w:val="11963E18"/>
    <w:rsid w:val="119A3908"/>
    <w:rsid w:val="119A7465"/>
    <w:rsid w:val="119B31DD"/>
    <w:rsid w:val="119B3D3D"/>
    <w:rsid w:val="119D0D03"/>
    <w:rsid w:val="119D51A7"/>
    <w:rsid w:val="119F0BF7"/>
    <w:rsid w:val="11A2456B"/>
    <w:rsid w:val="11A530A2"/>
    <w:rsid w:val="11A622AD"/>
    <w:rsid w:val="11A77DD3"/>
    <w:rsid w:val="11AC0F46"/>
    <w:rsid w:val="11AE2F10"/>
    <w:rsid w:val="11B03394"/>
    <w:rsid w:val="11B07E16"/>
    <w:rsid w:val="11B30526"/>
    <w:rsid w:val="11B36778"/>
    <w:rsid w:val="11B85B3D"/>
    <w:rsid w:val="11BA3663"/>
    <w:rsid w:val="11BD2B3B"/>
    <w:rsid w:val="11BD3153"/>
    <w:rsid w:val="11BD4180"/>
    <w:rsid w:val="11BF511D"/>
    <w:rsid w:val="11C20769"/>
    <w:rsid w:val="11C52912"/>
    <w:rsid w:val="11C73FD2"/>
    <w:rsid w:val="11C75D80"/>
    <w:rsid w:val="11CC15E8"/>
    <w:rsid w:val="11CE5360"/>
    <w:rsid w:val="11CE710E"/>
    <w:rsid w:val="11D87F8D"/>
    <w:rsid w:val="11DD37F5"/>
    <w:rsid w:val="11DF131B"/>
    <w:rsid w:val="11E132E5"/>
    <w:rsid w:val="11E42DD6"/>
    <w:rsid w:val="11E46932"/>
    <w:rsid w:val="11EB5F12"/>
    <w:rsid w:val="11EE5A02"/>
    <w:rsid w:val="11F56B6F"/>
    <w:rsid w:val="11F748B7"/>
    <w:rsid w:val="11F8062F"/>
    <w:rsid w:val="11F823DD"/>
    <w:rsid w:val="11FB6A1C"/>
    <w:rsid w:val="12046FD4"/>
    <w:rsid w:val="12064AFA"/>
    <w:rsid w:val="12080872"/>
    <w:rsid w:val="120945EA"/>
    <w:rsid w:val="120B0362"/>
    <w:rsid w:val="120D40DA"/>
    <w:rsid w:val="120E39AF"/>
    <w:rsid w:val="12105979"/>
    <w:rsid w:val="121277D8"/>
    <w:rsid w:val="12130FC5"/>
    <w:rsid w:val="12135E18"/>
    <w:rsid w:val="12170AB5"/>
    <w:rsid w:val="121921E1"/>
    <w:rsid w:val="12193EE8"/>
    <w:rsid w:val="121A2353"/>
    <w:rsid w:val="121D1E44"/>
    <w:rsid w:val="121D3BF2"/>
    <w:rsid w:val="122431D2"/>
    <w:rsid w:val="12274A70"/>
    <w:rsid w:val="12296A3A"/>
    <w:rsid w:val="122A4C8C"/>
    <w:rsid w:val="122B27B2"/>
    <w:rsid w:val="122B630F"/>
    <w:rsid w:val="122E4051"/>
    <w:rsid w:val="12301B77"/>
    <w:rsid w:val="12333415"/>
    <w:rsid w:val="12372F05"/>
    <w:rsid w:val="123D3ED5"/>
    <w:rsid w:val="123F625E"/>
    <w:rsid w:val="12445622"/>
    <w:rsid w:val="12486EC1"/>
    <w:rsid w:val="12490E8B"/>
    <w:rsid w:val="1250027F"/>
    <w:rsid w:val="12541D09"/>
    <w:rsid w:val="125515DD"/>
    <w:rsid w:val="125C0BBE"/>
    <w:rsid w:val="125C296C"/>
    <w:rsid w:val="125C471A"/>
    <w:rsid w:val="125C6E10"/>
    <w:rsid w:val="125D1D7E"/>
    <w:rsid w:val="126006AE"/>
    <w:rsid w:val="12681311"/>
    <w:rsid w:val="12685AF2"/>
    <w:rsid w:val="12696E37"/>
    <w:rsid w:val="126B2BAF"/>
    <w:rsid w:val="127B01FF"/>
    <w:rsid w:val="127C4DBC"/>
    <w:rsid w:val="127E6D86"/>
    <w:rsid w:val="127E71D7"/>
    <w:rsid w:val="12816876"/>
    <w:rsid w:val="12845600"/>
    <w:rsid w:val="1286260C"/>
    <w:rsid w:val="12891287"/>
    <w:rsid w:val="128A0D9B"/>
    <w:rsid w:val="128B3251"/>
    <w:rsid w:val="128F2D41"/>
    <w:rsid w:val="1292638E"/>
    <w:rsid w:val="12942106"/>
    <w:rsid w:val="12977E48"/>
    <w:rsid w:val="129B7938"/>
    <w:rsid w:val="129F0AAB"/>
    <w:rsid w:val="12A04F4F"/>
    <w:rsid w:val="12A103BE"/>
    <w:rsid w:val="12A72E93"/>
    <w:rsid w:val="12A762DD"/>
    <w:rsid w:val="12A83E03"/>
    <w:rsid w:val="12A8795F"/>
    <w:rsid w:val="12AA1929"/>
    <w:rsid w:val="12AD1419"/>
    <w:rsid w:val="12B02AB5"/>
    <w:rsid w:val="12B304D3"/>
    <w:rsid w:val="12B46304"/>
    <w:rsid w:val="12B502CE"/>
    <w:rsid w:val="12B5625B"/>
    <w:rsid w:val="12B565C6"/>
    <w:rsid w:val="12B66520"/>
    <w:rsid w:val="12B868C5"/>
    <w:rsid w:val="12BB4E18"/>
    <w:rsid w:val="12BE7183"/>
    <w:rsid w:val="12C10A21"/>
    <w:rsid w:val="12C16C73"/>
    <w:rsid w:val="12C30C3D"/>
    <w:rsid w:val="12C624DB"/>
    <w:rsid w:val="12C64289"/>
    <w:rsid w:val="12C66037"/>
    <w:rsid w:val="12C80001"/>
    <w:rsid w:val="12CA3D79"/>
    <w:rsid w:val="12D20E80"/>
    <w:rsid w:val="12D40754"/>
    <w:rsid w:val="12D44BF8"/>
    <w:rsid w:val="12D544CC"/>
    <w:rsid w:val="12D645DB"/>
    <w:rsid w:val="12D67209"/>
    <w:rsid w:val="12D90460"/>
    <w:rsid w:val="12D93FBD"/>
    <w:rsid w:val="12DB7D35"/>
    <w:rsid w:val="12DD1CFF"/>
    <w:rsid w:val="12E05BA7"/>
    <w:rsid w:val="12E50BB3"/>
    <w:rsid w:val="12E52961"/>
    <w:rsid w:val="12E560FF"/>
    <w:rsid w:val="12EA441C"/>
    <w:rsid w:val="12EB1878"/>
    <w:rsid w:val="12ED1816"/>
    <w:rsid w:val="12ED1BFE"/>
    <w:rsid w:val="12ED5CBA"/>
    <w:rsid w:val="12ED7A68"/>
    <w:rsid w:val="12EF37E0"/>
    <w:rsid w:val="12F2507E"/>
    <w:rsid w:val="12F31522"/>
    <w:rsid w:val="12F47048"/>
    <w:rsid w:val="12F928B1"/>
    <w:rsid w:val="12F9465F"/>
    <w:rsid w:val="12FC7CAB"/>
    <w:rsid w:val="12FD414F"/>
    <w:rsid w:val="13086650"/>
    <w:rsid w:val="130C5FE0"/>
    <w:rsid w:val="13113756"/>
    <w:rsid w:val="1312127D"/>
    <w:rsid w:val="13141499"/>
    <w:rsid w:val="13165211"/>
    <w:rsid w:val="131D498C"/>
    <w:rsid w:val="13225964"/>
    <w:rsid w:val="13234267"/>
    <w:rsid w:val="132E662D"/>
    <w:rsid w:val="132F1E2E"/>
    <w:rsid w:val="13313DF9"/>
    <w:rsid w:val="133236CD"/>
    <w:rsid w:val="13337B71"/>
    <w:rsid w:val="1336140F"/>
    <w:rsid w:val="13367661"/>
    <w:rsid w:val="133B07D3"/>
    <w:rsid w:val="133D09EF"/>
    <w:rsid w:val="13421B62"/>
    <w:rsid w:val="13453400"/>
    <w:rsid w:val="134578A4"/>
    <w:rsid w:val="1346146D"/>
    <w:rsid w:val="13491142"/>
    <w:rsid w:val="134D0507"/>
    <w:rsid w:val="134E49AB"/>
    <w:rsid w:val="134E6759"/>
    <w:rsid w:val="13545D39"/>
    <w:rsid w:val="1356385F"/>
    <w:rsid w:val="1356560D"/>
    <w:rsid w:val="135A1051"/>
    <w:rsid w:val="135B70C7"/>
    <w:rsid w:val="135D4BEE"/>
    <w:rsid w:val="136046DE"/>
    <w:rsid w:val="13631AD8"/>
    <w:rsid w:val="136441CE"/>
    <w:rsid w:val="13645F7C"/>
    <w:rsid w:val="13653AA2"/>
    <w:rsid w:val="136715C8"/>
    <w:rsid w:val="1367781A"/>
    <w:rsid w:val="136A2E67"/>
    <w:rsid w:val="136A72AD"/>
    <w:rsid w:val="136C4E31"/>
    <w:rsid w:val="136E7F4E"/>
    <w:rsid w:val="13702B73"/>
    <w:rsid w:val="137141F5"/>
    <w:rsid w:val="13715411"/>
    <w:rsid w:val="13737F6D"/>
    <w:rsid w:val="13750189"/>
    <w:rsid w:val="13763F01"/>
    <w:rsid w:val="13767A5D"/>
    <w:rsid w:val="137A57A0"/>
    <w:rsid w:val="137B1518"/>
    <w:rsid w:val="137C2EFC"/>
    <w:rsid w:val="137F6435"/>
    <w:rsid w:val="13816E0B"/>
    <w:rsid w:val="13854D45"/>
    <w:rsid w:val="13871C6A"/>
    <w:rsid w:val="13873A19"/>
    <w:rsid w:val="13893C35"/>
    <w:rsid w:val="138959E3"/>
    <w:rsid w:val="138A175B"/>
    <w:rsid w:val="138A52B7"/>
    <w:rsid w:val="138A5FE6"/>
    <w:rsid w:val="138E4DA7"/>
    <w:rsid w:val="13906D71"/>
    <w:rsid w:val="13914897"/>
    <w:rsid w:val="13936861"/>
    <w:rsid w:val="13954387"/>
    <w:rsid w:val="13985C26"/>
    <w:rsid w:val="139B3968"/>
    <w:rsid w:val="139D148E"/>
    <w:rsid w:val="139D188B"/>
    <w:rsid w:val="139D3726"/>
    <w:rsid w:val="139D4FEA"/>
    <w:rsid w:val="139F5206"/>
    <w:rsid w:val="13A02D2C"/>
    <w:rsid w:val="13A10F7E"/>
    <w:rsid w:val="13A24CF6"/>
    <w:rsid w:val="13A66595"/>
    <w:rsid w:val="13A7230D"/>
    <w:rsid w:val="13A9398F"/>
    <w:rsid w:val="13B011C1"/>
    <w:rsid w:val="13B3480E"/>
    <w:rsid w:val="13B567D8"/>
    <w:rsid w:val="13BA2040"/>
    <w:rsid w:val="13BB1914"/>
    <w:rsid w:val="13BC2C0C"/>
    <w:rsid w:val="13BD743A"/>
    <w:rsid w:val="13BF4D24"/>
    <w:rsid w:val="13C17AE4"/>
    <w:rsid w:val="13C22CA3"/>
    <w:rsid w:val="13CE33F5"/>
    <w:rsid w:val="13CF0515"/>
    <w:rsid w:val="13D11138"/>
    <w:rsid w:val="13D23B8F"/>
    <w:rsid w:val="13D84274"/>
    <w:rsid w:val="13D937D5"/>
    <w:rsid w:val="13DB5B12"/>
    <w:rsid w:val="13DD188A"/>
    <w:rsid w:val="13DF3855"/>
    <w:rsid w:val="13E073D9"/>
    <w:rsid w:val="13E1581F"/>
    <w:rsid w:val="13E175CD"/>
    <w:rsid w:val="13E40530"/>
    <w:rsid w:val="13EB044B"/>
    <w:rsid w:val="13EC5F71"/>
    <w:rsid w:val="13EE1CEA"/>
    <w:rsid w:val="13EE3A98"/>
    <w:rsid w:val="13EE708C"/>
    <w:rsid w:val="13F217DA"/>
    <w:rsid w:val="13F60B9E"/>
    <w:rsid w:val="13FA243C"/>
    <w:rsid w:val="13FC4407"/>
    <w:rsid w:val="13FF3EF7"/>
    <w:rsid w:val="14011A1D"/>
    <w:rsid w:val="140504E8"/>
    <w:rsid w:val="14055F2A"/>
    <w:rsid w:val="14060DE1"/>
    <w:rsid w:val="14072DAB"/>
    <w:rsid w:val="14074B59"/>
    <w:rsid w:val="14092680"/>
    <w:rsid w:val="140B495C"/>
    <w:rsid w:val="140B63F8"/>
    <w:rsid w:val="140C03C2"/>
    <w:rsid w:val="14101C60"/>
    <w:rsid w:val="14103A0E"/>
    <w:rsid w:val="141352AC"/>
    <w:rsid w:val="14164D9C"/>
    <w:rsid w:val="14180B15"/>
    <w:rsid w:val="14191878"/>
    <w:rsid w:val="141A2ADF"/>
    <w:rsid w:val="141B014F"/>
    <w:rsid w:val="141D612B"/>
    <w:rsid w:val="14216A2D"/>
    <w:rsid w:val="14221993"/>
    <w:rsid w:val="14290F74"/>
    <w:rsid w:val="142B0848"/>
    <w:rsid w:val="142E20E6"/>
    <w:rsid w:val="1432607A"/>
    <w:rsid w:val="1437705C"/>
    <w:rsid w:val="143A4F2F"/>
    <w:rsid w:val="143B34BC"/>
    <w:rsid w:val="143C4803"/>
    <w:rsid w:val="143E4A1F"/>
    <w:rsid w:val="144722DB"/>
    <w:rsid w:val="144B2C98"/>
    <w:rsid w:val="144D6A10"/>
    <w:rsid w:val="14522278"/>
    <w:rsid w:val="14531B4D"/>
    <w:rsid w:val="14535FF1"/>
    <w:rsid w:val="14571F34"/>
    <w:rsid w:val="1461070D"/>
    <w:rsid w:val="14634486"/>
    <w:rsid w:val="146354B5"/>
    <w:rsid w:val="14665D24"/>
    <w:rsid w:val="14667AD2"/>
    <w:rsid w:val="146B158C"/>
    <w:rsid w:val="147321EF"/>
    <w:rsid w:val="14755F67"/>
    <w:rsid w:val="14771CDF"/>
    <w:rsid w:val="147A3739"/>
    <w:rsid w:val="147B7751"/>
    <w:rsid w:val="147E306D"/>
    <w:rsid w:val="147E4E1C"/>
    <w:rsid w:val="147F6DE6"/>
    <w:rsid w:val="1481172D"/>
    <w:rsid w:val="14812B5E"/>
    <w:rsid w:val="14830684"/>
    <w:rsid w:val="14832432"/>
    <w:rsid w:val="14861F22"/>
    <w:rsid w:val="14863CD0"/>
    <w:rsid w:val="148B3DA9"/>
    <w:rsid w:val="148C0722"/>
    <w:rsid w:val="148F6029"/>
    <w:rsid w:val="14902DA1"/>
    <w:rsid w:val="1492680D"/>
    <w:rsid w:val="14943AA4"/>
    <w:rsid w:val="1494463F"/>
    <w:rsid w:val="14956609"/>
    <w:rsid w:val="14972381"/>
    <w:rsid w:val="1497412F"/>
    <w:rsid w:val="14977C8B"/>
    <w:rsid w:val="149E54BE"/>
    <w:rsid w:val="14A01236"/>
    <w:rsid w:val="14A14DE8"/>
    <w:rsid w:val="14A31207"/>
    <w:rsid w:val="14A405FA"/>
    <w:rsid w:val="14A57E39"/>
    <w:rsid w:val="14A625C4"/>
    <w:rsid w:val="14A64372"/>
    <w:rsid w:val="14A66120"/>
    <w:rsid w:val="14A8633C"/>
    <w:rsid w:val="14AA20B4"/>
    <w:rsid w:val="14AB1989"/>
    <w:rsid w:val="14AB256A"/>
    <w:rsid w:val="14AE3227"/>
    <w:rsid w:val="14AE7A5B"/>
    <w:rsid w:val="14AF1479"/>
    <w:rsid w:val="14B051F1"/>
    <w:rsid w:val="14B06F9F"/>
    <w:rsid w:val="14B44CE1"/>
    <w:rsid w:val="14B46A8F"/>
    <w:rsid w:val="14B7032D"/>
    <w:rsid w:val="14B87699"/>
    <w:rsid w:val="14BB6070"/>
    <w:rsid w:val="14BC1DE8"/>
    <w:rsid w:val="14BD497F"/>
    <w:rsid w:val="14C12F5A"/>
    <w:rsid w:val="14C16CBF"/>
    <w:rsid w:val="14C47EEF"/>
    <w:rsid w:val="14C52A4A"/>
    <w:rsid w:val="14CB202B"/>
    <w:rsid w:val="14CB3DD9"/>
    <w:rsid w:val="14CB5B87"/>
    <w:rsid w:val="14CF1965"/>
    <w:rsid w:val="14CF1B1B"/>
    <w:rsid w:val="14D01EE7"/>
    <w:rsid w:val="14D26F15"/>
    <w:rsid w:val="14D815EB"/>
    <w:rsid w:val="14D94748"/>
    <w:rsid w:val="14DB04C0"/>
    <w:rsid w:val="14E1184E"/>
    <w:rsid w:val="14E31122"/>
    <w:rsid w:val="14E41EA3"/>
    <w:rsid w:val="14E86739"/>
    <w:rsid w:val="14EA0703"/>
    <w:rsid w:val="14EF3F6B"/>
    <w:rsid w:val="14F11A91"/>
    <w:rsid w:val="14F35426"/>
    <w:rsid w:val="14F7697C"/>
    <w:rsid w:val="14FB646C"/>
    <w:rsid w:val="14FC21E4"/>
    <w:rsid w:val="14FE5EA8"/>
    <w:rsid w:val="15000AB2"/>
    <w:rsid w:val="15023C9F"/>
    <w:rsid w:val="150321ED"/>
    <w:rsid w:val="15063063"/>
    <w:rsid w:val="15080B89"/>
    <w:rsid w:val="15082475"/>
    <w:rsid w:val="150D14C3"/>
    <w:rsid w:val="150D2643"/>
    <w:rsid w:val="150F0169"/>
    <w:rsid w:val="150F3CC6"/>
    <w:rsid w:val="15111718"/>
    <w:rsid w:val="1514752E"/>
    <w:rsid w:val="15151F12"/>
    <w:rsid w:val="15170DCC"/>
    <w:rsid w:val="15194B44"/>
    <w:rsid w:val="151D418A"/>
    <w:rsid w:val="15211C4B"/>
    <w:rsid w:val="1522269D"/>
    <w:rsid w:val="15233C15"/>
    <w:rsid w:val="15270F29"/>
    <w:rsid w:val="15284D87"/>
    <w:rsid w:val="152A0AFF"/>
    <w:rsid w:val="152D05F0"/>
    <w:rsid w:val="152F1786"/>
    <w:rsid w:val="153100E0"/>
    <w:rsid w:val="15344AB2"/>
    <w:rsid w:val="153656F6"/>
    <w:rsid w:val="1537146E"/>
    <w:rsid w:val="1537321C"/>
    <w:rsid w:val="15396F94"/>
    <w:rsid w:val="153B0F5F"/>
    <w:rsid w:val="154A11A2"/>
    <w:rsid w:val="154C316C"/>
    <w:rsid w:val="154D0C92"/>
    <w:rsid w:val="154D6C36"/>
    <w:rsid w:val="154F0566"/>
    <w:rsid w:val="155206C0"/>
    <w:rsid w:val="15537355"/>
    <w:rsid w:val="15543DCE"/>
    <w:rsid w:val="155838BF"/>
    <w:rsid w:val="155C2C83"/>
    <w:rsid w:val="155D0ED5"/>
    <w:rsid w:val="155F3533"/>
    <w:rsid w:val="15610299"/>
    <w:rsid w:val="156166A0"/>
    <w:rsid w:val="15636923"/>
    <w:rsid w:val="1565422D"/>
    <w:rsid w:val="15655FDB"/>
    <w:rsid w:val="15671D54"/>
    <w:rsid w:val="15673B02"/>
    <w:rsid w:val="156C1118"/>
    <w:rsid w:val="156D6C3E"/>
    <w:rsid w:val="156F0C08"/>
    <w:rsid w:val="1571672E"/>
    <w:rsid w:val="157224A6"/>
    <w:rsid w:val="1573694A"/>
    <w:rsid w:val="15761F97"/>
    <w:rsid w:val="15783497"/>
    <w:rsid w:val="15791A87"/>
    <w:rsid w:val="157B75AD"/>
    <w:rsid w:val="157C1490"/>
    <w:rsid w:val="157E709D"/>
    <w:rsid w:val="157F52EF"/>
    <w:rsid w:val="15802E15"/>
    <w:rsid w:val="15804BC3"/>
    <w:rsid w:val="15836462"/>
    <w:rsid w:val="158521DA"/>
    <w:rsid w:val="15867F22"/>
    <w:rsid w:val="158A204F"/>
    <w:rsid w:val="158A5A42"/>
    <w:rsid w:val="15981F0D"/>
    <w:rsid w:val="159B421A"/>
    <w:rsid w:val="15A24B3A"/>
    <w:rsid w:val="15A563D8"/>
    <w:rsid w:val="15A9411A"/>
    <w:rsid w:val="15AA5BB2"/>
    <w:rsid w:val="15AC59B8"/>
    <w:rsid w:val="15AE34DE"/>
    <w:rsid w:val="15BB209F"/>
    <w:rsid w:val="15BB3E4D"/>
    <w:rsid w:val="15BB5BFB"/>
    <w:rsid w:val="15C01464"/>
    <w:rsid w:val="15C076B6"/>
    <w:rsid w:val="15C245AC"/>
    <w:rsid w:val="15C251DC"/>
    <w:rsid w:val="15C50828"/>
    <w:rsid w:val="15C727F2"/>
    <w:rsid w:val="15CA22E2"/>
    <w:rsid w:val="15CA4090"/>
    <w:rsid w:val="15CE1DD3"/>
    <w:rsid w:val="15CE3B81"/>
    <w:rsid w:val="15CE592F"/>
    <w:rsid w:val="15D54F0F"/>
    <w:rsid w:val="15D62A35"/>
    <w:rsid w:val="15D63EB2"/>
    <w:rsid w:val="15D8055B"/>
    <w:rsid w:val="15D849FF"/>
    <w:rsid w:val="15D942D4"/>
    <w:rsid w:val="15DA0777"/>
    <w:rsid w:val="15DD0268"/>
    <w:rsid w:val="15DF5D8E"/>
    <w:rsid w:val="15E0299E"/>
    <w:rsid w:val="15E073CE"/>
    <w:rsid w:val="15E45152"/>
    <w:rsid w:val="15E52C78"/>
    <w:rsid w:val="15EC4007"/>
    <w:rsid w:val="15F01D49"/>
    <w:rsid w:val="15F5735F"/>
    <w:rsid w:val="15F85DBC"/>
    <w:rsid w:val="15FA2BC8"/>
    <w:rsid w:val="15FA4976"/>
    <w:rsid w:val="15FA6724"/>
    <w:rsid w:val="15FD6214"/>
    <w:rsid w:val="16010B0C"/>
    <w:rsid w:val="160475A2"/>
    <w:rsid w:val="160550C9"/>
    <w:rsid w:val="16066C7F"/>
    <w:rsid w:val="16092E0B"/>
    <w:rsid w:val="16097616"/>
    <w:rsid w:val="160C28FB"/>
    <w:rsid w:val="160C6457"/>
    <w:rsid w:val="160E6673"/>
    <w:rsid w:val="16161084"/>
    <w:rsid w:val="161812A0"/>
    <w:rsid w:val="161A6DC6"/>
    <w:rsid w:val="161B48EC"/>
    <w:rsid w:val="161D1CFD"/>
    <w:rsid w:val="161F0C6A"/>
    <w:rsid w:val="16211750"/>
    <w:rsid w:val="16225C7A"/>
    <w:rsid w:val="162437A1"/>
    <w:rsid w:val="162639BD"/>
    <w:rsid w:val="162722CA"/>
    <w:rsid w:val="162776F9"/>
    <w:rsid w:val="162B4B2F"/>
    <w:rsid w:val="162D0289"/>
    <w:rsid w:val="162D072A"/>
    <w:rsid w:val="16302145"/>
    <w:rsid w:val="163360DA"/>
    <w:rsid w:val="16351E52"/>
    <w:rsid w:val="163548CE"/>
    <w:rsid w:val="163559AE"/>
    <w:rsid w:val="16361726"/>
    <w:rsid w:val="16377978"/>
    <w:rsid w:val="1638549E"/>
    <w:rsid w:val="163A2FC4"/>
    <w:rsid w:val="163A6BE5"/>
    <w:rsid w:val="163B0AEA"/>
    <w:rsid w:val="163F05DA"/>
    <w:rsid w:val="164107F7"/>
    <w:rsid w:val="16414353"/>
    <w:rsid w:val="164200CB"/>
    <w:rsid w:val="16426ED2"/>
    <w:rsid w:val="16445BF1"/>
    <w:rsid w:val="16473933"/>
    <w:rsid w:val="16493207"/>
    <w:rsid w:val="164B51D1"/>
    <w:rsid w:val="164B53B3"/>
    <w:rsid w:val="164B6F7F"/>
    <w:rsid w:val="164E081E"/>
    <w:rsid w:val="164E6A70"/>
    <w:rsid w:val="16526560"/>
    <w:rsid w:val="1653052A"/>
    <w:rsid w:val="16534086"/>
    <w:rsid w:val="165410D8"/>
    <w:rsid w:val="16551BAC"/>
    <w:rsid w:val="16557DFE"/>
    <w:rsid w:val="16573B76"/>
    <w:rsid w:val="165A18B8"/>
    <w:rsid w:val="165C73DE"/>
    <w:rsid w:val="165F2A2B"/>
    <w:rsid w:val="1663076D"/>
    <w:rsid w:val="16651096"/>
    <w:rsid w:val="16651F56"/>
    <w:rsid w:val="16660DE5"/>
    <w:rsid w:val="16693803"/>
    <w:rsid w:val="166938A9"/>
    <w:rsid w:val="166B13D0"/>
    <w:rsid w:val="166C5148"/>
    <w:rsid w:val="16730D71"/>
    <w:rsid w:val="16747E6A"/>
    <w:rsid w:val="16775FC6"/>
    <w:rsid w:val="16786FA1"/>
    <w:rsid w:val="167A3002"/>
    <w:rsid w:val="167A5AB7"/>
    <w:rsid w:val="167E55A7"/>
    <w:rsid w:val="168241F9"/>
    <w:rsid w:val="16826672"/>
    <w:rsid w:val="16826719"/>
    <w:rsid w:val="16831A50"/>
    <w:rsid w:val="16832BBD"/>
    <w:rsid w:val="16842491"/>
    <w:rsid w:val="16866209"/>
    <w:rsid w:val="16895CFA"/>
    <w:rsid w:val="168B1A72"/>
    <w:rsid w:val="168B28E9"/>
    <w:rsid w:val="16924BAE"/>
    <w:rsid w:val="169A3A63"/>
    <w:rsid w:val="169F376F"/>
    <w:rsid w:val="16A14DF1"/>
    <w:rsid w:val="16A3500D"/>
    <w:rsid w:val="16A36DBB"/>
    <w:rsid w:val="16A80F0A"/>
    <w:rsid w:val="16A918E4"/>
    <w:rsid w:val="16B25250"/>
    <w:rsid w:val="16B34B25"/>
    <w:rsid w:val="16B40FC8"/>
    <w:rsid w:val="16B56AEF"/>
    <w:rsid w:val="16B6583E"/>
    <w:rsid w:val="16B71B14"/>
    <w:rsid w:val="16B72867"/>
    <w:rsid w:val="16BC1C2B"/>
    <w:rsid w:val="16BC60CF"/>
    <w:rsid w:val="16C531D6"/>
    <w:rsid w:val="16CB00C0"/>
    <w:rsid w:val="16CE195E"/>
    <w:rsid w:val="16D1671C"/>
    <w:rsid w:val="16D36F75"/>
    <w:rsid w:val="16D76A65"/>
    <w:rsid w:val="16D8450A"/>
    <w:rsid w:val="16D927DD"/>
    <w:rsid w:val="16DE58DB"/>
    <w:rsid w:val="16DF3B6C"/>
    <w:rsid w:val="16DF591A"/>
    <w:rsid w:val="16E3540A"/>
    <w:rsid w:val="16E64EFA"/>
    <w:rsid w:val="16E86EC4"/>
    <w:rsid w:val="16E949A3"/>
    <w:rsid w:val="16ED0036"/>
    <w:rsid w:val="16F07B27"/>
    <w:rsid w:val="16FA09A5"/>
    <w:rsid w:val="16FE3FF2"/>
    <w:rsid w:val="17011D34"/>
    <w:rsid w:val="17033CFE"/>
    <w:rsid w:val="17045380"/>
    <w:rsid w:val="17057A40"/>
    <w:rsid w:val="17081314"/>
    <w:rsid w:val="170830C2"/>
    <w:rsid w:val="17084E70"/>
    <w:rsid w:val="170B3D13"/>
    <w:rsid w:val="170C60B6"/>
    <w:rsid w:val="1711641B"/>
    <w:rsid w:val="17207E4B"/>
    <w:rsid w:val="172D2B29"/>
    <w:rsid w:val="172F064F"/>
    <w:rsid w:val="17340FF1"/>
    <w:rsid w:val="1739327C"/>
    <w:rsid w:val="173D7210"/>
    <w:rsid w:val="1740037B"/>
    <w:rsid w:val="174322B7"/>
    <w:rsid w:val="174340FA"/>
    <w:rsid w:val="17463BEB"/>
    <w:rsid w:val="174A36DB"/>
    <w:rsid w:val="174A7237"/>
    <w:rsid w:val="174B2FAF"/>
    <w:rsid w:val="17516817"/>
    <w:rsid w:val="1752433D"/>
    <w:rsid w:val="17546308"/>
    <w:rsid w:val="17547C85"/>
    <w:rsid w:val="175B58E8"/>
    <w:rsid w:val="175C3CE3"/>
    <w:rsid w:val="175C5F2D"/>
    <w:rsid w:val="17602203"/>
    <w:rsid w:val="17602EFE"/>
    <w:rsid w:val="17604CAC"/>
    <w:rsid w:val="1763654B"/>
    <w:rsid w:val="176522C3"/>
    <w:rsid w:val="17667DE9"/>
    <w:rsid w:val="17683B61"/>
    <w:rsid w:val="176B75F2"/>
    <w:rsid w:val="176E561B"/>
    <w:rsid w:val="17716EB9"/>
    <w:rsid w:val="177249E0"/>
    <w:rsid w:val="177644D0"/>
    <w:rsid w:val="17771FF6"/>
    <w:rsid w:val="17780248"/>
    <w:rsid w:val="17793FC0"/>
    <w:rsid w:val="177A6850"/>
    <w:rsid w:val="1780534F"/>
    <w:rsid w:val="178070FD"/>
    <w:rsid w:val="17832749"/>
    <w:rsid w:val="17833C2E"/>
    <w:rsid w:val="17852965"/>
    <w:rsid w:val="17853868"/>
    <w:rsid w:val="1787048B"/>
    <w:rsid w:val="178C784F"/>
    <w:rsid w:val="178D5376"/>
    <w:rsid w:val="178E00D3"/>
    <w:rsid w:val="17936E30"/>
    <w:rsid w:val="17942BA8"/>
    <w:rsid w:val="17996410"/>
    <w:rsid w:val="179971D9"/>
    <w:rsid w:val="179D7CAF"/>
    <w:rsid w:val="17A308E9"/>
    <w:rsid w:val="17A32DEB"/>
    <w:rsid w:val="17A458B8"/>
    <w:rsid w:val="17A54DB5"/>
    <w:rsid w:val="17A70B2D"/>
    <w:rsid w:val="17A97E20"/>
    <w:rsid w:val="17AA23CB"/>
    <w:rsid w:val="17AA5F28"/>
    <w:rsid w:val="17AD5A18"/>
    <w:rsid w:val="17AE3C6A"/>
    <w:rsid w:val="17AF2B07"/>
    <w:rsid w:val="17B11066"/>
    <w:rsid w:val="17B275A0"/>
    <w:rsid w:val="17B45A3F"/>
    <w:rsid w:val="17B97F3E"/>
    <w:rsid w:val="17BB0135"/>
    <w:rsid w:val="17BD3EAD"/>
    <w:rsid w:val="17C36FE9"/>
    <w:rsid w:val="17C401C6"/>
    <w:rsid w:val="17C52D61"/>
    <w:rsid w:val="17D04D35"/>
    <w:rsid w:val="17D17958"/>
    <w:rsid w:val="17D411F6"/>
    <w:rsid w:val="17D507FF"/>
    <w:rsid w:val="17D66D1D"/>
    <w:rsid w:val="17DD454F"/>
    <w:rsid w:val="17E21B65"/>
    <w:rsid w:val="17E92EF4"/>
    <w:rsid w:val="17EC6540"/>
    <w:rsid w:val="17F04282"/>
    <w:rsid w:val="17F2365A"/>
    <w:rsid w:val="17F3167D"/>
    <w:rsid w:val="17F32F12"/>
    <w:rsid w:val="17F37D32"/>
    <w:rsid w:val="17F453F5"/>
    <w:rsid w:val="17F6116D"/>
    <w:rsid w:val="17F92A0B"/>
    <w:rsid w:val="17FB2C27"/>
    <w:rsid w:val="17FB49D5"/>
    <w:rsid w:val="17FE0021"/>
    <w:rsid w:val="17FF6273"/>
    <w:rsid w:val="180026D3"/>
    <w:rsid w:val="18041ADC"/>
    <w:rsid w:val="180715CC"/>
    <w:rsid w:val="180B10BC"/>
    <w:rsid w:val="180C273E"/>
    <w:rsid w:val="181066D2"/>
    <w:rsid w:val="181141F9"/>
    <w:rsid w:val="18133ACD"/>
    <w:rsid w:val="18137F71"/>
    <w:rsid w:val="181B6E25"/>
    <w:rsid w:val="181B79BC"/>
    <w:rsid w:val="1824217E"/>
    <w:rsid w:val="18273A1C"/>
    <w:rsid w:val="182C4B8E"/>
    <w:rsid w:val="183028D1"/>
    <w:rsid w:val="183121A5"/>
    <w:rsid w:val="18316649"/>
    <w:rsid w:val="18371EB1"/>
    <w:rsid w:val="183F12A7"/>
    <w:rsid w:val="184620F4"/>
    <w:rsid w:val="184A37E9"/>
    <w:rsid w:val="184C5231"/>
    <w:rsid w:val="1856343F"/>
    <w:rsid w:val="185D724A"/>
    <w:rsid w:val="185F6D12"/>
    <w:rsid w:val="18610CDC"/>
    <w:rsid w:val="1864257A"/>
    <w:rsid w:val="186503F1"/>
    <w:rsid w:val="1867217A"/>
    <w:rsid w:val="18673E19"/>
    <w:rsid w:val="186802BC"/>
    <w:rsid w:val="18690202"/>
    <w:rsid w:val="18695DE3"/>
    <w:rsid w:val="186C7681"/>
    <w:rsid w:val="18716A45"/>
    <w:rsid w:val="18722EE9"/>
    <w:rsid w:val="18730A0F"/>
    <w:rsid w:val="187529D9"/>
    <w:rsid w:val="187A1D9E"/>
    <w:rsid w:val="187B3D57"/>
    <w:rsid w:val="187C3D68"/>
    <w:rsid w:val="187F5606"/>
    <w:rsid w:val="188032F2"/>
    <w:rsid w:val="1881312C"/>
    <w:rsid w:val="188350F6"/>
    <w:rsid w:val="18842C1C"/>
    <w:rsid w:val="18866995"/>
    <w:rsid w:val="18887BCD"/>
    <w:rsid w:val="188B7B07"/>
    <w:rsid w:val="188F1654"/>
    <w:rsid w:val="189015C1"/>
    <w:rsid w:val="189027D1"/>
    <w:rsid w:val="189060C3"/>
    <w:rsid w:val="189164BD"/>
    <w:rsid w:val="18956BD8"/>
    <w:rsid w:val="189664AC"/>
    <w:rsid w:val="18987ABC"/>
    <w:rsid w:val="189A2440"/>
    <w:rsid w:val="189B3AC2"/>
    <w:rsid w:val="189C7F66"/>
    <w:rsid w:val="189D5721"/>
    <w:rsid w:val="189D7A20"/>
    <w:rsid w:val="189E3CDE"/>
    <w:rsid w:val="18A1098D"/>
    <w:rsid w:val="18A1557C"/>
    <w:rsid w:val="18A40BC9"/>
    <w:rsid w:val="18A4506D"/>
    <w:rsid w:val="18A706B9"/>
    <w:rsid w:val="18A92683"/>
    <w:rsid w:val="18AD2173"/>
    <w:rsid w:val="18B12486"/>
    <w:rsid w:val="18B352B0"/>
    <w:rsid w:val="18B5797C"/>
    <w:rsid w:val="18B708FC"/>
    <w:rsid w:val="18BE612E"/>
    <w:rsid w:val="18BF5A03"/>
    <w:rsid w:val="18C64FE3"/>
    <w:rsid w:val="18C748B7"/>
    <w:rsid w:val="18CC35FF"/>
    <w:rsid w:val="18CD0120"/>
    <w:rsid w:val="18CE20EA"/>
    <w:rsid w:val="18D21BDA"/>
    <w:rsid w:val="18D41D91"/>
    <w:rsid w:val="18D45952"/>
    <w:rsid w:val="18D53478"/>
    <w:rsid w:val="18DC65B5"/>
    <w:rsid w:val="18DC7A43"/>
    <w:rsid w:val="18DF722B"/>
    <w:rsid w:val="18E13BCB"/>
    <w:rsid w:val="18E611E1"/>
    <w:rsid w:val="18E67433"/>
    <w:rsid w:val="18E732AE"/>
    <w:rsid w:val="18E74E78"/>
    <w:rsid w:val="18E84F59"/>
    <w:rsid w:val="18E86D07"/>
    <w:rsid w:val="18E92A80"/>
    <w:rsid w:val="18EB2C9C"/>
    <w:rsid w:val="18EF0346"/>
    <w:rsid w:val="18F002B2"/>
    <w:rsid w:val="18F02060"/>
    <w:rsid w:val="18F2402A"/>
    <w:rsid w:val="18F558C8"/>
    <w:rsid w:val="18F90F15"/>
    <w:rsid w:val="18F953B8"/>
    <w:rsid w:val="18FA6A3B"/>
    <w:rsid w:val="18FF4051"/>
    <w:rsid w:val="1901601B"/>
    <w:rsid w:val="19033B41"/>
    <w:rsid w:val="190D2C12"/>
    <w:rsid w:val="190E24E6"/>
    <w:rsid w:val="191044B0"/>
    <w:rsid w:val="1910625E"/>
    <w:rsid w:val="19121A44"/>
    <w:rsid w:val="19127B40"/>
    <w:rsid w:val="19137AFC"/>
    <w:rsid w:val="19157D18"/>
    <w:rsid w:val="19197809"/>
    <w:rsid w:val="191B4526"/>
    <w:rsid w:val="191C10A7"/>
    <w:rsid w:val="191C4C03"/>
    <w:rsid w:val="191F5BC5"/>
    <w:rsid w:val="19201EEC"/>
    <w:rsid w:val="19212219"/>
    <w:rsid w:val="192817FA"/>
    <w:rsid w:val="192B4E46"/>
    <w:rsid w:val="19306900"/>
    <w:rsid w:val="193A0F3F"/>
    <w:rsid w:val="19410B0E"/>
    <w:rsid w:val="19413054"/>
    <w:rsid w:val="19434886"/>
    <w:rsid w:val="1945415A"/>
    <w:rsid w:val="19454938"/>
    <w:rsid w:val="194B7296"/>
    <w:rsid w:val="194C230F"/>
    <w:rsid w:val="194C5776"/>
    <w:rsid w:val="194D300E"/>
    <w:rsid w:val="19515D36"/>
    <w:rsid w:val="19524AC9"/>
    <w:rsid w:val="19560639"/>
    <w:rsid w:val="195720DF"/>
    <w:rsid w:val="19573038"/>
    <w:rsid w:val="19573E8D"/>
    <w:rsid w:val="19587403"/>
    <w:rsid w:val="19595E57"/>
    <w:rsid w:val="195C5947"/>
    <w:rsid w:val="19602C5A"/>
    <w:rsid w:val="19632832"/>
    <w:rsid w:val="196640D0"/>
    <w:rsid w:val="1968609A"/>
    <w:rsid w:val="196C6D5D"/>
    <w:rsid w:val="196D545F"/>
    <w:rsid w:val="196F567B"/>
    <w:rsid w:val="19762565"/>
    <w:rsid w:val="19763EFC"/>
    <w:rsid w:val="1977452F"/>
    <w:rsid w:val="19783AB2"/>
    <w:rsid w:val="198042E5"/>
    <w:rsid w:val="1981715C"/>
    <w:rsid w:val="1987057E"/>
    <w:rsid w:val="19874772"/>
    <w:rsid w:val="198804EA"/>
    <w:rsid w:val="198A02A8"/>
    <w:rsid w:val="198D3D53"/>
    <w:rsid w:val="198F3627"/>
    <w:rsid w:val="199155F1"/>
    <w:rsid w:val="1991739F"/>
    <w:rsid w:val="19932BB3"/>
    <w:rsid w:val="19946E8F"/>
    <w:rsid w:val="19962C07"/>
    <w:rsid w:val="19972971"/>
    <w:rsid w:val="1998195B"/>
    <w:rsid w:val="199B1FCC"/>
    <w:rsid w:val="199E2BFC"/>
    <w:rsid w:val="19A35324"/>
    <w:rsid w:val="19A60971"/>
    <w:rsid w:val="19A76BC3"/>
    <w:rsid w:val="19A97D0F"/>
    <w:rsid w:val="19AA0461"/>
    <w:rsid w:val="19AC242B"/>
    <w:rsid w:val="19AC5F87"/>
    <w:rsid w:val="19AD1CFF"/>
    <w:rsid w:val="19B20B5B"/>
    <w:rsid w:val="19B25567"/>
    <w:rsid w:val="19B47531"/>
    <w:rsid w:val="19B608B3"/>
    <w:rsid w:val="19B66E06"/>
    <w:rsid w:val="19BA78F9"/>
    <w:rsid w:val="19BB08C0"/>
    <w:rsid w:val="19BD0194"/>
    <w:rsid w:val="19BE215E"/>
    <w:rsid w:val="19C07C84"/>
    <w:rsid w:val="19C534ED"/>
    <w:rsid w:val="19CA0B03"/>
    <w:rsid w:val="19CA28B1"/>
    <w:rsid w:val="19CC487B"/>
    <w:rsid w:val="19D10838"/>
    <w:rsid w:val="19D13D4F"/>
    <w:rsid w:val="19D14F58"/>
    <w:rsid w:val="19D674A8"/>
    <w:rsid w:val="19DB2D10"/>
    <w:rsid w:val="19DD0836"/>
    <w:rsid w:val="19DE010A"/>
    <w:rsid w:val="19DF0415"/>
    <w:rsid w:val="19E35721"/>
    <w:rsid w:val="19EC2827"/>
    <w:rsid w:val="19EC2F73"/>
    <w:rsid w:val="19EC6C78"/>
    <w:rsid w:val="19EC6CCB"/>
    <w:rsid w:val="19F142E2"/>
    <w:rsid w:val="19F60EE6"/>
    <w:rsid w:val="19F65A51"/>
    <w:rsid w:val="19F8741E"/>
    <w:rsid w:val="19F90A68"/>
    <w:rsid w:val="19FD67E3"/>
    <w:rsid w:val="19FE255B"/>
    <w:rsid w:val="1A0538E9"/>
    <w:rsid w:val="1A057D8D"/>
    <w:rsid w:val="1A07140F"/>
    <w:rsid w:val="1A077661"/>
    <w:rsid w:val="1A0C4C78"/>
    <w:rsid w:val="1A0E09F0"/>
    <w:rsid w:val="1A0F4768"/>
    <w:rsid w:val="1A134258"/>
    <w:rsid w:val="1A141D7E"/>
    <w:rsid w:val="1A143B2C"/>
    <w:rsid w:val="1A187AC0"/>
    <w:rsid w:val="1A1D50D7"/>
    <w:rsid w:val="1A1F2F75"/>
    <w:rsid w:val="1A206975"/>
    <w:rsid w:val="1A2226ED"/>
    <w:rsid w:val="1A247F4C"/>
    <w:rsid w:val="1A253F8B"/>
    <w:rsid w:val="1A271AB1"/>
    <w:rsid w:val="1A28612F"/>
    <w:rsid w:val="1A304E0A"/>
    <w:rsid w:val="1A324E27"/>
    <w:rsid w:val="1A383CBF"/>
    <w:rsid w:val="1A385A6D"/>
    <w:rsid w:val="1A393593"/>
    <w:rsid w:val="1A3A17E5"/>
    <w:rsid w:val="1A3A2D21"/>
    <w:rsid w:val="1A3B37AF"/>
    <w:rsid w:val="1A3D7527"/>
    <w:rsid w:val="1A3F504D"/>
    <w:rsid w:val="1A3F6DFB"/>
    <w:rsid w:val="1A411D4B"/>
    <w:rsid w:val="1A420699"/>
    <w:rsid w:val="1A4268EB"/>
    <w:rsid w:val="1A433660"/>
    <w:rsid w:val="1A4563DB"/>
    <w:rsid w:val="1A472154"/>
    <w:rsid w:val="1A490804"/>
    <w:rsid w:val="1A4B1C44"/>
    <w:rsid w:val="1A4C6E11"/>
    <w:rsid w:val="1A5006E7"/>
    <w:rsid w:val="1A511840"/>
    <w:rsid w:val="1A5328A6"/>
    <w:rsid w:val="1A5501C1"/>
    <w:rsid w:val="1A577B98"/>
    <w:rsid w:val="1A5B5BFF"/>
    <w:rsid w:val="1A5B6C04"/>
    <w:rsid w:val="1A5D1977"/>
    <w:rsid w:val="1A5D3725"/>
    <w:rsid w:val="1A5F2FF9"/>
    <w:rsid w:val="1A613215"/>
    <w:rsid w:val="1A626F8D"/>
    <w:rsid w:val="1A631EC8"/>
    <w:rsid w:val="1A644AB4"/>
    <w:rsid w:val="1A66082C"/>
    <w:rsid w:val="1A6745A4"/>
    <w:rsid w:val="1A7016AA"/>
    <w:rsid w:val="1A705206"/>
    <w:rsid w:val="1A7171D0"/>
    <w:rsid w:val="1A734CF7"/>
    <w:rsid w:val="1A734E7B"/>
    <w:rsid w:val="1A750A6F"/>
    <w:rsid w:val="1A7867B1"/>
    <w:rsid w:val="1A82318C"/>
    <w:rsid w:val="1A824F3A"/>
    <w:rsid w:val="1A89451A"/>
    <w:rsid w:val="1A8962C8"/>
    <w:rsid w:val="1A8C5A32"/>
    <w:rsid w:val="1A8D2229"/>
    <w:rsid w:val="1A907657"/>
    <w:rsid w:val="1A9541C4"/>
    <w:rsid w:val="1A96061E"/>
    <w:rsid w:val="1A994BDC"/>
    <w:rsid w:val="1A9C249F"/>
    <w:rsid w:val="1A9D1D74"/>
    <w:rsid w:val="1A9D7FC6"/>
    <w:rsid w:val="1A9E473D"/>
    <w:rsid w:val="1AA11864"/>
    <w:rsid w:val="1AA17AB6"/>
    <w:rsid w:val="1AA2738A"/>
    <w:rsid w:val="1AA43102"/>
    <w:rsid w:val="1AA62789"/>
    <w:rsid w:val="1AA75E0B"/>
    <w:rsid w:val="1AA87F3E"/>
    <w:rsid w:val="1AAB4490"/>
    <w:rsid w:val="1AAB6C47"/>
    <w:rsid w:val="1AB0041E"/>
    <w:rsid w:val="1AB07CF9"/>
    <w:rsid w:val="1AB175CD"/>
    <w:rsid w:val="1AB62E35"/>
    <w:rsid w:val="1AB64BE3"/>
    <w:rsid w:val="1ABC669E"/>
    <w:rsid w:val="1ABD41C4"/>
    <w:rsid w:val="1ABD5F72"/>
    <w:rsid w:val="1ABE5CF0"/>
    <w:rsid w:val="1ABF453B"/>
    <w:rsid w:val="1AC24D56"/>
    <w:rsid w:val="1AC45552"/>
    <w:rsid w:val="1AC63078"/>
    <w:rsid w:val="1AC90DBB"/>
    <w:rsid w:val="1ACB0C72"/>
    <w:rsid w:val="1AD05CA5"/>
    <w:rsid w:val="1AD35795"/>
    <w:rsid w:val="1AD63F77"/>
    <w:rsid w:val="1AD67034"/>
    <w:rsid w:val="1AD87250"/>
    <w:rsid w:val="1ADA100B"/>
    <w:rsid w:val="1ADA6B24"/>
    <w:rsid w:val="1ADB4EE3"/>
    <w:rsid w:val="1ADC289C"/>
    <w:rsid w:val="1ADE4866"/>
    <w:rsid w:val="1ADE7EDD"/>
    <w:rsid w:val="1ADF146C"/>
    <w:rsid w:val="1AE41750"/>
    <w:rsid w:val="1AE9320B"/>
    <w:rsid w:val="1AE94FB9"/>
    <w:rsid w:val="1AEB2ADF"/>
    <w:rsid w:val="1AED2CFB"/>
    <w:rsid w:val="1AEF6A73"/>
    <w:rsid w:val="1AF37BE5"/>
    <w:rsid w:val="1AF403D1"/>
    <w:rsid w:val="1AF51BB0"/>
    <w:rsid w:val="1AF53561"/>
    <w:rsid w:val="1AF776D6"/>
    <w:rsid w:val="1AF916A0"/>
    <w:rsid w:val="1AFA5418"/>
    <w:rsid w:val="1AFC6A9A"/>
    <w:rsid w:val="1AFD2812"/>
    <w:rsid w:val="1AFF2A2E"/>
    <w:rsid w:val="1B012302"/>
    <w:rsid w:val="1B027E29"/>
    <w:rsid w:val="1B065B6B"/>
    <w:rsid w:val="1B09565B"/>
    <w:rsid w:val="1B0B4F2F"/>
    <w:rsid w:val="1B0E4A1F"/>
    <w:rsid w:val="1B0E5853"/>
    <w:rsid w:val="1B126AF3"/>
    <w:rsid w:val="1B155DAE"/>
    <w:rsid w:val="1B1738D4"/>
    <w:rsid w:val="1B197D8B"/>
    <w:rsid w:val="1B1F4E7E"/>
    <w:rsid w:val="1B2129A5"/>
    <w:rsid w:val="1B267FBB"/>
    <w:rsid w:val="1B284CAF"/>
    <w:rsid w:val="1B291859"/>
    <w:rsid w:val="1B2B737F"/>
    <w:rsid w:val="1B2E0C1E"/>
    <w:rsid w:val="1B2E68A2"/>
    <w:rsid w:val="1B2E6E70"/>
    <w:rsid w:val="1B2F50C2"/>
    <w:rsid w:val="1B3A75C2"/>
    <w:rsid w:val="1B3C77DE"/>
    <w:rsid w:val="1B3E3557"/>
    <w:rsid w:val="1B3F107D"/>
    <w:rsid w:val="1B416BA3"/>
    <w:rsid w:val="1B4346C9"/>
    <w:rsid w:val="1B440441"/>
    <w:rsid w:val="1B4641B9"/>
    <w:rsid w:val="1B4668DD"/>
    <w:rsid w:val="1B49431C"/>
    <w:rsid w:val="1B4A1EFB"/>
    <w:rsid w:val="1B4B7A22"/>
    <w:rsid w:val="1B4D19EC"/>
    <w:rsid w:val="1B4D5548"/>
    <w:rsid w:val="1B504F03"/>
    <w:rsid w:val="1B510746"/>
    <w:rsid w:val="1B520DB0"/>
    <w:rsid w:val="1B530684"/>
    <w:rsid w:val="1B5508A0"/>
    <w:rsid w:val="1B5A1A13"/>
    <w:rsid w:val="1B5F527B"/>
    <w:rsid w:val="1B634D6B"/>
    <w:rsid w:val="1B6603B7"/>
    <w:rsid w:val="1B6D1746"/>
    <w:rsid w:val="1B6F1962"/>
    <w:rsid w:val="1B724FAE"/>
    <w:rsid w:val="1B746217"/>
    <w:rsid w:val="1B75684C"/>
    <w:rsid w:val="1B770817"/>
    <w:rsid w:val="1B7A20B5"/>
    <w:rsid w:val="1B7C7BDB"/>
    <w:rsid w:val="1B7F1479"/>
    <w:rsid w:val="1B83540D"/>
    <w:rsid w:val="1B836421"/>
    <w:rsid w:val="1B852F33"/>
    <w:rsid w:val="1B860A5A"/>
    <w:rsid w:val="1B862808"/>
    <w:rsid w:val="1B8A679C"/>
    <w:rsid w:val="1B8B6070"/>
    <w:rsid w:val="1B8C2514"/>
    <w:rsid w:val="1B8F790E"/>
    <w:rsid w:val="1B9413C8"/>
    <w:rsid w:val="1B943177"/>
    <w:rsid w:val="1B965141"/>
    <w:rsid w:val="1B970EB9"/>
    <w:rsid w:val="1B972C67"/>
    <w:rsid w:val="1B98342C"/>
    <w:rsid w:val="1B99078D"/>
    <w:rsid w:val="1B9969DF"/>
    <w:rsid w:val="1B9C202B"/>
    <w:rsid w:val="1B9D4801"/>
    <w:rsid w:val="1B9F38C9"/>
    <w:rsid w:val="1BA17641"/>
    <w:rsid w:val="1BA23AE5"/>
    <w:rsid w:val="1BA64C58"/>
    <w:rsid w:val="1BA809D0"/>
    <w:rsid w:val="1BAA299A"/>
    <w:rsid w:val="1BB27AA1"/>
    <w:rsid w:val="1BB750B7"/>
    <w:rsid w:val="1BB76E65"/>
    <w:rsid w:val="1BBE036A"/>
    <w:rsid w:val="1BC03F6C"/>
    <w:rsid w:val="1BC11839"/>
    <w:rsid w:val="1BC21F3A"/>
    <w:rsid w:val="1BC25F36"/>
    <w:rsid w:val="1BC33A5C"/>
    <w:rsid w:val="1BC670A8"/>
    <w:rsid w:val="1BCA303C"/>
    <w:rsid w:val="1BCA6B98"/>
    <w:rsid w:val="1BCB2DA2"/>
    <w:rsid w:val="1BCB46BE"/>
    <w:rsid w:val="1BCC0B62"/>
    <w:rsid w:val="1BCD6688"/>
    <w:rsid w:val="1BD143CB"/>
    <w:rsid w:val="1BD83AE2"/>
    <w:rsid w:val="1BDF39B5"/>
    <w:rsid w:val="1BE37C5A"/>
    <w:rsid w:val="1BE86D80"/>
    <w:rsid w:val="1BEA2D97"/>
    <w:rsid w:val="1BEA548C"/>
    <w:rsid w:val="1BEE6D2B"/>
    <w:rsid w:val="1BEF2AA3"/>
    <w:rsid w:val="1BEF65FF"/>
    <w:rsid w:val="1BF105C9"/>
    <w:rsid w:val="1BF14125"/>
    <w:rsid w:val="1BF27E9D"/>
    <w:rsid w:val="1BF41E67"/>
    <w:rsid w:val="1BF6798D"/>
    <w:rsid w:val="1BFC2ACA"/>
    <w:rsid w:val="1BFD51C0"/>
    <w:rsid w:val="1C000618"/>
    <w:rsid w:val="1C024584"/>
    <w:rsid w:val="1C0876C1"/>
    <w:rsid w:val="1C0A168B"/>
    <w:rsid w:val="1C0A51E7"/>
    <w:rsid w:val="1C0C002B"/>
    <w:rsid w:val="1C0C0F5F"/>
    <w:rsid w:val="1C0F4EF3"/>
    <w:rsid w:val="1C0F6CA1"/>
    <w:rsid w:val="1C131164"/>
    <w:rsid w:val="1C136791"/>
    <w:rsid w:val="1C142509"/>
    <w:rsid w:val="1C16002F"/>
    <w:rsid w:val="1C185B56"/>
    <w:rsid w:val="1C1C24C7"/>
    <w:rsid w:val="1C1D13BE"/>
    <w:rsid w:val="1C1E6277"/>
    <w:rsid w:val="1C220782"/>
    <w:rsid w:val="1C27223D"/>
    <w:rsid w:val="1C281B11"/>
    <w:rsid w:val="1C2838BF"/>
    <w:rsid w:val="1C332906"/>
    <w:rsid w:val="1C365FDC"/>
    <w:rsid w:val="1C393D1E"/>
    <w:rsid w:val="1C3B5CE8"/>
    <w:rsid w:val="1C3F5422"/>
    <w:rsid w:val="1C406E5A"/>
    <w:rsid w:val="1C4416D3"/>
    <w:rsid w:val="1C444B9D"/>
    <w:rsid w:val="1C450915"/>
    <w:rsid w:val="1C4526C3"/>
    <w:rsid w:val="1C454471"/>
    <w:rsid w:val="1C4701E9"/>
    <w:rsid w:val="1C47468D"/>
    <w:rsid w:val="1C4A7CD9"/>
    <w:rsid w:val="1C4C3AE1"/>
    <w:rsid w:val="1C4F709D"/>
    <w:rsid w:val="1C590024"/>
    <w:rsid w:val="1C5A0F9C"/>
    <w:rsid w:val="1C5F19D6"/>
    <w:rsid w:val="1C60574F"/>
    <w:rsid w:val="1C624C5C"/>
    <w:rsid w:val="1C6568C1"/>
    <w:rsid w:val="1C69015F"/>
    <w:rsid w:val="1C6A2129"/>
    <w:rsid w:val="1C6C5EA1"/>
    <w:rsid w:val="1C6E5776"/>
    <w:rsid w:val="1C6E7E6B"/>
    <w:rsid w:val="1C6F14EE"/>
    <w:rsid w:val="1C735482"/>
    <w:rsid w:val="1C752FA8"/>
    <w:rsid w:val="1C76287C"/>
    <w:rsid w:val="1C796E82"/>
    <w:rsid w:val="1C7A5D5E"/>
    <w:rsid w:val="1C7B60E4"/>
    <w:rsid w:val="1C7D1E5D"/>
    <w:rsid w:val="1C7E5ABB"/>
    <w:rsid w:val="1C817B9F"/>
    <w:rsid w:val="1C827473"/>
    <w:rsid w:val="1C8A6328"/>
    <w:rsid w:val="1C8E406A"/>
    <w:rsid w:val="1C8E5E18"/>
    <w:rsid w:val="1C9378D2"/>
    <w:rsid w:val="1C9F1DD3"/>
    <w:rsid w:val="1C9F202D"/>
    <w:rsid w:val="1CA67605"/>
    <w:rsid w:val="1CA7512B"/>
    <w:rsid w:val="1CA76EDA"/>
    <w:rsid w:val="1CAB69CA"/>
    <w:rsid w:val="1CAC629E"/>
    <w:rsid w:val="1CAF5740"/>
    <w:rsid w:val="1CB17D58"/>
    <w:rsid w:val="1CB3762C"/>
    <w:rsid w:val="1CB6536F"/>
    <w:rsid w:val="1CB87339"/>
    <w:rsid w:val="1CB94315"/>
    <w:rsid w:val="1CBF06C7"/>
    <w:rsid w:val="1CC161ED"/>
    <w:rsid w:val="1CC23D13"/>
    <w:rsid w:val="1CD04682"/>
    <w:rsid w:val="1CD51C99"/>
    <w:rsid w:val="1CD53A47"/>
    <w:rsid w:val="1CD557F5"/>
    <w:rsid w:val="1CD852E5"/>
    <w:rsid w:val="1CDC2316"/>
    <w:rsid w:val="1CE04199"/>
    <w:rsid w:val="1CE1063D"/>
    <w:rsid w:val="1CE4012E"/>
    <w:rsid w:val="1CE638B0"/>
    <w:rsid w:val="1CE65C54"/>
    <w:rsid w:val="1CE75528"/>
    <w:rsid w:val="1CE912A0"/>
    <w:rsid w:val="1CEB5018"/>
    <w:rsid w:val="1CEB6DC6"/>
    <w:rsid w:val="1CEC5502"/>
    <w:rsid w:val="1CEE4B08"/>
    <w:rsid w:val="1CEE68B6"/>
    <w:rsid w:val="1CF00880"/>
    <w:rsid w:val="1CF3211F"/>
    <w:rsid w:val="1CF55E97"/>
    <w:rsid w:val="1CF71C0F"/>
    <w:rsid w:val="1CF814E3"/>
    <w:rsid w:val="1CFE68CE"/>
    <w:rsid w:val="1CFF6449"/>
    <w:rsid w:val="1D01483C"/>
    <w:rsid w:val="1D06266A"/>
    <w:rsid w:val="1D077978"/>
    <w:rsid w:val="1D0B504C"/>
    <w:rsid w:val="1D0D31E0"/>
    <w:rsid w:val="1D0E0D07"/>
    <w:rsid w:val="1D102CD1"/>
    <w:rsid w:val="1D1125A5"/>
    <w:rsid w:val="1D13631D"/>
    <w:rsid w:val="1D1633DB"/>
    <w:rsid w:val="1D17405F"/>
    <w:rsid w:val="1D175E0D"/>
    <w:rsid w:val="1D1A0AE0"/>
    <w:rsid w:val="1D1A76AB"/>
    <w:rsid w:val="1D1E53EE"/>
    <w:rsid w:val="1D210A3A"/>
    <w:rsid w:val="1D216C8C"/>
    <w:rsid w:val="1D234B5F"/>
    <w:rsid w:val="1D24677C"/>
    <w:rsid w:val="1D27001C"/>
    <w:rsid w:val="1D300C7D"/>
    <w:rsid w:val="1D305121"/>
    <w:rsid w:val="1D322C47"/>
    <w:rsid w:val="1D33076D"/>
    <w:rsid w:val="1D331687"/>
    <w:rsid w:val="1D3369BF"/>
    <w:rsid w:val="1D3544E5"/>
    <w:rsid w:val="1D37200B"/>
    <w:rsid w:val="1D392227"/>
    <w:rsid w:val="1D3962E3"/>
    <w:rsid w:val="1D3B53F5"/>
    <w:rsid w:val="1D3C18D5"/>
    <w:rsid w:val="1D3C3AC6"/>
    <w:rsid w:val="1D3E783E"/>
    <w:rsid w:val="1D4209B0"/>
    <w:rsid w:val="1D436C02"/>
    <w:rsid w:val="1D440BCC"/>
    <w:rsid w:val="1D45701B"/>
    <w:rsid w:val="1D4604A0"/>
    <w:rsid w:val="1D497F91"/>
    <w:rsid w:val="1D4D7A81"/>
    <w:rsid w:val="1D4E55A7"/>
    <w:rsid w:val="1D4F1A4B"/>
    <w:rsid w:val="1D530E41"/>
    <w:rsid w:val="1D540E0F"/>
    <w:rsid w:val="1D556936"/>
    <w:rsid w:val="1D57445C"/>
    <w:rsid w:val="1D592BF8"/>
    <w:rsid w:val="1D5A03F0"/>
    <w:rsid w:val="1D5C7CC4"/>
    <w:rsid w:val="1D5F5A06"/>
    <w:rsid w:val="1D601DE5"/>
    <w:rsid w:val="1D631052"/>
    <w:rsid w:val="1D631EFF"/>
    <w:rsid w:val="1D644DCB"/>
    <w:rsid w:val="1D646B79"/>
    <w:rsid w:val="1D682B0D"/>
    <w:rsid w:val="1D6923E1"/>
    <w:rsid w:val="1D697AB3"/>
    <w:rsid w:val="1D6E79F7"/>
    <w:rsid w:val="1D7019C1"/>
    <w:rsid w:val="1D70551D"/>
    <w:rsid w:val="1D7274E7"/>
    <w:rsid w:val="1D7414B2"/>
    <w:rsid w:val="1D743260"/>
    <w:rsid w:val="1D76522A"/>
    <w:rsid w:val="1D772D50"/>
    <w:rsid w:val="1D783F6A"/>
    <w:rsid w:val="1D7B2840"/>
    <w:rsid w:val="1D7B37A3"/>
    <w:rsid w:val="1D7E40DE"/>
    <w:rsid w:val="1D7F1C04"/>
    <w:rsid w:val="1D81111E"/>
    <w:rsid w:val="1D81597C"/>
    <w:rsid w:val="1D862F93"/>
    <w:rsid w:val="1D886D0B"/>
    <w:rsid w:val="1D8D4321"/>
    <w:rsid w:val="1D90796E"/>
    <w:rsid w:val="1D9137E4"/>
    <w:rsid w:val="1D976F4E"/>
    <w:rsid w:val="1D9A07EC"/>
    <w:rsid w:val="1D9E652E"/>
    <w:rsid w:val="1DA17DCD"/>
    <w:rsid w:val="1DA33B45"/>
    <w:rsid w:val="1DA376A1"/>
    <w:rsid w:val="1DAB47A7"/>
    <w:rsid w:val="1DAD0520"/>
    <w:rsid w:val="1DAD49C3"/>
    <w:rsid w:val="1DAD6772"/>
    <w:rsid w:val="1DB00010"/>
    <w:rsid w:val="1DB93368"/>
    <w:rsid w:val="1DBA0E8A"/>
    <w:rsid w:val="1DBB0E8E"/>
    <w:rsid w:val="1DC1221D"/>
    <w:rsid w:val="1DC31AF1"/>
    <w:rsid w:val="1DC33AA2"/>
    <w:rsid w:val="1DC46673"/>
    <w:rsid w:val="1DC54B9D"/>
    <w:rsid w:val="1DCA10D2"/>
    <w:rsid w:val="1DCD0BC2"/>
    <w:rsid w:val="1DCF3786"/>
    <w:rsid w:val="1DCF66E8"/>
    <w:rsid w:val="1DD12460"/>
    <w:rsid w:val="1DD45AAC"/>
    <w:rsid w:val="1DD61F18"/>
    <w:rsid w:val="1DD737EE"/>
    <w:rsid w:val="1DDB2527"/>
    <w:rsid w:val="1DDB48FA"/>
    <w:rsid w:val="1DDC7057"/>
    <w:rsid w:val="1DDE4B7D"/>
    <w:rsid w:val="1DE101C9"/>
    <w:rsid w:val="1DE81558"/>
    <w:rsid w:val="1DEA3522"/>
    <w:rsid w:val="1DF20628"/>
    <w:rsid w:val="1DF24184"/>
    <w:rsid w:val="1DF42937"/>
    <w:rsid w:val="1DF83E22"/>
    <w:rsid w:val="1DF860D0"/>
    <w:rsid w:val="1DF93765"/>
    <w:rsid w:val="1E093CE8"/>
    <w:rsid w:val="1E0D1F6D"/>
    <w:rsid w:val="1E0D5462"/>
    <w:rsid w:val="1E0F2F88"/>
    <w:rsid w:val="1E122A78"/>
    <w:rsid w:val="1E12625F"/>
    <w:rsid w:val="1E14234D"/>
    <w:rsid w:val="1E14636D"/>
    <w:rsid w:val="1E1660C5"/>
    <w:rsid w:val="1E171E3D"/>
    <w:rsid w:val="1E193A6C"/>
    <w:rsid w:val="1E197963"/>
    <w:rsid w:val="1E1B36DB"/>
    <w:rsid w:val="1E1B7B7F"/>
    <w:rsid w:val="1E1D38F7"/>
    <w:rsid w:val="1E226C5D"/>
    <w:rsid w:val="1E236DDE"/>
    <w:rsid w:val="1E2527AC"/>
    <w:rsid w:val="1E276524"/>
    <w:rsid w:val="1E2B71F0"/>
    <w:rsid w:val="1E2C3B3A"/>
    <w:rsid w:val="1E2D58F3"/>
    <w:rsid w:val="1E2E78B2"/>
    <w:rsid w:val="1E2F7187"/>
    <w:rsid w:val="1E322872"/>
    <w:rsid w:val="1E336153"/>
    <w:rsid w:val="1E366767"/>
    <w:rsid w:val="1E3824DF"/>
    <w:rsid w:val="1E390005"/>
    <w:rsid w:val="1E3E48DE"/>
    <w:rsid w:val="1E3E73CA"/>
    <w:rsid w:val="1E42510C"/>
    <w:rsid w:val="1E430E84"/>
    <w:rsid w:val="1E432C51"/>
    <w:rsid w:val="1E447DED"/>
    <w:rsid w:val="1E457626"/>
    <w:rsid w:val="1E4744D0"/>
    <w:rsid w:val="1E480248"/>
    <w:rsid w:val="1E4A5D6E"/>
    <w:rsid w:val="1E4C5F8A"/>
    <w:rsid w:val="1E535731"/>
    <w:rsid w:val="1E544E3F"/>
    <w:rsid w:val="1E546BED"/>
    <w:rsid w:val="1E58492F"/>
    <w:rsid w:val="1E5D3CF4"/>
    <w:rsid w:val="1E62130A"/>
    <w:rsid w:val="1E652BA8"/>
    <w:rsid w:val="1E69338D"/>
    <w:rsid w:val="1E6A6411"/>
    <w:rsid w:val="1E6B7DA9"/>
    <w:rsid w:val="1E6C6DA5"/>
    <w:rsid w:val="1E6E4153"/>
    <w:rsid w:val="1E74728F"/>
    <w:rsid w:val="1E761259"/>
    <w:rsid w:val="1E763007"/>
    <w:rsid w:val="1E764DB5"/>
    <w:rsid w:val="1E780B2E"/>
    <w:rsid w:val="1E7828DC"/>
    <w:rsid w:val="1E7D188A"/>
    <w:rsid w:val="1E7D6144"/>
    <w:rsid w:val="1E8079E2"/>
    <w:rsid w:val="1E854FF8"/>
    <w:rsid w:val="1E876FC3"/>
    <w:rsid w:val="1E89503E"/>
    <w:rsid w:val="1E8A260F"/>
    <w:rsid w:val="1E8A6AB3"/>
    <w:rsid w:val="1E8F5E77"/>
    <w:rsid w:val="1E91399D"/>
    <w:rsid w:val="1E9516DF"/>
    <w:rsid w:val="1E965458"/>
    <w:rsid w:val="1E9A6CF6"/>
    <w:rsid w:val="1EA2204E"/>
    <w:rsid w:val="1EA77665"/>
    <w:rsid w:val="1EAB0F03"/>
    <w:rsid w:val="1EAC6A29"/>
    <w:rsid w:val="1EAE09F3"/>
    <w:rsid w:val="1EB06519"/>
    <w:rsid w:val="1EB12291"/>
    <w:rsid w:val="1EB31687"/>
    <w:rsid w:val="1EB42688"/>
    <w:rsid w:val="1EC45B21"/>
    <w:rsid w:val="1EC57AEB"/>
    <w:rsid w:val="1EC73863"/>
    <w:rsid w:val="1ECC3815"/>
    <w:rsid w:val="1ED0096A"/>
    <w:rsid w:val="1ED02718"/>
    <w:rsid w:val="1ED33FB6"/>
    <w:rsid w:val="1EDA5344"/>
    <w:rsid w:val="1EDB2E6A"/>
    <w:rsid w:val="1EDB4DAE"/>
    <w:rsid w:val="1EDD3086"/>
    <w:rsid w:val="1EE00481"/>
    <w:rsid w:val="1EE14925"/>
    <w:rsid w:val="1EE241F9"/>
    <w:rsid w:val="1EE4017B"/>
    <w:rsid w:val="1EE44415"/>
    <w:rsid w:val="1EE61F3B"/>
    <w:rsid w:val="1EEC32CA"/>
    <w:rsid w:val="1EF1268E"/>
    <w:rsid w:val="1EF67CA4"/>
    <w:rsid w:val="1EF74148"/>
    <w:rsid w:val="1EF8106D"/>
    <w:rsid w:val="1EFA44D7"/>
    <w:rsid w:val="1EFC175F"/>
    <w:rsid w:val="1EFC2174"/>
    <w:rsid w:val="1EFD7285"/>
    <w:rsid w:val="1EFF4DAB"/>
    <w:rsid w:val="1F010B23"/>
    <w:rsid w:val="1F036180"/>
    <w:rsid w:val="1F0625DD"/>
    <w:rsid w:val="1F071937"/>
    <w:rsid w:val="1F095C2A"/>
    <w:rsid w:val="1F0E0FDD"/>
    <w:rsid w:val="1F0E1492"/>
    <w:rsid w:val="1F0E3240"/>
    <w:rsid w:val="1F122D30"/>
    <w:rsid w:val="1F124A0E"/>
    <w:rsid w:val="1F130856"/>
    <w:rsid w:val="1F134CFA"/>
    <w:rsid w:val="1F1545CE"/>
    <w:rsid w:val="1F161A25"/>
    <w:rsid w:val="1F1745F6"/>
    <w:rsid w:val="1F176598"/>
    <w:rsid w:val="1F1978BF"/>
    <w:rsid w:val="1F1A1BE5"/>
    <w:rsid w:val="1F1D16D5"/>
    <w:rsid w:val="1F1E01B7"/>
    <w:rsid w:val="1F1F4218"/>
    <w:rsid w:val="1F1F544D"/>
    <w:rsid w:val="1F232B99"/>
    <w:rsid w:val="1F2667DB"/>
    <w:rsid w:val="1F2952CA"/>
    <w:rsid w:val="1F3507CD"/>
    <w:rsid w:val="1F38206B"/>
    <w:rsid w:val="1F3D58D3"/>
    <w:rsid w:val="1F4375EF"/>
    <w:rsid w:val="1F483424"/>
    <w:rsid w:val="1F4B4494"/>
    <w:rsid w:val="1F503858"/>
    <w:rsid w:val="1F52137F"/>
    <w:rsid w:val="1F526C65"/>
    <w:rsid w:val="1F552C1D"/>
    <w:rsid w:val="1F576995"/>
    <w:rsid w:val="1F59095F"/>
    <w:rsid w:val="1F5A2621"/>
    <w:rsid w:val="1F5A5839"/>
    <w:rsid w:val="1F5D7645"/>
    <w:rsid w:val="1F5E41C7"/>
    <w:rsid w:val="1F612C06"/>
    <w:rsid w:val="1F681363"/>
    <w:rsid w:val="1F6D7F66"/>
    <w:rsid w:val="1F6E1F30"/>
    <w:rsid w:val="1F6E3CDF"/>
    <w:rsid w:val="1F707A57"/>
    <w:rsid w:val="1F7312F5"/>
    <w:rsid w:val="1F732F90"/>
    <w:rsid w:val="1F737547"/>
    <w:rsid w:val="1F776E97"/>
    <w:rsid w:val="1F791CB1"/>
    <w:rsid w:val="1F7E2174"/>
    <w:rsid w:val="1F817EB6"/>
    <w:rsid w:val="1F833C2E"/>
    <w:rsid w:val="1F882FF2"/>
    <w:rsid w:val="1F8C3E0D"/>
    <w:rsid w:val="1F8D21CF"/>
    <w:rsid w:val="1F8D23B7"/>
    <w:rsid w:val="1F8F25D3"/>
    <w:rsid w:val="1F90634B"/>
    <w:rsid w:val="1F925C1F"/>
    <w:rsid w:val="1F9279CD"/>
    <w:rsid w:val="1F953961"/>
    <w:rsid w:val="1F973235"/>
    <w:rsid w:val="1F9C084C"/>
    <w:rsid w:val="1F9D5AEF"/>
    <w:rsid w:val="1F9D6372"/>
    <w:rsid w:val="1FA0658E"/>
    <w:rsid w:val="1FA12306"/>
    <w:rsid w:val="1FA53BA4"/>
    <w:rsid w:val="1FA616CA"/>
    <w:rsid w:val="1FA85442"/>
    <w:rsid w:val="1FAB4F33"/>
    <w:rsid w:val="1FAB6CE1"/>
    <w:rsid w:val="1FAC33EA"/>
    <w:rsid w:val="1FB042F7"/>
    <w:rsid w:val="1FB21E1D"/>
    <w:rsid w:val="1FB931AC"/>
    <w:rsid w:val="1FB97650"/>
    <w:rsid w:val="1FBA5176"/>
    <w:rsid w:val="1FBC0EEE"/>
    <w:rsid w:val="1FC54F08"/>
    <w:rsid w:val="1FC55FF4"/>
    <w:rsid w:val="1FC97167"/>
    <w:rsid w:val="1FCD4EA9"/>
    <w:rsid w:val="1FD04999"/>
    <w:rsid w:val="1FD20711"/>
    <w:rsid w:val="1FD46237"/>
    <w:rsid w:val="1FD870AC"/>
    <w:rsid w:val="1FD91AA0"/>
    <w:rsid w:val="1FDE0E64"/>
    <w:rsid w:val="1FE346CD"/>
    <w:rsid w:val="1FE47ADD"/>
    <w:rsid w:val="1FE55271"/>
    <w:rsid w:val="1FE65F6B"/>
    <w:rsid w:val="1FE8583F"/>
    <w:rsid w:val="1FEA5A5B"/>
    <w:rsid w:val="1FEB3581"/>
    <w:rsid w:val="1FEC17D3"/>
    <w:rsid w:val="1FF00B97"/>
    <w:rsid w:val="1FF40688"/>
    <w:rsid w:val="1FF57F5C"/>
    <w:rsid w:val="1FF93EF0"/>
    <w:rsid w:val="1FF97A4C"/>
    <w:rsid w:val="1FFC6CCE"/>
    <w:rsid w:val="1FFE1506"/>
    <w:rsid w:val="200A7EAB"/>
    <w:rsid w:val="200D1749"/>
    <w:rsid w:val="200F101E"/>
    <w:rsid w:val="200F7270"/>
    <w:rsid w:val="20104D96"/>
    <w:rsid w:val="20146634"/>
    <w:rsid w:val="20174376"/>
    <w:rsid w:val="201A79C2"/>
    <w:rsid w:val="201B3E66"/>
    <w:rsid w:val="201D3669"/>
    <w:rsid w:val="20223EA8"/>
    <w:rsid w:val="20254CE5"/>
    <w:rsid w:val="202D5948"/>
    <w:rsid w:val="203023E8"/>
    <w:rsid w:val="203211B0"/>
    <w:rsid w:val="20322F5E"/>
    <w:rsid w:val="20340482"/>
    <w:rsid w:val="20362A4E"/>
    <w:rsid w:val="20383454"/>
    <w:rsid w:val="203B42C4"/>
    <w:rsid w:val="20452C91"/>
    <w:rsid w:val="20474C5B"/>
    <w:rsid w:val="204809D3"/>
    <w:rsid w:val="204A474C"/>
    <w:rsid w:val="204D1910"/>
    <w:rsid w:val="20511636"/>
    <w:rsid w:val="20566C4C"/>
    <w:rsid w:val="205D622D"/>
    <w:rsid w:val="205E01F7"/>
    <w:rsid w:val="205E1FA5"/>
    <w:rsid w:val="20601879"/>
    <w:rsid w:val="20607ACB"/>
    <w:rsid w:val="206155F1"/>
    <w:rsid w:val="20623843"/>
    <w:rsid w:val="206375BB"/>
    <w:rsid w:val="206550E2"/>
    <w:rsid w:val="20656456"/>
    <w:rsid w:val="20692E24"/>
    <w:rsid w:val="206F20D9"/>
    <w:rsid w:val="206F41B2"/>
    <w:rsid w:val="20713A86"/>
    <w:rsid w:val="20735A50"/>
    <w:rsid w:val="207417C9"/>
    <w:rsid w:val="20765541"/>
    <w:rsid w:val="207E61A3"/>
    <w:rsid w:val="20803CC9"/>
    <w:rsid w:val="20857532"/>
    <w:rsid w:val="20866ED0"/>
    <w:rsid w:val="208732AA"/>
    <w:rsid w:val="20880DD0"/>
    <w:rsid w:val="2089132B"/>
    <w:rsid w:val="208C34CE"/>
    <w:rsid w:val="208E288A"/>
    <w:rsid w:val="20914128"/>
    <w:rsid w:val="20931C4F"/>
    <w:rsid w:val="20971013"/>
    <w:rsid w:val="209B0B03"/>
    <w:rsid w:val="209B4FA7"/>
    <w:rsid w:val="209D0D1F"/>
    <w:rsid w:val="209D2ACD"/>
    <w:rsid w:val="209D487B"/>
    <w:rsid w:val="209E23A2"/>
    <w:rsid w:val="209F6845"/>
    <w:rsid w:val="20A025BE"/>
    <w:rsid w:val="20A0436C"/>
    <w:rsid w:val="20A21E92"/>
    <w:rsid w:val="20A26336"/>
    <w:rsid w:val="20A420AE"/>
    <w:rsid w:val="20A7394C"/>
    <w:rsid w:val="20B00A53"/>
    <w:rsid w:val="20B02B54"/>
    <w:rsid w:val="20B10327"/>
    <w:rsid w:val="20B240CD"/>
    <w:rsid w:val="20B61DE1"/>
    <w:rsid w:val="20B835BB"/>
    <w:rsid w:val="20B87907"/>
    <w:rsid w:val="20B971DB"/>
    <w:rsid w:val="20C22534"/>
    <w:rsid w:val="20C242E2"/>
    <w:rsid w:val="20CC053C"/>
    <w:rsid w:val="20CC5161"/>
    <w:rsid w:val="20D52267"/>
    <w:rsid w:val="20D64231"/>
    <w:rsid w:val="20D81349"/>
    <w:rsid w:val="20D917FF"/>
    <w:rsid w:val="20DB1848"/>
    <w:rsid w:val="20DB50F9"/>
    <w:rsid w:val="20DD2ECA"/>
    <w:rsid w:val="20DF30E6"/>
    <w:rsid w:val="20DF4E94"/>
    <w:rsid w:val="20E06E5E"/>
    <w:rsid w:val="20E24984"/>
    <w:rsid w:val="20E3645C"/>
    <w:rsid w:val="20EE3329"/>
    <w:rsid w:val="20EF1067"/>
    <w:rsid w:val="20F070A1"/>
    <w:rsid w:val="20F87D04"/>
    <w:rsid w:val="20FA7F20"/>
    <w:rsid w:val="20FD5C40"/>
    <w:rsid w:val="20FF6814"/>
    <w:rsid w:val="2100305C"/>
    <w:rsid w:val="21020B82"/>
    <w:rsid w:val="210448FA"/>
    <w:rsid w:val="21050673"/>
    <w:rsid w:val="210743EB"/>
    <w:rsid w:val="21086317"/>
    <w:rsid w:val="210E39CB"/>
    <w:rsid w:val="211014F1"/>
    <w:rsid w:val="21115269"/>
    <w:rsid w:val="211508B6"/>
    <w:rsid w:val="21156B08"/>
    <w:rsid w:val="21254871"/>
    <w:rsid w:val="21257E14"/>
    <w:rsid w:val="212A1E87"/>
    <w:rsid w:val="212C60E2"/>
    <w:rsid w:val="212D20A3"/>
    <w:rsid w:val="212E3725"/>
    <w:rsid w:val="21300795"/>
    <w:rsid w:val="21333432"/>
    <w:rsid w:val="213670B4"/>
    <w:rsid w:val="213A656E"/>
    <w:rsid w:val="213B5E42"/>
    <w:rsid w:val="213F3B84"/>
    <w:rsid w:val="2142018C"/>
    <w:rsid w:val="21464F13"/>
    <w:rsid w:val="2149055F"/>
    <w:rsid w:val="214B2529"/>
    <w:rsid w:val="214B42D7"/>
    <w:rsid w:val="214C004F"/>
    <w:rsid w:val="214D1353"/>
    <w:rsid w:val="215533A8"/>
    <w:rsid w:val="21582E98"/>
    <w:rsid w:val="215836BB"/>
    <w:rsid w:val="215950FE"/>
    <w:rsid w:val="215A09BE"/>
    <w:rsid w:val="215C64E4"/>
    <w:rsid w:val="21645399"/>
    <w:rsid w:val="216655B5"/>
    <w:rsid w:val="216929AF"/>
    <w:rsid w:val="216B497A"/>
    <w:rsid w:val="216B7DDC"/>
    <w:rsid w:val="216C24A0"/>
    <w:rsid w:val="216E7FC6"/>
    <w:rsid w:val="217500FB"/>
    <w:rsid w:val="217618B7"/>
    <w:rsid w:val="21771E1D"/>
    <w:rsid w:val="21780E44"/>
    <w:rsid w:val="217952E8"/>
    <w:rsid w:val="217C26E3"/>
    <w:rsid w:val="217F0425"/>
    <w:rsid w:val="217F6677"/>
    <w:rsid w:val="21817CF9"/>
    <w:rsid w:val="21823A71"/>
    <w:rsid w:val="21824709"/>
    <w:rsid w:val="21843C8D"/>
    <w:rsid w:val="21845A3B"/>
    <w:rsid w:val="218477E9"/>
    <w:rsid w:val="2186411B"/>
    <w:rsid w:val="21871ABC"/>
    <w:rsid w:val="218872DA"/>
    <w:rsid w:val="21893052"/>
    <w:rsid w:val="218B3C37"/>
    <w:rsid w:val="2190618E"/>
    <w:rsid w:val="21937A2C"/>
    <w:rsid w:val="219519F6"/>
    <w:rsid w:val="2197751D"/>
    <w:rsid w:val="21983295"/>
    <w:rsid w:val="219914E7"/>
    <w:rsid w:val="21997739"/>
    <w:rsid w:val="219A0DBB"/>
    <w:rsid w:val="219E6AFD"/>
    <w:rsid w:val="219E79F6"/>
    <w:rsid w:val="219F4623"/>
    <w:rsid w:val="21A41C3A"/>
    <w:rsid w:val="21A606D7"/>
    <w:rsid w:val="21A67760"/>
    <w:rsid w:val="21A8172A"/>
    <w:rsid w:val="21AE4866"/>
    <w:rsid w:val="21B021B7"/>
    <w:rsid w:val="21B06830"/>
    <w:rsid w:val="21B77BBF"/>
    <w:rsid w:val="21BA320B"/>
    <w:rsid w:val="21BC51D5"/>
    <w:rsid w:val="21BF0821"/>
    <w:rsid w:val="21C33393"/>
    <w:rsid w:val="21C40A86"/>
    <w:rsid w:val="21C5554D"/>
    <w:rsid w:val="21C61BB0"/>
    <w:rsid w:val="21C66054"/>
    <w:rsid w:val="21C81DCC"/>
    <w:rsid w:val="21D4251F"/>
    <w:rsid w:val="21D70261"/>
    <w:rsid w:val="21D7200F"/>
    <w:rsid w:val="21E10E5D"/>
    <w:rsid w:val="21E1243F"/>
    <w:rsid w:val="21E309B4"/>
    <w:rsid w:val="21E33AFE"/>
    <w:rsid w:val="21E604A4"/>
    <w:rsid w:val="21EA18A9"/>
    <w:rsid w:val="21EA1D42"/>
    <w:rsid w:val="21EC0618"/>
    <w:rsid w:val="21ED35E0"/>
    <w:rsid w:val="21EF55AB"/>
    <w:rsid w:val="21EF7079"/>
    <w:rsid w:val="21EF7359"/>
    <w:rsid w:val="21F4671D"/>
    <w:rsid w:val="21F67753"/>
    <w:rsid w:val="21F7445F"/>
    <w:rsid w:val="21F74F9B"/>
    <w:rsid w:val="21FD424E"/>
    <w:rsid w:val="21FE4245"/>
    <w:rsid w:val="21FF3314"/>
    <w:rsid w:val="220628F4"/>
    <w:rsid w:val="220646A2"/>
    <w:rsid w:val="220821C8"/>
    <w:rsid w:val="220D00D4"/>
    <w:rsid w:val="220D3C83"/>
    <w:rsid w:val="22105521"/>
    <w:rsid w:val="22172DB3"/>
    <w:rsid w:val="221C5C74"/>
    <w:rsid w:val="221E379A"/>
    <w:rsid w:val="221F3C59"/>
    <w:rsid w:val="222039B6"/>
    <w:rsid w:val="22235254"/>
    <w:rsid w:val="22274D44"/>
    <w:rsid w:val="22280ABD"/>
    <w:rsid w:val="2228286B"/>
    <w:rsid w:val="222F56C5"/>
    <w:rsid w:val="22342FBD"/>
    <w:rsid w:val="22486A69"/>
    <w:rsid w:val="22497C84"/>
    <w:rsid w:val="224A27E1"/>
    <w:rsid w:val="224B67CE"/>
    <w:rsid w:val="224F429B"/>
    <w:rsid w:val="22585362"/>
    <w:rsid w:val="225C42C2"/>
    <w:rsid w:val="225C60FA"/>
    <w:rsid w:val="22687ED2"/>
    <w:rsid w:val="226C6BFB"/>
    <w:rsid w:val="226E2973"/>
    <w:rsid w:val="22714212"/>
    <w:rsid w:val="22717D6E"/>
    <w:rsid w:val="22721D38"/>
    <w:rsid w:val="22745AB0"/>
    <w:rsid w:val="227503E2"/>
    <w:rsid w:val="227710FC"/>
    <w:rsid w:val="227A1EA6"/>
    <w:rsid w:val="227E692E"/>
    <w:rsid w:val="228026A7"/>
    <w:rsid w:val="22813D29"/>
    <w:rsid w:val="22835CF3"/>
    <w:rsid w:val="22883309"/>
    <w:rsid w:val="22897BE4"/>
    <w:rsid w:val="228A7081"/>
    <w:rsid w:val="228C06EB"/>
    <w:rsid w:val="228C2DF9"/>
    <w:rsid w:val="228F4698"/>
    <w:rsid w:val="22941CAE"/>
    <w:rsid w:val="22995516"/>
    <w:rsid w:val="229E48DB"/>
    <w:rsid w:val="229E741D"/>
    <w:rsid w:val="22A01F0E"/>
    <w:rsid w:val="22A04AF7"/>
    <w:rsid w:val="22A30143"/>
    <w:rsid w:val="22A719E1"/>
    <w:rsid w:val="22A87507"/>
    <w:rsid w:val="22AC349C"/>
    <w:rsid w:val="22AC524A"/>
    <w:rsid w:val="22AF0896"/>
    <w:rsid w:val="22B42350"/>
    <w:rsid w:val="22B45EAC"/>
    <w:rsid w:val="22B56F98"/>
    <w:rsid w:val="22B660C8"/>
    <w:rsid w:val="22B755C4"/>
    <w:rsid w:val="22B83BEE"/>
    <w:rsid w:val="22B8599C"/>
    <w:rsid w:val="22B97967"/>
    <w:rsid w:val="22BB36DF"/>
    <w:rsid w:val="22BB723B"/>
    <w:rsid w:val="22BE570A"/>
    <w:rsid w:val="22C24A6D"/>
    <w:rsid w:val="22C407E5"/>
    <w:rsid w:val="22C5455D"/>
    <w:rsid w:val="22C97BAA"/>
    <w:rsid w:val="22CA56D0"/>
    <w:rsid w:val="22CC58EC"/>
    <w:rsid w:val="22D35427"/>
    <w:rsid w:val="22D64075"/>
    <w:rsid w:val="22D7603D"/>
    <w:rsid w:val="22DE117B"/>
    <w:rsid w:val="22E449E3"/>
    <w:rsid w:val="22ED0263"/>
    <w:rsid w:val="22F015DA"/>
    <w:rsid w:val="22F369D5"/>
    <w:rsid w:val="22F5590A"/>
    <w:rsid w:val="22F64197"/>
    <w:rsid w:val="22F7419C"/>
    <w:rsid w:val="22F866E1"/>
    <w:rsid w:val="22F95FB5"/>
    <w:rsid w:val="22FB7F7F"/>
    <w:rsid w:val="22FD7853"/>
    <w:rsid w:val="23005595"/>
    <w:rsid w:val="230230BC"/>
    <w:rsid w:val="230A01C2"/>
    <w:rsid w:val="230A1F70"/>
    <w:rsid w:val="230C3F3A"/>
    <w:rsid w:val="230D784D"/>
    <w:rsid w:val="231132FF"/>
    <w:rsid w:val="23137077"/>
    <w:rsid w:val="23144B9D"/>
    <w:rsid w:val="231B5F2B"/>
    <w:rsid w:val="232272BA"/>
    <w:rsid w:val="23264FFC"/>
    <w:rsid w:val="23294AEC"/>
    <w:rsid w:val="2329689A"/>
    <w:rsid w:val="232C1EE7"/>
    <w:rsid w:val="232E3F2E"/>
    <w:rsid w:val="232E5C5F"/>
    <w:rsid w:val="23304328"/>
    <w:rsid w:val="23311CBD"/>
    <w:rsid w:val="2335523F"/>
    <w:rsid w:val="23360FB7"/>
    <w:rsid w:val="233802BE"/>
    <w:rsid w:val="2338088B"/>
    <w:rsid w:val="23386ADD"/>
    <w:rsid w:val="233D2CBA"/>
    <w:rsid w:val="23405992"/>
    <w:rsid w:val="234A5B06"/>
    <w:rsid w:val="234B6811"/>
    <w:rsid w:val="234E4337"/>
    <w:rsid w:val="235002CB"/>
    <w:rsid w:val="23515DF1"/>
    <w:rsid w:val="23533577"/>
    <w:rsid w:val="23533917"/>
    <w:rsid w:val="2358717F"/>
    <w:rsid w:val="235C6C70"/>
    <w:rsid w:val="235D6544"/>
    <w:rsid w:val="23601CC6"/>
    <w:rsid w:val="23607DE2"/>
    <w:rsid w:val="23621DAC"/>
    <w:rsid w:val="236478D2"/>
    <w:rsid w:val="2366189C"/>
    <w:rsid w:val="23665EFA"/>
    <w:rsid w:val="23666FC8"/>
    <w:rsid w:val="23696C97"/>
    <w:rsid w:val="236C49D9"/>
    <w:rsid w:val="236F6BEA"/>
    <w:rsid w:val="23700025"/>
    <w:rsid w:val="23706277"/>
    <w:rsid w:val="23737B15"/>
    <w:rsid w:val="237B0B11"/>
    <w:rsid w:val="237B69CA"/>
    <w:rsid w:val="237C10C0"/>
    <w:rsid w:val="23810484"/>
    <w:rsid w:val="23897339"/>
    <w:rsid w:val="238B30B1"/>
    <w:rsid w:val="238B4E5F"/>
    <w:rsid w:val="238C2EFC"/>
    <w:rsid w:val="238F4CCD"/>
    <w:rsid w:val="23952182"/>
    <w:rsid w:val="23953F30"/>
    <w:rsid w:val="239B0E1A"/>
    <w:rsid w:val="239C52BE"/>
    <w:rsid w:val="239F6B5C"/>
    <w:rsid w:val="23A07159"/>
    <w:rsid w:val="23A83C63"/>
    <w:rsid w:val="23A91789"/>
    <w:rsid w:val="23AA3203"/>
    <w:rsid w:val="23AB2B2B"/>
    <w:rsid w:val="23AD1279"/>
    <w:rsid w:val="23AE0B4E"/>
    <w:rsid w:val="23AE5925"/>
    <w:rsid w:val="23B00D6A"/>
    <w:rsid w:val="23B05F44"/>
    <w:rsid w:val="23B5012E"/>
    <w:rsid w:val="23B95E70"/>
    <w:rsid w:val="23BA3996"/>
    <w:rsid w:val="23BC14BC"/>
    <w:rsid w:val="23BE3486"/>
    <w:rsid w:val="23BF4132"/>
    <w:rsid w:val="23C30DB2"/>
    <w:rsid w:val="23C70504"/>
    <w:rsid w:val="23C93BD9"/>
    <w:rsid w:val="23CB5BA3"/>
    <w:rsid w:val="23CD191B"/>
    <w:rsid w:val="23CE11F0"/>
    <w:rsid w:val="23CE4329"/>
    <w:rsid w:val="23D031BA"/>
    <w:rsid w:val="23D134DD"/>
    <w:rsid w:val="23D20CE0"/>
    <w:rsid w:val="23D34A58"/>
    <w:rsid w:val="23D36806"/>
    <w:rsid w:val="23D749CD"/>
    <w:rsid w:val="23DD1433"/>
    <w:rsid w:val="23DF164F"/>
    <w:rsid w:val="23DF33FD"/>
    <w:rsid w:val="23E427C1"/>
    <w:rsid w:val="23E80503"/>
    <w:rsid w:val="23E97DD8"/>
    <w:rsid w:val="23EA427B"/>
    <w:rsid w:val="23EB1DA2"/>
    <w:rsid w:val="23ED78C8"/>
    <w:rsid w:val="23F043CD"/>
    <w:rsid w:val="23F64217"/>
    <w:rsid w:val="23F70746"/>
    <w:rsid w:val="23F90CF2"/>
    <w:rsid w:val="23FA3D93"/>
    <w:rsid w:val="23FC7B0B"/>
    <w:rsid w:val="23FE1AD5"/>
    <w:rsid w:val="24015121"/>
    <w:rsid w:val="24044C11"/>
    <w:rsid w:val="240510B5"/>
    <w:rsid w:val="24062738"/>
    <w:rsid w:val="240720EE"/>
    <w:rsid w:val="240D3609"/>
    <w:rsid w:val="24150BCD"/>
    <w:rsid w:val="24174945"/>
    <w:rsid w:val="241749DE"/>
    <w:rsid w:val="24194B61"/>
    <w:rsid w:val="241C01AD"/>
    <w:rsid w:val="241E2177"/>
    <w:rsid w:val="241E5CD3"/>
    <w:rsid w:val="241F37F9"/>
    <w:rsid w:val="2423582F"/>
    <w:rsid w:val="24257BFD"/>
    <w:rsid w:val="2426102C"/>
    <w:rsid w:val="24264B88"/>
    <w:rsid w:val="24294678"/>
    <w:rsid w:val="242B4894"/>
    <w:rsid w:val="242B6642"/>
    <w:rsid w:val="242F7EE0"/>
    <w:rsid w:val="243036BC"/>
    <w:rsid w:val="2435126F"/>
    <w:rsid w:val="2435301D"/>
    <w:rsid w:val="24360360"/>
    <w:rsid w:val="243948BB"/>
    <w:rsid w:val="243A6885"/>
    <w:rsid w:val="243C084F"/>
    <w:rsid w:val="243F3E9B"/>
    <w:rsid w:val="24415E66"/>
    <w:rsid w:val="24424A01"/>
    <w:rsid w:val="24431BDE"/>
    <w:rsid w:val="24455956"/>
    <w:rsid w:val="24466FD8"/>
    <w:rsid w:val="2446737E"/>
    <w:rsid w:val="24480FA2"/>
    <w:rsid w:val="244871F4"/>
    <w:rsid w:val="244D0366"/>
    <w:rsid w:val="245060A9"/>
    <w:rsid w:val="24516AA8"/>
    <w:rsid w:val="24521D3C"/>
    <w:rsid w:val="24545B64"/>
    <w:rsid w:val="24547947"/>
    <w:rsid w:val="245C4A4D"/>
    <w:rsid w:val="245C67FB"/>
    <w:rsid w:val="245F009A"/>
    <w:rsid w:val="24612064"/>
    <w:rsid w:val="24613E12"/>
    <w:rsid w:val="246A0F18"/>
    <w:rsid w:val="246D0A09"/>
    <w:rsid w:val="246F29D3"/>
    <w:rsid w:val="246F652F"/>
    <w:rsid w:val="247377C6"/>
    <w:rsid w:val="247450D6"/>
    <w:rsid w:val="24747FE9"/>
    <w:rsid w:val="247578BD"/>
    <w:rsid w:val="24771887"/>
    <w:rsid w:val="247973AD"/>
    <w:rsid w:val="247C0C4C"/>
    <w:rsid w:val="247D6619"/>
    <w:rsid w:val="247D7C50"/>
    <w:rsid w:val="248024EA"/>
    <w:rsid w:val="24822706"/>
    <w:rsid w:val="2483647E"/>
    <w:rsid w:val="24853FA4"/>
    <w:rsid w:val="24863878"/>
    <w:rsid w:val="248A3369"/>
    <w:rsid w:val="248C1A8E"/>
    <w:rsid w:val="248D2E59"/>
    <w:rsid w:val="248F6BD1"/>
    <w:rsid w:val="2492046F"/>
    <w:rsid w:val="24942439"/>
    <w:rsid w:val="24955B50"/>
    <w:rsid w:val="24961D0D"/>
    <w:rsid w:val="24975A86"/>
    <w:rsid w:val="24977834"/>
    <w:rsid w:val="24992D90"/>
    <w:rsid w:val="24997A50"/>
    <w:rsid w:val="249B102A"/>
    <w:rsid w:val="249E6E14"/>
    <w:rsid w:val="249F6C02"/>
    <w:rsid w:val="24A140F3"/>
    <w:rsid w:val="24A340C9"/>
    <w:rsid w:val="24A84C8A"/>
    <w:rsid w:val="24AA7567"/>
    <w:rsid w:val="24AB32DF"/>
    <w:rsid w:val="24AD7057"/>
    <w:rsid w:val="24B108F5"/>
    <w:rsid w:val="24B623B0"/>
    <w:rsid w:val="24B65F0C"/>
    <w:rsid w:val="24B77A5A"/>
    <w:rsid w:val="24BD38CC"/>
    <w:rsid w:val="24BE0639"/>
    <w:rsid w:val="24BF5C26"/>
    <w:rsid w:val="24C22B02"/>
    <w:rsid w:val="24C26FA6"/>
    <w:rsid w:val="24C3687B"/>
    <w:rsid w:val="24C40BCE"/>
    <w:rsid w:val="24C745BD"/>
    <w:rsid w:val="24C820E3"/>
    <w:rsid w:val="24C90335"/>
    <w:rsid w:val="24CC3981"/>
    <w:rsid w:val="24CC572F"/>
    <w:rsid w:val="24CD11E7"/>
    <w:rsid w:val="24CD14A7"/>
    <w:rsid w:val="24CE594B"/>
    <w:rsid w:val="24CF521F"/>
    <w:rsid w:val="24D10F97"/>
    <w:rsid w:val="24D26ABE"/>
    <w:rsid w:val="24D37D1E"/>
    <w:rsid w:val="24D42F07"/>
    <w:rsid w:val="24D51662"/>
    <w:rsid w:val="24D5203C"/>
    <w:rsid w:val="24D64473"/>
    <w:rsid w:val="24D80E54"/>
    <w:rsid w:val="24DB3BC4"/>
    <w:rsid w:val="24DE1906"/>
    <w:rsid w:val="24DE36B4"/>
    <w:rsid w:val="24DE5462"/>
    <w:rsid w:val="24E36FEC"/>
    <w:rsid w:val="24EA3E07"/>
    <w:rsid w:val="24EC5DD1"/>
    <w:rsid w:val="24ED38F7"/>
    <w:rsid w:val="24EF58C2"/>
    <w:rsid w:val="24EF73F2"/>
    <w:rsid w:val="24F37160"/>
    <w:rsid w:val="24F42ED8"/>
    <w:rsid w:val="24F86524"/>
    <w:rsid w:val="24F904EE"/>
    <w:rsid w:val="24FD1D8D"/>
    <w:rsid w:val="24FD3B3B"/>
    <w:rsid w:val="250255F5"/>
    <w:rsid w:val="25075E2B"/>
    <w:rsid w:val="250A6257"/>
    <w:rsid w:val="250E7516"/>
    <w:rsid w:val="250F386E"/>
    <w:rsid w:val="25137802"/>
    <w:rsid w:val="251610A0"/>
    <w:rsid w:val="25180974"/>
    <w:rsid w:val="25186BC6"/>
    <w:rsid w:val="251D02CF"/>
    <w:rsid w:val="252F101D"/>
    <w:rsid w:val="25311A36"/>
    <w:rsid w:val="25331C52"/>
    <w:rsid w:val="25387269"/>
    <w:rsid w:val="25441769"/>
    <w:rsid w:val="25445C0D"/>
    <w:rsid w:val="25461985"/>
    <w:rsid w:val="25473008"/>
    <w:rsid w:val="25493224"/>
    <w:rsid w:val="25493BB6"/>
    <w:rsid w:val="25494FD2"/>
    <w:rsid w:val="254C2D14"/>
    <w:rsid w:val="254E083A"/>
    <w:rsid w:val="255676EF"/>
    <w:rsid w:val="25577CC0"/>
    <w:rsid w:val="255B2F57"/>
    <w:rsid w:val="255B6AB3"/>
    <w:rsid w:val="255F47F5"/>
    <w:rsid w:val="2561056D"/>
    <w:rsid w:val="25626093"/>
    <w:rsid w:val="256516E0"/>
    <w:rsid w:val="25665B84"/>
    <w:rsid w:val="25695674"/>
    <w:rsid w:val="25697422"/>
    <w:rsid w:val="256E2C8A"/>
    <w:rsid w:val="256F255E"/>
    <w:rsid w:val="25706A02"/>
    <w:rsid w:val="2573204F"/>
    <w:rsid w:val="25733DFD"/>
    <w:rsid w:val="25757B75"/>
    <w:rsid w:val="25777D91"/>
    <w:rsid w:val="2579146A"/>
    <w:rsid w:val="257D52D9"/>
    <w:rsid w:val="257E6920"/>
    <w:rsid w:val="257F09F3"/>
    <w:rsid w:val="2580476C"/>
    <w:rsid w:val="2580651A"/>
    <w:rsid w:val="258204E4"/>
    <w:rsid w:val="2584425C"/>
    <w:rsid w:val="258506D6"/>
    <w:rsid w:val="25861D82"/>
    <w:rsid w:val="258636AA"/>
    <w:rsid w:val="25893620"/>
    <w:rsid w:val="25897AC4"/>
    <w:rsid w:val="258B5A47"/>
    <w:rsid w:val="258E50DA"/>
    <w:rsid w:val="25907D75"/>
    <w:rsid w:val="259124D5"/>
    <w:rsid w:val="25926EA1"/>
    <w:rsid w:val="25973F8F"/>
    <w:rsid w:val="259C15A5"/>
    <w:rsid w:val="25A124DC"/>
    <w:rsid w:val="25A466AC"/>
    <w:rsid w:val="25A71CF8"/>
    <w:rsid w:val="25A90276"/>
    <w:rsid w:val="25AB7A3A"/>
    <w:rsid w:val="25AC5561"/>
    <w:rsid w:val="25AE3087"/>
    <w:rsid w:val="25B04DD3"/>
    <w:rsid w:val="25B52667"/>
    <w:rsid w:val="25B6018D"/>
    <w:rsid w:val="25BA1A2C"/>
    <w:rsid w:val="25BC39F6"/>
    <w:rsid w:val="25BD776E"/>
    <w:rsid w:val="25BE0866"/>
    <w:rsid w:val="25BF7042"/>
    <w:rsid w:val="25C1100C"/>
    <w:rsid w:val="25C67371"/>
    <w:rsid w:val="25CD1049"/>
    <w:rsid w:val="25CE197B"/>
    <w:rsid w:val="25CE3729"/>
    <w:rsid w:val="25D24FC7"/>
    <w:rsid w:val="25D30D3F"/>
    <w:rsid w:val="25D56865"/>
    <w:rsid w:val="25D616BE"/>
    <w:rsid w:val="25D725DE"/>
    <w:rsid w:val="25D77F7D"/>
    <w:rsid w:val="25DA20CE"/>
    <w:rsid w:val="25DC4098"/>
    <w:rsid w:val="25DD396C"/>
    <w:rsid w:val="25DF1492"/>
    <w:rsid w:val="25E1345C"/>
    <w:rsid w:val="25E1520A"/>
    <w:rsid w:val="25E35426"/>
    <w:rsid w:val="25E940BF"/>
    <w:rsid w:val="25EB6089"/>
    <w:rsid w:val="25EB7E37"/>
    <w:rsid w:val="25EF3E17"/>
    <w:rsid w:val="25F413E1"/>
    <w:rsid w:val="25F72C80"/>
    <w:rsid w:val="25FC0BA2"/>
    <w:rsid w:val="26017B8D"/>
    <w:rsid w:val="2604539D"/>
    <w:rsid w:val="26061115"/>
    <w:rsid w:val="26062EC3"/>
    <w:rsid w:val="260809E9"/>
    <w:rsid w:val="26084E8D"/>
    <w:rsid w:val="260929B3"/>
    <w:rsid w:val="260E1D77"/>
    <w:rsid w:val="261301D0"/>
    <w:rsid w:val="261750D0"/>
    <w:rsid w:val="26192BF6"/>
    <w:rsid w:val="261F3F85"/>
    <w:rsid w:val="26235823"/>
    <w:rsid w:val="26280FB8"/>
    <w:rsid w:val="26296BB1"/>
    <w:rsid w:val="262A4E03"/>
    <w:rsid w:val="262B0B7B"/>
    <w:rsid w:val="262D66A1"/>
    <w:rsid w:val="262E0014"/>
    <w:rsid w:val="26301CEE"/>
    <w:rsid w:val="26306192"/>
    <w:rsid w:val="26323CB8"/>
    <w:rsid w:val="263537A8"/>
    <w:rsid w:val="263C5C9B"/>
    <w:rsid w:val="26413EFB"/>
    <w:rsid w:val="26437C73"/>
    <w:rsid w:val="26451C3D"/>
    <w:rsid w:val="264834DB"/>
    <w:rsid w:val="2649029F"/>
    <w:rsid w:val="264E03C6"/>
    <w:rsid w:val="26541E80"/>
    <w:rsid w:val="26570547"/>
    <w:rsid w:val="265754CC"/>
    <w:rsid w:val="265956E8"/>
    <w:rsid w:val="265A4FBD"/>
    <w:rsid w:val="265A6D6B"/>
    <w:rsid w:val="265B5FD7"/>
    <w:rsid w:val="265E685B"/>
    <w:rsid w:val="265F25D3"/>
    <w:rsid w:val="266005AC"/>
    <w:rsid w:val="26605096"/>
    <w:rsid w:val="26614D05"/>
    <w:rsid w:val="26617FA9"/>
    <w:rsid w:val="26647BE9"/>
    <w:rsid w:val="26655E3B"/>
    <w:rsid w:val="266D2F42"/>
    <w:rsid w:val="26751DF6"/>
    <w:rsid w:val="26793695"/>
    <w:rsid w:val="26795443"/>
    <w:rsid w:val="267E7603"/>
    <w:rsid w:val="267F67D1"/>
    <w:rsid w:val="26812549"/>
    <w:rsid w:val="26832765"/>
    <w:rsid w:val="26834513"/>
    <w:rsid w:val="26864004"/>
    <w:rsid w:val="268818C7"/>
    <w:rsid w:val="268A74F7"/>
    <w:rsid w:val="268B7B25"/>
    <w:rsid w:val="268D0EEE"/>
    <w:rsid w:val="26931BA3"/>
    <w:rsid w:val="2693225F"/>
    <w:rsid w:val="269404CF"/>
    <w:rsid w:val="269B1288"/>
    <w:rsid w:val="269B185D"/>
    <w:rsid w:val="269E134D"/>
    <w:rsid w:val="26A06E73"/>
    <w:rsid w:val="26A30712"/>
    <w:rsid w:val="26A362D9"/>
    <w:rsid w:val="26A36964"/>
    <w:rsid w:val="26A60202"/>
    <w:rsid w:val="26A83F7A"/>
    <w:rsid w:val="26AA7CF2"/>
    <w:rsid w:val="26B20955"/>
    <w:rsid w:val="26B40B71"/>
    <w:rsid w:val="26B5114A"/>
    <w:rsid w:val="26B97F35"/>
    <w:rsid w:val="26BB5A5B"/>
    <w:rsid w:val="26BD2BCB"/>
    <w:rsid w:val="26BF4FEC"/>
    <w:rsid w:val="26C16DEA"/>
    <w:rsid w:val="26C37006"/>
    <w:rsid w:val="26C568DA"/>
    <w:rsid w:val="26CA3EF0"/>
    <w:rsid w:val="26CB1A16"/>
    <w:rsid w:val="26D10246"/>
    <w:rsid w:val="26D1527F"/>
    <w:rsid w:val="26D60AE7"/>
    <w:rsid w:val="26D92385"/>
    <w:rsid w:val="26DB7EAB"/>
    <w:rsid w:val="26DE5BEE"/>
    <w:rsid w:val="26E135C5"/>
    <w:rsid w:val="26E2748C"/>
    <w:rsid w:val="26E50978"/>
    <w:rsid w:val="26EC030B"/>
    <w:rsid w:val="26ED73EF"/>
    <w:rsid w:val="26F176CF"/>
    <w:rsid w:val="26F45411"/>
    <w:rsid w:val="26F92A28"/>
    <w:rsid w:val="26F96584"/>
    <w:rsid w:val="26FC7E22"/>
    <w:rsid w:val="26FD2518"/>
    <w:rsid w:val="26FF0BC4"/>
    <w:rsid w:val="27007912"/>
    <w:rsid w:val="2702368A"/>
    <w:rsid w:val="27035654"/>
    <w:rsid w:val="270513CC"/>
    <w:rsid w:val="270A0791"/>
    <w:rsid w:val="270D06A9"/>
    <w:rsid w:val="270E2A3A"/>
    <w:rsid w:val="270E64D3"/>
    <w:rsid w:val="27117D71"/>
    <w:rsid w:val="271635D9"/>
    <w:rsid w:val="27174C5C"/>
    <w:rsid w:val="271969C0"/>
    <w:rsid w:val="271E5FEA"/>
    <w:rsid w:val="27271343"/>
    <w:rsid w:val="272A0E33"/>
    <w:rsid w:val="272E26D1"/>
    <w:rsid w:val="27392E24"/>
    <w:rsid w:val="273D0B66"/>
    <w:rsid w:val="273D159F"/>
    <w:rsid w:val="27421CD9"/>
    <w:rsid w:val="27433CA3"/>
    <w:rsid w:val="274C2B57"/>
    <w:rsid w:val="274E4B21"/>
    <w:rsid w:val="27545EB0"/>
    <w:rsid w:val="2755702A"/>
    <w:rsid w:val="275B723E"/>
    <w:rsid w:val="275D6B12"/>
    <w:rsid w:val="275E288B"/>
    <w:rsid w:val="275F0ADD"/>
    <w:rsid w:val="27604855"/>
    <w:rsid w:val="27632F91"/>
    <w:rsid w:val="27644345"/>
    <w:rsid w:val="276500BD"/>
    <w:rsid w:val="276A7481"/>
    <w:rsid w:val="276B56D3"/>
    <w:rsid w:val="276E2ACE"/>
    <w:rsid w:val="27702CEA"/>
    <w:rsid w:val="27704518"/>
    <w:rsid w:val="27710810"/>
    <w:rsid w:val="27743E5C"/>
    <w:rsid w:val="2779686C"/>
    <w:rsid w:val="277A5916"/>
    <w:rsid w:val="277F4CDB"/>
    <w:rsid w:val="27800A53"/>
    <w:rsid w:val="27802801"/>
    <w:rsid w:val="278542BB"/>
    <w:rsid w:val="27873B8F"/>
    <w:rsid w:val="278A3680"/>
    <w:rsid w:val="278B529D"/>
    <w:rsid w:val="27912C60"/>
    <w:rsid w:val="27952750"/>
    <w:rsid w:val="279B588D"/>
    <w:rsid w:val="279B763B"/>
    <w:rsid w:val="279D1605"/>
    <w:rsid w:val="279F35CF"/>
    <w:rsid w:val="279F537D"/>
    <w:rsid w:val="27A24F67"/>
    <w:rsid w:val="27A74394"/>
    <w:rsid w:val="27A75FE0"/>
    <w:rsid w:val="27AA0645"/>
    <w:rsid w:val="27AC1848"/>
    <w:rsid w:val="27AE3812"/>
    <w:rsid w:val="27B23302"/>
    <w:rsid w:val="27B30E28"/>
    <w:rsid w:val="27B32BD6"/>
    <w:rsid w:val="27B801ED"/>
    <w:rsid w:val="27BB1A8B"/>
    <w:rsid w:val="27BB7CDD"/>
    <w:rsid w:val="27C052F3"/>
    <w:rsid w:val="27C546B8"/>
    <w:rsid w:val="27C57396"/>
    <w:rsid w:val="27C61578"/>
    <w:rsid w:val="27C941A8"/>
    <w:rsid w:val="27CC5A46"/>
    <w:rsid w:val="27D030DF"/>
    <w:rsid w:val="27D35027"/>
    <w:rsid w:val="27D36DD5"/>
    <w:rsid w:val="27D56233"/>
    <w:rsid w:val="27D663B3"/>
    <w:rsid w:val="27D8263D"/>
    <w:rsid w:val="27E70AD2"/>
    <w:rsid w:val="27EB55E2"/>
    <w:rsid w:val="27EB6814"/>
    <w:rsid w:val="27EF59E5"/>
    <w:rsid w:val="27F03E2A"/>
    <w:rsid w:val="27F21951"/>
    <w:rsid w:val="27F54F9D"/>
    <w:rsid w:val="27FC27CF"/>
    <w:rsid w:val="27FD20A3"/>
    <w:rsid w:val="27FF5E1C"/>
    <w:rsid w:val="27FF7BCA"/>
    <w:rsid w:val="28011B94"/>
    <w:rsid w:val="28013942"/>
    <w:rsid w:val="280168CE"/>
    <w:rsid w:val="2802590C"/>
    <w:rsid w:val="28043432"/>
    <w:rsid w:val="28060F58"/>
    <w:rsid w:val="28100C39"/>
    <w:rsid w:val="28124342"/>
    <w:rsid w:val="281318C7"/>
    <w:rsid w:val="281713B7"/>
    <w:rsid w:val="281C4C20"/>
    <w:rsid w:val="281C69CE"/>
    <w:rsid w:val="28205A39"/>
    <w:rsid w:val="28215D92"/>
    <w:rsid w:val="28235FAE"/>
    <w:rsid w:val="28237D5C"/>
    <w:rsid w:val="28247630"/>
    <w:rsid w:val="282835C4"/>
    <w:rsid w:val="282870EB"/>
    <w:rsid w:val="282C4737"/>
    <w:rsid w:val="282D0BDB"/>
    <w:rsid w:val="282E04AF"/>
    <w:rsid w:val="283A50A6"/>
    <w:rsid w:val="283A6E54"/>
    <w:rsid w:val="283C0E1E"/>
    <w:rsid w:val="283E4ED3"/>
    <w:rsid w:val="283F446A"/>
    <w:rsid w:val="28400F1B"/>
    <w:rsid w:val="28414686"/>
    <w:rsid w:val="284321AC"/>
    <w:rsid w:val="28441A80"/>
    <w:rsid w:val="28463A4A"/>
    <w:rsid w:val="28472674"/>
    <w:rsid w:val="28480BD5"/>
    <w:rsid w:val="28497097"/>
    <w:rsid w:val="284A2EB1"/>
    <w:rsid w:val="284B72B3"/>
    <w:rsid w:val="284D302B"/>
    <w:rsid w:val="2851184D"/>
    <w:rsid w:val="285443B9"/>
    <w:rsid w:val="28551EE0"/>
    <w:rsid w:val="28552A8B"/>
    <w:rsid w:val="285735F9"/>
    <w:rsid w:val="285919D0"/>
    <w:rsid w:val="285C501C"/>
    <w:rsid w:val="286363AA"/>
    <w:rsid w:val="28643ED1"/>
    <w:rsid w:val="28665E9B"/>
    <w:rsid w:val="28684A4E"/>
    <w:rsid w:val="28697739"/>
    <w:rsid w:val="286B1703"/>
    <w:rsid w:val="287265EE"/>
    <w:rsid w:val="28745AF8"/>
    <w:rsid w:val="287556F2"/>
    <w:rsid w:val="287A36F4"/>
    <w:rsid w:val="287C121A"/>
    <w:rsid w:val="287E31E4"/>
    <w:rsid w:val="287F6F5C"/>
    <w:rsid w:val="287F7FFE"/>
    <w:rsid w:val="288325A9"/>
    <w:rsid w:val="288527C5"/>
    <w:rsid w:val="28852E12"/>
    <w:rsid w:val="28885E11"/>
    <w:rsid w:val="28887BBF"/>
    <w:rsid w:val="288B76AF"/>
    <w:rsid w:val="288D39BF"/>
    <w:rsid w:val="288F719F"/>
    <w:rsid w:val="28904CC6"/>
    <w:rsid w:val="28924EE2"/>
    <w:rsid w:val="289265C4"/>
    <w:rsid w:val="289A5C6F"/>
    <w:rsid w:val="289A6157"/>
    <w:rsid w:val="289B1FE8"/>
    <w:rsid w:val="289E5635"/>
    <w:rsid w:val="28A23518"/>
    <w:rsid w:val="28A6098D"/>
    <w:rsid w:val="28A6273B"/>
    <w:rsid w:val="28A86F0B"/>
    <w:rsid w:val="28AF15F0"/>
    <w:rsid w:val="28AF339E"/>
    <w:rsid w:val="28B05368"/>
    <w:rsid w:val="28B409B4"/>
    <w:rsid w:val="28B44E58"/>
    <w:rsid w:val="28B74948"/>
    <w:rsid w:val="28B754A4"/>
    <w:rsid w:val="28B766F6"/>
    <w:rsid w:val="28BA1D43"/>
    <w:rsid w:val="28BA7F95"/>
    <w:rsid w:val="28BB61E6"/>
    <w:rsid w:val="28BD1316"/>
    <w:rsid w:val="28BE1833"/>
    <w:rsid w:val="28BE7A85"/>
    <w:rsid w:val="28C01A4F"/>
    <w:rsid w:val="28C055AB"/>
    <w:rsid w:val="28C12115"/>
    <w:rsid w:val="28C17575"/>
    <w:rsid w:val="28CA467C"/>
    <w:rsid w:val="28D948BF"/>
    <w:rsid w:val="28DB0637"/>
    <w:rsid w:val="28DF17A9"/>
    <w:rsid w:val="28E444C1"/>
    <w:rsid w:val="28E84B02"/>
    <w:rsid w:val="28ED6CB4"/>
    <w:rsid w:val="28EF5E90"/>
    <w:rsid w:val="28F11C08"/>
    <w:rsid w:val="28F214DC"/>
    <w:rsid w:val="28F434A6"/>
    <w:rsid w:val="28F568D6"/>
    <w:rsid w:val="28F6721F"/>
    <w:rsid w:val="28F811E9"/>
    <w:rsid w:val="28F90ABD"/>
    <w:rsid w:val="28FC05AD"/>
    <w:rsid w:val="28FD4E07"/>
    <w:rsid w:val="28FD67FF"/>
    <w:rsid w:val="28FF3A2F"/>
    <w:rsid w:val="29051715"/>
    <w:rsid w:val="29053906"/>
    <w:rsid w:val="290731DA"/>
    <w:rsid w:val="290A4A78"/>
    <w:rsid w:val="29104600"/>
    <w:rsid w:val="29155EC0"/>
    <w:rsid w:val="29161C3B"/>
    <w:rsid w:val="291853E7"/>
    <w:rsid w:val="291E0523"/>
    <w:rsid w:val="291E22D1"/>
    <w:rsid w:val="2920604A"/>
    <w:rsid w:val="29211DC2"/>
    <w:rsid w:val="29233D8C"/>
    <w:rsid w:val="292535BA"/>
    <w:rsid w:val="29283150"/>
    <w:rsid w:val="292A511A"/>
    <w:rsid w:val="292C0E92"/>
    <w:rsid w:val="292F0982"/>
    <w:rsid w:val="29341AF5"/>
    <w:rsid w:val="29361D11"/>
    <w:rsid w:val="29385A89"/>
    <w:rsid w:val="293B7327"/>
    <w:rsid w:val="2940493E"/>
    <w:rsid w:val="294361DC"/>
    <w:rsid w:val="29471828"/>
    <w:rsid w:val="29477A7A"/>
    <w:rsid w:val="294D747D"/>
    <w:rsid w:val="294F2DD3"/>
    <w:rsid w:val="29503844"/>
    <w:rsid w:val="29564161"/>
    <w:rsid w:val="295959FF"/>
    <w:rsid w:val="295D104C"/>
    <w:rsid w:val="295D729E"/>
    <w:rsid w:val="296013E7"/>
    <w:rsid w:val="296028EA"/>
    <w:rsid w:val="29605F2E"/>
    <w:rsid w:val="29606D8E"/>
    <w:rsid w:val="29626270"/>
    <w:rsid w:val="296323DA"/>
    <w:rsid w:val="2967011C"/>
    <w:rsid w:val="29673931"/>
    <w:rsid w:val="296A3769"/>
    <w:rsid w:val="29713FC2"/>
    <w:rsid w:val="297230F0"/>
    <w:rsid w:val="297846B9"/>
    <w:rsid w:val="29785E86"/>
    <w:rsid w:val="29787C34"/>
    <w:rsid w:val="29791BFE"/>
    <w:rsid w:val="297E7214"/>
    <w:rsid w:val="2984482A"/>
    <w:rsid w:val="29863978"/>
    <w:rsid w:val="29867BA4"/>
    <w:rsid w:val="298955F8"/>
    <w:rsid w:val="298D2B47"/>
    <w:rsid w:val="298F4F7D"/>
    <w:rsid w:val="29946A38"/>
    <w:rsid w:val="29982084"/>
    <w:rsid w:val="29982961"/>
    <w:rsid w:val="299D58EC"/>
    <w:rsid w:val="299F446B"/>
    <w:rsid w:val="29A046C2"/>
    <w:rsid w:val="29A529F3"/>
    <w:rsid w:val="29A547A1"/>
    <w:rsid w:val="29A9603F"/>
    <w:rsid w:val="29AB414D"/>
    <w:rsid w:val="29AB625B"/>
    <w:rsid w:val="29AC3D81"/>
    <w:rsid w:val="29AF138D"/>
    <w:rsid w:val="29B11398"/>
    <w:rsid w:val="29B547FE"/>
    <w:rsid w:val="29B82726"/>
    <w:rsid w:val="29BD5F8E"/>
    <w:rsid w:val="29BE4BA0"/>
    <w:rsid w:val="29BF3AB4"/>
    <w:rsid w:val="29BF5862"/>
    <w:rsid w:val="29C0782D"/>
    <w:rsid w:val="29C15A7E"/>
    <w:rsid w:val="29C516C1"/>
    <w:rsid w:val="29C62924"/>
    <w:rsid w:val="29C63095"/>
    <w:rsid w:val="29C70AA4"/>
    <w:rsid w:val="29C94B05"/>
    <w:rsid w:val="29D15596"/>
    <w:rsid w:val="29D67050"/>
    <w:rsid w:val="29DB01C2"/>
    <w:rsid w:val="29DB03AA"/>
    <w:rsid w:val="29DB4666"/>
    <w:rsid w:val="29DD218D"/>
    <w:rsid w:val="29E03A2B"/>
    <w:rsid w:val="29E277A3"/>
    <w:rsid w:val="29E96D83"/>
    <w:rsid w:val="29EE439A"/>
    <w:rsid w:val="29EE79BF"/>
    <w:rsid w:val="29F51284"/>
    <w:rsid w:val="29F55728"/>
    <w:rsid w:val="29F6324E"/>
    <w:rsid w:val="29F76A6B"/>
    <w:rsid w:val="29F85218"/>
    <w:rsid w:val="29FA0F90"/>
    <w:rsid w:val="29FB2F04"/>
    <w:rsid w:val="29FC0110"/>
    <w:rsid w:val="29FD241F"/>
    <w:rsid w:val="29FD638B"/>
    <w:rsid w:val="29FD7CA4"/>
    <w:rsid w:val="29FE0D78"/>
    <w:rsid w:val="29FF2103"/>
    <w:rsid w:val="2A005E7B"/>
    <w:rsid w:val="2A0077A5"/>
    <w:rsid w:val="2A043BBD"/>
    <w:rsid w:val="2A04596B"/>
    <w:rsid w:val="2A070FB7"/>
    <w:rsid w:val="2A0C7993"/>
    <w:rsid w:val="2A102562"/>
    <w:rsid w:val="2A110088"/>
    <w:rsid w:val="2A1262DA"/>
    <w:rsid w:val="2A1536D4"/>
    <w:rsid w:val="2A1738F0"/>
    <w:rsid w:val="2A1F4553"/>
    <w:rsid w:val="2A225DF1"/>
    <w:rsid w:val="2A230C9B"/>
    <w:rsid w:val="2A24305C"/>
    <w:rsid w:val="2A264D1D"/>
    <w:rsid w:val="2A291581"/>
    <w:rsid w:val="2A297180"/>
    <w:rsid w:val="2A2A1976"/>
    <w:rsid w:val="2A2B2EF8"/>
    <w:rsid w:val="2A312783"/>
    <w:rsid w:val="2A3224D8"/>
    <w:rsid w:val="2A36189D"/>
    <w:rsid w:val="2A377AEF"/>
    <w:rsid w:val="2A3864A5"/>
    <w:rsid w:val="2A3A313B"/>
    <w:rsid w:val="2A3F4BF5"/>
    <w:rsid w:val="2A41096D"/>
    <w:rsid w:val="2A42753C"/>
    <w:rsid w:val="2A4346E5"/>
    <w:rsid w:val="2A44045E"/>
    <w:rsid w:val="2A48273F"/>
    <w:rsid w:val="2A495A74"/>
    <w:rsid w:val="2A49742A"/>
    <w:rsid w:val="2A4B17EC"/>
    <w:rsid w:val="2A4D10C0"/>
    <w:rsid w:val="2A4F00C0"/>
    <w:rsid w:val="2A502FEB"/>
    <w:rsid w:val="2A506E02"/>
    <w:rsid w:val="2A522B7B"/>
    <w:rsid w:val="2A554419"/>
    <w:rsid w:val="2A58434E"/>
    <w:rsid w:val="2A5A1A2F"/>
    <w:rsid w:val="2A5C1303"/>
    <w:rsid w:val="2A636B36"/>
    <w:rsid w:val="2A742AF1"/>
    <w:rsid w:val="2A75037D"/>
    <w:rsid w:val="2A790107"/>
    <w:rsid w:val="2A7D31F3"/>
    <w:rsid w:val="2A7D4BD9"/>
    <w:rsid w:val="2A7E3970"/>
    <w:rsid w:val="2A84085A"/>
    <w:rsid w:val="2A842608"/>
    <w:rsid w:val="2A88659C"/>
    <w:rsid w:val="2A8B7E3A"/>
    <w:rsid w:val="2A905451"/>
    <w:rsid w:val="2A924D25"/>
    <w:rsid w:val="2A930A9D"/>
    <w:rsid w:val="2A950CB9"/>
    <w:rsid w:val="2A962D4A"/>
    <w:rsid w:val="2A9A62D0"/>
    <w:rsid w:val="2AA1140C"/>
    <w:rsid w:val="2AA131BA"/>
    <w:rsid w:val="2AA35184"/>
    <w:rsid w:val="2AAD6003"/>
    <w:rsid w:val="2AB0164F"/>
    <w:rsid w:val="2AB033FD"/>
    <w:rsid w:val="2AB10EF8"/>
    <w:rsid w:val="2AB8768A"/>
    <w:rsid w:val="2ABA24CE"/>
    <w:rsid w:val="2AC33130"/>
    <w:rsid w:val="2AC84BEB"/>
    <w:rsid w:val="2ACB6A10"/>
    <w:rsid w:val="2AD52E64"/>
    <w:rsid w:val="2AD76BDC"/>
    <w:rsid w:val="2AD96DF8"/>
    <w:rsid w:val="2ADC41F2"/>
    <w:rsid w:val="2ADC6785"/>
    <w:rsid w:val="2ADE7F6A"/>
    <w:rsid w:val="2AE01F34"/>
    <w:rsid w:val="2AE412F9"/>
    <w:rsid w:val="2AE9690F"/>
    <w:rsid w:val="2AEA2DB3"/>
    <w:rsid w:val="2AED4651"/>
    <w:rsid w:val="2AEF03C9"/>
    <w:rsid w:val="2AF05EF0"/>
    <w:rsid w:val="2AFA0B1C"/>
    <w:rsid w:val="2B011EAB"/>
    <w:rsid w:val="2B044801"/>
    <w:rsid w:val="2B05199B"/>
    <w:rsid w:val="2B073965"/>
    <w:rsid w:val="2B08148B"/>
    <w:rsid w:val="2B084FE7"/>
    <w:rsid w:val="2B0B2D29"/>
    <w:rsid w:val="2B0F6376"/>
    <w:rsid w:val="2B142BB5"/>
    <w:rsid w:val="2B147E30"/>
    <w:rsid w:val="2B1716CE"/>
    <w:rsid w:val="2B1C019F"/>
    <w:rsid w:val="2B1E2A5D"/>
    <w:rsid w:val="2B1E6838"/>
    <w:rsid w:val="2B204A27"/>
    <w:rsid w:val="2B22254D"/>
    <w:rsid w:val="2B2362C5"/>
    <w:rsid w:val="2B2838DB"/>
    <w:rsid w:val="2B287437"/>
    <w:rsid w:val="2B2F4100"/>
    <w:rsid w:val="2B350611"/>
    <w:rsid w:val="2B367DA6"/>
    <w:rsid w:val="2B397896"/>
    <w:rsid w:val="2B3E4EAD"/>
    <w:rsid w:val="2B410002"/>
    <w:rsid w:val="2B435C33"/>
    <w:rsid w:val="2B4D3342"/>
    <w:rsid w:val="2B4D50F0"/>
    <w:rsid w:val="2B4D6E9E"/>
    <w:rsid w:val="2B4F0916"/>
    <w:rsid w:val="2B514BE0"/>
    <w:rsid w:val="2B5244B4"/>
    <w:rsid w:val="2B5621F6"/>
    <w:rsid w:val="2B577D1D"/>
    <w:rsid w:val="2B595843"/>
    <w:rsid w:val="2B5B780D"/>
    <w:rsid w:val="2B5E10AB"/>
    <w:rsid w:val="2B65068C"/>
    <w:rsid w:val="2B6577D0"/>
    <w:rsid w:val="2B6761B2"/>
    <w:rsid w:val="2B6A4679"/>
    <w:rsid w:val="2B6D7540"/>
    <w:rsid w:val="2B746B21"/>
    <w:rsid w:val="2B764647"/>
    <w:rsid w:val="2B77216D"/>
    <w:rsid w:val="2B7B1523"/>
    <w:rsid w:val="2B7B3A0B"/>
    <w:rsid w:val="2B7B7EAF"/>
    <w:rsid w:val="2B7E518C"/>
    <w:rsid w:val="2B801021"/>
    <w:rsid w:val="2B8054C5"/>
    <w:rsid w:val="2B886128"/>
    <w:rsid w:val="2B8A00F2"/>
    <w:rsid w:val="2B8A1EA0"/>
    <w:rsid w:val="2B8C3E6A"/>
    <w:rsid w:val="2B8D191A"/>
    <w:rsid w:val="2B95696A"/>
    <w:rsid w:val="2B96058E"/>
    <w:rsid w:val="2B980A61"/>
    <w:rsid w:val="2B9845BD"/>
    <w:rsid w:val="2B9864EF"/>
    <w:rsid w:val="2B98765D"/>
    <w:rsid w:val="2B990335"/>
    <w:rsid w:val="2B9920E3"/>
    <w:rsid w:val="2B9B40AD"/>
    <w:rsid w:val="2B9C2B68"/>
    <w:rsid w:val="2B9D1BD3"/>
    <w:rsid w:val="2B9D6077"/>
    <w:rsid w:val="2B9E76FA"/>
    <w:rsid w:val="2B9E7CCD"/>
    <w:rsid w:val="2BA56CDA"/>
    <w:rsid w:val="2BA80578"/>
    <w:rsid w:val="2BA84BC4"/>
    <w:rsid w:val="2BAA2542"/>
    <w:rsid w:val="2BAA609E"/>
    <w:rsid w:val="2BAC0255"/>
    <w:rsid w:val="2BAE3DE1"/>
    <w:rsid w:val="2BAF1907"/>
    <w:rsid w:val="2BB05DAB"/>
    <w:rsid w:val="2BB331A5"/>
    <w:rsid w:val="2BB60EE7"/>
    <w:rsid w:val="2BBB474F"/>
    <w:rsid w:val="2BBC3D43"/>
    <w:rsid w:val="2BBD2276"/>
    <w:rsid w:val="2BBD46E6"/>
    <w:rsid w:val="2BBD72B7"/>
    <w:rsid w:val="2BC01840"/>
    <w:rsid w:val="2BC01D66"/>
    <w:rsid w:val="2BC03B14"/>
    <w:rsid w:val="2BC2163A"/>
    <w:rsid w:val="2BCC4267"/>
    <w:rsid w:val="2BCF3D57"/>
    <w:rsid w:val="2BCF5D9D"/>
    <w:rsid w:val="2BCF6555"/>
    <w:rsid w:val="2BD26BBD"/>
    <w:rsid w:val="2BD355F5"/>
    <w:rsid w:val="2BD55811"/>
    <w:rsid w:val="2BD561B4"/>
    <w:rsid w:val="2BD80E5D"/>
    <w:rsid w:val="2BD870AF"/>
    <w:rsid w:val="2BDB094E"/>
    <w:rsid w:val="2BE05F64"/>
    <w:rsid w:val="2BE315B0"/>
    <w:rsid w:val="2BE664C3"/>
    <w:rsid w:val="2BE912BD"/>
    <w:rsid w:val="2BE94E19"/>
    <w:rsid w:val="2BEB1F8B"/>
    <w:rsid w:val="2BEE0681"/>
    <w:rsid w:val="2BF0173C"/>
    <w:rsid w:val="2BF043F9"/>
    <w:rsid w:val="2BF10171"/>
    <w:rsid w:val="2BF11F1F"/>
    <w:rsid w:val="2BF33EE9"/>
    <w:rsid w:val="2BF37A45"/>
    <w:rsid w:val="2BF57C61"/>
    <w:rsid w:val="2BF81500"/>
    <w:rsid w:val="2BF8505C"/>
    <w:rsid w:val="2BFA0DD4"/>
    <w:rsid w:val="2BFB4B4C"/>
    <w:rsid w:val="2BFF463C"/>
    <w:rsid w:val="2C02412C"/>
    <w:rsid w:val="2C043A01"/>
    <w:rsid w:val="2C047EA4"/>
    <w:rsid w:val="2C0559CB"/>
    <w:rsid w:val="2C0778B8"/>
    <w:rsid w:val="2C091017"/>
    <w:rsid w:val="2C0F2C5D"/>
    <w:rsid w:val="2C107FEF"/>
    <w:rsid w:val="2C11436F"/>
    <w:rsid w:val="2C11611D"/>
    <w:rsid w:val="2C123064"/>
    <w:rsid w:val="2C13034F"/>
    <w:rsid w:val="2C161986"/>
    <w:rsid w:val="2C1B6F9C"/>
    <w:rsid w:val="2C210A56"/>
    <w:rsid w:val="2C212804"/>
    <w:rsid w:val="2C2440A3"/>
    <w:rsid w:val="2C275941"/>
    <w:rsid w:val="2C293467"/>
    <w:rsid w:val="2C2C73FB"/>
    <w:rsid w:val="2C3047F6"/>
    <w:rsid w:val="2C324A12"/>
    <w:rsid w:val="2C330181"/>
    <w:rsid w:val="2C364F00"/>
    <w:rsid w:val="2C365B84"/>
    <w:rsid w:val="2C3A1B18"/>
    <w:rsid w:val="2C3B2FD2"/>
    <w:rsid w:val="2C3C763E"/>
    <w:rsid w:val="2C4330AB"/>
    <w:rsid w:val="2C4464F3"/>
    <w:rsid w:val="2C477D91"/>
    <w:rsid w:val="2C486159"/>
    <w:rsid w:val="2C491D5B"/>
    <w:rsid w:val="2C4955AF"/>
    <w:rsid w:val="2C4958B7"/>
    <w:rsid w:val="2C4B5AD3"/>
    <w:rsid w:val="2C4B7881"/>
    <w:rsid w:val="2C4D184B"/>
    <w:rsid w:val="2C522110"/>
    <w:rsid w:val="2C532BDA"/>
    <w:rsid w:val="2C534988"/>
    <w:rsid w:val="2C5454A7"/>
    <w:rsid w:val="2C55458E"/>
    <w:rsid w:val="2C576226"/>
    <w:rsid w:val="2C5C1A8E"/>
    <w:rsid w:val="2C5D1363"/>
    <w:rsid w:val="2C5F157F"/>
    <w:rsid w:val="2C5F332D"/>
    <w:rsid w:val="2C6426F1"/>
    <w:rsid w:val="2C665D4F"/>
    <w:rsid w:val="2C673F8F"/>
    <w:rsid w:val="2C680433"/>
    <w:rsid w:val="2C697D08"/>
    <w:rsid w:val="2C6B74B9"/>
    <w:rsid w:val="2C6C77F8"/>
    <w:rsid w:val="2C701096"/>
    <w:rsid w:val="2C74487D"/>
    <w:rsid w:val="2C772424"/>
    <w:rsid w:val="2C7843EE"/>
    <w:rsid w:val="2C7D1A05"/>
    <w:rsid w:val="2C7D6EEC"/>
    <w:rsid w:val="2C8608B9"/>
    <w:rsid w:val="2C866B0B"/>
    <w:rsid w:val="2C8D1C48"/>
    <w:rsid w:val="2C8E59C0"/>
    <w:rsid w:val="2C907D44"/>
    <w:rsid w:val="2C947DA9"/>
    <w:rsid w:val="2C970D19"/>
    <w:rsid w:val="2C9C1E8B"/>
    <w:rsid w:val="2C9E20A7"/>
    <w:rsid w:val="2C9E3E55"/>
    <w:rsid w:val="2CA3146B"/>
    <w:rsid w:val="2CA43435"/>
    <w:rsid w:val="2CA451E4"/>
    <w:rsid w:val="2CA60F5C"/>
    <w:rsid w:val="2CA80B9C"/>
    <w:rsid w:val="2CA91763"/>
    <w:rsid w:val="2CAD4098"/>
    <w:rsid w:val="2CAE5E0D"/>
    <w:rsid w:val="2CB17B5A"/>
    <w:rsid w:val="2CB43679"/>
    <w:rsid w:val="2CB52F4D"/>
    <w:rsid w:val="2CB96A46"/>
    <w:rsid w:val="2CBA0563"/>
    <w:rsid w:val="2CBA4A07"/>
    <w:rsid w:val="2CBA67B5"/>
    <w:rsid w:val="2CC118F2"/>
    <w:rsid w:val="2CC87124"/>
    <w:rsid w:val="2CCD473A"/>
    <w:rsid w:val="2CCF04B2"/>
    <w:rsid w:val="2CD05FD9"/>
    <w:rsid w:val="2CD23AFF"/>
    <w:rsid w:val="2CD448EC"/>
    <w:rsid w:val="2CD45AC9"/>
    <w:rsid w:val="2CD47877"/>
    <w:rsid w:val="2CD71115"/>
    <w:rsid w:val="2CD930DF"/>
    <w:rsid w:val="2CD94E8D"/>
    <w:rsid w:val="2CDA0C05"/>
    <w:rsid w:val="2CDA29B3"/>
    <w:rsid w:val="2CDC2BCF"/>
    <w:rsid w:val="2CDC672B"/>
    <w:rsid w:val="2CDE06F5"/>
    <w:rsid w:val="2CE11F94"/>
    <w:rsid w:val="2CE221BD"/>
    <w:rsid w:val="2CE267D2"/>
    <w:rsid w:val="2CE37ABA"/>
    <w:rsid w:val="2CE51A84"/>
    <w:rsid w:val="2CE64319"/>
    <w:rsid w:val="2CE675AA"/>
    <w:rsid w:val="2CE7345E"/>
    <w:rsid w:val="2CE83322"/>
    <w:rsid w:val="2CEC26FF"/>
    <w:rsid w:val="2CED26E7"/>
    <w:rsid w:val="2CED6B8B"/>
    <w:rsid w:val="2CEF46B1"/>
    <w:rsid w:val="2CF021D7"/>
    <w:rsid w:val="2CF41CC7"/>
    <w:rsid w:val="2CF577ED"/>
    <w:rsid w:val="2CF73565"/>
    <w:rsid w:val="2CF77A09"/>
    <w:rsid w:val="2CFC2F24"/>
    <w:rsid w:val="2CFC6DCE"/>
    <w:rsid w:val="2CFE48F4"/>
    <w:rsid w:val="2CFF066C"/>
    <w:rsid w:val="2D014005"/>
    <w:rsid w:val="2D0615B8"/>
    <w:rsid w:val="2D0619FA"/>
    <w:rsid w:val="2D0839C4"/>
    <w:rsid w:val="2D095047"/>
    <w:rsid w:val="2D0A14EA"/>
    <w:rsid w:val="2D0A7F39"/>
    <w:rsid w:val="2D0D0FDB"/>
    <w:rsid w:val="2D105609"/>
    <w:rsid w:val="2D1166CA"/>
    <w:rsid w:val="2D142369"/>
    <w:rsid w:val="2D151C3D"/>
    <w:rsid w:val="2D177764"/>
    <w:rsid w:val="2D1A7254"/>
    <w:rsid w:val="2D1C4D7A"/>
    <w:rsid w:val="2D1E4F96"/>
    <w:rsid w:val="2D1E6D44"/>
    <w:rsid w:val="2D2500D2"/>
    <w:rsid w:val="2D263E4A"/>
    <w:rsid w:val="2D265BF9"/>
    <w:rsid w:val="2D281971"/>
    <w:rsid w:val="2D287BC3"/>
    <w:rsid w:val="2D2D51D9"/>
    <w:rsid w:val="2D2D6F87"/>
    <w:rsid w:val="2D2E5BF2"/>
    <w:rsid w:val="2D300825"/>
    <w:rsid w:val="2D3227EF"/>
    <w:rsid w:val="2D35408E"/>
    <w:rsid w:val="2D376058"/>
    <w:rsid w:val="2D3C541C"/>
    <w:rsid w:val="2D3D763E"/>
    <w:rsid w:val="2D426ED6"/>
    <w:rsid w:val="2D4349FC"/>
    <w:rsid w:val="2D447E18"/>
    <w:rsid w:val="2D4608E8"/>
    <w:rsid w:val="2D4A18E7"/>
    <w:rsid w:val="2D4A5D8B"/>
    <w:rsid w:val="2D4A7B39"/>
    <w:rsid w:val="2D4B38B1"/>
    <w:rsid w:val="2D5715E5"/>
    <w:rsid w:val="2D585055"/>
    <w:rsid w:val="2D5C786C"/>
    <w:rsid w:val="2D5E1836"/>
    <w:rsid w:val="2D5F4DF5"/>
    <w:rsid w:val="2D6055AE"/>
    <w:rsid w:val="2D6230D5"/>
    <w:rsid w:val="2D654973"/>
    <w:rsid w:val="2D6706EB"/>
    <w:rsid w:val="2D6C5D01"/>
    <w:rsid w:val="2D6D1A79"/>
    <w:rsid w:val="2D6D7CCB"/>
    <w:rsid w:val="2D6F57F1"/>
    <w:rsid w:val="2D7050C6"/>
    <w:rsid w:val="2D720E3E"/>
    <w:rsid w:val="2D7245CA"/>
    <w:rsid w:val="2D74105A"/>
    <w:rsid w:val="2D746964"/>
    <w:rsid w:val="2D76092E"/>
    <w:rsid w:val="2D766B80"/>
    <w:rsid w:val="2D7746A6"/>
    <w:rsid w:val="2D7828F8"/>
    <w:rsid w:val="2D7B4196"/>
    <w:rsid w:val="2D7C1CBC"/>
    <w:rsid w:val="2D7E3C87"/>
    <w:rsid w:val="2D7F546D"/>
    <w:rsid w:val="2D80355B"/>
    <w:rsid w:val="2D8079FF"/>
    <w:rsid w:val="2D872B3B"/>
    <w:rsid w:val="2D8A43D9"/>
    <w:rsid w:val="2D8A6187"/>
    <w:rsid w:val="2D8C0151"/>
    <w:rsid w:val="2D8F7C42"/>
    <w:rsid w:val="2D9328DA"/>
    <w:rsid w:val="2D940DB4"/>
    <w:rsid w:val="2D983721"/>
    <w:rsid w:val="2D9B20A2"/>
    <w:rsid w:val="2D9B2143"/>
    <w:rsid w:val="2D9D235F"/>
    <w:rsid w:val="2DA059AB"/>
    <w:rsid w:val="2DA232EE"/>
    <w:rsid w:val="2DA27975"/>
    <w:rsid w:val="2DA33405"/>
    <w:rsid w:val="2DA35475"/>
    <w:rsid w:val="2DA57465"/>
    <w:rsid w:val="2DAA7CC3"/>
    <w:rsid w:val="2DAC07F4"/>
    <w:rsid w:val="2DAE631A"/>
    <w:rsid w:val="2DB31B82"/>
    <w:rsid w:val="2DB43204"/>
    <w:rsid w:val="2DB476A8"/>
    <w:rsid w:val="2DB72CF5"/>
    <w:rsid w:val="2DB9081B"/>
    <w:rsid w:val="2DB9562B"/>
    <w:rsid w:val="2DB96A6D"/>
    <w:rsid w:val="2DBA6ABB"/>
    <w:rsid w:val="2DBC2B1C"/>
    <w:rsid w:val="2DC23B73"/>
    <w:rsid w:val="2DC518B5"/>
    <w:rsid w:val="2DC72F38"/>
    <w:rsid w:val="2DCA2A28"/>
    <w:rsid w:val="2DCC67A0"/>
    <w:rsid w:val="2DCE63C1"/>
    <w:rsid w:val="2DCF12C3"/>
    <w:rsid w:val="2DCF6290"/>
    <w:rsid w:val="2DD24D42"/>
    <w:rsid w:val="2DD33896"/>
    <w:rsid w:val="2DD35D80"/>
    <w:rsid w:val="2DD45655"/>
    <w:rsid w:val="2DD536C3"/>
    <w:rsid w:val="2DDB2E87"/>
    <w:rsid w:val="2DDE5EB6"/>
    <w:rsid w:val="2DE27D71"/>
    <w:rsid w:val="2DEA131C"/>
    <w:rsid w:val="2DEC0BF0"/>
    <w:rsid w:val="2DEF248E"/>
    <w:rsid w:val="2DF16206"/>
    <w:rsid w:val="2DF61A6F"/>
    <w:rsid w:val="2DFA155F"/>
    <w:rsid w:val="2DFB52D7"/>
    <w:rsid w:val="2DFC2C0A"/>
    <w:rsid w:val="2DFF6930"/>
    <w:rsid w:val="2E00644A"/>
    <w:rsid w:val="2E0221C2"/>
    <w:rsid w:val="2E045F3A"/>
    <w:rsid w:val="2E047BD1"/>
    <w:rsid w:val="2E05533D"/>
    <w:rsid w:val="2E073C7C"/>
    <w:rsid w:val="2E0A0E72"/>
    <w:rsid w:val="2E0B038E"/>
    <w:rsid w:val="2E0C1292"/>
    <w:rsid w:val="2E0E6DB8"/>
    <w:rsid w:val="2E0F302F"/>
    <w:rsid w:val="2E110657"/>
    <w:rsid w:val="2E110D45"/>
    <w:rsid w:val="2E150147"/>
    <w:rsid w:val="2E163EBF"/>
    <w:rsid w:val="2E187C37"/>
    <w:rsid w:val="2E1B14D5"/>
    <w:rsid w:val="2E1F2D74"/>
    <w:rsid w:val="2E24038A"/>
    <w:rsid w:val="2E2465DC"/>
    <w:rsid w:val="2E255EB0"/>
    <w:rsid w:val="2E2A1718"/>
    <w:rsid w:val="2E2A34C6"/>
    <w:rsid w:val="2E2C36E3"/>
    <w:rsid w:val="2E32207F"/>
    <w:rsid w:val="2E3507E9"/>
    <w:rsid w:val="2E364AA6"/>
    <w:rsid w:val="2E3662A3"/>
    <w:rsid w:val="2E36630F"/>
    <w:rsid w:val="2E382087"/>
    <w:rsid w:val="2E3A195C"/>
    <w:rsid w:val="2E3A5DFF"/>
    <w:rsid w:val="2E3B3926"/>
    <w:rsid w:val="2E3D31FA"/>
    <w:rsid w:val="2E424CB4"/>
    <w:rsid w:val="2E426A62"/>
    <w:rsid w:val="2E47051C"/>
    <w:rsid w:val="2E484E40"/>
    <w:rsid w:val="2E494294"/>
    <w:rsid w:val="2E4D388D"/>
    <w:rsid w:val="2E530C6F"/>
    <w:rsid w:val="2E544BA4"/>
    <w:rsid w:val="2E5642BC"/>
    <w:rsid w:val="2E573CCE"/>
    <w:rsid w:val="2E59753B"/>
    <w:rsid w:val="2E5A728A"/>
    <w:rsid w:val="2E5F5866"/>
    <w:rsid w:val="2E627104"/>
    <w:rsid w:val="2E6817E4"/>
    <w:rsid w:val="2E6B420B"/>
    <w:rsid w:val="2E6E5700"/>
    <w:rsid w:val="2E6E7857"/>
    <w:rsid w:val="2E701821"/>
    <w:rsid w:val="2E7110F5"/>
    <w:rsid w:val="2E731311"/>
    <w:rsid w:val="2E7363FA"/>
    <w:rsid w:val="2E741573"/>
    <w:rsid w:val="2E750BE6"/>
    <w:rsid w:val="2E76670C"/>
    <w:rsid w:val="2E7A444E"/>
    <w:rsid w:val="2E7D3F3E"/>
    <w:rsid w:val="2E7F0FEA"/>
    <w:rsid w:val="2E81758A"/>
    <w:rsid w:val="2E821554"/>
    <w:rsid w:val="2E840E29"/>
    <w:rsid w:val="2E8452CD"/>
    <w:rsid w:val="2E864BA1"/>
    <w:rsid w:val="2E8B665B"/>
    <w:rsid w:val="2E8C5F2F"/>
    <w:rsid w:val="2E8E7EF9"/>
    <w:rsid w:val="2E90180C"/>
    <w:rsid w:val="2E905A1F"/>
    <w:rsid w:val="2E921798"/>
    <w:rsid w:val="2E953036"/>
    <w:rsid w:val="2E954DE4"/>
    <w:rsid w:val="2E960B5C"/>
    <w:rsid w:val="2E9757EF"/>
    <w:rsid w:val="2E9F2106"/>
    <w:rsid w:val="2EA27501"/>
    <w:rsid w:val="2EA43279"/>
    <w:rsid w:val="2EA46F0F"/>
    <w:rsid w:val="2EA72D69"/>
    <w:rsid w:val="2EA8720D"/>
    <w:rsid w:val="2EA94D33"/>
    <w:rsid w:val="2EAB0AAB"/>
    <w:rsid w:val="2EAB2859"/>
    <w:rsid w:val="2EAC037F"/>
    <w:rsid w:val="2EAD05A4"/>
    <w:rsid w:val="2EB2126E"/>
    <w:rsid w:val="2EBA484A"/>
    <w:rsid w:val="2EBE07DF"/>
    <w:rsid w:val="2EC61441"/>
    <w:rsid w:val="2EC851B9"/>
    <w:rsid w:val="2EC91DFC"/>
    <w:rsid w:val="2ECD6C74"/>
    <w:rsid w:val="2ECE2882"/>
    <w:rsid w:val="2ED022C0"/>
    <w:rsid w:val="2ED44AC3"/>
    <w:rsid w:val="2ED51684"/>
    <w:rsid w:val="2EDC1978"/>
    <w:rsid w:val="2EDE26DB"/>
    <w:rsid w:val="2EDE49DD"/>
    <w:rsid w:val="2EDF0755"/>
    <w:rsid w:val="2EDF2503"/>
    <w:rsid w:val="2EE00E70"/>
    <w:rsid w:val="2EE10029"/>
    <w:rsid w:val="2EE6563F"/>
    <w:rsid w:val="2EE87609"/>
    <w:rsid w:val="2EEB534C"/>
    <w:rsid w:val="2EEB70FA"/>
    <w:rsid w:val="2EF44200"/>
    <w:rsid w:val="2EF53E36"/>
    <w:rsid w:val="2EF57F78"/>
    <w:rsid w:val="2EF73CF0"/>
    <w:rsid w:val="2EFB01F2"/>
    <w:rsid w:val="2EFB603E"/>
    <w:rsid w:val="2F0401BB"/>
    <w:rsid w:val="2F063F34"/>
    <w:rsid w:val="2F067A90"/>
    <w:rsid w:val="2F097580"/>
    <w:rsid w:val="2F0B779C"/>
    <w:rsid w:val="2F0D0E1E"/>
    <w:rsid w:val="2F0D52C2"/>
    <w:rsid w:val="2F0E5A28"/>
    <w:rsid w:val="2F0F21C4"/>
    <w:rsid w:val="2F10090E"/>
    <w:rsid w:val="2F126434"/>
    <w:rsid w:val="2F195A15"/>
    <w:rsid w:val="2F1A79DF"/>
    <w:rsid w:val="2F1B0A91"/>
    <w:rsid w:val="2F1C3757"/>
    <w:rsid w:val="2F1F6DA3"/>
    <w:rsid w:val="2F234AE5"/>
    <w:rsid w:val="2F236894"/>
    <w:rsid w:val="2F2443BA"/>
    <w:rsid w:val="2F2B1BEC"/>
    <w:rsid w:val="2F2B3D4C"/>
    <w:rsid w:val="2F2D7712"/>
    <w:rsid w:val="2F300FB0"/>
    <w:rsid w:val="2F304908"/>
    <w:rsid w:val="2F3945C8"/>
    <w:rsid w:val="2F3A598B"/>
    <w:rsid w:val="2F3B34B0"/>
    <w:rsid w:val="2F3C5BA7"/>
    <w:rsid w:val="2F3F11F4"/>
    <w:rsid w:val="2F407445"/>
    <w:rsid w:val="2F430CE4"/>
    <w:rsid w:val="2F433B90"/>
    <w:rsid w:val="2F4405B8"/>
    <w:rsid w:val="2F4A3E20"/>
    <w:rsid w:val="2F4B1946"/>
    <w:rsid w:val="2F4D1B62"/>
    <w:rsid w:val="2F520F27"/>
    <w:rsid w:val="2F523172"/>
    <w:rsid w:val="2F542EF1"/>
    <w:rsid w:val="2F560A17"/>
    <w:rsid w:val="2F5702EB"/>
    <w:rsid w:val="2F5B602D"/>
    <w:rsid w:val="2F5F3F1A"/>
    <w:rsid w:val="2F603644"/>
    <w:rsid w:val="2F662726"/>
    <w:rsid w:val="2F6A64BB"/>
    <w:rsid w:val="2F6D7B0F"/>
    <w:rsid w:val="2F6F7D2B"/>
    <w:rsid w:val="2F7215C9"/>
    <w:rsid w:val="2F7572F8"/>
    <w:rsid w:val="2F762E67"/>
    <w:rsid w:val="2F776BDF"/>
    <w:rsid w:val="2F7C41F6"/>
    <w:rsid w:val="2F7C5FA4"/>
    <w:rsid w:val="2F805A94"/>
    <w:rsid w:val="2F807842"/>
    <w:rsid w:val="2F8310E0"/>
    <w:rsid w:val="2F835584"/>
    <w:rsid w:val="2F854E58"/>
    <w:rsid w:val="2F884982"/>
    <w:rsid w:val="2F886979"/>
    <w:rsid w:val="2F8C4439"/>
    <w:rsid w:val="2F92147C"/>
    <w:rsid w:val="2F9257C7"/>
    <w:rsid w:val="2F931E2F"/>
    <w:rsid w:val="2F963509"/>
    <w:rsid w:val="2F990904"/>
    <w:rsid w:val="2F9939E1"/>
    <w:rsid w:val="2F9B28CE"/>
    <w:rsid w:val="2F9E23BE"/>
    <w:rsid w:val="2F9E416C"/>
    <w:rsid w:val="2FA01C92"/>
    <w:rsid w:val="2FA167D7"/>
    <w:rsid w:val="2FA64CBD"/>
    <w:rsid w:val="2FA71273"/>
    <w:rsid w:val="2FA8139B"/>
    <w:rsid w:val="2FAC4ADB"/>
    <w:rsid w:val="2FAD43AF"/>
    <w:rsid w:val="2FAF0127"/>
    <w:rsid w:val="2FAF45CB"/>
    <w:rsid w:val="2FB13E9F"/>
    <w:rsid w:val="2FB43990"/>
    <w:rsid w:val="2FB83480"/>
    <w:rsid w:val="2FB945CC"/>
    <w:rsid w:val="2FB971F8"/>
    <w:rsid w:val="2FBB4D1E"/>
    <w:rsid w:val="2FBB6ACC"/>
    <w:rsid w:val="2FBC3872"/>
    <w:rsid w:val="2FBC45F2"/>
    <w:rsid w:val="2FBE7790"/>
    <w:rsid w:val="2FC23CCE"/>
    <w:rsid w:val="2FC260AC"/>
    <w:rsid w:val="2FC31E25"/>
    <w:rsid w:val="2FC55B9D"/>
    <w:rsid w:val="2FC5794B"/>
    <w:rsid w:val="2FC736C3"/>
    <w:rsid w:val="2FC75471"/>
    <w:rsid w:val="2FCA3FE7"/>
    <w:rsid w:val="2FCA4F61"/>
    <w:rsid w:val="2FCD67FF"/>
    <w:rsid w:val="2FCF2577"/>
    <w:rsid w:val="2FD7142C"/>
    <w:rsid w:val="2FD858D0"/>
    <w:rsid w:val="2FD91648"/>
    <w:rsid w:val="2FD951A4"/>
    <w:rsid w:val="2FDA13C6"/>
    <w:rsid w:val="2FDD2EE6"/>
    <w:rsid w:val="2FE204FD"/>
    <w:rsid w:val="2FE35557"/>
    <w:rsid w:val="2FE53B49"/>
    <w:rsid w:val="2FE77F6F"/>
    <w:rsid w:val="2FEA115F"/>
    <w:rsid w:val="2FEC137B"/>
    <w:rsid w:val="2FF21BF4"/>
    <w:rsid w:val="2FF41FDE"/>
    <w:rsid w:val="2FFB15BE"/>
    <w:rsid w:val="2FFD70E5"/>
    <w:rsid w:val="2FFE2E5D"/>
    <w:rsid w:val="2FFF1601"/>
    <w:rsid w:val="30006BD5"/>
    <w:rsid w:val="300246FB"/>
    <w:rsid w:val="3005243D"/>
    <w:rsid w:val="3008511A"/>
    <w:rsid w:val="30087837"/>
    <w:rsid w:val="300A1801"/>
    <w:rsid w:val="300B566B"/>
    <w:rsid w:val="30110DE2"/>
    <w:rsid w:val="30112B90"/>
    <w:rsid w:val="301306B6"/>
    <w:rsid w:val="30134B5A"/>
    <w:rsid w:val="30136908"/>
    <w:rsid w:val="30183F1E"/>
    <w:rsid w:val="301D32E3"/>
    <w:rsid w:val="301D7787"/>
    <w:rsid w:val="30202DD3"/>
    <w:rsid w:val="30240B15"/>
    <w:rsid w:val="302613A0"/>
    <w:rsid w:val="302A3C52"/>
    <w:rsid w:val="302D729E"/>
    <w:rsid w:val="302E2703"/>
    <w:rsid w:val="30332B06"/>
    <w:rsid w:val="30336FAA"/>
    <w:rsid w:val="30354AD0"/>
    <w:rsid w:val="303562C4"/>
    <w:rsid w:val="3038112C"/>
    <w:rsid w:val="30393E95"/>
    <w:rsid w:val="30403475"/>
    <w:rsid w:val="30406FD1"/>
    <w:rsid w:val="30420F9B"/>
    <w:rsid w:val="30460409"/>
    <w:rsid w:val="30467CC7"/>
    <w:rsid w:val="3049057C"/>
    <w:rsid w:val="304940D8"/>
    <w:rsid w:val="304E4885"/>
    <w:rsid w:val="304E5B92"/>
    <w:rsid w:val="3051432A"/>
    <w:rsid w:val="30517430"/>
    <w:rsid w:val="30542A7D"/>
    <w:rsid w:val="30551F59"/>
    <w:rsid w:val="305B02AF"/>
    <w:rsid w:val="305B3E0B"/>
    <w:rsid w:val="305D4027"/>
    <w:rsid w:val="305D5DD5"/>
    <w:rsid w:val="306C6018"/>
    <w:rsid w:val="306F78E5"/>
    <w:rsid w:val="307777B8"/>
    <w:rsid w:val="30782C0F"/>
    <w:rsid w:val="307A6987"/>
    <w:rsid w:val="307B625B"/>
    <w:rsid w:val="307B6426"/>
    <w:rsid w:val="307D0225"/>
    <w:rsid w:val="3081343B"/>
    <w:rsid w:val="3082583C"/>
    <w:rsid w:val="3085479D"/>
    <w:rsid w:val="3088148F"/>
    <w:rsid w:val="30881BCD"/>
    <w:rsid w:val="30894E1C"/>
    <w:rsid w:val="308B0B94"/>
    <w:rsid w:val="308B46F0"/>
    <w:rsid w:val="308C20BB"/>
    <w:rsid w:val="308C66BA"/>
    <w:rsid w:val="3095556F"/>
    <w:rsid w:val="309A3FE2"/>
    <w:rsid w:val="309C4B4F"/>
    <w:rsid w:val="309F63EE"/>
    <w:rsid w:val="30A05CC2"/>
    <w:rsid w:val="30A6152A"/>
    <w:rsid w:val="30A752A2"/>
    <w:rsid w:val="30A9726C"/>
    <w:rsid w:val="30AA3266"/>
    <w:rsid w:val="30AC28B9"/>
    <w:rsid w:val="30AE2458"/>
    <w:rsid w:val="30B6355D"/>
    <w:rsid w:val="30B67293"/>
    <w:rsid w:val="30BB2AFC"/>
    <w:rsid w:val="30BC5EEC"/>
    <w:rsid w:val="30BF25EC"/>
    <w:rsid w:val="30C012E1"/>
    <w:rsid w:val="30C3032E"/>
    <w:rsid w:val="30C45E54"/>
    <w:rsid w:val="30C916BD"/>
    <w:rsid w:val="30CB2D3F"/>
    <w:rsid w:val="30CE0301"/>
    <w:rsid w:val="30D065A7"/>
    <w:rsid w:val="30D342E9"/>
    <w:rsid w:val="30D616E4"/>
    <w:rsid w:val="30D836AE"/>
    <w:rsid w:val="30DA1475"/>
    <w:rsid w:val="30DD6F16"/>
    <w:rsid w:val="30DF16B2"/>
    <w:rsid w:val="30DF4A3C"/>
    <w:rsid w:val="30E107B4"/>
    <w:rsid w:val="30E402A4"/>
    <w:rsid w:val="30E6401D"/>
    <w:rsid w:val="30E65DCB"/>
    <w:rsid w:val="30E67B79"/>
    <w:rsid w:val="30E8664A"/>
    <w:rsid w:val="30E87D95"/>
    <w:rsid w:val="30EA3353"/>
    <w:rsid w:val="30ED4D1A"/>
    <w:rsid w:val="30F11290"/>
    <w:rsid w:val="30F37424"/>
    <w:rsid w:val="30F43578"/>
    <w:rsid w:val="30F57DBC"/>
    <w:rsid w:val="30F71D86"/>
    <w:rsid w:val="30F93D50"/>
    <w:rsid w:val="30FA1876"/>
    <w:rsid w:val="30FC114A"/>
    <w:rsid w:val="30FE1366"/>
    <w:rsid w:val="30FF0C3A"/>
    <w:rsid w:val="30FF6E8C"/>
    <w:rsid w:val="31012C04"/>
    <w:rsid w:val="3102241B"/>
    <w:rsid w:val="310224D9"/>
    <w:rsid w:val="31062BA1"/>
    <w:rsid w:val="31085D41"/>
    <w:rsid w:val="310D3357"/>
    <w:rsid w:val="310D5099"/>
    <w:rsid w:val="310E70CF"/>
    <w:rsid w:val="310F3573"/>
    <w:rsid w:val="3112096E"/>
    <w:rsid w:val="31124E12"/>
    <w:rsid w:val="3115045E"/>
    <w:rsid w:val="31184B1D"/>
    <w:rsid w:val="311961A0"/>
    <w:rsid w:val="311F308B"/>
    <w:rsid w:val="31250826"/>
    <w:rsid w:val="312608BD"/>
    <w:rsid w:val="31280191"/>
    <w:rsid w:val="3128316B"/>
    <w:rsid w:val="312863E3"/>
    <w:rsid w:val="312A1CE8"/>
    <w:rsid w:val="312A382C"/>
    <w:rsid w:val="312B1A2F"/>
    <w:rsid w:val="312C49B4"/>
    <w:rsid w:val="313456F6"/>
    <w:rsid w:val="313703D4"/>
    <w:rsid w:val="313E1763"/>
    <w:rsid w:val="313E5D03"/>
    <w:rsid w:val="313E79B5"/>
    <w:rsid w:val="31413001"/>
    <w:rsid w:val="31440B67"/>
    <w:rsid w:val="31440ED2"/>
    <w:rsid w:val="31457A4F"/>
    <w:rsid w:val="31466869"/>
    <w:rsid w:val="31466B25"/>
    <w:rsid w:val="314F6C88"/>
    <w:rsid w:val="31535137"/>
    <w:rsid w:val="31551114"/>
    <w:rsid w:val="315B522B"/>
    <w:rsid w:val="315D6A34"/>
    <w:rsid w:val="315E0057"/>
    <w:rsid w:val="316339BD"/>
    <w:rsid w:val="316B2774"/>
    <w:rsid w:val="316B62D0"/>
    <w:rsid w:val="316F6600"/>
    <w:rsid w:val="31701B38"/>
    <w:rsid w:val="31717D8A"/>
    <w:rsid w:val="31745184"/>
    <w:rsid w:val="3175714F"/>
    <w:rsid w:val="31772EC7"/>
    <w:rsid w:val="317A6513"/>
    <w:rsid w:val="317C228B"/>
    <w:rsid w:val="317C672F"/>
    <w:rsid w:val="318178A1"/>
    <w:rsid w:val="31833619"/>
    <w:rsid w:val="31833929"/>
    <w:rsid w:val="31835ACF"/>
    <w:rsid w:val="318778DD"/>
    <w:rsid w:val="318A0E4C"/>
    <w:rsid w:val="318A66F3"/>
    <w:rsid w:val="318B0720"/>
    <w:rsid w:val="318B24CE"/>
    <w:rsid w:val="318C4BC4"/>
    <w:rsid w:val="318F1333"/>
    <w:rsid w:val="31905D36"/>
    <w:rsid w:val="319121DA"/>
    <w:rsid w:val="31921AAF"/>
    <w:rsid w:val="31925C65"/>
    <w:rsid w:val="31943A79"/>
    <w:rsid w:val="3195334D"/>
    <w:rsid w:val="31967CDB"/>
    <w:rsid w:val="319C292D"/>
    <w:rsid w:val="319C46DB"/>
    <w:rsid w:val="319E66A5"/>
    <w:rsid w:val="31A33CBC"/>
    <w:rsid w:val="31A35A6A"/>
    <w:rsid w:val="31A517E2"/>
    <w:rsid w:val="31AC0DC2"/>
    <w:rsid w:val="31AF440F"/>
    <w:rsid w:val="31B22151"/>
    <w:rsid w:val="31B732C3"/>
    <w:rsid w:val="31B8236B"/>
    <w:rsid w:val="31BB1005"/>
    <w:rsid w:val="31BE28A4"/>
    <w:rsid w:val="31BE7198"/>
    <w:rsid w:val="31C003CA"/>
    <w:rsid w:val="31C14142"/>
    <w:rsid w:val="31C37EBA"/>
    <w:rsid w:val="31C6579F"/>
    <w:rsid w:val="31C83722"/>
    <w:rsid w:val="31CF685F"/>
    <w:rsid w:val="31D1507E"/>
    <w:rsid w:val="31D34CFE"/>
    <w:rsid w:val="31D37F2E"/>
    <w:rsid w:val="31D9148B"/>
    <w:rsid w:val="31DB5204"/>
    <w:rsid w:val="31E87920"/>
    <w:rsid w:val="31EC5663"/>
    <w:rsid w:val="31ED1F65"/>
    <w:rsid w:val="31EE13DB"/>
    <w:rsid w:val="31F2079F"/>
    <w:rsid w:val="31F31F70"/>
    <w:rsid w:val="31F462C5"/>
    <w:rsid w:val="31F6203D"/>
    <w:rsid w:val="31F91B2E"/>
    <w:rsid w:val="31F97D80"/>
    <w:rsid w:val="31FA454F"/>
    <w:rsid w:val="31FB73AC"/>
    <w:rsid w:val="31FC33CC"/>
    <w:rsid w:val="31FC517A"/>
    <w:rsid w:val="31FD7870"/>
    <w:rsid w:val="3203475A"/>
    <w:rsid w:val="320504D2"/>
    <w:rsid w:val="32063522"/>
    <w:rsid w:val="3207249C"/>
    <w:rsid w:val="32075FF9"/>
    <w:rsid w:val="320C1861"/>
    <w:rsid w:val="320D7E0E"/>
    <w:rsid w:val="32111360"/>
    <w:rsid w:val="3212499D"/>
    <w:rsid w:val="3215767E"/>
    <w:rsid w:val="3216448E"/>
    <w:rsid w:val="321B0E35"/>
    <w:rsid w:val="321D3A6E"/>
    <w:rsid w:val="321D581C"/>
    <w:rsid w:val="322144FE"/>
    <w:rsid w:val="32221084"/>
    <w:rsid w:val="32252923"/>
    <w:rsid w:val="322944BC"/>
    <w:rsid w:val="322A1CE7"/>
    <w:rsid w:val="322C3CB1"/>
    <w:rsid w:val="322C5A5F"/>
    <w:rsid w:val="322F0520"/>
    <w:rsid w:val="3234700A"/>
    <w:rsid w:val="3236068C"/>
    <w:rsid w:val="3239017C"/>
    <w:rsid w:val="323963CE"/>
    <w:rsid w:val="323B5CA2"/>
    <w:rsid w:val="323D7C6C"/>
    <w:rsid w:val="32427031"/>
    <w:rsid w:val="32472B70"/>
    <w:rsid w:val="32496611"/>
    <w:rsid w:val="324A4137"/>
    <w:rsid w:val="324B14F1"/>
    <w:rsid w:val="324B2F78"/>
    <w:rsid w:val="324E1E79"/>
    <w:rsid w:val="324F79A0"/>
    <w:rsid w:val="32513718"/>
    <w:rsid w:val="325154C6"/>
    <w:rsid w:val="32544FB6"/>
    <w:rsid w:val="32546D64"/>
    <w:rsid w:val="32584AA6"/>
    <w:rsid w:val="32586854"/>
    <w:rsid w:val="325A6A70"/>
    <w:rsid w:val="325B00F2"/>
    <w:rsid w:val="3260395B"/>
    <w:rsid w:val="326276D3"/>
    <w:rsid w:val="32650F71"/>
    <w:rsid w:val="326A2A2B"/>
    <w:rsid w:val="326E7E26"/>
    <w:rsid w:val="32700042"/>
    <w:rsid w:val="32704370"/>
    <w:rsid w:val="327318E0"/>
    <w:rsid w:val="32731EDB"/>
    <w:rsid w:val="327B69E7"/>
    <w:rsid w:val="328238D1"/>
    <w:rsid w:val="32863FA2"/>
    <w:rsid w:val="3287538B"/>
    <w:rsid w:val="328B4E7C"/>
    <w:rsid w:val="328C4750"/>
    <w:rsid w:val="328D3E75"/>
    <w:rsid w:val="328E04C8"/>
    <w:rsid w:val="328F5FEE"/>
    <w:rsid w:val="32911D66"/>
    <w:rsid w:val="329830F5"/>
    <w:rsid w:val="32987598"/>
    <w:rsid w:val="32990C1B"/>
    <w:rsid w:val="32A41A99"/>
    <w:rsid w:val="32A659C4"/>
    <w:rsid w:val="32A7158A"/>
    <w:rsid w:val="32AB72CC"/>
    <w:rsid w:val="32AC6BA0"/>
    <w:rsid w:val="32BD0DAD"/>
    <w:rsid w:val="32BF2D77"/>
    <w:rsid w:val="32C20171"/>
    <w:rsid w:val="32C22AB4"/>
    <w:rsid w:val="32C51A10"/>
    <w:rsid w:val="32C63FA6"/>
    <w:rsid w:val="32CB3E17"/>
    <w:rsid w:val="32CC5CB8"/>
    <w:rsid w:val="32D103B5"/>
    <w:rsid w:val="32D22AAA"/>
    <w:rsid w:val="32D279D8"/>
    <w:rsid w:val="32D700C1"/>
    <w:rsid w:val="32D74F8B"/>
    <w:rsid w:val="32DC3E61"/>
    <w:rsid w:val="32DE17BB"/>
    <w:rsid w:val="32DE787A"/>
    <w:rsid w:val="32DF2AD1"/>
    <w:rsid w:val="32E20814"/>
    <w:rsid w:val="32E26A66"/>
    <w:rsid w:val="32E4633A"/>
    <w:rsid w:val="32E7407C"/>
    <w:rsid w:val="32EB1476"/>
    <w:rsid w:val="32EB2C4E"/>
    <w:rsid w:val="32EB3B6C"/>
    <w:rsid w:val="32EB76C8"/>
    <w:rsid w:val="32EE0F67"/>
    <w:rsid w:val="32F01183"/>
    <w:rsid w:val="32F02F31"/>
    <w:rsid w:val="32F10A57"/>
    <w:rsid w:val="32F25DB3"/>
    <w:rsid w:val="32F6606D"/>
    <w:rsid w:val="32F67DAF"/>
    <w:rsid w:val="32FA0C59"/>
    <w:rsid w:val="32FC7B27"/>
    <w:rsid w:val="32FF13C6"/>
    <w:rsid w:val="32FF4F22"/>
    <w:rsid w:val="3300345C"/>
    <w:rsid w:val="33010C9A"/>
    <w:rsid w:val="33022C64"/>
    <w:rsid w:val="3304078A"/>
    <w:rsid w:val="33042538"/>
    <w:rsid w:val="330662B0"/>
    <w:rsid w:val="33075090"/>
    <w:rsid w:val="330E344C"/>
    <w:rsid w:val="330E785B"/>
    <w:rsid w:val="3310712F"/>
    <w:rsid w:val="331210F9"/>
    <w:rsid w:val="33146C22"/>
    <w:rsid w:val="33164B0C"/>
    <w:rsid w:val="331704BD"/>
    <w:rsid w:val="33171638"/>
    <w:rsid w:val="331A1D5C"/>
    <w:rsid w:val="331A61FF"/>
    <w:rsid w:val="331C5AD4"/>
    <w:rsid w:val="331C7DC7"/>
    <w:rsid w:val="331D184C"/>
    <w:rsid w:val="331D36BE"/>
    <w:rsid w:val="331D7A9E"/>
    <w:rsid w:val="33222E5D"/>
    <w:rsid w:val="33245604"/>
    <w:rsid w:val="3328760B"/>
    <w:rsid w:val="33294832"/>
    <w:rsid w:val="332F7747"/>
    <w:rsid w:val="3330157F"/>
    <w:rsid w:val="33332E1D"/>
    <w:rsid w:val="333746BC"/>
    <w:rsid w:val="33386686"/>
    <w:rsid w:val="333C7F24"/>
    <w:rsid w:val="3341378C"/>
    <w:rsid w:val="3344327C"/>
    <w:rsid w:val="33482D6D"/>
    <w:rsid w:val="334A2505"/>
    <w:rsid w:val="334B5AF5"/>
    <w:rsid w:val="334D0383"/>
    <w:rsid w:val="334D079E"/>
    <w:rsid w:val="335072D3"/>
    <w:rsid w:val="33527455"/>
    <w:rsid w:val="33531C09"/>
    <w:rsid w:val="33574880"/>
    <w:rsid w:val="33576B0C"/>
    <w:rsid w:val="335A2AA0"/>
    <w:rsid w:val="335A484E"/>
    <w:rsid w:val="335A65FC"/>
    <w:rsid w:val="335C246D"/>
    <w:rsid w:val="335F1E64"/>
    <w:rsid w:val="33631954"/>
    <w:rsid w:val="33664FA1"/>
    <w:rsid w:val="33680D19"/>
    <w:rsid w:val="33691A98"/>
    <w:rsid w:val="336A2CA3"/>
    <w:rsid w:val="336A2CE3"/>
    <w:rsid w:val="336B25B7"/>
    <w:rsid w:val="336B6A5B"/>
    <w:rsid w:val="336E20A7"/>
    <w:rsid w:val="336E3E55"/>
    <w:rsid w:val="33705886"/>
    <w:rsid w:val="33721B98"/>
    <w:rsid w:val="33727DEA"/>
    <w:rsid w:val="33743B62"/>
    <w:rsid w:val="33753436"/>
    <w:rsid w:val="33792F26"/>
    <w:rsid w:val="337A0A4C"/>
    <w:rsid w:val="337B4EF0"/>
    <w:rsid w:val="33802506"/>
    <w:rsid w:val="3381002D"/>
    <w:rsid w:val="33813B89"/>
    <w:rsid w:val="33835B53"/>
    <w:rsid w:val="33837901"/>
    <w:rsid w:val="338673F1"/>
    <w:rsid w:val="3387267D"/>
    <w:rsid w:val="33883169"/>
    <w:rsid w:val="33890C8F"/>
    <w:rsid w:val="338A5133"/>
    <w:rsid w:val="338E797F"/>
    <w:rsid w:val="338F274A"/>
    <w:rsid w:val="3390201E"/>
    <w:rsid w:val="33945FB2"/>
    <w:rsid w:val="33977850"/>
    <w:rsid w:val="33995376"/>
    <w:rsid w:val="339A2E9C"/>
    <w:rsid w:val="339E298D"/>
    <w:rsid w:val="339F04B3"/>
    <w:rsid w:val="33A53245"/>
    <w:rsid w:val="33A61841"/>
    <w:rsid w:val="33AA05E8"/>
    <w:rsid w:val="33AB50A9"/>
    <w:rsid w:val="33AB6E58"/>
    <w:rsid w:val="33AD2BD0"/>
    <w:rsid w:val="33AD497E"/>
    <w:rsid w:val="33B020BC"/>
    <w:rsid w:val="33B0446E"/>
    <w:rsid w:val="33B45D0C"/>
    <w:rsid w:val="33B51A84"/>
    <w:rsid w:val="33B71CA0"/>
    <w:rsid w:val="33B91574"/>
    <w:rsid w:val="33BA709B"/>
    <w:rsid w:val="33BE302F"/>
    <w:rsid w:val="33BE4DDD"/>
    <w:rsid w:val="33C87A09"/>
    <w:rsid w:val="33C92430"/>
    <w:rsid w:val="33CA5530"/>
    <w:rsid w:val="33CB12A8"/>
    <w:rsid w:val="33D068BE"/>
    <w:rsid w:val="33D12D62"/>
    <w:rsid w:val="33D26ADA"/>
    <w:rsid w:val="33D62126"/>
    <w:rsid w:val="33D649E0"/>
    <w:rsid w:val="33D95773"/>
    <w:rsid w:val="33DE722D"/>
    <w:rsid w:val="33E32A95"/>
    <w:rsid w:val="33E34843"/>
    <w:rsid w:val="33E43BB9"/>
    <w:rsid w:val="33E764F4"/>
    <w:rsid w:val="33E83C08"/>
    <w:rsid w:val="33E87093"/>
    <w:rsid w:val="33EC7B9C"/>
    <w:rsid w:val="33F151B2"/>
    <w:rsid w:val="33F64577"/>
    <w:rsid w:val="33F7209D"/>
    <w:rsid w:val="33F97BC3"/>
    <w:rsid w:val="33FB1B8D"/>
    <w:rsid w:val="33FD1195"/>
    <w:rsid w:val="33FE342B"/>
    <w:rsid w:val="340071A3"/>
    <w:rsid w:val="34041715"/>
    <w:rsid w:val="340A0022"/>
    <w:rsid w:val="340A3924"/>
    <w:rsid w:val="340C5B48"/>
    <w:rsid w:val="340F5638"/>
    <w:rsid w:val="34117602"/>
    <w:rsid w:val="34155E66"/>
    <w:rsid w:val="341744ED"/>
    <w:rsid w:val="34192013"/>
    <w:rsid w:val="341A4A57"/>
    <w:rsid w:val="341B3FDD"/>
    <w:rsid w:val="341D5FA7"/>
    <w:rsid w:val="341D7D55"/>
    <w:rsid w:val="342A06C4"/>
    <w:rsid w:val="342A2472"/>
    <w:rsid w:val="342A4220"/>
    <w:rsid w:val="342C61EA"/>
    <w:rsid w:val="342C7F98"/>
    <w:rsid w:val="342D3D10"/>
    <w:rsid w:val="342E1F62"/>
    <w:rsid w:val="343155AF"/>
    <w:rsid w:val="343367C9"/>
    <w:rsid w:val="34384B8F"/>
    <w:rsid w:val="343926B5"/>
    <w:rsid w:val="343B642D"/>
    <w:rsid w:val="343D0570"/>
    <w:rsid w:val="3442156A"/>
    <w:rsid w:val="34425A0E"/>
    <w:rsid w:val="34433534"/>
    <w:rsid w:val="344572AC"/>
    <w:rsid w:val="344D7F0F"/>
    <w:rsid w:val="344F1ED9"/>
    <w:rsid w:val="34545741"/>
    <w:rsid w:val="34586FDF"/>
    <w:rsid w:val="345B087E"/>
    <w:rsid w:val="345B716B"/>
    <w:rsid w:val="345C0152"/>
    <w:rsid w:val="345D18AC"/>
    <w:rsid w:val="345E3ECA"/>
    <w:rsid w:val="346160EF"/>
    <w:rsid w:val="34655258"/>
    <w:rsid w:val="34670FD0"/>
    <w:rsid w:val="346804F8"/>
    <w:rsid w:val="346911EC"/>
    <w:rsid w:val="346A286F"/>
    <w:rsid w:val="346A6D13"/>
    <w:rsid w:val="346C2A8B"/>
    <w:rsid w:val="346E6803"/>
    <w:rsid w:val="347831DE"/>
    <w:rsid w:val="347A51A8"/>
    <w:rsid w:val="347B0F20"/>
    <w:rsid w:val="347B4A7C"/>
    <w:rsid w:val="347D30D1"/>
    <w:rsid w:val="34803CCF"/>
    <w:rsid w:val="3482405C"/>
    <w:rsid w:val="348576A9"/>
    <w:rsid w:val="34871673"/>
    <w:rsid w:val="3489363D"/>
    <w:rsid w:val="348C6C89"/>
    <w:rsid w:val="348E0C53"/>
    <w:rsid w:val="348E2A01"/>
    <w:rsid w:val="3491097A"/>
    <w:rsid w:val="3491429F"/>
    <w:rsid w:val="3491604D"/>
    <w:rsid w:val="3495430F"/>
    <w:rsid w:val="349618B6"/>
    <w:rsid w:val="3496509A"/>
    <w:rsid w:val="3498562E"/>
    <w:rsid w:val="34993154"/>
    <w:rsid w:val="349F69BC"/>
    <w:rsid w:val="34A57D4B"/>
    <w:rsid w:val="34A915E9"/>
    <w:rsid w:val="34AA4CE7"/>
    <w:rsid w:val="34AB35B3"/>
    <w:rsid w:val="34AC2E87"/>
    <w:rsid w:val="34AE6BFF"/>
    <w:rsid w:val="34B54432"/>
    <w:rsid w:val="34B955A4"/>
    <w:rsid w:val="34BA37F6"/>
    <w:rsid w:val="34BB131C"/>
    <w:rsid w:val="34BF705E"/>
    <w:rsid w:val="34C06933"/>
    <w:rsid w:val="34C5219B"/>
    <w:rsid w:val="34C8178A"/>
    <w:rsid w:val="34D0301A"/>
    <w:rsid w:val="34D039DD"/>
    <w:rsid w:val="34D10B40"/>
    <w:rsid w:val="34DA79F4"/>
    <w:rsid w:val="34DD5737"/>
    <w:rsid w:val="34DE72C5"/>
    <w:rsid w:val="34DF325D"/>
    <w:rsid w:val="34E02DA2"/>
    <w:rsid w:val="34E268A9"/>
    <w:rsid w:val="34E40873"/>
    <w:rsid w:val="34E42621"/>
    <w:rsid w:val="34E54FC4"/>
    <w:rsid w:val="34E645EB"/>
    <w:rsid w:val="34E70363"/>
    <w:rsid w:val="34E844EF"/>
    <w:rsid w:val="34E93222"/>
    <w:rsid w:val="34ED5335"/>
    <w:rsid w:val="34EE16F2"/>
    <w:rsid w:val="34F07218"/>
    <w:rsid w:val="34F12F90"/>
    <w:rsid w:val="34F605A6"/>
    <w:rsid w:val="34FA62E8"/>
    <w:rsid w:val="34FD1935"/>
    <w:rsid w:val="34FD36E3"/>
    <w:rsid w:val="35011425"/>
    <w:rsid w:val="35040F15"/>
    <w:rsid w:val="350902DA"/>
    <w:rsid w:val="35094646"/>
    <w:rsid w:val="350B4EB3"/>
    <w:rsid w:val="350C7DCA"/>
    <w:rsid w:val="350F1C85"/>
    <w:rsid w:val="35101554"/>
    <w:rsid w:val="351137AF"/>
    <w:rsid w:val="351153E0"/>
    <w:rsid w:val="35131158"/>
    <w:rsid w:val="35134CB4"/>
    <w:rsid w:val="351625EB"/>
    <w:rsid w:val="35167112"/>
    <w:rsid w:val="35183C95"/>
    <w:rsid w:val="3518676F"/>
    <w:rsid w:val="351A24E7"/>
    <w:rsid w:val="351A6043"/>
    <w:rsid w:val="351C000D"/>
    <w:rsid w:val="351C625F"/>
    <w:rsid w:val="351F5D4F"/>
    <w:rsid w:val="352356B7"/>
    <w:rsid w:val="35242677"/>
    <w:rsid w:val="352549E8"/>
    <w:rsid w:val="3529097C"/>
    <w:rsid w:val="352944D8"/>
    <w:rsid w:val="352D221A"/>
    <w:rsid w:val="353101FF"/>
    <w:rsid w:val="353335A8"/>
    <w:rsid w:val="35361C6F"/>
    <w:rsid w:val="35386E11"/>
    <w:rsid w:val="353E4E8E"/>
    <w:rsid w:val="353F5AA9"/>
    <w:rsid w:val="35417A73"/>
    <w:rsid w:val="354237EC"/>
    <w:rsid w:val="354457B6"/>
    <w:rsid w:val="35447564"/>
    <w:rsid w:val="3546508A"/>
    <w:rsid w:val="354E2190"/>
    <w:rsid w:val="354F3EEC"/>
    <w:rsid w:val="35551771"/>
    <w:rsid w:val="3555351F"/>
    <w:rsid w:val="355552CD"/>
    <w:rsid w:val="355754E9"/>
    <w:rsid w:val="355A2F26"/>
    <w:rsid w:val="355A6D87"/>
    <w:rsid w:val="355C48AD"/>
    <w:rsid w:val="355F439E"/>
    <w:rsid w:val="35645510"/>
    <w:rsid w:val="35675000"/>
    <w:rsid w:val="356B4AF0"/>
    <w:rsid w:val="35725E7F"/>
    <w:rsid w:val="35727C2D"/>
    <w:rsid w:val="357469A2"/>
    <w:rsid w:val="35775243"/>
    <w:rsid w:val="3578720D"/>
    <w:rsid w:val="35794215"/>
    <w:rsid w:val="357A11D7"/>
    <w:rsid w:val="357D4824"/>
    <w:rsid w:val="357D65D2"/>
    <w:rsid w:val="357E0CC8"/>
    <w:rsid w:val="357E1C87"/>
    <w:rsid w:val="357E5C97"/>
    <w:rsid w:val="35831E3A"/>
    <w:rsid w:val="35843E04"/>
    <w:rsid w:val="35845BB2"/>
    <w:rsid w:val="358856A2"/>
    <w:rsid w:val="358C3BA0"/>
    <w:rsid w:val="358F6692"/>
    <w:rsid w:val="35904557"/>
    <w:rsid w:val="35927056"/>
    <w:rsid w:val="35977693"/>
    <w:rsid w:val="359B768F"/>
    <w:rsid w:val="35A10512"/>
    <w:rsid w:val="35A156BB"/>
    <w:rsid w:val="35A61FCC"/>
    <w:rsid w:val="35A95619"/>
    <w:rsid w:val="35AD6EB7"/>
    <w:rsid w:val="35B20971"/>
    <w:rsid w:val="35B30245"/>
    <w:rsid w:val="35B46497"/>
    <w:rsid w:val="35B71AE4"/>
    <w:rsid w:val="35B9585C"/>
    <w:rsid w:val="35BC4430"/>
    <w:rsid w:val="35BF6BEA"/>
    <w:rsid w:val="35C10BB4"/>
    <w:rsid w:val="35C16E06"/>
    <w:rsid w:val="35C2747F"/>
    <w:rsid w:val="35C366DA"/>
    <w:rsid w:val="35C42453"/>
    <w:rsid w:val="35C43B4E"/>
    <w:rsid w:val="35C67F79"/>
    <w:rsid w:val="35C81F43"/>
    <w:rsid w:val="35CB1A33"/>
    <w:rsid w:val="35CB558F"/>
    <w:rsid w:val="35CD57AB"/>
    <w:rsid w:val="35CE6E2D"/>
    <w:rsid w:val="35D01BC9"/>
    <w:rsid w:val="35D02BA5"/>
    <w:rsid w:val="35D501BC"/>
    <w:rsid w:val="35D95EFE"/>
    <w:rsid w:val="35D97CAC"/>
    <w:rsid w:val="35DF103A"/>
    <w:rsid w:val="35E548A3"/>
    <w:rsid w:val="35E6061B"/>
    <w:rsid w:val="35EB7B5A"/>
    <w:rsid w:val="35ED18F0"/>
    <w:rsid w:val="35ED4F07"/>
    <w:rsid w:val="35EF5721"/>
    <w:rsid w:val="35F66AB0"/>
    <w:rsid w:val="35F72828"/>
    <w:rsid w:val="35FA5E74"/>
    <w:rsid w:val="35FC399A"/>
    <w:rsid w:val="35FF348B"/>
    <w:rsid w:val="3600792F"/>
    <w:rsid w:val="36080591"/>
    <w:rsid w:val="360867E3"/>
    <w:rsid w:val="360A4005"/>
    <w:rsid w:val="36105698"/>
    <w:rsid w:val="36140CE4"/>
    <w:rsid w:val="36146F36"/>
    <w:rsid w:val="36160F00"/>
    <w:rsid w:val="36172C1C"/>
    <w:rsid w:val="3619010D"/>
    <w:rsid w:val="3619279E"/>
    <w:rsid w:val="361B02C4"/>
    <w:rsid w:val="362058DB"/>
    <w:rsid w:val="36207B50"/>
    <w:rsid w:val="362353CB"/>
    <w:rsid w:val="36265286"/>
    <w:rsid w:val="3627310D"/>
    <w:rsid w:val="36280C33"/>
    <w:rsid w:val="3632560E"/>
    <w:rsid w:val="36364756"/>
    <w:rsid w:val="36372C24"/>
    <w:rsid w:val="363B2715"/>
    <w:rsid w:val="363C648D"/>
    <w:rsid w:val="36400C61"/>
    <w:rsid w:val="36405F7D"/>
    <w:rsid w:val="36413AA3"/>
    <w:rsid w:val="36421CF5"/>
    <w:rsid w:val="364315C9"/>
    <w:rsid w:val="36435A0B"/>
    <w:rsid w:val="3643781B"/>
    <w:rsid w:val="364517E5"/>
    <w:rsid w:val="364937E3"/>
    <w:rsid w:val="364A2958"/>
    <w:rsid w:val="364F61C0"/>
    <w:rsid w:val="36513CE6"/>
    <w:rsid w:val="3652180C"/>
    <w:rsid w:val="36541A28"/>
    <w:rsid w:val="365B2DB7"/>
    <w:rsid w:val="365E4655"/>
    <w:rsid w:val="36625EF3"/>
    <w:rsid w:val="36631C6B"/>
    <w:rsid w:val="36653C36"/>
    <w:rsid w:val="36657792"/>
    <w:rsid w:val="366859E7"/>
    <w:rsid w:val="366C6D72"/>
    <w:rsid w:val="366D6646"/>
    <w:rsid w:val="366E2AEA"/>
    <w:rsid w:val="36730100"/>
    <w:rsid w:val="367479D5"/>
    <w:rsid w:val="367774C5"/>
    <w:rsid w:val="3679323D"/>
    <w:rsid w:val="367B5207"/>
    <w:rsid w:val="367D77AC"/>
    <w:rsid w:val="36851BE2"/>
    <w:rsid w:val="36883480"/>
    <w:rsid w:val="36897924"/>
    <w:rsid w:val="368C2F70"/>
    <w:rsid w:val="368F2A60"/>
    <w:rsid w:val="36910587"/>
    <w:rsid w:val="36941E25"/>
    <w:rsid w:val="36953CB3"/>
    <w:rsid w:val="36985ABE"/>
    <w:rsid w:val="3699743B"/>
    <w:rsid w:val="369B5353"/>
    <w:rsid w:val="36A24542"/>
    <w:rsid w:val="36A4475E"/>
    <w:rsid w:val="36A71C28"/>
    <w:rsid w:val="36A91D74"/>
    <w:rsid w:val="36AE738B"/>
    <w:rsid w:val="36B30240"/>
    <w:rsid w:val="36B81FB7"/>
    <w:rsid w:val="36B85B13"/>
    <w:rsid w:val="36C30AF9"/>
    <w:rsid w:val="36C344B8"/>
    <w:rsid w:val="36C7044C"/>
    <w:rsid w:val="36C95F72"/>
    <w:rsid w:val="36CA1CEB"/>
    <w:rsid w:val="36CA5054"/>
    <w:rsid w:val="36CE3589"/>
    <w:rsid w:val="36CE5337"/>
    <w:rsid w:val="36CF7301"/>
    <w:rsid w:val="36D466C5"/>
    <w:rsid w:val="36D861B6"/>
    <w:rsid w:val="36DA1F2E"/>
    <w:rsid w:val="36DF5796"/>
    <w:rsid w:val="36E2757E"/>
    <w:rsid w:val="36E42DAC"/>
    <w:rsid w:val="36E56B24"/>
    <w:rsid w:val="36E70D89"/>
    <w:rsid w:val="36E7289C"/>
    <w:rsid w:val="36EA7C97"/>
    <w:rsid w:val="36ED6710"/>
    <w:rsid w:val="36EF34FF"/>
    <w:rsid w:val="36F04CBD"/>
    <w:rsid w:val="36F11025"/>
    <w:rsid w:val="36F154C9"/>
    <w:rsid w:val="36F40B16"/>
    <w:rsid w:val="36FB00F6"/>
    <w:rsid w:val="36FD1B1F"/>
    <w:rsid w:val="36FD5C1C"/>
    <w:rsid w:val="36FF3742"/>
    <w:rsid w:val="370074BA"/>
    <w:rsid w:val="37021484"/>
    <w:rsid w:val="370276D6"/>
    <w:rsid w:val="37040D59"/>
    <w:rsid w:val="370451FC"/>
    <w:rsid w:val="37054AD1"/>
    <w:rsid w:val="37082F44"/>
    <w:rsid w:val="370A20E7"/>
    <w:rsid w:val="370D6DF5"/>
    <w:rsid w:val="371116C7"/>
    <w:rsid w:val="371347EB"/>
    <w:rsid w:val="37152F66"/>
    <w:rsid w:val="37184804"/>
    <w:rsid w:val="3719363B"/>
    <w:rsid w:val="371C0798"/>
    <w:rsid w:val="371F5B92"/>
    <w:rsid w:val="37227431"/>
    <w:rsid w:val="3724764D"/>
    <w:rsid w:val="37256F21"/>
    <w:rsid w:val="37296A11"/>
    <w:rsid w:val="372E4027"/>
    <w:rsid w:val="37307DA0"/>
    <w:rsid w:val="37337890"/>
    <w:rsid w:val="37347390"/>
    <w:rsid w:val="37353608"/>
    <w:rsid w:val="37386C54"/>
    <w:rsid w:val="373E3013"/>
    <w:rsid w:val="373F6235"/>
    <w:rsid w:val="37405B09"/>
    <w:rsid w:val="3744384B"/>
    <w:rsid w:val="374675C3"/>
    <w:rsid w:val="3747333B"/>
    <w:rsid w:val="37476E97"/>
    <w:rsid w:val="374E0226"/>
    <w:rsid w:val="374E6478"/>
    <w:rsid w:val="37515F68"/>
    <w:rsid w:val="37517D16"/>
    <w:rsid w:val="37543B31"/>
    <w:rsid w:val="37552228"/>
    <w:rsid w:val="37555A58"/>
    <w:rsid w:val="3757544A"/>
    <w:rsid w:val="375815A3"/>
    <w:rsid w:val="375D490D"/>
    <w:rsid w:val="375F2433"/>
    <w:rsid w:val="37610F7D"/>
    <w:rsid w:val="37623CD1"/>
    <w:rsid w:val="376637C1"/>
    <w:rsid w:val="376712E7"/>
    <w:rsid w:val="37677539"/>
    <w:rsid w:val="376C4D8C"/>
    <w:rsid w:val="3776777C"/>
    <w:rsid w:val="37797999"/>
    <w:rsid w:val="377A101B"/>
    <w:rsid w:val="377D6D5D"/>
    <w:rsid w:val="37873738"/>
    <w:rsid w:val="378A1F64"/>
    <w:rsid w:val="378D286A"/>
    <w:rsid w:val="379876F3"/>
    <w:rsid w:val="379C71E3"/>
    <w:rsid w:val="379C735C"/>
    <w:rsid w:val="379D4EBE"/>
    <w:rsid w:val="379F0A81"/>
    <w:rsid w:val="37A12A4B"/>
    <w:rsid w:val="37A54D91"/>
    <w:rsid w:val="37A97B52"/>
    <w:rsid w:val="37AB38CA"/>
    <w:rsid w:val="37AB5678"/>
    <w:rsid w:val="37AE5168"/>
    <w:rsid w:val="37AE6F16"/>
    <w:rsid w:val="37B00EE0"/>
    <w:rsid w:val="37B13334"/>
    <w:rsid w:val="37B564F7"/>
    <w:rsid w:val="37BC5AD7"/>
    <w:rsid w:val="37BC7885"/>
    <w:rsid w:val="37BD53AB"/>
    <w:rsid w:val="37C2566E"/>
    <w:rsid w:val="37C30C14"/>
    <w:rsid w:val="37C404E8"/>
    <w:rsid w:val="37C4498C"/>
    <w:rsid w:val="37C763E1"/>
    <w:rsid w:val="37C8622A"/>
    <w:rsid w:val="37CE33A4"/>
    <w:rsid w:val="37D22C05"/>
    <w:rsid w:val="37D3697D"/>
    <w:rsid w:val="37D526F5"/>
    <w:rsid w:val="37D56B99"/>
    <w:rsid w:val="37D90437"/>
    <w:rsid w:val="37DC1CD5"/>
    <w:rsid w:val="37DC7F27"/>
    <w:rsid w:val="37DE3C9F"/>
    <w:rsid w:val="37DF3574"/>
    <w:rsid w:val="37E172EC"/>
    <w:rsid w:val="37E33064"/>
    <w:rsid w:val="37E34E12"/>
    <w:rsid w:val="37E868CC"/>
    <w:rsid w:val="37EB1F18"/>
    <w:rsid w:val="37ED3EE3"/>
    <w:rsid w:val="37ED7A3F"/>
    <w:rsid w:val="37F232A7"/>
    <w:rsid w:val="37F45B9A"/>
    <w:rsid w:val="37F72EF8"/>
    <w:rsid w:val="37F7493E"/>
    <w:rsid w:val="37F84740"/>
    <w:rsid w:val="37F9122E"/>
    <w:rsid w:val="37FC4126"/>
    <w:rsid w:val="37FE1C4C"/>
    <w:rsid w:val="37FF2CDF"/>
    <w:rsid w:val="3801173C"/>
    <w:rsid w:val="3805122C"/>
    <w:rsid w:val="380A05F1"/>
    <w:rsid w:val="380B4369"/>
    <w:rsid w:val="380C21BE"/>
    <w:rsid w:val="380D1E8F"/>
    <w:rsid w:val="380F20AB"/>
    <w:rsid w:val="381256F7"/>
    <w:rsid w:val="381274A5"/>
    <w:rsid w:val="38130C12"/>
    <w:rsid w:val="381475BC"/>
    <w:rsid w:val="381551E7"/>
    <w:rsid w:val="38196A86"/>
    <w:rsid w:val="381C20D2"/>
    <w:rsid w:val="381C47C8"/>
    <w:rsid w:val="381D192D"/>
    <w:rsid w:val="38206066"/>
    <w:rsid w:val="3823070E"/>
    <w:rsid w:val="38237904"/>
    <w:rsid w:val="38244614"/>
    <w:rsid w:val="3825542A"/>
    <w:rsid w:val="38262F51"/>
    <w:rsid w:val="38277363"/>
    <w:rsid w:val="38284040"/>
    <w:rsid w:val="38293966"/>
    <w:rsid w:val="382A0C93"/>
    <w:rsid w:val="382B67B9"/>
    <w:rsid w:val="382C4A0B"/>
    <w:rsid w:val="382F44FB"/>
    <w:rsid w:val="382F62A9"/>
    <w:rsid w:val="38303DCF"/>
    <w:rsid w:val="38312021"/>
    <w:rsid w:val="38327B47"/>
    <w:rsid w:val="3833057A"/>
    <w:rsid w:val="3834566E"/>
    <w:rsid w:val="38397128"/>
    <w:rsid w:val="383C09C6"/>
    <w:rsid w:val="383E473E"/>
    <w:rsid w:val="384004B6"/>
    <w:rsid w:val="38402264"/>
    <w:rsid w:val="38417D8A"/>
    <w:rsid w:val="384927A0"/>
    <w:rsid w:val="384A4E91"/>
    <w:rsid w:val="384B0C09"/>
    <w:rsid w:val="384B53F9"/>
    <w:rsid w:val="384C6E5B"/>
    <w:rsid w:val="384F0EE0"/>
    <w:rsid w:val="384F24A7"/>
    <w:rsid w:val="3851621F"/>
    <w:rsid w:val="38523D46"/>
    <w:rsid w:val="38543F62"/>
    <w:rsid w:val="38545D10"/>
    <w:rsid w:val="38563836"/>
    <w:rsid w:val="38583A14"/>
    <w:rsid w:val="38593326"/>
    <w:rsid w:val="385B709E"/>
    <w:rsid w:val="385E6B8E"/>
    <w:rsid w:val="38610896"/>
    <w:rsid w:val="38654298"/>
    <w:rsid w:val="38673C95"/>
    <w:rsid w:val="386817BB"/>
    <w:rsid w:val="386A72E1"/>
    <w:rsid w:val="386C12AB"/>
    <w:rsid w:val="386F66A6"/>
    <w:rsid w:val="387168C2"/>
    <w:rsid w:val="387463B2"/>
    <w:rsid w:val="38763ED8"/>
    <w:rsid w:val="38772A6E"/>
    <w:rsid w:val="387E0FDF"/>
    <w:rsid w:val="387E2D8D"/>
    <w:rsid w:val="38806B05"/>
    <w:rsid w:val="3882287D"/>
    <w:rsid w:val="38824072"/>
    <w:rsid w:val="388275A8"/>
    <w:rsid w:val="388303A3"/>
    <w:rsid w:val="3885236D"/>
    <w:rsid w:val="38854F1D"/>
    <w:rsid w:val="388569B6"/>
    <w:rsid w:val="38864C2A"/>
    <w:rsid w:val="38875313"/>
    <w:rsid w:val="388A4C93"/>
    <w:rsid w:val="388B5124"/>
    <w:rsid w:val="388C54AA"/>
    <w:rsid w:val="388C7258"/>
    <w:rsid w:val="38902769"/>
    <w:rsid w:val="38934A8A"/>
    <w:rsid w:val="38997BC6"/>
    <w:rsid w:val="389B2BD0"/>
    <w:rsid w:val="389B393F"/>
    <w:rsid w:val="389B749B"/>
    <w:rsid w:val="389E342F"/>
    <w:rsid w:val="389E6F0D"/>
    <w:rsid w:val="38A00F55"/>
    <w:rsid w:val="38A26A7B"/>
    <w:rsid w:val="38A30A45"/>
    <w:rsid w:val="38A345A1"/>
    <w:rsid w:val="38A55CCB"/>
    <w:rsid w:val="38A65E3F"/>
    <w:rsid w:val="38A8464C"/>
    <w:rsid w:val="38AF1198"/>
    <w:rsid w:val="38AF194E"/>
    <w:rsid w:val="38AF73EA"/>
    <w:rsid w:val="38B4055C"/>
    <w:rsid w:val="38B467AE"/>
    <w:rsid w:val="38B60C47"/>
    <w:rsid w:val="38B90269"/>
    <w:rsid w:val="38B93DC5"/>
    <w:rsid w:val="38BB18EB"/>
    <w:rsid w:val="38BB5D8F"/>
    <w:rsid w:val="38BC7E7C"/>
    <w:rsid w:val="38BE1258"/>
    <w:rsid w:val="38BF587F"/>
    <w:rsid w:val="38C05153"/>
    <w:rsid w:val="38C311C3"/>
    <w:rsid w:val="38C34C43"/>
    <w:rsid w:val="38C5276A"/>
    <w:rsid w:val="38C53A27"/>
    <w:rsid w:val="38C56C0D"/>
    <w:rsid w:val="38C752B2"/>
    <w:rsid w:val="38CD161E"/>
    <w:rsid w:val="38CF35E8"/>
    <w:rsid w:val="38D1110E"/>
    <w:rsid w:val="38D40BFF"/>
    <w:rsid w:val="38D64977"/>
    <w:rsid w:val="38DB01DF"/>
    <w:rsid w:val="38DD3F57"/>
    <w:rsid w:val="38E726E0"/>
    <w:rsid w:val="38E86458"/>
    <w:rsid w:val="38E928FC"/>
    <w:rsid w:val="38E956EF"/>
    <w:rsid w:val="38EA6674"/>
    <w:rsid w:val="38ED3A6E"/>
    <w:rsid w:val="38EF5A38"/>
    <w:rsid w:val="38F31085"/>
    <w:rsid w:val="38F35529"/>
    <w:rsid w:val="38F372D7"/>
    <w:rsid w:val="38F65019"/>
    <w:rsid w:val="38FA1C97"/>
    <w:rsid w:val="38FD0155"/>
    <w:rsid w:val="38FF3ECD"/>
    <w:rsid w:val="3902751A"/>
    <w:rsid w:val="390412B7"/>
    <w:rsid w:val="39074B30"/>
    <w:rsid w:val="39096AFA"/>
    <w:rsid w:val="390B0AC4"/>
    <w:rsid w:val="390D3AAA"/>
    <w:rsid w:val="390F7E89"/>
    <w:rsid w:val="39131727"/>
    <w:rsid w:val="3914724D"/>
    <w:rsid w:val="391536F1"/>
    <w:rsid w:val="39194863"/>
    <w:rsid w:val="39203E44"/>
    <w:rsid w:val="39225E0E"/>
    <w:rsid w:val="392349E1"/>
    <w:rsid w:val="39253208"/>
    <w:rsid w:val="39276F80"/>
    <w:rsid w:val="392B2E21"/>
    <w:rsid w:val="392B4CC2"/>
    <w:rsid w:val="392C04C3"/>
    <w:rsid w:val="392E6561"/>
    <w:rsid w:val="39305703"/>
    <w:rsid w:val="39316051"/>
    <w:rsid w:val="39333B77"/>
    <w:rsid w:val="393578EF"/>
    <w:rsid w:val="393618B9"/>
    <w:rsid w:val="39363667"/>
    <w:rsid w:val="3938118D"/>
    <w:rsid w:val="393A2AC7"/>
    <w:rsid w:val="393A4F06"/>
    <w:rsid w:val="393B0C7E"/>
    <w:rsid w:val="393B7CFC"/>
    <w:rsid w:val="393F076E"/>
    <w:rsid w:val="393F1B38"/>
    <w:rsid w:val="3942025E"/>
    <w:rsid w:val="394418E0"/>
    <w:rsid w:val="394470A3"/>
    <w:rsid w:val="39455658"/>
    <w:rsid w:val="394979EB"/>
    <w:rsid w:val="394A2C6F"/>
    <w:rsid w:val="394F0285"/>
    <w:rsid w:val="395104A1"/>
    <w:rsid w:val="3951082A"/>
    <w:rsid w:val="39513FFD"/>
    <w:rsid w:val="395356EF"/>
    <w:rsid w:val="39567866"/>
    <w:rsid w:val="395A55A8"/>
    <w:rsid w:val="395F2BBE"/>
    <w:rsid w:val="39602492"/>
    <w:rsid w:val="39644D95"/>
    <w:rsid w:val="39661C7B"/>
    <w:rsid w:val="39665CFB"/>
    <w:rsid w:val="39683F9B"/>
    <w:rsid w:val="396957EB"/>
    <w:rsid w:val="39697599"/>
    <w:rsid w:val="396A50BF"/>
    <w:rsid w:val="396C0E37"/>
    <w:rsid w:val="396E1053"/>
    <w:rsid w:val="396E4BAF"/>
    <w:rsid w:val="39706B79"/>
    <w:rsid w:val="3973099B"/>
    <w:rsid w:val="397523E2"/>
    <w:rsid w:val="397B72CC"/>
    <w:rsid w:val="397C551E"/>
    <w:rsid w:val="398048E2"/>
    <w:rsid w:val="398203AB"/>
    <w:rsid w:val="39842625"/>
    <w:rsid w:val="3986639D"/>
    <w:rsid w:val="39873EC3"/>
    <w:rsid w:val="39893797"/>
    <w:rsid w:val="398B750F"/>
    <w:rsid w:val="39930ABA"/>
    <w:rsid w:val="39965EB4"/>
    <w:rsid w:val="39974106"/>
    <w:rsid w:val="39981C2C"/>
    <w:rsid w:val="399C796E"/>
    <w:rsid w:val="39A045B9"/>
    <w:rsid w:val="39A607ED"/>
    <w:rsid w:val="39A80F89"/>
    <w:rsid w:val="39A93E39"/>
    <w:rsid w:val="39A95BE7"/>
    <w:rsid w:val="39AB7BB1"/>
    <w:rsid w:val="39AC56D7"/>
    <w:rsid w:val="39AD3929"/>
    <w:rsid w:val="39AE31FE"/>
    <w:rsid w:val="39AE72B7"/>
    <w:rsid w:val="39B65203"/>
    <w:rsid w:val="39B76556"/>
    <w:rsid w:val="39B822CE"/>
    <w:rsid w:val="39BA1BA2"/>
    <w:rsid w:val="39BC1DBE"/>
    <w:rsid w:val="39BD1729"/>
    <w:rsid w:val="39BE68C8"/>
    <w:rsid w:val="39BF365D"/>
    <w:rsid w:val="39C12F31"/>
    <w:rsid w:val="39C173D5"/>
    <w:rsid w:val="39C26CA9"/>
    <w:rsid w:val="39C42A21"/>
    <w:rsid w:val="39C8220B"/>
    <w:rsid w:val="39C90037"/>
    <w:rsid w:val="39CD7B28"/>
    <w:rsid w:val="39D54FB1"/>
    <w:rsid w:val="39DA2245"/>
    <w:rsid w:val="39DD58C0"/>
    <w:rsid w:val="39DF3CFF"/>
    <w:rsid w:val="39E135D3"/>
    <w:rsid w:val="39E906DA"/>
    <w:rsid w:val="39E9692C"/>
    <w:rsid w:val="39EC3D26"/>
    <w:rsid w:val="39EE7A9E"/>
    <w:rsid w:val="39F03816"/>
    <w:rsid w:val="39F33306"/>
    <w:rsid w:val="39F8091D"/>
    <w:rsid w:val="39F94DC1"/>
    <w:rsid w:val="39FC665F"/>
    <w:rsid w:val="39FF3A59"/>
    <w:rsid w:val="3A03179B"/>
    <w:rsid w:val="3A0B4AF4"/>
    <w:rsid w:val="3A1A4D37"/>
    <w:rsid w:val="3A1F5EA9"/>
    <w:rsid w:val="3A257964"/>
    <w:rsid w:val="3A266CC6"/>
    <w:rsid w:val="3A267238"/>
    <w:rsid w:val="3A281202"/>
    <w:rsid w:val="3A282FB0"/>
    <w:rsid w:val="3A294033"/>
    <w:rsid w:val="3A2B6F44"/>
    <w:rsid w:val="3A2D05C6"/>
    <w:rsid w:val="3A2F2590"/>
    <w:rsid w:val="3A377697"/>
    <w:rsid w:val="3A39340F"/>
    <w:rsid w:val="3A3B3E74"/>
    <w:rsid w:val="3A3F654C"/>
    <w:rsid w:val="3A410516"/>
    <w:rsid w:val="3A414072"/>
    <w:rsid w:val="3A43603C"/>
    <w:rsid w:val="3A445910"/>
    <w:rsid w:val="3A465B2C"/>
    <w:rsid w:val="3A4818A4"/>
    <w:rsid w:val="3A4A1178"/>
    <w:rsid w:val="3A4F49E1"/>
    <w:rsid w:val="3A4F678F"/>
    <w:rsid w:val="3A502507"/>
    <w:rsid w:val="3A557B1D"/>
    <w:rsid w:val="3A59760D"/>
    <w:rsid w:val="3A5B0E80"/>
    <w:rsid w:val="3A5C0EAC"/>
    <w:rsid w:val="3A60099C"/>
    <w:rsid w:val="3A614714"/>
    <w:rsid w:val="3A6164C2"/>
    <w:rsid w:val="3A641F95"/>
    <w:rsid w:val="3A654204"/>
    <w:rsid w:val="3A66415E"/>
    <w:rsid w:val="3A687850"/>
    <w:rsid w:val="3A6B7341"/>
    <w:rsid w:val="3A6C5593"/>
    <w:rsid w:val="3A6E37BE"/>
    <w:rsid w:val="3A704D37"/>
    <w:rsid w:val="3A706705"/>
    <w:rsid w:val="3A7129B2"/>
    <w:rsid w:val="3A726921"/>
    <w:rsid w:val="3A751F6D"/>
    <w:rsid w:val="3A773F37"/>
    <w:rsid w:val="3A79380C"/>
    <w:rsid w:val="3A7A379B"/>
    <w:rsid w:val="3A7E7074"/>
    <w:rsid w:val="3A816B64"/>
    <w:rsid w:val="3A850402"/>
    <w:rsid w:val="3A86735A"/>
    <w:rsid w:val="3A887EF3"/>
    <w:rsid w:val="3A8D375B"/>
    <w:rsid w:val="3A8F74D3"/>
    <w:rsid w:val="3A944AE9"/>
    <w:rsid w:val="3A960F1D"/>
    <w:rsid w:val="3A971EE4"/>
    <w:rsid w:val="3A976388"/>
    <w:rsid w:val="3A995C5C"/>
    <w:rsid w:val="3A9D19CF"/>
    <w:rsid w:val="3A9E3272"/>
    <w:rsid w:val="3A9E7716"/>
    <w:rsid w:val="3AA06FEA"/>
    <w:rsid w:val="3AA30888"/>
    <w:rsid w:val="3AA50AA5"/>
    <w:rsid w:val="3AA56721"/>
    <w:rsid w:val="3AAC1E33"/>
    <w:rsid w:val="3AB243EB"/>
    <w:rsid w:val="3AB331C1"/>
    <w:rsid w:val="3AB6680E"/>
    <w:rsid w:val="3AB74334"/>
    <w:rsid w:val="3AB865D7"/>
    <w:rsid w:val="3AB94550"/>
    <w:rsid w:val="3ABA1B1A"/>
    <w:rsid w:val="3ABB02C8"/>
    <w:rsid w:val="3ABC6543"/>
    <w:rsid w:val="3AC0143A"/>
    <w:rsid w:val="3AC058DE"/>
    <w:rsid w:val="3AC0768C"/>
    <w:rsid w:val="3AC14B10"/>
    <w:rsid w:val="3AC41FA9"/>
    <w:rsid w:val="3AC54CA3"/>
    <w:rsid w:val="3AC70A1B"/>
    <w:rsid w:val="3AC805A4"/>
    <w:rsid w:val="3AC86541"/>
    <w:rsid w:val="3ACA09EC"/>
    <w:rsid w:val="3ACC330C"/>
    <w:rsid w:val="3ACF5B21"/>
    <w:rsid w:val="3AD153F6"/>
    <w:rsid w:val="3AD44EE6"/>
    <w:rsid w:val="3ADC3D9A"/>
    <w:rsid w:val="3AE113B1"/>
    <w:rsid w:val="3AE3337B"/>
    <w:rsid w:val="3AF235BE"/>
    <w:rsid w:val="3AF47336"/>
    <w:rsid w:val="3AFB2473"/>
    <w:rsid w:val="3B023ED8"/>
    <w:rsid w:val="3B027D0F"/>
    <w:rsid w:val="3B0357CB"/>
    <w:rsid w:val="3B0847B6"/>
    <w:rsid w:val="3B0A5E7F"/>
    <w:rsid w:val="3B0F23C2"/>
    <w:rsid w:val="3B131EB2"/>
    <w:rsid w:val="3B135A0E"/>
    <w:rsid w:val="3B1479D8"/>
    <w:rsid w:val="3B191D2F"/>
    <w:rsid w:val="3B1B48C3"/>
    <w:rsid w:val="3B1D4ADF"/>
    <w:rsid w:val="3B215A78"/>
    <w:rsid w:val="3B22120B"/>
    <w:rsid w:val="3B2319C9"/>
    <w:rsid w:val="3B247C1B"/>
    <w:rsid w:val="3B251BE5"/>
    <w:rsid w:val="3B2714BA"/>
    <w:rsid w:val="3B27770B"/>
    <w:rsid w:val="3B2927FD"/>
    <w:rsid w:val="3B293484"/>
    <w:rsid w:val="3B2A2D58"/>
    <w:rsid w:val="3B2C6AD0"/>
    <w:rsid w:val="3B2D45F6"/>
    <w:rsid w:val="3B2E2848"/>
    <w:rsid w:val="3B2F65C0"/>
    <w:rsid w:val="3B31058A"/>
    <w:rsid w:val="3B3345C6"/>
    <w:rsid w:val="3B343BD6"/>
    <w:rsid w:val="3B3911ED"/>
    <w:rsid w:val="3B392F9B"/>
    <w:rsid w:val="3B3A0C4C"/>
    <w:rsid w:val="3B3A743F"/>
    <w:rsid w:val="3B3F175B"/>
    <w:rsid w:val="3B3F2CA7"/>
    <w:rsid w:val="3B3F4A55"/>
    <w:rsid w:val="3B4007CD"/>
    <w:rsid w:val="3B40257B"/>
    <w:rsid w:val="3B40671F"/>
    <w:rsid w:val="3B4200A1"/>
    <w:rsid w:val="3B451940"/>
    <w:rsid w:val="3B491430"/>
    <w:rsid w:val="3B4A3F00"/>
    <w:rsid w:val="3B4B164C"/>
    <w:rsid w:val="3B4C7172"/>
    <w:rsid w:val="3B4E2EEA"/>
    <w:rsid w:val="3B51113B"/>
    <w:rsid w:val="3B51518A"/>
    <w:rsid w:val="3B554279"/>
    <w:rsid w:val="3B575571"/>
    <w:rsid w:val="3B585B17"/>
    <w:rsid w:val="3B60677A"/>
    <w:rsid w:val="3B64270E"/>
    <w:rsid w:val="3B651FE2"/>
    <w:rsid w:val="3B6567D9"/>
    <w:rsid w:val="3B6C511E"/>
    <w:rsid w:val="3B6E533A"/>
    <w:rsid w:val="3B702E61"/>
    <w:rsid w:val="3B711960"/>
    <w:rsid w:val="3B7164BD"/>
    <w:rsid w:val="3B72551C"/>
    <w:rsid w:val="3B7346FF"/>
    <w:rsid w:val="3B742225"/>
    <w:rsid w:val="3B7566C9"/>
    <w:rsid w:val="3B7641EF"/>
    <w:rsid w:val="3B806E1C"/>
    <w:rsid w:val="3B8C57C0"/>
    <w:rsid w:val="3B8D5021"/>
    <w:rsid w:val="3B902ED6"/>
    <w:rsid w:val="3B9308FD"/>
    <w:rsid w:val="3B96663F"/>
    <w:rsid w:val="3B9823B7"/>
    <w:rsid w:val="3B997AE8"/>
    <w:rsid w:val="3B9A612F"/>
    <w:rsid w:val="3B9F54F4"/>
    <w:rsid w:val="3B9F696A"/>
    <w:rsid w:val="3BA26D92"/>
    <w:rsid w:val="3BA443B8"/>
    <w:rsid w:val="3BA7366E"/>
    <w:rsid w:val="3BA945C4"/>
    <w:rsid w:val="3BAA5C47"/>
    <w:rsid w:val="3BAC7C11"/>
    <w:rsid w:val="3BAE1BDB"/>
    <w:rsid w:val="3BAE4630"/>
    <w:rsid w:val="3BB52F69"/>
    <w:rsid w:val="3BB54D17"/>
    <w:rsid w:val="3BBF5B96"/>
    <w:rsid w:val="3BBF7944"/>
    <w:rsid w:val="3BC136BC"/>
    <w:rsid w:val="3BC211E2"/>
    <w:rsid w:val="3BC27434"/>
    <w:rsid w:val="3BC66181"/>
    <w:rsid w:val="3BC66F24"/>
    <w:rsid w:val="3BC82C9D"/>
    <w:rsid w:val="3BCB1BE2"/>
    <w:rsid w:val="3BD553B9"/>
    <w:rsid w:val="3BD74C8E"/>
    <w:rsid w:val="3BDA1E3C"/>
    <w:rsid w:val="3BDE4717"/>
    <w:rsid w:val="3BDF3B42"/>
    <w:rsid w:val="3BE06932"/>
    <w:rsid w:val="3BE178BA"/>
    <w:rsid w:val="3BE21884"/>
    <w:rsid w:val="3BEE0229"/>
    <w:rsid w:val="3BF07952"/>
    <w:rsid w:val="3BF13876"/>
    <w:rsid w:val="3BF21AC7"/>
    <w:rsid w:val="3BF33A92"/>
    <w:rsid w:val="3BF70EEF"/>
    <w:rsid w:val="3BF770DE"/>
    <w:rsid w:val="3BFA6BCE"/>
    <w:rsid w:val="3C003E02"/>
    <w:rsid w:val="3C025A83"/>
    <w:rsid w:val="3C0435A9"/>
    <w:rsid w:val="3C067321"/>
    <w:rsid w:val="3C090BBF"/>
    <w:rsid w:val="3C0E4427"/>
    <w:rsid w:val="3C0F5918"/>
    <w:rsid w:val="3C12216A"/>
    <w:rsid w:val="3C17152E"/>
    <w:rsid w:val="3C1852A6"/>
    <w:rsid w:val="3C191177"/>
    <w:rsid w:val="3C1A2DCC"/>
    <w:rsid w:val="3C21415B"/>
    <w:rsid w:val="3C215F09"/>
    <w:rsid w:val="3C221C81"/>
    <w:rsid w:val="3C243C4B"/>
    <w:rsid w:val="3C261162"/>
    <w:rsid w:val="3C277297"/>
    <w:rsid w:val="3C2E4D99"/>
    <w:rsid w:val="3C2E6878"/>
    <w:rsid w:val="3C3050E7"/>
    <w:rsid w:val="3C320116"/>
    <w:rsid w:val="3C333E8E"/>
    <w:rsid w:val="3C335C3C"/>
    <w:rsid w:val="3C340332"/>
    <w:rsid w:val="3C37397E"/>
    <w:rsid w:val="3C3A346E"/>
    <w:rsid w:val="3C3A6FCB"/>
    <w:rsid w:val="3C3D6ABB"/>
    <w:rsid w:val="3C44609B"/>
    <w:rsid w:val="3C4D13F4"/>
    <w:rsid w:val="3C4E2A76"/>
    <w:rsid w:val="3C5067EE"/>
    <w:rsid w:val="3C5207B8"/>
    <w:rsid w:val="3C5462DE"/>
    <w:rsid w:val="3C56451E"/>
    <w:rsid w:val="3C575DCE"/>
    <w:rsid w:val="3C577B7C"/>
    <w:rsid w:val="3C577D44"/>
    <w:rsid w:val="3C5938F5"/>
    <w:rsid w:val="3C597D99"/>
    <w:rsid w:val="3C5A141B"/>
    <w:rsid w:val="3C5A3F76"/>
    <w:rsid w:val="3C5C1637"/>
    <w:rsid w:val="3C5D7CBE"/>
    <w:rsid w:val="3C5E53AF"/>
    <w:rsid w:val="3C606A37"/>
    <w:rsid w:val="3C6127A9"/>
    <w:rsid w:val="3C6329C5"/>
    <w:rsid w:val="3C666012"/>
    <w:rsid w:val="3C667DC0"/>
    <w:rsid w:val="3C681D8A"/>
    <w:rsid w:val="3C6978B0"/>
    <w:rsid w:val="3C6B3628"/>
    <w:rsid w:val="3C6B7ACC"/>
    <w:rsid w:val="3C6F3118"/>
    <w:rsid w:val="3C7030B7"/>
    <w:rsid w:val="3C710B37"/>
    <w:rsid w:val="3C720E5A"/>
    <w:rsid w:val="3C7249B6"/>
    <w:rsid w:val="3C7324DC"/>
    <w:rsid w:val="3C746980"/>
    <w:rsid w:val="3C7544A7"/>
    <w:rsid w:val="3C7626F9"/>
    <w:rsid w:val="3C77021F"/>
    <w:rsid w:val="3C776471"/>
    <w:rsid w:val="3C7921E9"/>
    <w:rsid w:val="3C793F97"/>
    <w:rsid w:val="3C7A1ABD"/>
    <w:rsid w:val="3C7A386B"/>
    <w:rsid w:val="3C7B7749"/>
    <w:rsid w:val="3C7C315A"/>
    <w:rsid w:val="3C7D1CAB"/>
    <w:rsid w:val="3C7E41BE"/>
    <w:rsid w:val="3C7E77FF"/>
    <w:rsid w:val="3C85043D"/>
    <w:rsid w:val="3C850B8E"/>
    <w:rsid w:val="3C8841DA"/>
    <w:rsid w:val="3C8C573F"/>
    <w:rsid w:val="3C8D7A42"/>
    <w:rsid w:val="3C8F37BA"/>
    <w:rsid w:val="3C94492D"/>
    <w:rsid w:val="3C9506A5"/>
    <w:rsid w:val="3C97266F"/>
    <w:rsid w:val="3C990195"/>
    <w:rsid w:val="3C991F43"/>
    <w:rsid w:val="3C9963E7"/>
    <w:rsid w:val="3CA31014"/>
    <w:rsid w:val="3CA803D8"/>
    <w:rsid w:val="3CAD59EE"/>
    <w:rsid w:val="3CB13731"/>
    <w:rsid w:val="3CB21257"/>
    <w:rsid w:val="3CB4494B"/>
    <w:rsid w:val="3CB44FCF"/>
    <w:rsid w:val="3CB52AF5"/>
    <w:rsid w:val="3CB914B2"/>
    <w:rsid w:val="3CBB2DD0"/>
    <w:rsid w:val="3CBB45AF"/>
    <w:rsid w:val="3CBB635D"/>
    <w:rsid w:val="3CBC3E83"/>
    <w:rsid w:val="3CBE5D01"/>
    <w:rsid w:val="3CC316B6"/>
    <w:rsid w:val="3CC63BD9"/>
    <w:rsid w:val="3CC64D02"/>
    <w:rsid w:val="3CCA034E"/>
    <w:rsid w:val="3CCA47F2"/>
    <w:rsid w:val="3CCB2319"/>
    <w:rsid w:val="3CD13DD3"/>
    <w:rsid w:val="3CD206B5"/>
    <w:rsid w:val="3CD25455"/>
    <w:rsid w:val="3CD45671"/>
    <w:rsid w:val="3CD70CBD"/>
    <w:rsid w:val="3CD73248"/>
    <w:rsid w:val="3CDC1B7D"/>
    <w:rsid w:val="3CDC4526"/>
    <w:rsid w:val="3CE05DC4"/>
    <w:rsid w:val="3CE174AB"/>
    <w:rsid w:val="3CE37662"/>
    <w:rsid w:val="3CE84C78"/>
    <w:rsid w:val="3CEA279F"/>
    <w:rsid w:val="3CEA6C43"/>
    <w:rsid w:val="3CEC29BB"/>
    <w:rsid w:val="3CF11D7F"/>
    <w:rsid w:val="3CF21827"/>
    <w:rsid w:val="3CF4186F"/>
    <w:rsid w:val="3CF47AC1"/>
    <w:rsid w:val="3CF950D8"/>
    <w:rsid w:val="3CFB0E50"/>
    <w:rsid w:val="3CFC0724"/>
    <w:rsid w:val="3CFD6976"/>
    <w:rsid w:val="3D031AB2"/>
    <w:rsid w:val="3D0470DC"/>
    <w:rsid w:val="3D053A7C"/>
    <w:rsid w:val="3D070254"/>
    <w:rsid w:val="3D08531B"/>
    <w:rsid w:val="3D0D2931"/>
    <w:rsid w:val="3D0F0457"/>
    <w:rsid w:val="3D0F66A9"/>
    <w:rsid w:val="3D105DE1"/>
    <w:rsid w:val="3D115F7D"/>
    <w:rsid w:val="3D143CBF"/>
    <w:rsid w:val="3D1617E6"/>
    <w:rsid w:val="3D193084"/>
    <w:rsid w:val="3D1A7CCD"/>
    <w:rsid w:val="3D1D0DC6"/>
    <w:rsid w:val="3D1E4221"/>
    <w:rsid w:val="3D25588D"/>
    <w:rsid w:val="3D257C7B"/>
    <w:rsid w:val="3D2A34E3"/>
    <w:rsid w:val="3D2C1009"/>
    <w:rsid w:val="3D2F0AF9"/>
    <w:rsid w:val="3D2F6B23"/>
    <w:rsid w:val="3D3103CE"/>
    <w:rsid w:val="3D32064C"/>
    <w:rsid w:val="3D3305EA"/>
    <w:rsid w:val="3D36127C"/>
    <w:rsid w:val="3D37175C"/>
    <w:rsid w:val="3D3F6F8E"/>
    <w:rsid w:val="3D4009A0"/>
    <w:rsid w:val="3D405813"/>
    <w:rsid w:val="3D406863"/>
    <w:rsid w:val="3D4225DB"/>
    <w:rsid w:val="3D424389"/>
    <w:rsid w:val="3D4445A5"/>
    <w:rsid w:val="3D474095"/>
    <w:rsid w:val="3D4A2BD7"/>
    <w:rsid w:val="3D4A5933"/>
    <w:rsid w:val="3D4A76E1"/>
    <w:rsid w:val="3D4C5207"/>
    <w:rsid w:val="3D552F91"/>
    <w:rsid w:val="3D5567B2"/>
    <w:rsid w:val="3D567E34"/>
    <w:rsid w:val="3D5B7D81"/>
    <w:rsid w:val="3D5C3A0F"/>
    <w:rsid w:val="3D5D7415"/>
    <w:rsid w:val="3D6267D9"/>
    <w:rsid w:val="3D65276D"/>
    <w:rsid w:val="3D6A7D83"/>
    <w:rsid w:val="3D6B74B3"/>
    <w:rsid w:val="3D6C09B9"/>
    <w:rsid w:val="3D714C6E"/>
    <w:rsid w:val="3D744703"/>
    <w:rsid w:val="3D74475E"/>
    <w:rsid w:val="3D7604D6"/>
    <w:rsid w:val="3D791D75"/>
    <w:rsid w:val="3D7959A4"/>
    <w:rsid w:val="3D7D7AB7"/>
    <w:rsid w:val="3D804EB1"/>
    <w:rsid w:val="3D821D21"/>
    <w:rsid w:val="3D8250CD"/>
    <w:rsid w:val="3D840E45"/>
    <w:rsid w:val="3D850719"/>
    <w:rsid w:val="3D8F1598"/>
    <w:rsid w:val="3D913562"/>
    <w:rsid w:val="3D915310"/>
    <w:rsid w:val="3D9170BE"/>
    <w:rsid w:val="3D931088"/>
    <w:rsid w:val="3D932E36"/>
    <w:rsid w:val="3D94083B"/>
    <w:rsid w:val="3D980813"/>
    <w:rsid w:val="3D98669F"/>
    <w:rsid w:val="3D995F73"/>
    <w:rsid w:val="3D9B7F3D"/>
    <w:rsid w:val="3D9F5C7F"/>
    <w:rsid w:val="3DA07301"/>
    <w:rsid w:val="3DA23079"/>
    <w:rsid w:val="3DA43295"/>
    <w:rsid w:val="3DA72E3B"/>
    <w:rsid w:val="3DA80A22"/>
    <w:rsid w:val="3DAB4624"/>
    <w:rsid w:val="3DAC5CA6"/>
    <w:rsid w:val="3DAD216C"/>
    <w:rsid w:val="3DAE7C70"/>
    <w:rsid w:val="3DB04665"/>
    <w:rsid w:val="3DB80517"/>
    <w:rsid w:val="3DB86D41"/>
    <w:rsid w:val="3DBD4357"/>
    <w:rsid w:val="3DBF59D9"/>
    <w:rsid w:val="3DC01751"/>
    <w:rsid w:val="3DC13AB7"/>
    <w:rsid w:val="3DC254CA"/>
    <w:rsid w:val="3DC41242"/>
    <w:rsid w:val="3DC54FBA"/>
    <w:rsid w:val="3DC61E40"/>
    <w:rsid w:val="3DC9047D"/>
    <w:rsid w:val="3DC92CFC"/>
    <w:rsid w:val="3DCC26BC"/>
    <w:rsid w:val="3DCE3E6E"/>
    <w:rsid w:val="3DD0408A"/>
    <w:rsid w:val="3DD1570D"/>
    <w:rsid w:val="3DD51DA3"/>
    <w:rsid w:val="3DD551FD"/>
    <w:rsid w:val="3DD86A9B"/>
    <w:rsid w:val="3DD913AD"/>
    <w:rsid w:val="3DDD0555"/>
    <w:rsid w:val="3DDD67A7"/>
    <w:rsid w:val="3DE15D8D"/>
    <w:rsid w:val="3DE47B36"/>
    <w:rsid w:val="3DEB0EC4"/>
    <w:rsid w:val="3DF02037"/>
    <w:rsid w:val="3DF062BF"/>
    <w:rsid w:val="3DF338D5"/>
    <w:rsid w:val="3DF5589F"/>
    <w:rsid w:val="3DF84269"/>
    <w:rsid w:val="3DF8538F"/>
    <w:rsid w:val="3DFA175A"/>
    <w:rsid w:val="3DFD4754"/>
    <w:rsid w:val="3DFD6502"/>
    <w:rsid w:val="3DFF7EA5"/>
    <w:rsid w:val="3E015FF2"/>
    <w:rsid w:val="3E021D6A"/>
    <w:rsid w:val="3E06143E"/>
    <w:rsid w:val="3E0628C9"/>
    <w:rsid w:val="3E067AAC"/>
    <w:rsid w:val="3E0728CE"/>
    <w:rsid w:val="3E0E6961"/>
    <w:rsid w:val="3E1026D9"/>
    <w:rsid w:val="3E104487"/>
    <w:rsid w:val="3E133F77"/>
    <w:rsid w:val="3E142BE7"/>
    <w:rsid w:val="3E157CEF"/>
    <w:rsid w:val="3E175A62"/>
    <w:rsid w:val="3E216694"/>
    <w:rsid w:val="3E283348"/>
    <w:rsid w:val="3E2972F7"/>
    <w:rsid w:val="3E2D328B"/>
    <w:rsid w:val="3E2E0DB1"/>
    <w:rsid w:val="3E310271"/>
    <w:rsid w:val="3E330175"/>
    <w:rsid w:val="3E3363C7"/>
    <w:rsid w:val="3E3C34CE"/>
    <w:rsid w:val="3E3D0FF4"/>
    <w:rsid w:val="3E3D2DA2"/>
    <w:rsid w:val="3E3E7246"/>
    <w:rsid w:val="3E3F69FE"/>
    <w:rsid w:val="3E407E8E"/>
    <w:rsid w:val="3E416D36"/>
    <w:rsid w:val="3E423A95"/>
    <w:rsid w:val="3E43485C"/>
    <w:rsid w:val="3E470B05"/>
    <w:rsid w:val="3E4800C5"/>
    <w:rsid w:val="3E481E73"/>
    <w:rsid w:val="3E483C21"/>
    <w:rsid w:val="3E4B3711"/>
    <w:rsid w:val="3E4D1237"/>
    <w:rsid w:val="3E4F1453"/>
    <w:rsid w:val="3E530817"/>
    <w:rsid w:val="3E5500EC"/>
    <w:rsid w:val="3E570308"/>
    <w:rsid w:val="3E5F71BC"/>
    <w:rsid w:val="3E630A5B"/>
    <w:rsid w:val="3E6622F9"/>
    <w:rsid w:val="3E682515"/>
    <w:rsid w:val="3E6F38A3"/>
    <w:rsid w:val="3E703177"/>
    <w:rsid w:val="3E712FCE"/>
    <w:rsid w:val="3E720C9E"/>
    <w:rsid w:val="3E772758"/>
    <w:rsid w:val="3E7762B4"/>
    <w:rsid w:val="3E79027E"/>
    <w:rsid w:val="3E7964D0"/>
    <w:rsid w:val="3E7C38CA"/>
    <w:rsid w:val="3E7F160D"/>
    <w:rsid w:val="3E810EE1"/>
    <w:rsid w:val="3E815385"/>
    <w:rsid w:val="3E827E4A"/>
    <w:rsid w:val="3E8310FD"/>
    <w:rsid w:val="3E8529B4"/>
    <w:rsid w:val="3E856923"/>
    <w:rsid w:val="3E886713"/>
    <w:rsid w:val="3E895FE7"/>
    <w:rsid w:val="3E8A637E"/>
    <w:rsid w:val="3E8D1F7B"/>
    <w:rsid w:val="3E8D5AD7"/>
    <w:rsid w:val="3E8F3986"/>
    <w:rsid w:val="3E9055C8"/>
    <w:rsid w:val="3E907376"/>
    <w:rsid w:val="3E921340"/>
    <w:rsid w:val="3E95498C"/>
    <w:rsid w:val="3E9A01F4"/>
    <w:rsid w:val="3E9B07FC"/>
    <w:rsid w:val="3EA1096C"/>
    <w:rsid w:val="3EA82911"/>
    <w:rsid w:val="3EAB0654"/>
    <w:rsid w:val="3EAF1EF2"/>
    <w:rsid w:val="3EB218F1"/>
    <w:rsid w:val="3EB412B6"/>
    <w:rsid w:val="3EB47508"/>
    <w:rsid w:val="3EB63280"/>
    <w:rsid w:val="3EB92D70"/>
    <w:rsid w:val="3EB94B1E"/>
    <w:rsid w:val="3EBE0387"/>
    <w:rsid w:val="3EC05EAD"/>
    <w:rsid w:val="3EC139D3"/>
    <w:rsid w:val="3EC15781"/>
    <w:rsid w:val="3EC3774B"/>
    <w:rsid w:val="3EC51715"/>
    <w:rsid w:val="3EC534C3"/>
    <w:rsid w:val="3EC7548D"/>
    <w:rsid w:val="3ECF60F0"/>
    <w:rsid w:val="3ED01E68"/>
    <w:rsid w:val="3ED23E32"/>
    <w:rsid w:val="3ED5122D"/>
    <w:rsid w:val="3ED56E8F"/>
    <w:rsid w:val="3ED71449"/>
    <w:rsid w:val="3ED86AC7"/>
    <w:rsid w:val="3EDB2CE7"/>
    <w:rsid w:val="3EDE6333"/>
    <w:rsid w:val="3EE002FD"/>
    <w:rsid w:val="3EE33949"/>
    <w:rsid w:val="3EE45765"/>
    <w:rsid w:val="3EE55913"/>
    <w:rsid w:val="3EE576C2"/>
    <w:rsid w:val="3EEB27FE"/>
    <w:rsid w:val="3EEC4EF4"/>
    <w:rsid w:val="3EED2A1A"/>
    <w:rsid w:val="3EED56EA"/>
    <w:rsid w:val="3EEF72A4"/>
    <w:rsid w:val="3EF01892"/>
    <w:rsid w:val="3EF20030"/>
    <w:rsid w:val="3EF618CF"/>
    <w:rsid w:val="3EFC2C5D"/>
    <w:rsid w:val="3EFE0783"/>
    <w:rsid w:val="3EFE69D5"/>
    <w:rsid w:val="3F0110D6"/>
    <w:rsid w:val="3F012022"/>
    <w:rsid w:val="3F073ADC"/>
    <w:rsid w:val="3F0D5DAB"/>
    <w:rsid w:val="3F0D6C18"/>
    <w:rsid w:val="3F11495A"/>
    <w:rsid w:val="3F141D55"/>
    <w:rsid w:val="3F143F10"/>
    <w:rsid w:val="3F147FA7"/>
    <w:rsid w:val="3F163D1F"/>
    <w:rsid w:val="3F187179"/>
    <w:rsid w:val="3F1C6E5B"/>
    <w:rsid w:val="3F2006FA"/>
    <w:rsid w:val="3F214472"/>
    <w:rsid w:val="3F253F62"/>
    <w:rsid w:val="3F264703"/>
    <w:rsid w:val="3F2726D2"/>
    <w:rsid w:val="3F277CDA"/>
    <w:rsid w:val="3F2A5A1C"/>
    <w:rsid w:val="3F2C52F0"/>
    <w:rsid w:val="3F2F3033"/>
    <w:rsid w:val="3F3356A6"/>
    <w:rsid w:val="3F38102B"/>
    <w:rsid w:val="3F381EE7"/>
    <w:rsid w:val="3F392EA7"/>
    <w:rsid w:val="3F397DD7"/>
    <w:rsid w:val="3F3B5533"/>
    <w:rsid w:val="3F3D74FE"/>
    <w:rsid w:val="3F3E3276"/>
    <w:rsid w:val="3F3F333C"/>
    <w:rsid w:val="3F43263A"/>
    <w:rsid w:val="3F44188F"/>
    <w:rsid w:val="3F454604"/>
    <w:rsid w:val="3F4563B2"/>
    <w:rsid w:val="3F47037C"/>
    <w:rsid w:val="3F473ED8"/>
    <w:rsid w:val="3F474FAC"/>
    <w:rsid w:val="3F487C50"/>
    <w:rsid w:val="3F4F5483"/>
    <w:rsid w:val="3F514D57"/>
    <w:rsid w:val="3F52287D"/>
    <w:rsid w:val="3F536D21"/>
    <w:rsid w:val="3F593C0C"/>
    <w:rsid w:val="3F5B3E28"/>
    <w:rsid w:val="3F5B5BD6"/>
    <w:rsid w:val="3F5E1222"/>
    <w:rsid w:val="3F626F64"/>
    <w:rsid w:val="3F636838"/>
    <w:rsid w:val="3F6525B0"/>
    <w:rsid w:val="3F6820A1"/>
    <w:rsid w:val="3F6D1B5B"/>
    <w:rsid w:val="3F710F55"/>
    <w:rsid w:val="3F715648"/>
    <w:rsid w:val="3F76656C"/>
    <w:rsid w:val="3F786788"/>
    <w:rsid w:val="3F7B2E16"/>
    <w:rsid w:val="3F7D3D9E"/>
    <w:rsid w:val="3F836EDA"/>
    <w:rsid w:val="3F8769CB"/>
    <w:rsid w:val="3F8B591F"/>
    <w:rsid w:val="3F8C2233"/>
    <w:rsid w:val="3F8C36E0"/>
    <w:rsid w:val="3F8E7D59"/>
    <w:rsid w:val="3F8F762D"/>
    <w:rsid w:val="3F9115F7"/>
    <w:rsid w:val="3F917849"/>
    <w:rsid w:val="3F966C0E"/>
    <w:rsid w:val="3F971F39"/>
    <w:rsid w:val="3F9A4950"/>
    <w:rsid w:val="3F9B5FD2"/>
    <w:rsid w:val="3F9D555A"/>
    <w:rsid w:val="3F9D61EE"/>
    <w:rsid w:val="3F9F1F66"/>
    <w:rsid w:val="3FA05CDE"/>
    <w:rsid w:val="3FA11997"/>
    <w:rsid w:val="3FA27361"/>
    <w:rsid w:val="3FA70E1B"/>
    <w:rsid w:val="3FA72BC9"/>
    <w:rsid w:val="3FA825E8"/>
    <w:rsid w:val="3FA96941"/>
    <w:rsid w:val="3FAF7CCF"/>
    <w:rsid w:val="3FB05F21"/>
    <w:rsid w:val="3FB157F6"/>
    <w:rsid w:val="3FB53538"/>
    <w:rsid w:val="3FB83028"/>
    <w:rsid w:val="3FBE1C50"/>
    <w:rsid w:val="3FC015D6"/>
    <w:rsid w:val="3FC03C8B"/>
    <w:rsid w:val="3FC079FF"/>
    <w:rsid w:val="3FC7326B"/>
    <w:rsid w:val="3FC76DC7"/>
    <w:rsid w:val="3FCA377D"/>
    <w:rsid w:val="3FCE0156"/>
    <w:rsid w:val="3FCE45FA"/>
    <w:rsid w:val="3FD141A4"/>
    <w:rsid w:val="3FD67974"/>
    <w:rsid w:val="3FD80FD4"/>
    <w:rsid w:val="3FDA2F9E"/>
    <w:rsid w:val="3FDF05B5"/>
    <w:rsid w:val="3FE43E1D"/>
    <w:rsid w:val="3FEC0F24"/>
    <w:rsid w:val="3FEC2CD2"/>
    <w:rsid w:val="3FEE6A4A"/>
    <w:rsid w:val="3FF132F0"/>
    <w:rsid w:val="3FF6120F"/>
    <w:rsid w:val="3FFD4EDF"/>
    <w:rsid w:val="400022D9"/>
    <w:rsid w:val="40077B0C"/>
    <w:rsid w:val="400D3374"/>
    <w:rsid w:val="400E0E9A"/>
    <w:rsid w:val="40104C12"/>
    <w:rsid w:val="401069C0"/>
    <w:rsid w:val="4013200C"/>
    <w:rsid w:val="40134615"/>
    <w:rsid w:val="40153FD6"/>
    <w:rsid w:val="40155D85"/>
    <w:rsid w:val="40161244"/>
    <w:rsid w:val="40172FC4"/>
    <w:rsid w:val="401B7113"/>
    <w:rsid w:val="401E584A"/>
    <w:rsid w:val="40267F92"/>
    <w:rsid w:val="4027003D"/>
    <w:rsid w:val="40271F5C"/>
    <w:rsid w:val="40295CD4"/>
    <w:rsid w:val="402B55A8"/>
    <w:rsid w:val="402C30CE"/>
    <w:rsid w:val="402D7572"/>
    <w:rsid w:val="40302BBE"/>
    <w:rsid w:val="40316936"/>
    <w:rsid w:val="4033445D"/>
    <w:rsid w:val="40363F4D"/>
    <w:rsid w:val="40381A73"/>
    <w:rsid w:val="403A3A3D"/>
    <w:rsid w:val="403B1563"/>
    <w:rsid w:val="403F2E01"/>
    <w:rsid w:val="4041301D"/>
    <w:rsid w:val="40416B7A"/>
    <w:rsid w:val="40442B0E"/>
    <w:rsid w:val="40445213"/>
    <w:rsid w:val="40491ED2"/>
    <w:rsid w:val="404B17A6"/>
    <w:rsid w:val="40526FD9"/>
    <w:rsid w:val="40550877"/>
    <w:rsid w:val="40552625"/>
    <w:rsid w:val="4057269D"/>
    <w:rsid w:val="40582115"/>
    <w:rsid w:val="405C39B3"/>
    <w:rsid w:val="405C7E57"/>
    <w:rsid w:val="405D597D"/>
    <w:rsid w:val="405F16F6"/>
    <w:rsid w:val="40610FCA"/>
    <w:rsid w:val="40644F5E"/>
    <w:rsid w:val="40646D0C"/>
    <w:rsid w:val="406805AA"/>
    <w:rsid w:val="40694322"/>
    <w:rsid w:val="406B3BF6"/>
    <w:rsid w:val="406B7B81"/>
    <w:rsid w:val="406F2AE5"/>
    <w:rsid w:val="40721429"/>
    <w:rsid w:val="40730CFD"/>
    <w:rsid w:val="407451A1"/>
    <w:rsid w:val="40750F19"/>
    <w:rsid w:val="40752CC7"/>
    <w:rsid w:val="407707ED"/>
    <w:rsid w:val="4083748E"/>
    <w:rsid w:val="40844CB8"/>
    <w:rsid w:val="40860A30"/>
    <w:rsid w:val="408829FA"/>
    <w:rsid w:val="40885F49"/>
    <w:rsid w:val="408B24EB"/>
    <w:rsid w:val="408B4299"/>
    <w:rsid w:val="408D6263"/>
    <w:rsid w:val="4090365D"/>
    <w:rsid w:val="409749EB"/>
    <w:rsid w:val="40980764"/>
    <w:rsid w:val="409A44DC"/>
    <w:rsid w:val="409B4A8A"/>
    <w:rsid w:val="409E3FCC"/>
    <w:rsid w:val="409F5F96"/>
    <w:rsid w:val="40A315E2"/>
    <w:rsid w:val="40A435AC"/>
    <w:rsid w:val="40A67324"/>
    <w:rsid w:val="40A86BF9"/>
    <w:rsid w:val="40AB66E9"/>
    <w:rsid w:val="40AD420F"/>
    <w:rsid w:val="40AF61D9"/>
    <w:rsid w:val="40B05AAD"/>
    <w:rsid w:val="40B57568"/>
    <w:rsid w:val="40BC6B48"/>
    <w:rsid w:val="40BE466E"/>
    <w:rsid w:val="40BF3F42"/>
    <w:rsid w:val="40C14999"/>
    <w:rsid w:val="40C41559"/>
    <w:rsid w:val="40CA3013"/>
    <w:rsid w:val="40CC7BBE"/>
    <w:rsid w:val="40CD467D"/>
    <w:rsid w:val="40CE4185"/>
    <w:rsid w:val="40CE565B"/>
    <w:rsid w:val="40D14C74"/>
    <w:rsid w:val="40D23C76"/>
    <w:rsid w:val="40D479EE"/>
    <w:rsid w:val="40D672C6"/>
    <w:rsid w:val="40D93256"/>
    <w:rsid w:val="40DF6392"/>
    <w:rsid w:val="40E21DAB"/>
    <w:rsid w:val="40E35E83"/>
    <w:rsid w:val="40E5601A"/>
    <w:rsid w:val="40EA5463"/>
    <w:rsid w:val="40EB4D37"/>
    <w:rsid w:val="40F005A0"/>
    <w:rsid w:val="40F24318"/>
    <w:rsid w:val="40F462E2"/>
    <w:rsid w:val="40F57964"/>
    <w:rsid w:val="40F77B80"/>
    <w:rsid w:val="40FA31CC"/>
    <w:rsid w:val="410302D3"/>
    <w:rsid w:val="41032081"/>
    <w:rsid w:val="41041EEE"/>
    <w:rsid w:val="4105229D"/>
    <w:rsid w:val="41055DF9"/>
    <w:rsid w:val="41061B71"/>
    <w:rsid w:val="410A1661"/>
    <w:rsid w:val="410A340F"/>
    <w:rsid w:val="410C5AAF"/>
    <w:rsid w:val="410D73A4"/>
    <w:rsid w:val="410F0A26"/>
    <w:rsid w:val="411029F0"/>
    <w:rsid w:val="41120516"/>
    <w:rsid w:val="411249BA"/>
    <w:rsid w:val="41126768"/>
    <w:rsid w:val="4114603C"/>
    <w:rsid w:val="411B386E"/>
    <w:rsid w:val="411E541D"/>
    <w:rsid w:val="411F02F9"/>
    <w:rsid w:val="41200E85"/>
    <w:rsid w:val="412169AB"/>
    <w:rsid w:val="41230C36"/>
    <w:rsid w:val="4125649B"/>
    <w:rsid w:val="41287D39"/>
    <w:rsid w:val="412A1D04"/>
    <w:rsid w:val="412E2095"/>
    <w:rsid w:val="412F10C8"/>
    <w:rsid w:val="41306BEE"/>
    <w:rsid w:val="41313092"/>
    <w:rsid w:val="41322966"/>
    <w:rsid w:val="41326E0A"/>
    <w:rsid w:val="4134048C"/>
    <w:rsid w:val="41350BBA"/>
    <w:rsid w:val="41354204"/>
    <w:rsid w:val="41377F7D"/>
    <w:rsid w:val="413E755D"/>
    <w:rsid w:val="414032D5"/>
    <w:rsid w:val="414508EB"/>
    <w:rsid w:val="414601C0"/>
    <w:rsid w:val="41466412"/>
    <w:rsid w:val="414A7570"/>
    <w:rsid w:val="414D154E"/>
    <w:rsid w:val="414F3518"/>
    <w:rsid w:val="414F52C6"/>
    <w:rsid w:val="41526B64"/>
    <w:rsid w:val="41566655"/>
    <w:rsid w:val="41597970"/>
    <w:rsid w:val="415B3C6B"/>
    <w:rsid w:val="415D3E87"/>
    <w:rsid w:val="41601281"/>
    <w:rsid w:val="416074D3"/>
    <w:rsid w:val="41614FF9"/>
    <w:rsid w:val="41652D3C"/>
    <w:rsid w:val="41654AEA"/>
    <w:rsid w:val="41656898"/>
    <w:rsid w:val="416B7C26"/>
    <w:rsid w:val="416E3928"/>
    <w:rsid w:val="416E7E42"/>
    <w:rsid w:val="4174388F"/>
    <w:rsid w:val="41794B30"/>
    <w:rsid w:val="417D2ACD"/>
    <w:rsid w:val="417D62D7"/>
    <w:rsid w:val="418053DA"/>
    <w:rsid w:val="4185518C"/>
    <w:rsid w:val="41886A2A"/>
    <w:rsid w:val="418C2076"/>
    <w:rsid w:val="418F7DB9"/>
    <w:rsid w:val="41911D83"/>
    <w:rsid w:val="4191768D"/>
    <w:rsid w:val="41931657"/>
    <w:rsid w:val="419378A9"/>
    <w:rsid w:val="41943621"/>
    <w:rsid w:val="41967399"/>
    <w:rsid w:val="419B675D"/>
    <w:rsid w:val="419D4D10"/>
    <w:rsid w:val="41A2189A"/>
    <w:rsid w:val="41A27AEC"/>
    <w:rsid w:val="41A5138A"/>
    <w:rsid w:val="41AA074E"/>
    <w:rsid w:val="41AA69A0"/>
    <w:rsid w:val="41AE6491"/>
    <w:rsid w:val="41B11ADD"/>
    <w:rsid w:val="41B17D2F"/>
    <w:rsid w:val="41B45A71"/>
    <w:rsid w:val="41B63597"/>
    <w:rsid w:val="41B6751F"/>
    <w:rsid w:val="41B8730F"/>
    <w:rsid w:val="41BB0BAE"/>
    <w:rsid w:val="41BC1F93"/>
    <w:rsid w:val="41BE24F6"/>
    <w:rsid w:val="41C07F72"/>
    <w:rsid w:val="41C23CEA"/>
    <w:rsid w:val="41C31810"/>
    <w:rsid w:val="41C77552"/>
    <w:rsid w:val="41CC2DBB"/>
    <w:rsid w:val="41CF31F1"/>
    <w:rsid w:val="41CF4659"/>
    <w:rsid w:val="41D35EF7"/>
    <w:rsid w:val="41D8350E"/>
    <w:rsid w:val="41D92249"/>
    <w:rsid w:val="41E023C2"/>
    <w:rsid w:val="41E040DE"/>
    <w:rsid w:val="41E225DE"/>
    <w:rsid w:val="41E2613A"/>
    <w:rsid w:val="41E41EB2"/>
    <w:rsid w:val="41E53E7C"/>
    <w:rsid w:val="41E81277"/>
    <w:rsid w:val="41E974C9"/>
    <w:rsid w:val="41EA0DF0"/>
    <w:rsid w:val="41EE2D31"/>
    <w:rsid w:val="41F06AA9"/>
    <w:rsid w:val="41F1637D"/>
    <w:rsid w:val="41F36599"/>
    <w:rsid w:val="41F83BB0"/>
    <w:rsid w:val="41F8623A"/>
    <w:rsid w:val="41F8770C"/>
    <w:rsid w:val="41FD2F74"/>
    <w:rsid w:val="42004757"/>
    <w:rsid w:val="420936C7"/>
    <w:rsid w:val="420C4F91"/>
    <w:rsid w:val="420C765B"/>
    <w:rsid w:val="420D71AC"/>
    <w:rsid w:val="420F2CA7"/>
    <w:rsid w:val="4213148C"/>
    <w:rsid w:val="42132798"/>
    <w:rsid w:val="42147B6F"/>
    <w:rsid w:val="42162288"/>
    <w:rsid w:val="42186000"/>
    <w:rsid w:val="42187DAE"/>
    <w:rsid w:val="421A3B26"/>
    <w:rsid w:val="421B135F"/>
    <w:rsid w:val="421D3616"/>
    <w:rsid w:val="421D53C4"/>
    <w:rsid w:val="421F113C"/>
    <w:rsid w:val="422229DB"/>
    <w:rsid w:val="42224789"/>
    <w:rsid w:val="422449A5"/>
    <w:rsid w:val="422E137F"/>
    <w:rsid w:val="42310E70"/>
    <w:rsid w:val="42312C1E"/>
    <w:rsid w:val="42350960"/>
    <w:rsid w:val="42360234"/>
    <w:rsid w:val="4238185C"/>
    <w:rsid w:val="423924FF"/>
    <w:rsid w:val="423A5F76"/>
    <w:rsid w:val="423C1CEE"/>
    <w:rsid w:val="423D7815"/>
    <w:rsid w:val="423F358D"/>
    <w:rsid w:val="42426BD9"/>
    <w:rsid w:val="42442951"/>
    <w:rsid w:val="425012F6"/>
    <w:rsid w:val="42507548"/>
    <w:rsid w:val="42550C5E"/>
    <w:rsid w:val="42551E4A"/>
    <w:rsid w:val="42554B5E"/>
    <w:rsid w:val="425608D6"/>
    <w:rsid w:val="425A03C6"/>
    <w:rsid w:val="42624F84"/>
    <w:rsid w:val="42641245"/>
    <w:rsid w:val="42674891"/>
    <w:rsid w:val="42693067"/>
    <w:rsid w:val="426C1EA8"/>
    <w:rsid w:val="426E5C20"/>
    <w:rsid w:val="42703746"/>
    <w:rsid w:val="427A6373"/>
    <w:rsid w:val="427C658F"/>
    <w:rsid w:val="427E2307"/>
    <w:rsid w:val="427F607F"/>
    <w:rsid w:val="428611BC"/>
    <w:rsid w:val="428B0580"/>
    <w:rsid w:val="428C42F8"/>
    <w:rsid w:val="428D254A"/>
    <w:rsid w:val="428D7D89"/>
    <w:rsid w:val="428E1E1E"/>
    <w:rsid w:val="42927B60"/>
    <w:rsid w:val="42975304"/>
    <w:rsid w:val="42976F25"/>
    <w:rsid w:val="42982C9D"/>
    <w:rsid w:val="429B386A"/>
    <w:rsid w:val="429C278D"/>
    <w:rsid w:val="42A17DA3"/>
    <w:rsid w:val="42A258CA"/>
    <w:rsid w:val="42A6360C"/>
    <w:rsid w:val="42A653BA"/>
    <w:rsid w:val="42AD0807"/>
    <w:rsid w:val="42B21FB1"/>
    <w:rsid w:val="42B5384F"/>
    <w:rsid w:val="42B54CFC"/>
    <w:rsid w:val="42B75819"/>
    <w:rsid w:val="42B80EC5"/>
    <w:rsid w:val="42BC3BB5"/>
    <w:rsid w:val="42BC4BDD"/>
    <w:rsid w:val="42BE79C1"/>
    <w:rsid w:val="42BF647C"/>
    <w:rsid w:val="42C130AD"/>
    <w:rsid w:val="42C41750"/>
    <w:rsid w:val="42C43A92"/>
    <w:rsid w:val="42C45840"/>
    <w:rsid w:val="42C615B8"/>
    <w:rsid w:val="42C6780A"/>
    <w:rsid w:val="42C81561"/>
    <w:rsid w:val="42C83582"/>
    <w:rsid w:val="42CB3072"/>
    <w:rsid w:val="42D33CD5"/>
    <w:rsid w:val="42D71A17"/>
    <w:rsid w:val="42D737C5"/>
    <w:rsid w:val="42D75573"/>
    <w:rsid w:val="42DA5063"/>
    <w:rsid w:val="42DC527F"/>
    <w:rsid w:val="42DC702D"/>
    <w:rsid w:val="42E303BC"/>
    <w:rsid w:val="42E859D2"/>
    <w:rsid w:val="42F00D2B"/>
    <w:rsid w:val="42F06635"/>
    <w:rsid w:val="42F35C5E"/>
    <w:rsid w:val="42F43C34"/>
    <w:rsid w:val="42F500EF"/>
    <w:rsid w:val="42F663DF"/>
    <w:rsid w:val="42F90B93"/>
    <w:rsid w:val="42F9198D"/>
    <w:rsid w:val="42FC31B9"/>
    <w:rsid w:val="42FC322C"/>
    <w:rsid w:val="42FE546C"/>
    <w:rsid w:val="42FE6FA4"/>
    <w:rsid w:val="42FF4ACA"/>
    <w:rsid w:val="430345BA"/>
    <w:rsid w:val="430622FC"/>
    <w:rsid w:val="43092A55"/>
    <w:rsid w:val="430976F7"/>
    <w:rsid w:val="430D368B"/>
    <w:rsid w:val="43112CAE"/>
    <w:rsid w:val="43135248"/>
    <w:rsid w:val="431467C7"/>
    <w:rsid w:val="431542ED"/>
    <w:rsid w:val="43193DDE"/>
    <w:rsid w:val="431A7B56"/>
    <w:rsid w:val="431C1B20"/>
    <w:rsid w:val="431E0128"/>
    <w:rsid w:val="431E13F4"/>
    <w:rsid w:val="431F6F1A"/>
    <w:rsid w:val="4320516C"/>
    <w:rsid w:val="43212404"/>
    <w:rsid w:val="432307B8"/>
    <w:rsid w:val="43252782"/>
    <w:rsid w:val="43255A95"/>
    <w:rsid w:val="43273C06"/>
    <w:rsid w:val="432879E8"/>
    <w:rsid w:val="432B1D63"/>
    <w:rsid w:val="432E715D"/>
    <w:rsid w:val="432F1853"/>
    <w:rsid w:val="432F3601"/>
    <w:rsid w:val="43324E9F"/>
    <w:rsid w:val="43364990"/>
    <w:rsid w:val="43374264"/>
    <w:rsid w:val="43394480"/>
    <w:rsid w:val="4339622E"/>
    <w:rsid w:val="433E7E18"/>
    <w:rsid w:val="43421586"/>
    <w:rsid w:val="43432C09"/>
    <w:rsid w:val="434370AD"/>
    <w:rsid w:val="434444D3"/>
    <w:rsid w:val="43452E25"/>
    <w:rsid w:val="43456981"/>
    <w:rsid w:val="434F5A51"/>
    <w:rsid w:val="4352109E"/>
    <w:rsid w:val="435272F0"/>
    <w:rsid w:val="43530F99"/>
    <w:rsid w:val="43544E16"/>
    <w:rsid w:val="43572B58"/>
    <w:rsid w:val="4358125E"/>
    <w:rsid w:val="435B2648"/>
    <w:rsid w:val="435E3EE6"/>
    <w:rsid w:val="435F025C"/>
    <w:rsid w:val="43614A2D"/>
    <w:rsid w:val="43635059"/>
    <w:rsid w:val="43655275"/>
    <w:rsid w:val="43670FED"/>
    <w:rsid w:val="436808C1"/>
    <w:rsid w:val="4368266F"/>
    <w:rsid w:val="436D5ED7"/>
    <w:rsid w:val="43707776"/>
    <w:rsid w:val="437454B8"/>
    <w:rsid w:val="43761230"/>
    <w:rsid w:val="43776D56"/>
    <w:rsid w:val="43784FA8"/>
    <w:rsid w:val="43790D20"/>
    <w:rsid w:val="43803E5D"/>
    <w:rsid w:val="43811983"/>
    <w:rsid w:val="4381218E"/>
    <w:rsid w:val="43827BD5"/>
    <w:rsid w:val="43851473"/>
    <w:rsid w:val="43906C88"/>
    <w:rsid w:val="439416B6"/>
    <w:rsid w:val="439568B7"/>
    <w:rsid w:val="43972F54"/>
    <w:rsid w:val="43993170"/>
    <w:rsid w:val="439A62FF"/>
    <w:rsid w:val="439C056B"/>
    <w:rsid w:val="43A050CE"/>
    <w:rsid w:val="43A15159"/>
    <w:rsid w:val="43A478BA"/>
    <w:rsid w:val="43A538C3"/>
    <w:rsid w:val="43A55671"/>
    <w:rsid w:val="43A7763B"/>
    <w:rsid w:val="43AA0EDA"/>
    <w:rsid w:val="43AE09CA"/>
    <w:rsid w:val="43AF64F0"/>
    <w:rsid w:val="43AF738A"/>
    <w:rsid w:val="43B21B3C"/>
    <w:rsid w:val="43B458B4"/>
    <w:rsid w:val="43B65AD0"/>
    <w:rsid w:val="43B753A5"/>
    <w:rsid w:val="43B835F7"/>
    <w:rsid w:val="43BC29BB"/>
    <w:rsid w:val="43BE4985"/>
    <w:rsid w:val="43BE6733"/>
    <w:rsid w:val="43C04259"/>
    <w:rsid w:val="43C31F9B"/>
    <w:rsid w:val="43C33D49"/>
    <w:rsid w:val="43C53F65"/>
    <w:rsid w:val="43C84F50"/>
    <w:rsid w:val="43C875B2"/>
    <w:rsid w:val="43CD6976"/>
    <w:rsid w:val="43D321DE"/>
    <w:rsid w:val="43D45F57"/>
    <w:rsid w:val="43D47D05"/>
    <w:rsid w:val="43D9356D"/>
    <w:rsid w:val="43DB5537"/>
    <w:rsid w:val="43DD12AF"/>
    <w:rsid w:val="43DD4C6D"/>
    <w:rsid w:val="43DE6DD5"/>
    <w:rsid w:val="43DF5027"/>
    <w:rsid w:val="43E04A33"/>
    <w:rsid w:val="43EA708E"/>
    <w:rsid w:val="43EC32A0"/>
    <w:rsid w:val="43EC504E"/>
    <w:rsid w:val="43F14D5A"/>
    <w:rsid w:val="43F26AE3"/>
    <w:rsid w:val="43F32881"/>
    <w:rsid w:val="43F565F9"/>
    <w:rsid w:val="43F62371"/>
    <w:rsid w:val="43F643C8"/>
    <w:rsid w:val="43F839F3"/>
    <w:rsid w:val="43F9776B"/>
    <w:rsid w:val="43FD36FF"/>
    <w:rsid w:val="43FE2FD4"/>
    <w:rsid w:val="43FF1225"/>
    <w:rsid w:val="44046CFA"/>
    <w:rsid w:val="44054362"/>
    <w:rsid w:val="4406131F"/>
    <w:rsid w:val="44071E88"/>
    <w:rsid w:val="440974EA"/>
    <w:rsid w:val="440A1978"/>
    <w:rsid w:val="440B5E1C"/>
    <w:rsid w:val="440C3942"/>
    <w:rsid w:val="440E3217"/>
    <w:rsid w:val="440F51E1"/>
    <w:rsid w:val="44103433"/>
    <w:rsid w:val="44113CE5"/>
    <w:rsid w:val="441A605F"/>
    <w:rsid w:val="441B1DD7"/>
    <w:rsid w:val="441D16AC"/>
    <w:rsid w:val="441E5E65"/>
    <w:rsid w:val="441F3676"/>
    <w:rsid w:val="442272A7"/>
    <w:rsid w:val="442742D8"/>
    <w:rsid w:val="442962A2"/>
    <w:rsid w:val="442A3DC9"/>
    <w:rsid w:val="442A5B77"/>
    <w:rsid w:val="442C0469"/>
    <w:rsid w:val="442E38B9"/>
    <w:rsid w:val="44307631"/>
    <w:rsid w:val="44315157"/>
    <w:rsid w:val="443A225E"/>
    <w:rsid w:val="44444E8A"/>
    <w:rsid w:val="44446C38"/>
    <w:rsid w:val="44472EDA"/>
    <w:rsid w:val="444924A1"/>
    <w:rsid w:val="444C3D3F"/>
    <w:rsid w:val="444E3F5B"/>
    <w:rsid w:val="444F55DD"/>
    <w:rsid w:val="445552E9"/>
    <w:rsid w:val="44586B88"/>
    <w:rsid w:val="445C6678"/>
    <w:rsid w:val="445F490A"/>
    <w:rsid w:val="445F7F16"/>
    <w:rsid w:val="44613C8E"/>
    <w:rsid w:val="44623562"/>
    <w:rsid w:val="44627A06"/>
    <w:rsid w:val="44641863"/>
    <w:rsid w:val="44692B43"/>
    <w:rsid w:val="446C43E1"/>
    <w:rsid w:val="44754E26"/>
    <w:rsid w:val="447A4D50"/>
    <w:rsid w:val="447F5EC2"/>
    <w:rsid w:val="44823C05"/>
    <w:rsid w:val="448434D9"/>
    <w:rsid w:val="4484797D"/>
    <w:rsid w:val="44856D19"/>
    <w:rsid w:val="44867251"/>
    <w:rsid w:val="448B2AB9"/>
    <w:rsid w:val="448E07FB"/>
    <w:rsid w:val="449000D0"/>
    <w:rsid w:val="44901E7E"/>
    <w:rsid w:val="449556E6"/>
    <w:rsid w:val="44957494"/>
    <w:rsid w:val="4496320C"/>
    <w:rsid w:val="44986F84"/>
    <w:rsid w:val="449C6A74"/>
    <w:rsid w:val="44A41DCD"/>
    <w:rsid w:val="44A578BE"/>
    <w:rsid w:val="44A616A1"/>
    <w:rsid w:val="44A91191"/>
    <w:rsid w:val="44AE67A8"/>
    <w:rsid w:val="44B1402F"/>
    <w:rsid w:val="44B22DAD"/>
    <w:rsid w:val="44B71B00"/>
    <w:rsid w:val="44BC4EB6"/>
    <w:rsid w:val="44BF09B5"/>
    <w:rsid w:val="44BF7AC3"/>
    <w:rsid w:val="44C24001"/>
    <w:rsid w:val="44C271E2"/>
    <w:rsid w:val="44C47D79"/>
    <w:rsid w:val="44C9538F"/>
    <w:rsid w:val="44D07D4A"/>
    <w:rsid w:val="44D1645F"/>
    <w:rsid w:val="44D34460"/>
    <w:rsid w:val="44D75CFE"/>
    <w:rsid w:val="44D81A54"/>
    <w:rsid w:val="44D97CC8"/>
    <w:rsid w:val="44DE708D"/>
    <w:rsid w:val="44E328F5"/>
    <w:rsid w:val="44E64193"/>
    <w:rsid w:val="44E95A32"/>
    <w:rsid w:val="44EB3558"/>
    <w:rsid w:val="44F05012"/>
    <w:rsid w:val="44F07EF5"/>
    <w:rsid w:val="44F20D8A"/>
    <w:rsid w:val="44FE14DD"/>
    <w:rsid w:val="45066BBD"/>
    <w:rsid w:val="450862B9"/>
    <w:rsid w:val="450A60D4"/>
    <w:rsid w:val="450B3BFA"/>
    <w:rsid w:val="45126D36"/>
    <w:rsid w:val="451505D5"/>
    <w:rsid w:val="45154A79"/>
    <w:rsid w:val="451707F1"/>
    <w:rsid w:val="45185304"/>
    <w:rsid w:val="45196317"/>
    <w:rsid w:val="451C1963"/>
    <w:rsid w:val="451E1B7F"/>
    <w:rsid w:val="451E56DB"/>
    <w:rsid w:val="45230F44"/>
    <w:rsid w:val="45240B5C"/>
    <w:rsid w:val="45244CBC"/>
    <w:rsid w:val="452627E2"/>
    <w:rsid w:val="4528494B"/>
    <w:rsid w:val="45286D33"/>
    <w:rsid w:val="452A0524"/>
    <w:rsid w:val="452A22D2"/>
    <w:rsid w:val="452B7DF8"/>
    <w:rsid w:val="452E1696"/>
    <w:rsid w:val="452F78E8"/>
    <w:rsid w:val="453018B3"/>
    <w:rsid w:val="45322F35"/>
    <w:rsid w:val="453273D9"/>
    <w:rsid w:val="45350C77"/>
    <w:rsid w:val="453749EF"/>
    <w:rsid w:val="45390767"/>
    <w:rsid w:val="453942C3"/>
    <w:rsid w:val="453C0257"/>
    <w:rsid w:val="453C3DB3"/>
    <w:rsid w:val="453F38A4"/>
    <w:rsid w:val="45437FCD"/>
    <w:rsid w:val="45442C68"/>
    <w:rsid w:val="45444DCB"/>
    <w:rsid w:val="45462E84"/>
    <w:rsid w:val="45482758"/>
    <w:rsid w:val="454D7D6F"/>
    <w:rsid w:val="45505AB1"/>
    <w:rsid w:val="45521829"/>
    <w:rsid w:val="45570BED"/>
    <w:rsid w:val="45575091"/>
    <w:rsid w:val="455E20DB"/>
    <w:rsid w:val="456652D4"/>
    <w:rsid w:val="456760F2"/>
    <w:rsid w:val="4568104C"/>
    <w:rsid w:val="45684DEC"/>
    <w:rsid w:val="45686297"/>
    <w:rsid w:val="456A4DC4"/>
    <w:rsid w:val="456C2B47"/>
    <w:rsid w:val="456F4189"/>
    <w:rsid w:val="45703A5D"/>
    <w:rsid w:val="45723C79"/>
    <w:rsid w:val="4574179F"/>
    <w:rsid w:val="457572C5"/>
    <w:rsid w:val="4577303D"/>
    <w:rsid w:val="45777C5A"/>
    <w:rsid w:val="45782950"/>
    <w:rsid w:val="457B0D80"/>
    <w:rsid w:val="457C0654"/>
    <w:rsid w:val="457C2431"/>
    <w:rsid w:val="457C68A6"/>
    <w:rsid w:val="4581203B"/>
    <w:rsid w:val="458319E2"/>
    <w:rsid w:val="4587600E"/>
    <w:rsid w:val="45876384"/>
    <w:rsid w:val="45877724"/>
    <w:rsid w:val="458B415A"/>
    <w:rsid w:val="45912351"/>
    <w:rsid w:val="45921C25"/>
    <w:rsid w:val="45965BB9"/>
    <w:rsid w:val="4597548E"/>
    <w:rsid w:val="45A007E6"/>
    <w:rsid w:val="45A32084"/>
    <w:rsid w:val="45A73923"/>
    <w:rsid w:val="45A831F7"/>
    <w:rsid w:val="45AD2F03"/>
    <w:rsid w:val="45AD4CB1"/>
    <w:rsid w:val="45B20519"/>
    <w:rsid w:val="45B46040"/>
    <w:rsid w:val="45B613ED"/>
    <w:rsid w:val="45B61DB8"/>
    <w:rsid w:val="45BE6A33"/>
    <w:rsid w:val="45BE6EBE"/>
    <w:rsid w:val="45C1250A"/>
    <w:rsid w:val="45C1250B"/>
    <w:rsid w:val="45C142B9"/>
    <w:rsid w:val="45C22200"/>
    <w:rsid w:val="45C75D73"/>
    <w:rsid w:val="45C85647"/>
    <w:rsid w:val="45C868C6"/>
    <w:rsid w:val="45CA5146"/>
    <w:rsid w:val="45D50A66"/>
    <w:rsid w:val="45D64208"/>
    <w:rsid w:val="45D71243"/>
    <w:rsid w:val="45D71D2E"/>
    <w:rsid w:val="45D746D7"/>
    <w:rsid w:val="45D93CF8"/>
    <w:rsid w:val="45D95AA6"/>
    <w:rsid w:val="45DB181E"/>
    <w:rsid w:val="45DE130F"/>
    <w:rsid w:val="45E02B66"/>
    <w:rsid w:val="45E200A9"/>
    <w:rsid w:val="45E217EA"/>
    <w:rsid w:val="45E2495B"/>
    <w:rsid w:val="45E561F9"/>
    <w:rsid w:val="45EA6E49"/>
    <w:rsid w:val="45EB289C"/>
    <w:rsid w:val="45F34DBA"/>
    <w:rsid w:val="45F4468E"/>
    <w:rsid w:val="45F8417E"/>
    <w:rsid w:val="45F97EF6"/>
    <w:rsid w:val="45FB2B15"/>
    <w:rsid w:val="45FC3543"/>
    <w:rsid w:val="45FC6F12"/>
    <w:rsid w:val="45FE550D"/>
    <w:rsid w:val="45FE72BB"/>
    <w:rsid w:val="46024FFD"/>
    <w:rsid w:val="46056014"/>
    <w:rsid w:val="460743C1"/>
    <w:rsid w:val="460A2104"/>
    <w:rsid w:val="460A5C60"/>
    <w:rsid w:val="460C7C2A"/>
    <w:rsid w:val="460F14C8"/>
    <w:rsid w:val="460F3276"/>
    <w:rsid w:val="460F771A"/>
    <w:rsid w:val="461036EB"/>
    <w:rsid w:val="46115240"/>
    <w:rsid w:val="46116FEE"/>
    <w:rsid w:val="46132D66"/>
    <w:rsid w:val="46144D30"/>
    <w:rsid w:val="46160AA8"/>
    <w:rsid w:val="46164604"/>
    <w:rsid w:val="46181376"/>
    <w:rsid w:val="461C661C"/>
    <w:rsid w:val="462211FB"/>
    <w:rsid w:val="46252A2C"/>
    <w:rsid w:val="46256F3D"/>
    <w:rsid w:val="46276812"/>
    <w:rsid w:val="462A4554"/>
    <w:rsid w:val="462A6302"/>
    <w:rsid w:val="462F56C6"/>
    <w:rsid w:val="46302710"/>
    <w:rsid w:val="4631143E"/>
    <w:rsid w:val="46333408"/>
    <w:rsid w:val="463351B6"/>
    <w:rsid w:val="463902F3"/>
    <w:rsid w:val="463B050F"/>
    <w:rsid w:val="464672D0"/>
    <w:rsid w:val="46472A10"/>
    <w:rsid w:val="46492C2C"/>
    <w:rsid w:val="464A0752"/>
    <w:rsid w:val="464B0BBD"/>
    <w:rsid w:val="464F5D68"/>
    <w:rsid w:val="46503FBA"/>
    <w:rsid w:val="46511AE0"/>
    <w:rsid w:val="4651388E"/>
    <w:rsid w:val="46535859"/>
    <w:rsid w:val="4654512D"/>
    <w:rsid w:val="465A6BE7"/>
    <w:rsid w:val="465B470D"/>
    <w:rsid w:val="465D66D7"/>
    <w:rsid w:val="46601A21"/>
    <w:rsid w:val="46603AD2"/>
    <w:rsid w:val="4661153E"/>
    <w:rsid w:val="46674E60"/>
    <w:rsid w:val="46690BD8"/>
    <w:rsid w:val="46696E2A"/>
    <w:rsid w:val="466E61EE"/>
    <w:rsid w:val="46717A8D"/>
    <w:rsid w:val="46753A21"/>
    <w:rsid w:val="46774EA5"/>
    <w:rsid w:val="46780E1B"/>
    <w:rsid w:val="467D28D5"/>
    <w:rsid w:val="467F21AA"/>
    <w:rsid w:val="46805F22"/>
    <w:rsid w:val="46824C69"/>
    <w:rsid w:val="4685178A"/>
    <w:rsid w:val="468A0B4E"/>
    <w:rsid w:val="468C306A"/>
    <w:rsid w:val="468E4AE3"/>
    <w:rsid w:val="4690085B"/>
    <w:rsid w:val="469045BC"/>
    <w:rsid w:val="4691012F"/>
    <w:rsid w:val="46916381"/>
    <w:rsid w:val="469320F9"/>
    <w:rsid w:val="46955E71"/>
    <w:rsid w:val="469814BD"/>
    <w:rsid w:val="469A077B"/>
    <w:rsid w:val="469B504C"/>
    <w:rsid w:val="469D0882"/>
    <w:rsid w:val="469D6AD4"/>
    <w:rsid w:val="469E3530"/>
    <w:rsid w:val="469F0A9E"/>
    <w:rsid w:val="46A14816"/>
    <w:rsid w:val="46A2058E"/>
    <w:rsid w:val="46A55988"/>
    <w:rsid w:val="46A75BA4"/>
    <w:rsid w:val="46B502C1"/>
    <w:rsid w:val="46B81B60"/>
    <w:rsid w:val="46BA72E6"/>
    <w:rsid w:val="46BB51AC"/>
    <w:rsid w:val="46BD4A69"/>
    <w:rsid w:val="46BE249F"/>
    <w:rsid w:val="46C40504"/>
    <w:rsid w:val="46C71DA3"/>
    <w:rsid w:val="46C7611B"/>
    <w:rsid w:val="46C95B1B"/>
    <w:rsid w:val="46CA4A56"/>
    <w:rsid w:val="46CB53EF"/>
    <w:rsid w:val="46CC73B9"/>
    <w:rsid w:val="46CE3131"/>
    <w:rsid w:val="46D06EA9"/>
    <w:rsid w:val="46D1436F"/>
    <w:rsid w:val="46D87B0C"/>
    <w:rsid w:val="46DC584E"/>
    <w:rsid w:val="46DC75FC"/>
    <w:rsid w:val="46DF0E9A"/>
    <w:rsid w:val="46DF533E"/>
    <w:rsid w:val="46E2577B"/>
    <w:rsid w:val="46E6047B"/>
    <w:rsid w:val="46E65D45"/>
    <w:rsid w:val="46E66846"/>
    <w:rsid w:val="46E75FA1"/>
    <w:rsid w:val="46EB449C"/>
    <w:rsid w:val="46ED32C2"/>
    <w:rsid w:val="46EE732F"/>
    <w:rsid w:val="46EF502B"/>
    <w:rsid w:val="46F10BCE"/>
    <w:rsid w:val="46F54B62"/>
    <w:rsid w:val="46F62029"/>
    <w:rsid w:val="46F661E4"/>
    <w:rsid w:val="46F74436"/>
    <w:rsid w:val="46FD7572"/>
    <w:rsid w:val="46FF153C"/>
    <w:rsid w:val="47040901"/>
    <w:rsid w:val="47040B3D"/>
    <w:rsid w:val="470902D0"/>
    <w:rsid w:val="47094169"/>
    <w:rsid w:val="470B1C8F"/>
    <w:rsid w:val="470B5F1B"/>
    <w:rsid w:val="470C611D"/>
    <w:rsid w:val="47121270"/>
    <w:rsid w:val="471825FE"/>
    <w:rsid w:val="471831DD"/>
    <w:rsid w:val="471A0124"/>
    <w:rsid w:val="471A45C8"/>
    <w:rsid w:val="471E5E67"/>
    <w:rsid w:val="471F398D"/>
    <w:rsid w:val="471F5249"/>
    <w:rsid w:val="47200E18"/>
    <w:rsid w:val="47217705"/>
    <w:rsid w:val="4723347D"/>
    <w:rsid w:val="47240FA3"/>
    <w:rsid w:val="472471F5"/>
    <w:rsid w:val="47261108"/>
    <w:rsid w:val="47297A89"/>
    <w:rsid w:val="472B2331"/>
    <w:rsid w:val="472C4F7A"/>
    <w:rsid w:val="472E3BD0"/>
    <w:rsid w:val="473016F6"/>
    <w:rsid w:val="4732546E"/>
    <w:rsid w:val="473531B0"/>
    <w:rsid w:val="473A07C7"/>
    <w:rsid w:val="473A2575"/>
    <w:rsid w:val="4746716B"/>
    <w:rsid w:val="474D04FA"/>
    <w:rsid w:val="474D4056"/>
    <w:rsid w:val="474D6E84"/>
    <w:rsid w:val="474E7DCE"/>
    <w:rsid w:val="47567208"/>
    <w:rsid w:val="47573126"/>
    <w:rsid w:val="475950F1"/>
    <w:rsid w:val="47596E9F"/>
    <w:rsid w:val="475A2C17"/>
    <w:rsid w:val="475C24EB"/>
    <w:rsid w:val="475E6263"/>
    <w:rsid w:val="475E7E09"/>
    <w:rsid w:val="475F3D89"/>
    <w:rsid w:val="47615D53"/>
    <w:rsid w:val="476615BC"/>
    <w:rsid w:val="47685334"/>
    <w:rsid w:val="476A10AC"/>
    <w:rsid w:val="476B4E24"/>
    <w:rsid w:val="476B6BD2"/>
    <w:rsid w:val="476F0470"/>
    <w:rsid w:val="47775577"/>
    <w:rsid w:val="47797541"/>
    <w:rsid w:val="477A0BC3"/>
    <w:rsid w:val="477C0DDF"/>
    <w:rsid w:val="477C2B8D"/>
    <w:rsid w:val="478040C9"/>
    <w:rsid w:val="478131A3"/>
    <w:rsid w:val="478236BD"/>
    <w:rsid w:val="47855EE6"/>
    <w:rsid w:val="478657BA"/>
    <w:rsid w:val="478661AE"/>
    <w:rsid w:val="478A52AA"/>
    <w:rsid w:val="478A7058"/>
    <w:rsid w:val="478B308C"/>
    <w:rsid w:val="478D08F6"/>
    <w:rsid w:val="478D6B48"/>
    <w:rsid w:val="478F28C0"/>
    <w:rsid w:val="47941C85"/>
    <w:rsid w:val="4799373F"/>
    <w:rsid w:val="4799729B"/>
    <w:rsid w:val="479A389F"/>
    <w:rsid w:val="479C6D8B"/>
    <w:rsid w:val="479E3B5A"/>
    <w:rsid w:val="47A10846"/>
    <w:rsid w:val="47A125F4"/>
    <w:rsid w:val="47A66166"/>
    <w:rsid w:val="47A81BD4"/>
    <w:rsid w:val="47A9027D"/>
    <w:rsid w:val="47AA594C"/>
    <w:rsid w:val="47AB5220"/>
    <w:rsid w:val="47AC31DC"/>
    <w:rsid w:val="47AD2D46"/>
    <w:rsid w:val="47AF6ABF"/>
    <w:rsid w:val="47B71E17"/>
    <w:rsid w:val="47B73BC5"/>
    <w:rsid w:val="47BE31A6"/>
    <w:rsid w:val="47C52FFF"/>
    <w:rsid w:val="47C702AC"/>
    <w:rsid w:val="47C85937"/>
    <w:rsid w:val="47CB543A"/>
    <w:rsid w:val="47D44777"/>
    <w:rsid w:val="47D604EF"/>
    <w:rsid w:val="47D9559E"/>
    <w:rsid w:val="47DD7AD0"/>
    <w:rsid w:val="47DE55F6"/>
    <w:rsid w:val="47DE7B5D"/>
    <w:rsid w:val="47E0136E"/>
    <w:rsid w:val="47E04ECA"/>
    <w:rsid w:val="47E250E6"/>
    <w:rsid w:val="47E30E5E"/>
    <w:rsid w:val="47E36768"/>
    <w:rsid w:val="47E81FD1"/>
    <w:rsid w:val="47EA2A89"/>
    <w:rsid w:val="47EA3F9B"/>
    <w:rsid w:val="47ED3A8B"/>
    <w:rsid w:val="47ED5839"/>
    <w:rsid w:val="47F00E85"/>
    <w:rsid w:val="47F47296"/>
    <w:rsid w:val="47F92430"/>
    <w:rsid w:val="47FE35A2"/>
    <w:rsid w:val="47FE7A46"/>
    <w:rsid w:val="4800731A"/>
    <w:rsid w:val="48013092"/>
    <w:rsid w:val="48014387"/>
    <w:rsid w:val="48050878"/>
    <w:rsid w:val="48082673"/>
    <w:rsid w:val="480A0199"/>
    <w:rsid w:val="480A63EB"/>
    <w:rsid w:val="480B761B"/>
    <w:rsid w:val="480B79F4"/>
    <w:rsid w:val="480C3F11"/>
    <w:rsid w:val="480D7C89"/>
    <w:rsid w:val="480F1C53"/>
    <w:rsid w:val="48117779"/>
    <w:rsid w:val="48142DC6"/>
    <w:rsid w:val="48145EF7"/>
    <w:rsid w:val="4816511D"/>
    <w:rsid w:val="48166B3E"/>
    <w:rsid w:val="481B4154"/>
    <w:rsid w:val="481E3C44"/>
    <w:rsid w:val="48247721"/>
    <w:rsid w:val="48286871"/>
    <w:rsid w:val="482C010F"/>
    <w:rsid w:val="482C6361"/>
    <w:rsid w:val="482D3E87"/>
    <w:rsid w:val="482F1472"/>
    <w:rsid w:val="48315726"/>
    <w:rsid w:val="48376AB4"/>
    <w:rsid w:val="483B0352"/>
    <w:rsid w:val="483D45DA"/>
    <w:rsid w:val="4840005F"/>
    <w:rsid w:val="484418FD"/>
    <w:rsid w:val="48474BEB"/>
    <w:rsid w:val="484C6A03"/>
    <w:rsid w:val="484E555F"/>
    <w:rsid w:val="48541414"/>
    <w:rsid w:val="48547666"/>
    <w:rsid w:val="4860165D"/>
    <w:rsid w:val="4860600B"/>
    <w:rsid w:val="486378A9"/>
    <w:rsid w:val="48691363"/>
    <w:rsid w:val="486C49B0"/>
    <w:rsid w:val="486E0728"/>
    <w:rsid w:val="48705D28"/>
    <w:rsid w:val="48790E7B"/>
    <w:rsid w:val="487B4BF3"/>
    <w:rsid w:val="487D096B"/>
    <w:rsid w:val="487F4868"/>
    <w:rsid w:val="488066AD"/>
    <w:rsid w:val="4884619D"/>
    <w:rsid w:val="48846D6F"/>
    <w:rsid w:val="488717E9"/>
    <w:rsid w:val="48883FAF"/>
    <w:rsid w:val="48895562"/>
    <w:rsid w:val="488E4926"/>
    <w:rsid w:val="48904B42"/>
    <w:rsid w:val="489207F0"/>
    <w:rsid w:val="48927C32"/>
    <w:rsid w:val="489363E0"/>
    <w:rsid w:val="48952158"/>
    <w:rsid w:val="48997AAA"/>
    <w:rsid w:val="489B7043"/>
    <w:rsid w:val="489D725F"/>
    <w:rsid w:val="489F4D85"/>
    <w:rsid w:val="489F6B33"/>
    <w:rsid w:val="48A24875"/>
    <w:rsid w:val="48A4239B"/>
    <w:rsid w:val="48A57EC2"/>
    <w:rsid w:val="48A64F46"/>
    <w:rsid w:val="48A759E8"/>
    <w:rsid w:val="48AA548E"/>
    <w:rsid w:val="48AC1250"/>
    <w:rsid w:val="48B12D5E"/>
    <w:rsid w:val="48B33F87"/>
    <w:rsid w:val="48B60321"/>
    <w:rsid w:val="48B9571B"/>
    <w:rsid w:val="48C42A3E"/>
    <w:rsid w:val="48C4659A"/>
    <w:rsid w:val="48C540C0"/>
    <w:rsid w:val="48C742DC"/>
    <w:rsid w:val="48C93BB0"/>
    <w:rsid w:val="48CC18F2"/>
    <w:rsid w:val="48CC36A0"/>
    <w:rsid w:val="48CE566A"/>
    <w:rsid w:val="48D03190"/>
    <w:rsid w:val="48D11064"/>
    <w:rsid w:val="48D2515B"/>
    <w:rsid w:val="48D6451F"/>
    <w:rsid w:val="48D8429F"/>
    <w:rsid w:val="48DD58AD"/>
    <w:rsid w:val="48DD765B"/>
    <w:rsid w:val="48E24BBA"/>
    <w:rsid w:val="48EB1A05"/>
    <w:rsid w:val="48EB621C"/>
    <w:rsid w:val="48EB7FCA"/>
    <w:rsid w:val="48EE7ABB"/>
    <w:rsid w:val="48EF512A"/>
    <w:rsid w:val="48F22F6E"/>
    <w:rsid w:val="48FA645F"/>
    <w:rsid w:val="48FC21D7"/>
    <w:rsid w:val="48FD1AAC"/>
    <w:rsid w:val="4901073B"/>
    <w:rsid w:val="490177EE"/>
    <w:rsid w:val="490241A3"/>
    <w:rsid w:val="4905004E"/>
    <w:rsid w:val="49066BB2"/>
    <w:rsid w:val="490746D8"/>
    <w:rsid w:val="490868D4"/>
    <w:rsid w:val="490966A2"/>
    <w:rsid w:val="490E2746"/>
    <w:rsid w:val="490E5212"/>
    <w:rsid w:val="4913307D"/>
    <w:rsid w:val="49134C56"/>
    <w:rsid w:val="49162368"/>
    <w:rsid w:val="49180694"/>
    <w:rsid w:val="491C0184"/>
    <w:rsid w:val="491C4628"/>
    <w:rsid w:val="491F5EC6"/>
    <w:rsid w:val="492359B6"/>
    <w:rsid w:val="49276B29"/>
    <w:rsid w:val="49291459"/>
    <w:rsid w:val="4929464F"/>
    <w:rsid w:val="492B486B"/>
    <w:rsid w:val="492C30FE"/>
    <w:rsid w:val="492D05E3"/>
    <w:rsid w:val="492E6109"/>
    <w:rsid w:val="493279A7"/>
    <w:rsid w:val="49355CFA"/>
    <w:rsid w:val="49357497"/>
    <w:rsid w:val="493967AB"/>
    <w:rsid w:val="493A2D00"/>
    <w:rsid w:val="493A6B92"/>
    <w:rsid w:val="49415E3C"/>
    <w:rsid w:val="49425710"/>
    <w:rsid w:val="49437E06"/>
    <w:rsid w:val="49463453"/>
    <w:rsid w:val="49470F79"/>
    <w:rsid w:val="494B2817"/>
    <w:rsid w:val="494B6CBB"/>
    <w:rsid w:val="494D2A33"/>
    <w:rsid w:val="494F1069"/>
    <w:rsid w:val="494F67AB"/>
    <w:rsid w:val="49523BA5"/>
    <w:rsid w:val="495279EA"/>
    <w:rsid w:val="49553696"/>
    <w:rsid w:val="4958211B"/>
    <w:rsid w:val="495839E9"/>
    <w:rsid w:val="495A6EFE"/>
    <w:rsid w:val="495B1176"/>
    <w:rsid w:val="495C4A24"/>
    <w:rsid w:val="495D6F47"/>
    <w:rsid w:val="4961203A"/>
    <w:rsid w:val="496164DE"/>
    <w:rsid w:val="4962490E"/>
    <w:rsid w:val="49627B61"/>
    <w:rsid w:val="496833C9"/>
    <w:rsid w:val="496B110B"/>
    <w:rsid w:val="496E4757"/>
    <w:rsid w:val="4970227E"/>
    <w:rsid w:val="49706721"/>
    <w:rsid w:val="49724248"/>
    <w:rsid w:val="49757894"/>
    <w:rsid w:val="49781705"/>
    <w:rsid w:val="49787384"/>
    <w:rsid w:val="497955D6"/>
    <w:rsid w:val="497A134E"/>
    <w:rsid w:val="497C6E74"/>
    <w:rsid w:val="4981092F"/>
    <w:rsid w:val="49810A06"/>
    <w:rsid w:val="4981448B"/>
    <w:rsid w:val="49845165"/>
    <w:rsid w:val="49863B8C"/>
    <w:rsid w:val="49865F45"/>
    <w:rsid w:val="49883A6B"/>
    <w:rsid w:val="498B70B7"/>
    <w:rsid w:val="498D3BDC"/>
    <w:rsid w:val="49900B72"/>
    <w:rsid w:val="49902920"/>
    <w:rsid w:val="49920446"/>
    <w:rsid w:val="49942410"/>
    <w:rsid w:val="49966F18"/>
    <w:rsid w:val="499707E5"/>
    <w:rsid w:val="49975A5C"/>
    <w:rsid w:val="499917D4"/>
    <w:rsid w:val="499C7517"/>
    <w:rsid w:val="499E03ED"/>
    <w:rsid w:val="49A35E02"/>
    <w:rsid w:val="49A62143"/>
    <w:rsid w:val="49A87C69"/>
    <w:rsid w:val="49A95790"/>
    <w:rsid w:val="49AB1508"/>
    <w:rsid w:val="49AD1A85"/>
    <w:rsid w:val="49AE449B"/>
    <w:rsid w:val="49AF724A"/>
    <w:rsid w:val="49B22896"/>
    <w:rsid w:val="49B341B6"/>
    <w:rsid w:val="49B4660E"/>
    <w:rsid w:val="49C32CF5"/>
    <w:rsid w:val="49C33CAB"/>
    <w:rsid w:val="49CA4084"/>
    <w:rsid w:val="49CD76D0"/>
    <w:rsid w:val="49CF169A"/>
    <w:rsid w:val="49D00F6E"/>
    <w:rsid w:val="49D56585"/>
    <w:rsid w:val="49DC5B65"/>
    <w:rsid w:val="49E05655"/>
    <w:rsid w:val="49E2286F"/>
    <w:rsid w:val="49E36EF3"/>
    <w:rsid w:val="49E54A1A"/>
    <w:rsid w:val="49E5617F"/>
    <w:rsid w:val="49E669E4"/>
    <w:rsid w:val="49E8275C"/>
    <w:rsid w:val="49ED1B20"/>
    <w:rsid w:val="49F25388"/>
    <w:rsid w:val="49F44C5D"/>
    <w:rsid w:val="49F70BF1"/>
    <w:rsid w:val="49F7131D"/>
    <w:rsid w:val="49F904C5"/>
    <w:rsid w:val="49F92273"/>
    <w:rsid w:val="49F96717"/>
    <w:rsid w:val="4A0027BD"/>
    <w:rsid w:val="4A021E4C"/>
    <w:rsid w:val="4A031344"/>
    <w:rsid w:val="4A0330F2"/>
    <w:rsid w:val="4A055651"/>
    <w:rsid w:val="4A070E34"/>
    <w:rsid w:val="4A0C644A"/>
    <w:rsid w:val="4A0D21C2"/>
    <w:rsid w:val="4A0D5D1E"/>
    <w:rsid w:val="4A0F5F3A"/>
    <w:rsid w:val="4A1277D9"/>
    <w:rsid w:val="4A190B67"/>
    <w:rsid w:val="4A282B58"/>
    <w:rsid w:val="4A292E59"/>
    <w:rsid w:val="4A2D1D7B"/>
    <w:rsid w:val="4A317C5F"/>
    <w:rsid w:val="4A325785"/>
    <w:rsid w:val="4A3414FD"/>
    <w:rsid w:val="4A355C64"/>
    <w:rsid w:val="4A3634C7"/>
    <w:rsid w:val="4A370FED"/>
    <w:rsid w:val="4A3B0ADD"/>
    <w:rsid w:val="4A3C6604"/>
    <w:rsid w:val="4A3F67C0"/>
    <w:rsid w:val="4A404346"/>
    <w:rsid w:val="4A4D0811"/>
    <w:rsid w:val="4A4D25BF"/>
    <w:rsid w:val="4A4F6337"/>
    <w:rsid w:val="4A5120AF"/>
    <w:rsid w:val="4A513E5D"/>
    <w:rsid w:val="4A54394D"/>
    <w:rsid w:val="4A565917"/>
    <w:rsid w:val="4A58343D"/>
    <w:rsid w:val="4A5971B6"/>
    <w:rsid w:val="4A5C0EFB"/>
    <w:rsid w:val="4A5C2802"/>
    <w:rsid w:val="4A5D0A54"/>
    <w:rsid w:val="4A5E47CC"/>
    <w:rsid w:val="4A631DE2"/>
    <w:rsid w:val="4A655B5A"/>
    <w:rsid w:val="4A69389D"/>
    <w:rsid w:val="4A6C513B"/>
    <w:rsid w:val="4A6E2C61"/>
    <w:rsid w:val="4A6F2535"/>
    <w:rsid w:val="4A6F4C2B"/>
    <w:rsid w:val="4A7055EE"/>
    <w:rsid w:val="4A730277"/>
    <w:rsid w:val="4A7B2700"/>
    <w:rsid w:val="4A7C3B90"/>
    <w:rsid w:val="4A7C3BA7"/>
    <w:rsid w:val="4A7D10F6"/>
    <w:rsid w:val="4A8561FD"/>
    <w:rsid w:val="4A875AD1"/>
    <w:rsid w:val="4A881849"/>
    <w:rsid w:val="4A8C2507"/>
    <w:rsid w:val="4A8F2BD7"/>
    <w:rsid w:val="4A9401EE"/>
    <w:rsid w:val="4A965D14"/>
    <w:rsid w:val="4A981A8C"/>
    <w:rsid w:val="4A994F9D"/>
    <w:rsid w:val="4AA16E07"/>
    <w:rsid w:val="4AA307FB"/>
    <w:rsid w:val="4AA5064D"/>
    <w:rsid w:val="4AA541A9"/>
    <w:rsid w:val="4AA743C5"/>
    <w:rsid w:val="4AA76173"/>
    <w:rsid w:val="4AA93C99"/>
    <w:rsid w:val="4AAA17BF"/>
    <w:rsid w:val="4AAA358D"/>
    <w:rsid w:val="4AAE12AF"/>
    <w:rsid w:val="4AAF5028"/>
    <w:rsid w:val="4AB10DA0"/>
    <w:rsid w:val="4AB12B4E"/>
    <w:rsid w:val="4AB368C6"/>
    <w:rsid w:val="4AB443EC"/>
    <w:rsid w:val="4AB56AE2"/>
    <w:rsid w:val="4AB80380"/>
    <w:rsid w:val="4ABA40F8"/>
    <w:rsid w:val="4ABF34BD"/>
    <w:rsid w:val="4AC07235"/>
    <w:rsid w:val="4AC40AD3"/>
    <w:rsid w:val="4ACE21A8"/>
    <w:rsid w:val="4AD131F0"/>
    <w:rsid w:val="4AD30D16"/>
    <w:rsid w:val="4AD54A8E"/>
    <w:rsid w:val="4AD66A58"/>
    <w:rsid w:val="4ADA02F6"/>
    <w:rsid w:val="4ADB1B7B"/>
    <w:rsid w:val="4ADB406F"/>
    <w:rsid w:val="4ADD1B95"/>
    <w:rsid w:val="4ADF76BB"/>
    <w:rsid w:val="4AE03433"/>
    <w:rsid w:val="4AE04866"/>
    <w:rsid w:val="4AE178D7"/>
    <w:rsid w:val="4AE2447F"/>
    <w:rsid w:val="4AE25454"/>
    <w:rsid w:val="4AE40A60"/>
    <w:rsid w:val="4AE41175"/>
    <w:rsid w:val="4AE91CAA"/>
    <w:rsid w:val="4AE93A6A"/>
    <w:rsid w:val="4AEC002A"/>
    <w:rsid w:val="4AEE3DA2"/>
    <w:rsid w:val="4AEE78FE"/>
    <w:rsid w:val="4AF866B5"/>
    <w:rsid w:val="4AFF1B0B"/>
    <w:rsid w:val="4B054C48"/>
    <w:rsid w:val="4B0709C0"/>
    <w:rsid w:val="4B074E64"/>
    <w:rsid w:val="4B09298A"/>
    <w:rsid w:val="4B094738"/>
    <w:rsid w:val="4B0A4C46"/>
    <w:rsid w:val="4B101F6A"/>
    <w:rsid w:val="4B105AC6"/>
    <w:rsid w:val="4B1225D8"/>
    <w:rsid w:val="4B1650A7"/>
    <w:rsid w:val="4B166E55"/>
    <w:rsid w:val="4B1B446B"/>
    <w:rsid w:val="4B1D6435"/>
    <w:rsid w:val="4B1F3F5B"/>
    <w:rsid w:val="4B201A81"/>
    <w:rsid w:val="4B241572"/>
    <w:rsid w:val="4B26353C"/>
    <w:rsid w:val="4B2C0426"/>
    <w:rsid w:val="4B2E419E"/>
    <w:rsid w:val="4B3043BA"/>
    <w:rsid w:val="4B306168"/>
    <w:rsid w:val="4B3519D1"/>
    <w:rsid w:val="4B35552D"/>
    <w:rsid w:val="4B3774F7"/>
    <w:rsid w:val="4B38326F"/>
    <w:rsid w:val="4B383B38"/>
    <w:rsid w:val="4B38501D"/>
    <w:rsid w:val="4B3A6FE7"/>
    <w:rsid w:val="4B3D2633"/>
    <w:rsid w:val="4B412124"/>
    <w:rsid w:val="4B413ED2"/>
    <w:rsid w:val="4B46598C"/>
    <w:rsid w:val="4B49722A"/>
    <w:rsid w:val="4B4B11F4"/>
    <w:rsid w:val="4B4C2876"/>
    <w:rsid w:val="4B4E0182"/>
    <w:rsid w:val="4B5005B9"/>
    <w:rsid w:val="4B50190C"/>
    <w:rsid w:val="4B527136"/>
    <w:rsid w:val="4B531E57"/>
    <w:rsid w:val="4B605346"/>
    <w:rsid w:val="4B644064"/>
    <w:rsid w:val="4B6572AA"/>
    <w:rsid w:val="4B67770B"/>
    <w:rsid w:val="4B6842C5"/>
    <w:rsid w:val="4B6C4CC7"/>
    <w:rsid w:val="4B6D116B"/>
    <w:rsid w:val="4B6E4EE3"/>
    <w:rsid w:val="4B756271"/>
    <w:rsid w:val="4B7F2C4C"/>
    <w:rsid w:val="4B8169C4"/>
    <w:rsid w:val="4B8244EA"/>
    <w:rsid w:val="4B83273C"/>
    <w:rsid w:val="4B842010"/>
    <w:rsid w:val="4B863FDA"/>
    <w:rsid w:val="4B871B00"/>
    <w:rsid w:val="4B895879"/>
    <w:rsid w:val="4B8D35BB"/>
    <w:rsid w:val="4B8E10E1"/>
    <w:rsid w:val="4B8E2E8F"/>
    <w:rsid w:val="4B924743"/>
    <w:rsid w:val="4B9304A5"/>
    <w:rsid w:val="4B9366F7"/>
    <w:rsid w:val="4B944949"/>
    <w:rsid w:val="4B990304"/>
    <w:rsid w:val="4B9B725E"/>
    <w:rsid w:val="4B9D30D2"/>
    <w:rsid w:val="4B9E1324"/>
    <w:rsid w:val="4B9F509C"/>
    <w:rsid w:val="4B9F6E4A"/>
    <w:rsid w:val="4BA56959"/>
    <w:rsid w:val="4BA56E78"/>
    <w:rsid w:val="4BA601D9"/>
    <w:rsid w:val="4BA8076C"/>
    <w:rsid w:val="4BA821A3"/>
    <w:rsid w:val="4BA83F51"/>
    <w:rsid w:val="4BAA29CA"/>
    <w:rsid w:val="4BAD77B9"/>
    <w:rsid w:val="4BAE52DF"/>
    <w:rsid w:val="4BAF1783"/>
    <w:rsid w:val="4BB24DCF"/>
    <w:rsid w:val="4BB723E6"/>
    <w:rsid w:val="4BB74194"/>
    <w:rsid w:val="4BBD5522"/>
    <w:rsid w:val="4BBE19C6"/>
    <w:rsid w:val="4BBF74EC"/>
    <w:rsid w:val="4BC13264"/>
    <w:rsid w:val="4BC30D8B"/>
    <w:rsid w:val="4BC32B39"/>
    <w:rsid w:val="4BC42B40"/>
    <w:rsid w:val="4BC4311E"/>
    <w:rsid w:val="4BC52D55"/>
    <w:rsid w:val="4BC56FCC"/>
    <w:rsid w:val="4BC92119"/>
    <w:rsid w:val="4BCC5D64"/>
    <w:rsid w:val="4BCE14DD"/>
    <w:rsid w:val="4BCE5793"/>
    <w:rsid w:val="4BCF1B14"/>
    <w:rsid w:val="4BCF5981"/>
    <w:rsid w:val="4BD0415A"/>
    <w:rsid w:val="4BD27220"/>
    <w:rsid w:val="4BD411EA"/>
    <w:rsid w:val="4BD50ABE"/>
    <w:rsid w:val="4BD5286C"/>
    <w:rsid w:val="4BD56D10"/>
    <w:rsid w:val="4BDA60D4"/>
    <w:rsid w:val="4BDC1E4C"/>
    <w:rsid w:val="4BDC207F"/>
    <w:rsid w:val="4BDD4118"/>
    <w:rsid w:val="4BDF193C"/>
    <w:rsid w:val="4BDF36EB"/>
    <w:rsid w:val="4BE0566A"/>
    <w:rsid w:val="4BE32B5B"/>
    <w:rsid w:val="4BE64A79"/>
    <w:rsid w:val="4BE668C8"/>
    <w:rsid w:val="4BE807F1"/>
    <w:rsid w:val="4BE96317"/>
    <w:rsid w:val="4BEA14D5"/>
    <w:rsid w:val="4BED22AB"/>
    <w:rsid w:val="4BEE392E"/>
    <w:rsid w:val="4BEE7C6E"/>
    <w:rsid w:val="4BEF1B80"/>
    <w:rsid w:val="4BF610B4"/>
    <w:rsid w:val="4BF70A34"/>
    <w:rsid w:val="4BF76C86"/>
    <w:rsid w:val="4BFE0015"/>
    <w:rsid w:val="4BFE07A3"/>
    <w:rsid w:val="4C066EC9"/>
    <w:rsid w:val="4C07336D"/>
    <w:rsid w:val="4C0D2006"/>
    <w:rsid w:val="4C0D46FC"/>
    <w:rsid w:val="4C0F3FD0"/>
    <w:rsid w:val="4C12586E"/>
    <w:rsid w:val="4C1642A8"/>
    <w:rsid w:val="4C172E84"/>
    <w:rsid w:val="4C194E4E"/>
    <w:rsid w:val="4C1B2975"/>
    <w:rsid w:val="4C1E06B7"/>
    <w:rsid w:val="4C1E4213"/>
    <w:rsid w:val="4C207F8B"/>
    <w:rsid w:val="4C211F55"/>
    <w:rsid w:val="4C225E2E"/>
    <w:rsid w:val="4C2537F3"/>
    <w:rsid w:val="4C2825C8"/>
    <w:rsid w:val="4C285091"/>
    <w:rsid w:val="4C2B0CAD"/>
    <w:rsid w:val="4C2F4672"/>
    <w:rsid w:val="4C325F10"/>
    <w:rsid w:val="4C343A36"/>
    <w:rsid w:val="4C3677AE"/>
    <w:rsid w:val="4C373527"/>
    <w:rsid w:val="4C381CAC"/>
    <w:rsid w:val="4C400831"/>
    <w:rsid w:val="4C417F01"/>
    <w:rsid w:val="4C431ECB"/>
    <w:rsid w:val="4C435E69"/>
    <w:rsid w:val="4C485734"/>
    <w:rsid w:val="4C4874E2"/>
    <w:rsid w:val="4C4A1A57"/>
    <w:rsid w:val="4C4D4AF8"/>
    <w:rsid w:val="4C4F261E"/>
    <w:rsid w:val="4C5145E8"/>
    <w:rsid w:val="4C516396"/>
    <w:rsid w:val="4C52210E"/>
    <w:rsid w:val="4C523EBC"/>
    <w:rsid w:val="4C575977"/>
    <w:rsid w:val="4C5916EF"/>
    <w:rsid w:val="4C5C2F8D"/>
    <w:rsid w:val="4C683B50"/>
    <w:rsid w:val="4C6B1ADF"/>
    <w:rsid w:val="4C6D6F48"/>
    <w:rsid w:val="4C6F0F12"/>
    <w:rsid w:val="4C6F4A6E"/>
    <w:rsid w:val="4C7402D7"/>
    <w:rsid w:val="4C746529"/>
    <w:rsid w:val="4C76404F"/>
    <w:rsid w:val="4C771B75"/>
    <w:rsid w:val="4C794EA9"/>
    <w:rsid w:val="4C7D53DD"/>
    <w:rsid w:val="4C801E04"/>
    <w:rsid w:val="4C8229F4"/>
    <w:rsid w:val="4C8524E4"/>
    <w:rsid w:val="4C871DB8"/>
    <w:rsid w:val="4C8A5D4C"/>
    <w:rsid w:val="4C8B4D74"/>
    <w:rsid w:val="4C8F3363"/>
    <w:rsid w:val="4C910E89"/>
    <w:rsid w:val="4C912C37"/>
    <w:rsid w:val="4C917C58"/>
    <w:rsid w:val="4C942727"/>
    <w:rsid w:val="4C983FC5"/>
    <w:rsid w:val="4C995DF3"/>
    <w:rsid w:val="4C997D3D"/>
    <w:rsid w:val="4C9B5863"/>
    <w:rsid w:val="4CAC1D76"/>
    <w:rsid w:val="4CAC5CC3"/>
    <w:rsid w:val="4CAF130F"/>
    <w:rsid w:val="4CB0381C"/>
    <w:rsid w:val="4CB132D9"/>
    <w:rsid w:val="4CB46925"/>
    <w:rsid w:val="4CB54D28"/>
    <w:rsid w:val="4CB9218D"/>
    <w:rsid w:val="4CC052CA"/>
    <w:rsid w:val="4CC34DBA"/>
    <w:rsid w:val="4CC4300C"/>
    <w:rsid w:val="4CC76658"/>
    <w:rsid w:val="4CD34FFD"/>
    <w:rsid w:val="4CD40D75"/>
    <w:rsid w:val="4CD60F91"/>
    <w:rsid w:val="4CD64AED"/>
    <w:rsid w:val="4CD6689C"/>
    <w:rsid w:val="4CD700C2"/>
    <w:rsid w:val="4CDA3DEF"/>
    <w:rsid w:val="4CDB0356"/>
    <w:rsid w:val="4CE03BBE"/>
    <w:rsid w:val="4CE258AB"/>
    <w:rsid w:val="4CE27936"/>
    <w:rsid w:val="4CE31A7E"/>
    <w:rsid w:val="4CE54D31"/>
    <w:rsid w:val="4CE7337C"/>
    <w:rsid w:val="4CE802FC"/>
    <w:rsid w:val="4CEC2563"/>
    <w:rsid w:val="4CEC4311"/>
    <w:rsid w:val="4CEE0089"/>
    <w:rsid w:val="4CEE1E37"/>
    <w:rsid w:val="4CF136D5"/>
    <w:rsid w:val="4CF53FF5"/>
    <w:rsid w:val="4CF825FC"/>
    <w:rsid w:val="4CFB6302"/>
    <w:rsid w:val="4CFD651E"/>
    <w:rsid w:val="4CFF2296"/>
    <w:rsid w:val="4D01600E"/>
    <w:rsid w:val="4D04165B"/>
    <w:rsid w:val="4D0506FD"/>
    <w:rsid w:val="4D072E8F"/>
    <w:rsid w:val="4D0C49B3"/>
    <w:rsid w:val="4D0D18D2"/>
    <w:rsid w:val="4D0F1DAD"/>
    <w:rsid w:val="4D0F7FFF"/>
    <w:rsid w:val="4D113D78"/>
    <w:rsid w:val="4D151ABA"/>
    <w:rsid w:val="4D153868"/>
    <w:rsid w:val="4D155616"/>
    <w:rsid w:val="4D1675E0"/>
    <w:rsid w:val="4D183358"/>
    <w:rsid w:val="4D185106"/>
    <w:rsid w:val="4D186EB4"/>
    <w:rsid w:val="4D1A3B8E"/>
    <w:rsid w:val="4D1A70D0"/>
    <w:rsid w:val="4D1D44CA"/>
    <w:rsid w:val="4D203FBB"/>
    <w:rsid w:val="4D241CFD"/>
    <w:rsid w:val="4D2770F7"/>
    <w:rsid w:val="4D287F2B"/>
    <w:rsid w:val="4D2A3C09"/>
    <w:rsid w:val="4D2D62EB"/>
    <w:rsid w:val="4D2E2B7B"/>
    <w:rsid w:val="4D2E66D8"/>
    <w:rsid w:val="4D30352B"/>
    <w:rsid w:val="4D3161C8"/>
    <w:rsid w:val="4D317F76"/>
    <w:rsid w:val="4D333CEE"/>
    <w:rsid w:val="4D344A7D"/>
    <w:rsid w:val="4D371A30"/>
    <w:rsid w:val="4D3A507C"/>
    <w:rsid w:val="4D3B2BA3"/>
    <w:rsid w:val="4D3D2DBF"/>
    <w:rsid w:val="4D3F08E5"/>
    <w:rsid w:val="4D4128AF"/>
    <w:rsid w:val="4D422183"/>
    <w:rsid w:val="4D4317FF"/>
    <w:rsid w:val="4D453A21"/>
    <w:rsid w:val="4D46134F"/>
    <w:rsid w:val="4D4B7289"/>
    <w:rsid w:val="4D5048A0"/>
    <w:rsid w:val="4D5123C6"/>
    <w:rsid w:val="4D553C64"/>
    <w:rsid w:val="4D5819A6"/>
    <w:rsid w:val="4D5A127B"/>
    <w:rsid w:val="4D5B4FF3"/>
    <w:rsid w:val="4D5D2548"/>
    <w:rsid w:val="4D5F0F87"/>
    <w:rsid w:val="4D616AAD"/>
    <w:rsid w:val="4D64034B"/>
    <w:rsid w:val="4D6640C3"/>
    <w:rsid w:val="4D664D3B"/>
    <w:rsid w:val="4D671BE9"/>
    <w:rsid w:val="4D677E3B"/>
    <w:rsid w:val="4D697710"/>
    <w:rsid w:val="4D6C7200"/>
    <w:rsid w:val="4D707E78"/>
    <w:rsid w:val="4D714816"/>
    <w:rsid w:val="4D722A68"/>
    <w:rsid w:val="4D741725"/>
    <w:rsid w:val="4D782049"/>
    <w:rsid w:val="4D7965CD"/>
    <w:rsid w:val="4D7C06A1"/>
    <w:rsid w:val="4D7F0CE1"/>
    <w:rsid w:val="4D810EFD"/>
    <w:rsid w:val="4D834C75"/>
    <w:rsid w:val="4D842D3A"/>
    <w:rsid w:val="4D846E33"/>
    <w:rsid w:val="4D897DB2"/>
    <w:rsid w:val="4D8B0371"/>
    <w:rsid w:val="4D8B3B2A"/>
    <w:rsid w:val="4D8C1650"/>
    <w:rsid w:val="4D926C66"/>
    <w:rsid w:val="4D950505"/>
    <w:rsid w:val="4D9819CD"/>
    <w:rsid w:val="4D986247"/>
    <w:rsid w:val="4D9B0602"/>
    <w:rsid w:val="4D9C7AE5"/>
    <w:rsid w:val="4DA10425"/>
    <w:rsid w:val="4DA30E74"/>
    <w:rsid w:val="4DA42E3E"/>
    <w:rsid w:val="4DA93FB0"/>
    <w:rsid w:val="4DAB7D28"/>
    <w:rsid w:val="4DAE7818"/>
    <w:rsid w:val="4DAE7CEA"/>
    <w:rsid w:val="4DB0533F"/>
    <w:rsid w:val="4DB21EB1"/>
    <w:rsid w:val="4DB50986"/>
    <w:rsid w:val="4DB87BE9"/>
    <w:rsid w:val="4DC14286"/>
    <w:rsid w:val="4DC65200"/>
    <w:rsid w:val="4DC66910"/>
    <w:rsid w:val="4DC94652"/>
    <w:rsid w:val="4DCD7C9F"/>
    <w:rsid w:val="4DCF687D"/>
    <w:rsid w:val="4DD454D1"/>
    <w:rsid w:val="4DD46D21"/>
    <w:rsid w:val="4DD70B1D"/>
    <w:rsid w:val="4DD76D6F"/>
    <w:rsid w:val="4DDC4386"/>
    <w:rsid w:val="4DDE0F4B"/>
    <w:rsid w:val="4DDF1CAE"/>
    <w:rsid w:val="4DE80F7C"/>
    <w:rsid w:val="4DE84AD8"/>
    <w:rsid w:val="4DEF40B9"/>
    <w:rsid w:val="4DF23BA9"/>
    <w:rsid w:val="4DF416CF"/>
    <w:rsid w:val="4DF47921"/>
    <w:rsid w:val="4DF71B0F"/>
    <w:rsid w:val="4DF7360B"/>
    <w:rsid w:val="4DF8158F"/>
    <w:rsid w:val="4DF87158"/>
    <w:rsid w:val="4DF94F37"/>
    <w:rsid w:val="4DFA5872"/>
    <w:rsid w:val="4DFF1E22"/>
    <w:rsid w:val="4E01203E"/>
    <w:rsid w:val="4E0538DC"/>
    <w:rsid w:val="4E064079"/>
    <w:rsid w:val="4E0D2791"/>
    <w:rsid w:val="4E0D453F"/>
    <w:rsid w:val="4E0D6D2E"/>
    <w:rsid w:val="4E0F475B"/>
    <w:rsid w:val="4E0F5C0B"/>
    <w:rsid w:val="4E141D71"/>
    <w:rsid w:val="4E151645"/>
    <w:rsid w:val="4E1E674C"/>
    <w:rsid w:val="4E241889"/>
    <w:rsid w:val="4E261AA5"/>
    <w:rsid w:val="4E2B0E69"/>
    <w:rsid w:val="4E2B5782"/>
    <w:rsid w:val="4E2D4BE1"/>
    <w:rsid w:val="4E2F6BAB"/>
    <w:rsid w:val="4E311C06"/>
    <w:rsid w:val="4E395334"/>
    <w:rsid w:val="4E3C4E24"/>
    <w:rsid w:val="4E41068C"/>
    <w:rsid w:val="4E465CA3"/>
    <w:rsid w:val="4E467A51"/>
    <w:rsid w:val="4E4837C9"/>
    <w:rsid w:val="4E573A0C"/>
    <w:rsid w:val="4E5864F2"/>
    <w:rsid w:val="4E5B174E"/>
    <w:rsid w:val="4E5B34FC"/>
    <w:rsid w:val="4E5C54C6"/>
    <w:rsid w:val="4E5E2FEC"/>
    <w:rsid w:val="4E5E4D9B"/>
    <w:rsid w:val="4E604C84"/>
    <w:rsid w:val="4E604FB7"/>
    <w:rsid w:val="4E606D65"/>
    <w:rsid w:val="4E6F6FA8"/>
    <w:rsid w:val="4E7445BE"/>
    <w:rsid w:val="4E760336"/>
    <w:rsid w:val="4E7740AE"/>
    <w:rsid w:val="4E775E5C"/>
    <w:rsid w:val="4E796078"/>
    <w:rsid w:val="4E8054F0"/>
    <w:rsid w:val="4E814B64"/>
    <w:rsid w:val="4E817EF2"/>
    <w:rsid w:val="4E821D07"/>
    <w:rsid w:val="4E870EEA"/>
    <w:rsid w:val="4E8A5B90"/>
    <w:rsid w:val="4E8D2EFA"/>
    <w:rsid w:val="4E8D38D2"/>
    <w:rsid w:val="4E8F13F8"/>
    <w:rsid w:val="4E922C96"/>
    <w:rsid w:val="4E962786"/>
    <w:rsid w:val="4E992277"/>
    <w:rsid w:val="4E997076"/>
    <w:rsid w:val="4E9B7D9D"/>
    <w:rsid w:val="4E9C2B2C"/>
    <w:rsid w:val="4E9C58C3"/>
    <w:rsid w:val="4EA07161"/>
    <w:rsid w:val="4EA529C9"/>
    <w:rsid w:val="4EA577DD"/>
    <w:rsid w:val="4EA74993"/>
    <w:rsid w:val="4EA8070C"/>
    <w:rsid w:val="4EAA4484"/>
    <w:rsid w:val="4EAC1FAA"/>
    <w:rsid w:val="4EAF077C"/>
    <w:rsid w:val="4EB62E28"/>
    <w:rsid w:val="4EBD173A"/>
    <w:rsid w:val="4EBE1CDD"/>
    <w:rsid w:val="4EBE7F2F"/>
    <w:rsid w:val="4EC05A55"/>
    <w:rsid w:val="4EC42CC3"/>
    <w:rsid w:val="4EC76DE4"/>
    <w:rsid w:val="4EC866B8"/>
    <w:rsid w:val="4ECB6814"/>
    <w:rsid w:val="4ECC7F56"/>
    <w:rsid w:val="4ECD1134"/>
    <w:rsid w:val="4ED07800"/>
    <w:rsid w:val="4ED82D9F"/>
    <w:rsid w:val="4ED908C5"/>
    <w:rsid w:val="4EDB7799"/>
    <w:rsid w:val="4EDE2193"/>
    <w:rsid w:val="4EE03A01"/>
    <w:rsid w:val="4EE23C1E"/>
    <w:rsid w:val="4EE51018"/>
    <w:rsid w:val="4EE554BC"/>
    <w:rsid w:val="4EE74D90"/>
    <w:rsid w:val="4EED611E"/>
    <w:rsid w:val="4EED7AFC"/>
    <w:rsid w:val="4EEE25C2"/>
    <w:rsid w:val="4EEF00E8"/>
    <w:rsid w:val="4EEF1E97"/>
    <w:rsid w:val="4EF456FF"/>
    <w:rsid w:val="4EF676C9"/>
    <w:rsid w:val="4EF92D15"/>
    <w:rsid w:val="4EF94AC3"/>
    <w:rsid w:val="4EFB2A70"/>
    <w:rsid w:val="4EFB766D"/>
    <w:rsid w:val="4EFD45B3"/>
    <w:rsid w:val="4EFE032C"/>
    <w:rsid w:val="4F005E52"/>
    <w:rsid w:val="4F035942"/>
    <w:rsid w:val="4F07454D"/>
    <w:rsid w:val="4F075432"/>
    <w:rsid w:val="4F091C95"/>
    <w:rsid w:val="4F0A0D33"/>
    <w:rsid w:val="4F0A4F22"/>
    <w:rsid w:val="4F0B3174"/>
    <w:rsid w:val="4F0C6A70"/>
    <w:rsid w:val="4F0E4A13"/>
    <w:rsid w:val="4F1163D7"/>
    <w:rsid w:val="4F1A6687"/>
    <w:rsid w:val="4F1B0EDE"/>
    <w:rsid w:val="4F1B712F"/>
    <w:rsid w:val="4F1D4C56"/>
    <w:rsid w:val="4F2064F4"/>
    <w:rsid w:val="4F2204BE"/>
    <w:rsid w:val="4F2251C0"/>
    <w:rsid w:val="4F284D8A"/>
    <w:rsid w:val="4F29184C"/>
    <w:rsid w:val="4F293FDE"/>
    <w:rsid w:val="4F2E29BF"/>
    <w:rsid w:val="4F31425D"/>
    <w:rsid w:val="4F336227"/>
    <w:rsid w:val="4F38383D"/>
    <w:rsid w:val="4F3B6CB7"/>
    <w:rsid w:val="4F3D0E54"/>
    <w:rsid w:val="4F3D2C02"/>
    <w:rsid w:val="4F3D70A6"/>
    <w:rsid w:val="4F400944"/>
    <w:rsid w:val="4F455F5A"/>
    <w:rsid w:val="4F471CD3"/>
    <w:rsid w:val="4F4915A7"/>
    <w:rsid w:val="4F4977F9"/>
    <w:rsid w:val="4F4A6568"/>
    <w:rsid w:val="4F4D7ECC"/>
    <w:rsid w:val="4F4F0B87"/>
    <w:rsid w:val="4F511463"/>
    <w:rsid w:val="4F512B51"/>
    <w:rsid w:val="4F5368C9"/>
    <w:rsid w:val="4F552641"/>
    <w:rsid w:val="4F5543EF"/>
    <w:rsid w:val="4F576D80"/>
    <w:rsid w:val="4F58655F"/>
    <w:rsid w:val="4F5A37B4"/>
    <w:rsid w:val="4F5C39D0"/>
    <w:rsid w:val="4F5D115C"/>
    <w:rsid w:val="4F5F0DCA"/>
    <w:rsid w:val="4F6208BA"/>
    <w:rsid w:val="4F6665FD"/>
    <w:rsid w:val="4F6939F7"/>
    <w:rsid w:val="4F6A776F"/>
    <w:rsid w:val="4F6C001D"/>
    <w:rsid w:val="4F6F0EAB"/>
    <w:rsid w:val="4F6F4D85"/>
    <w:rsid w:val="4F716D4F"/>
    <w:rsid w:val="4F732AC8"/>
    <w:rsid w:val="4F764366"/>
    <w:rsid w:val="4F774A62"/>
    <w:rsid w:val="4F7800DE"/>
    <w:rsid w:val="4F7A4ACE"/>
    <w:rsid w:val="4F7D3946"/>
    <w:rsid w:val="4F7F321A"/>
    <w:rsid w:val="4F801680"/>
    <w:rsid w:val="4F824AB9"/>
    <w:rsid w:val="4F8627FB"/>
    <w:rsid w:val="4F87507A"/>
    <w:rsid w:val="4F8810DB"/>
    <w:rsid w:val="4F887B21"/>
    <w:rsid w:val="4F894848"/>
    <w:rsid w:val="4F895E47"/>
    <w:rsid w:val="4F8A39FB"/>
    <w:rsid w:val="4F8C664C"/>
    <w:rsid w:val="4F90367A"/>
    <w:rsid w:val="4F93316A"/>
    <w:rsid w:val="4F964DFC"/>
    <w:rsid w:val="4F9842DC"/>
    <w:rsid w:val="4F99748F"/>
    <w:rsid w:val="4F9C3DCC"/>
    <w:rsid w:val="4F9F1B0F"/>
    <w:rsid w:val="4FA35CE3"/>
    <w:rsid w:val="4FA64C4B"/>
    <w:rsid w:val="4FAB400F"/>
    <w:rsid w:val="4FAC487A"/>
    <w:rsid w:val="4FAD44DF"/>
    <w:rsid w:val="4FB05ACA"/>
    <w:rsid w:val="4FB37368"/>
    <w:rsid w:val="4FB54E8E"/>
    <w:rsid w:val="4FB56C3C"/>
    <w:rsid w:val="4FBA06F6"/>
    <w:rsid w:val="4FBA4253"/>
    <w:rsid w:val="4FBC621D"/>
    <w:rsid w:val="4FBD1F95"/>
    <w:rsid w:val="4FBE01E7"/>
    <w:rsid w:val="4FC05005"/>
    <w:rsid w:val="4FC275AB"/>
    <w:rsid w:val="4FC60E49"/>
    <w:rsid w:val="4FC652ED"/>
    <w:rsid w:val="4FC82E13"/>
    <w:rsid w:val="4FC96B8B"/>
    <w:rsid w:val="4FCC21D8"/>
    <w:rsid w:val="4FD113F6"/>
    <w:rsid w:val="4FD80B7D"/>
    <w:rsid w:val="4FD86DCF"/>
    <w:rsid w:val="4FDB3CA1"/>
    <w:rsid w:val="4FDC039B"/>
    <w:rsid w:val="4FDC066D"/>
    <w:rsid w:val="4FE00673"/>
    <w:rsid w:val="4FE65048"/>
    <w:rsid w:val="4FE85264"/>
    <w:rsid w:val="4FEE03A0"/>
    <w:rsid w:val="4FF07FD8"/>
    <w:rsid w:val="4FF26FDF"/>
    <w:rsid w:val="4FF27E90"/>
    <w:rsid w:val="4FF37764"/>
    <w:rsid w:val="4FF43C08"/>
    <w:rsid w:val="4FF57980"/>
    <w:rsid w:val="4FF736F9"/>
    <w:rsid w:val="4FF77255"/>
    <w:rsid w:val="4FF84D7B"/>
    <w:rsid w:val="4FFA4F97"/>
    <w:rsid w:val="4FFC0D0F"/>
    <w:rsid w:val="4FFE6835"/>
    <w:rsid w:val="4FFF6109"/>
    <w:rsid w:val="5003644E"/>
    <w:rsid w:val="50041972"/>
    <w:rsid w:val="5005121C"/>
    <w:rsid w:val="50052B36"/>
    <w:rsid w:val="500656EA"/>
    <w:rsid w:val="50083136"/>
    <w:rsid w:val="500A342C"/>
    <w:rsid w:val="50100316"/>
    <w:rsid w:val="50106568"/>
    <w:rsid w:val="501222E0"/>
    <w:rsid w:val="50153434"/>
    <w:rsid w:val="501C315F"/>
    <w:rsid w:val="501E6ED7"/>
    <w:rsid w:val="501F49FD"/>
    <w:rsid w:val="501F67AB"/>
    <w:rsid w:val="501F725B"/>
    <w:rsid w:val="502142D2"/>
    <w:rsid w:val="50221F82"/>
    <w:rsid w:val="50250266"/>
    <w:rsid w:val="50265D8C"/>
    <w:rsid w:val="50277195"/>
    <w:rsid w:val="50286526"/>
    <w:rsid w:val="502A41CA"/>
    <w:rsid w:val="502B33A2"/>
    <w:rsid w:val="502C022B"/>
    <w:rsid w:val="502D0EC8"/>
    <w:rsid w:val="502E5634"/>
    <w:rsid w:val="502F4C40"/>
    <w:rsid w:val="50320F89"/>
    <w:rsid w:val="50334005"/>
    <w:rsid w:val="50342257"/>
    <w:rsid w:val="50395ABF"/>
    <w:rsid w:val="5039786D"/>
    <w:rsid w:val="503C6769"/>
    <w:rsid w:val="50406E4E"/>
    <w:rsid w:val="504601DC"/>
    <w:rsid w:val="50463D38"/>
    <w:rsid w:val="50493828"/>
    <w:rsid w:val="504E0D1C"/>
    <w:rsid w:val="50593A6B"/>
    <w:rsid w:val="505A5A36"/>
    <w:rsid w:val="505A77E4"/>
    <w:rsid w:val="505C355C"/>
    <w:rsid w:val="50612B19"/>
    <w:rsid w:val="50632B3C"/>
    <w:rsid w:val="506557EA"/>
    <w:rsid w:val="50687EB6"/>
    <w:rsid w:val="506A3ECB"/>
    <w:rsid w:val="506F328F"/>
    <w:rsid w:val="50707007"/>
    <w:rsid w:val="50722D7F"/>
    <w:rsid w:val="50724B2D"/>
    <w:rsid w:val="50746AF7"/>
    <w:rsid w:val="50795EBC"/>
    <w:rsid w:val="507E1540"/>
    <w:rsid w:val="50895886"/>
    <w:rsid w:val="508A631B"/>
    <w:rsid w:val="508B5BEF"/>
    <w:rsid w:val="509251CF"/>
    <w:rsid w:val="50940F47"/>
    <w:rsid w:val="50966A6E"/>
    <w:rsid w:val="5098324A"/>
    <w:rsid w:val="509B1BCB"/>
    <w:rsid w:val="509B22D6"/>
    <w:rsid w:val="50A22688"/>
    <w:rsid w:val="50A373DC"/>
    <w:rsid w:val="50A54F03"/>
    <w:rsid w:val="50AC44E3"/>
    <w:rsid w:val="50AF7B2F"/>
    <w:rsid w:val="50B213CE"/>
    <w:rsid w:val="50B27620"/>
    <w:rsid w:val="50B37E8C"/>
    <w:rsid w:val="50B60EBE"/>
    <w:rsid w:val="50B67110"/>
    <w:rsid w:val="50B769E4"/>
    <w:rsid w:val="50B93C25"/>
    <w:rsid w:val="50B96C00"/>
    <w:rsid w:val="50BB4726"/>
    <w:rsid w:val="50BB64D4"/>
    <w:rsid w:val="50BE4216"/>
    <w:rsid w:val="50BE5FC4"/>
    <w:rsid w:val="50BF5194"/>
    <w:rsid w:val="50C05A6E"/>
    <w:rsid w:val="50C51101"/>
    <w:rsid w:val="50CC06E1"/>
    <w:rsid w:val="50CC6933"/>
    <w:rsid w:val="50D15CF8"/>
    <w:rsid w:val="50D17AA6"/>
    <w:rsid w:val="50D26640"/>
    <w:rsid w:val="50D61560"/>
    <w:rsid w:val="50DB6B76"/>
    <w:rsid w:val="50DE0415"/>
    <w:rsid w:val="50DE2E0E"/>
    <w:rsid w:val="50DF27FC"/>
    <w:rsid w:val="50E772C9"/>
    <w:rsid w:val="50E84DEF"/>
    <w:rsid w:val="50EA500B"/>
    <w:rsid w:val="50EF2622"/>
    <w:rsid w:val="50F419E6"/>
    <w:rsid w:val="50F814D6"/>
    <w:rsid w:val="50F96FFC"/>
    <w:rsid w:val="50FA67BE"/>
    <w:rsid w:val="50FB0FC7"/>
    <w:rsid w:val="50FB3A77"/>
    <w:rsid w:val="51002139"/>
    <w:rsid w:val="5101053B"/>
    <w:rsid w:val="51024103"/>
    <w:rsid w:val="51037E7B"/>
    <w:rsid w:val="51044B29"/>
    <w:rsid w:val="510734AA"/>
    <w:rsid w:val="510A099B"/>
    <w:rsid w:val="510A120A"/>
    <w:rsid w:val="510E0CFA"/>
    <w:rsid w:val="510F05CE"/>
    <w:rsid w:val="510F4A72"/>
    <w:rsid w:val="510F6820"/>
    <w:rsid w:val="51167BAE"/>
    <w:rsid w:val="511856D5"/>
    <w:rsid w:val="511B3417"/>
    <w:rsid w:val="511B51C5"/>
    <w:rsid w:val="511E4CB5"/>
    <w:rsid w:val="51220301"/>
    <w:rsid w:val="512322CB"/>
    <w:rsid w:val="5124051D"/>
    <w:rsid w:val="51244113"/>
    <w:rsid w:val="512978E2"/>
    <w:rsid w:val="512A365A"/>
    <w:rsid w:val="512B716F"/>
    <w:rsid w:val="512C73D2"/>
    <w:rsid w:val="512E314A"/>
    <w:rsid w:val="51312C3A"/>
    <w:rsid w:val="51330F27"/>
    <w:rsid w:val="5133250E"/>
    <w:rsid w:val="51387B25"/>
    <w:rsid w:val="51396A01"/>
    <w:rsid w:val="513B0F0A"/>
    <w:rsid w:val="513B5867"/>
    <w:rsid w:val="513E0EB3"/>
    <w:rsid w:val="514364CA"/>
    <w:rsid w:val="514566E6"/>
    <w:rsid w:val="5147159C"/>
    <w:rsid w:val="51473A96"/>
    <w:rsid w:val="514C35D0"/>
    <w:rsid w:val="514C537E"/>
    <w:rsid w:val="514D6B4F"/>
    <w:rsid w:val="5150612E"/>
    <w:rsid w:val="51510BE7"/>
    <w:rsid w:val="515245C0"/>
    <w:rsid w:val="5153495F"/>
    <w:rsid w:val="515A3F3F"/>
    <w:rsid w:val="515B7CB7"/>
    <w:rsid w:val="515C2E14"/>
    <w:rsid w:val="515D57DD"/>
    <w:rsid w:val="515D758B"/>
    <w:rsid w:val="51600054"/>
    <w:rsid w:val="5160707C"/>
    <w:rsid w:val="516235CF"/>
    <w:rsid w:val="51625545"/>
    <w:rsid w:val="51646B6C"/>
    <w:rsid w:val="51656440"/>
    <w:rsid w:val="51693DBC"/>
    <w:rsid w:val="51694182"/>
    <w:rsid w:val="516A3A56"/>
    <w:rsid w:val="516B614C"/>
    <w:rsid w:val="516C5A20"/>
    <w:rsid w:val="51706032"/>
    <w:rsid w:val="51744C0F"/>
    <w:rsid w:val="517843C5"/>
    <w:rsid w:val="517F7502"/>
    <w:rsid w:val="5180327A"/>
    <w:rsid w:val="5181771E"/>
    <w:rsid w:val="51825244"/>
    <w:rsid w:val="5187285A"/>
    <w:rsid w:val="518C1C1F"/>
    <w:rsid w:val="518D597A"/>
    <w:rsid w:val="518F2ABC"/>
    <w:rsid w:val="51954F77"/>
    <w:rsid w:val="51956D25"/>
    <w:rsid w:val="519A07DF"/>
    <w:rsid w:val="519D207E"/>
    <w:rsid w:val="519D5BDA"/>
    <w:rsid w:val="51A11B6E"/>
    <w:rsid w:val="51A33E68"/>
    <w:rsid w:val="51A46F68"/>
    <w:rsid w:val="51A52CE0"/>
    <w:rsid w:val="51A82756"/>
    <w:rsid w:val="51AC0513"/>
    <w:rsid w:val="51AC406F"/>
    <w:rsid w:val="51AE73D5"/>
    <w:rsid w:val="51AE7DE7"/>
    <w:rsid w:val="51B03B5F"/>
    <w:rsid w:val="51B178D7"/>
    <w:rsid w:val="51B3364F"/>
    <w:rsid w:val="51B55028"/>
    <w:rsid w:val="51B66201"/>
    <w:rsid w:val="51B80C66"/>
    <w:rsid w:val="51BA49DE"/>
    <w:rsid w:val="51C07B1A"/>
    <w:rsid w:val="51C15D6C"/>
    <w:rsid w:val="51C20383"/>
    <w:rsid w:val="51C25640"/>
    <w:rsid w:val="51C4585C"/>
    <w:rsid w:val="51C70EA9"/>
    <w:rsid w:val="51CB6BEB"/>
    <w:rsid w:val="51CE0489"/>
    <w:rsid w:val="51CE66DB"/>
    <w:rsid w:val="51D0506A"/>
    <w:rsid w:val="51D07D5D"/>
    <w:rsid w:val="51D13AD5"/>
    <w:rsid w:val="51D75590"/>
    <w:rsid w:val="51DA0BDC"/>
    <w:rsid w:val="51DB0B9F"/>
    <w:rsid w:val="51DD06CC"/>
    <w:rsid w:val="51DD1919"/>
    <w:rsid w:val="51DD247A"/>
    <w:rsid w:val="51E101BC"/>
    <w:rsid w:val="51E25CE3"/>
    <w:rsid w:val="51E41A5B"/>
    <w:rsid w:val="51E952C3"/>
    <w:rsid w:val="51E97071"/>
    <w:rsid w:val="51ED6B61"/>
    <w:rsid w:val="51F06651"/>
    <w:rsid w:val="51F16287"/>
    <w:rsid w:val="51F262CF"/>
    <w:rsid w:val="51F577C4"/>
    <w:rsid w:val="51F779E0"/>
    <w:rsid w:val="51F92ECF"/>
    <w:rsid w:val="51FA127E"/>
    <w:rsid w:val="51FF0643"/>
    <w:rsid w:val="5201260D"/>
    <w:rsid w:val="52024883"/>
    <w:rsid w:val="52075749"/>
    <w:rsid w:val="5209326F"/>
    <w:rsid w:val="520A5BE6"/>
    <w:rsid w:val="520C2D5F"/>
    <w:rsid w:val="520D1996"/>
    <w:rsid w:val="520D4F7C"/>
    <w:rsid w:val="521265C8"/>
    <w:rsid w:val="52173BDE"/>
    <w:rsid w:val="52187956"/>
    <w:rsid w:val="521C11F4"/>
    <w:rsid w:val="521C7446"/>
    <w:rsid w:val="521D4F6D"/>
    <w:rsid w:val="521D6D1B"/>
    <w:rsid w:val="521E31BF"/>
    <w:rsid w:val="521F6F37"/>
    <w:rsid w:val="522105B9"/>
    <w:rsid w:val="52263E21"/>
    <w:rsid w:val="52285DEB"/>
    <w:rsid w:val="5228659E"/>
    <w:rsid w:val="522D1654"/>
    <w:rsid w:val="522D783F"/>
    <w:rsid w:val="523429E2"/>
    <w:rsid w:val="52344790"/>
    <w:rsid w:val="52350508"/>
    <w:rsid w:val="523634E2"/>
    <w:rsid w:val="523E560F"/>
    <w:rsid w:val="523F1387"/>
    <w:rsid w:val="5245699D"/>
    <w:rsid w:val="524644C3"/>
    <w:rsid w:val="52481FEA"/>
    <w:rsid w:val="524B1ADA"/>
    <w:rsid w:val="524D7600"/>
    <w:rsid w:val="524E3378"/>
    <w:rsid w:val="525057AA"/>
    <w:rsid w:val="52552958"/>
    <w:rsid w:val="5257047F"/>
    <w:rsid w:val="525A0161"/>
    <w:rsid w:val="525C5A95"/>
    <w:rsid w:val="525E180D"/>
    <w:rsid w:val="52612F1E"/>
    <w:rsid w:val="5263104F"/>
    <w:rsid w:val="52636E23"/>
    <w:rsid w:val="5264494A"/>
    <w:rsid w:val="52691F60"/>
    <w:rsid w:val="5269386D"/>
    <w:rsid w:val="526A01B2"/>
    <w:rsid w:val="526A0F22"/>
    <w:rsid w:val="526A6404"/>
    <w:rsid w:val="52727066"/>
    <w:rsid w:val="52730D54"/>
    <w:rsid w:val="52733715"/>
    <w:rsid w:val="527728CF"/>
    <w:rsid w:val="527774EB"/>
    <w:rsid w:val="527C1C93"/>
    <w:rsid w:val="527C7EE5"/>
    <w:rsid w:val="527D47C7"/>
    <w:rsid w:val="527E5C57"/>
    <w:rsid w:val="52825965"/>
    <w:rsid w:val="52844E2A"/>
    <w:rsid w:val="5285323E"/>
    <w:rsid w:val="52860D64"/>
    <w:rsid w:val="528943B0"/>
    <w:rsid w:val="528D5C4E"/>
    <w:rsid w:val="52961C2D"/>
    <w:rsid w:val="52972F71"/>
    <w:rsid w:val="529A036B"/>
    <w:rsid w:val="529A65BD"/>
    <w:rsid w:val="529E42FF"/>
    <w:rsid w:val="529E7E5B"/>
    <w:rsid w:val="529F5982"/>
    <w:rsid w:val="52A019BD"/>
    <w:rsid w:val="52A116FA"/>
    <w:rsid w:val="52A15B9E"/>
    <w:rsid w:val="52A80CDA"/>
    <w:rsid w:val="52A86F2C"/>
    <w:rsid w:val="52AF2069"/>
    <w:rsid w:val="52AF3E17"/>
    <w:rsid w:val="52B15DE1"/>
    <w:rsid w:val="52B400B8"/>
    <w:rsid w:val="52B61649"/>
    <w:rsid w:val="52B72CCB"/>
    <w:rsid w:val="52B7716F"/>
    <w:rsid w:val="52B87BFB"/>
    <w:rsid w:val="52BE405A"/>
    <w:rsid w:val="52BF7DD2"/>
    <w:rsid w:val="52C13B4A"/>
    <w:rsid w:val="52C35B14"/>
    <w:rsid w:val="52C378C2"/>
    <w:rsid w:val="52C553E8"/>
    <w:rsid w:val="52C8312A"/>
    <w:rsid w:val="52CB6777"/>
    <w:rsid w:val="52CD0741"/>
    <w:rsid w:val="52CF270B"/>
    <w:rsid w:val="52D01FDF"/>
    <w:rsid w:val="52D148CC"/>
    <w:rsid w:val="52D24131"/>
    <w:rsid w:val="52D25D57"/>
    <w:rsid w:val="52D4387D"/>
    <w:rsid w:val="52D7511B"/>
    <w:rsid w:val="52D90E94"/>
    <w:rsid w:val="52DC0984"/>
    <w:rsid w:val="52DE64AA"/>
    <w:rsid w:val="52E02222"/>
    <w:rsid w:val="52E57838"/>
    <w:rsid w:val="52EA12F3"/>
    <w:rsid w:val="52EC506B"/>
    <w:rsid w:val="52EE21C9"/>
    <w:rsid w:val="52EF4B5B"/>
    <w:rsid w:val="52F1442F"/>
    <w:rsid w:val="52F81343"/>
    <w:rsid w:val="530028C4"/>
    <w:rsid w:val="53051C89"/>
    <w:rsid w:val="53057EDB"/>
    <w:rsid w:val="53073C53"/>
    <w:rsid w:val="530C74BB"/>
    <w:rsid w:val="530F0D59"/>
    <w:rsid w:val="53164933"/>
    <w:rsid w:val="53185E60"/>
    <w:rsid w:val="531E71EE"/>
    <w:rsid w:val="53210C7A"/>
    <w:rsid w:val="532145E9"/>
    <w:rsid w:val="53221A51"/>
    <w:rsid w:val="532540D9"/>
    <w:rsid w:val="53283BC9"/>
    <w:rsid w:val="532C190B"/>
    <w:rsid w:val="532E7431"/>
    <w:rsid w:val="533267F6"/>
    <w:rsid w:val="5334431C"/>
    <w:rsid w:val="533575BC"/>
    <w:rsid w:val="53394028"/>
    <w:rsid w:val="533B6238"/>
    <w:rsid w:val="533D58C6"/>
    <w:rsid w:val="533E33EC"/>
    <w:rsid w:val="533F3DC5"/>
    <w:rsid w:val="53407165"/>
    <w:rsid w:val="53426A39"/>
    <w:rsid w:val="53476745"/>
    <w:rsid w:val="5349426B"/>
    <w:rsid w:val="534C5B09"/>
    <w:rsid w:val="534D53DE"/>
    <w:rsid w:val="534F1156"/>
    <w:rsid w:val="534F73A8"/>
    <w:rsid w:val="53511372"/>
    <w:rsid w:val="53514ECE"/>
    <w:rsid w:val="53533D66"/>
    <w:rsid w:val="53536E98"/>
    <w:rsid w:val="535449BE"/>
    <w:rsid w:val="53582700"/>
    <w:rsid w:val="535C0F98"/>
    <w:rsid w:val="535D1AC5"/>
    <w:rsid w:val="53603363"/>
    <w:rsid w:val="536270DB"/>
    <w:rsid w:val="53652398"/>
    <w:rsid w:val="53672719"/>
    <w:rsid w:val="536777EC"/>
    <w:rsid w:val="53716D79"/>
    <w:rsid w:val="53733096"/>
    <w:rsid w:val="5373753A"/>
    <w:rsid w:val="53780C68"/>
    <w:rsid w:val="53784B84"/>
    <w:rsid w:val="537961D3"/>
    <w:rsid w:val="537B63EF"/>
    <w:rsid w:val="537C59B1"/>
    <w:rsid w:val="537F13EB"/>
    <w:rsid w:val="53803A05"/>
    <w:rsid w:val="53843B25"/>
    <w:rsid w:val="53875695"/>
    <w:rsid w:val="538C4158"/>
    <w:rsid w:val="538C5F06"/>
    <w:rsid w:val="538E1C7E"/>
    <w:rsid w:val="538F6ED0"/>
    <w:rsid w:val="53933738"/>
    <w:rsid w:val="539349F0"/>
    <w:rsid w:val="53963229"/>
    <w:rsid w:val="53966D85"/>
    <w:rsid w:val="53982077"/>
    <w:rsid w:val="539B083F"/>
    <w:rsid w:val="539D45B7"/>
    <w:rsid w:val="539F20DD"/>
    <w:rsid w:val="53A2397B"/>
    <w:rsid w:val="53A40093"/>
    <w:rsid w:val="53A45945"/>
    <w:rsid w:val="53A5778E"/>
    <w:rsid w:val="53A616BE"/>
    <w:rsid w:val="53A72D40"/>
    <w:rsid w:val="53A86C2D"/>
    <w:rsid w:val="53A92F5C"/>
    <w:rsid w:val="53AC0356"/>
    <w:rsid w:val="53AC65A8"/>
    <w:rsid w:val="53AD12F2"/>
    <w:rsid w:val="53AE0572"/>
    <w:rsid w:val="53B611D5"/>
    <w:rsid w:val="53BA6F17"/>
    <w:rsid w:val="53BB4A3D"/>
    <w:rsid w:val="53BB67EB"/>
    <w:rsid w:val="53C02053"/>
    <w:rsid w:val="53C040E4"/>
    <w:rsid w:val="53C47D96"/>
    <w:rsid w:val="53C658BC"/>
    <w:rsid w:val="53C70FDB"/>
    <w:rsid w:val="53C733E2"/>
    <w:rsid w:val="53C75190"/>
    <w:rsid w:val="53C90F08"/>
    <w:rsid w:val="53C91DA4"/>
    <w:rsid w:val="53C9715A"/>
    <w:rsid w:val="53CA4C80"/>
    <w:rsid w:val="53CB1124"/>
    <w:rsid w:val="53CC09F8"/>
    <w:rsid w:val="53CC6C4A"/>
    <w:rsid w:val="53D61877"/>
    <w:rsid w:val="53D8739D"/>
    <w:rsid w:val="53DE3A34"/>
    <w:rsid w:val="53E144A4"/>
    <w:rsid w:val="53E775E0"/>
    <w:rsid w:val="53E94A32"/>
    <w:rsid w:val="53EC109A"/>
    <w:rsid w:val="53EC3BAC"/>
    <w:rsid w:val="53F00B8B"/>
    <w:rsid w:val="53F561A1"/>
    <w:rsid w:val="53FD0BB2"/>
    <w:rsid w:val="53FD3926"/>
    <w:rsid w:val="53FF2B7C"/>
    <w:rsid w:val="540168F4"/>
    <w:rsid w:val="5402266C"/>
    <w:rsid w:val="5403662D"/>
    <w:rsid w:val="540463E4"/>
    <w:rsid w:val="540642E7"/>
    <w:rsid w:val="54064470"/>
    <w:rsid w:val="540C5299"/>
    <w:rsid w:val="540C7047"/>
    <w:rsid w:val="540D34EB"/>
    <w:rsid w:val="540E2DBF"/>
    <w:rsid w:val="540E7263"/>
    <w:rsid w:val="54106B37"/>
    <w:rsid w:val="54136627"/>
    <w:rsid w:val="541505F1"/>
    <w:rsid w:val="5415239F"/>
    <w:rsid w:val="541977FF"/>
    <w:rsid w:val="541A5C08"/>
    <w:rsid w:val="541B5DEB"/>
    <w:rsid w:val="541C1980"/>
    <w:rsid w:val="541D1254"/>
    <w:rsid w:val="54232D0E"/>
    <w:rsid w:val="54290784"/>
    <w:rsid w:val="54297BF9"/>
    <w:rsid w:val="542B571F"/>
    <w:rsid w:val="542D4059"/>
    <w:rsid w:val="542D76E9"/>
    <w:rsid w:val="54300F87"/>
    <w:rsid w:val="54302D35"/>
    <w:rsid w:val="54323D39"/>
    <w:rsid w:val="54330A77"/>
    <w:rsid w:val="54332825"/>
    <w:rsid w:val="54387E3C"/>
    <w:rsid w:val="543A1A39"/>
    <w:rsid w:val="543A3BB4"/>
    <w:rsid w:val="543C493D"/>
    <w:rsid w:val="543D17CB"/>
    <w:rsid w:val="54413194"/>
    <w:rsid w:val="544215DC"/>
    <w:rsid w:val="544D66EF"/>
    <w:rsid w:val="54506845"/>
    <w:rsid w:val="54532EC8"/>
    <w:rsid w:val="5454111A"/>
    <w:rsid w:val="54554E92"/>
    <w:rsid w:val="545C1D7C"/>
    <w:rsid w:val="545C3B2A"/>
    <w:rsid w:val="545D5AF4"/>
    <w:rsid w:val="545E7B2D"/>
    <w:rsid w:val="545F361A"/>
    <w:rsid w:val="54613836"/>
    <w:rsid w:val="546141E6"/>
    <w:rsid w:val="5462506D"/>
    <w:rsid w:val="54640C31"/>
    <w:rsid w:val="546D3F89"/>
    <w:rsid w:val="54703A7A"/>
    <w:rsid w:val="54705828"/>
    <w:rsid w:val="54715343"/>
    <w:rsid w:val="54770964"/>
    <w:rsid w:val="5479292E"/>
    <w:rsid w:val="547A0454"/>
    <w:rsid w:val="547A48F8"/>
    <w:rsid w:val="547B7BEB"/>
    <w:rsid w:val="547D0BE8"/>
    <w:rsid w:val="547E15C2"/>
    <w:rsid w:val="547F1F0F"/>
    <w:rsid w:val="5486329D"/>
    <w:rsid w:val="54880DC3"/>
    <w:rsid w:val="548968E9"/>
    <w:rsid w:val="549239F0"/>
    <w:rsid w:val="54931516"/>
    <w:rsid w:val="549534E0"/>
    <w:rsid w:val="5495703C"/>
    <w:rsid w:val="5497225E"/>
    <w:rsid w:val="54977258"/>
    <w:rsid w:val="549A0AF6"/>
    <w:rsid w:val="549A4580"/>
    <w:rsid w:val="549A4653"/>
    <w:rsid w:val="549B4A4D"/>
    <w:rsid w:val="549C661D"/>
    <w:rsid w:val="54A24918"/>
    <w:rsid w:val="54A31759"/>
    <w:rsid w:val="54A379AB"/>
    <w:rsid w:val="54A43723"/>
    <w:rsid w:val="54AB2D04"/>
    <w:rsid w:val="54AB6112"/>
    <w:rsid w:val="54AF45A2"/>
    <w:rsid w:val="54B41BB8"/>
    <w:rsid w:val="54B509EE"/>
    <w:rsid w:val="54B90F7D"/>
    <w:rsid w:val="54B97FCE"/>
    <w:rsid w:val="54BB2F47"/>
    <w:rsid w:val="54BE2A37"/>
    <w:rsid w:val="54BF0B57"/>
    <w:rsid w:val="54C3004D"/>
    <w:rsid w:val="54C47921"/>
    <w:rsid w:val="54CB6F02"/>
    <w:rsid w:val="54D04518"/>
    <w:rsid w:val="54D23DEC"/>
    <w:rsid w:val="54D353CD"/>
    <w:rsid w:val="54D44008"/>
    <w:rsid w:val="54D84CF5"/>
    <w:rsid w:val="54D86FFA"/>
    <w:rsid w:val="54DB5397"/>
    <w:rsid w:val="54E008AC"/>
    <w:rsid w:val="54E040B7"/>
    <w:rsid w:val="54E12281"/>
    <w:rsid w:val="54E35FFA"/>
    <w:rsid w:val="54E51D72"/>
    <w:rsid w:val="54EA7388"/>
    <w:rsid w:val="54EB1352"/>
    <w:rsid w:val="54EB2E5C"/>
    <w:rsid w:val="54EC75A4"/>
    <w:rsid w:val="54EF0E42"/>
    <w:rsid w:val="54F16968"/>
    <w:rsid w:val="54F40207"/>
    <w:rsid w:val="54F46CDC"/>
    <w:rsid w:val="54F621D1"/>
    <w:rsid w:val="54FB77E7"/>
    <w:rsid w:val="54FC70BB"/>
    <w:rsid w:val="550348EE"/>
    <w:rsid w:val="550541C2"/>
    <w:rsid w:val="550C37A2"/>
    <w:rsid w:val="550D12C8"/>
    <w:rsid w:val="550F3292"/>
    <w:rsid w:val="550F3B03"/>
    <w:rsid w:val="55132319"/>
    <w:rsid w:val="55144405"/>
    <w:rsid w:val="5516017D"/>
    <w:rsid w:val="55172526"/>
    <w:rsid w:val="5519761B"/>
    <w:rsid w:val="551D66C6"/>
    <w:rsid w:val="55236D3E"/>
    <w:rsid w:val="552503C0"/>
    <w:rsid w:val="55254864"/>
    <w:rsid w:val="552705DC"/>
    <w:rsid w:val="552F123F"/>
    <w:rsid w:val="552F1841"/>
    <w:rsid w:val="55327769"/>
    <w:rsid w:val="55355B6F"/>
    <w:rsid w:val="55357DC1"/>
    <w:rsid w:val="55375489"/>
    <w:rsid w:val="55376345"/>
    <w:rsid w:val="5539030F"/>
    <w:rsid w:val="553920BD"/>
    <w:rsid w:val="5540169E"/>
    <w:rsid w:val="5540344C"/>
    <w:rsid w:val="55452810"/>
    <w:rsid w:val="55460608"/>
    <w:rsid w:val="55480552"/>
    <w:rsid w:val="554967A4"/>
    <w:rsid w:val="554A7E27"/>
    <w:rsid w:val="554F368F"/>
    <w:rsid w:val="55515659"/>
    <w:rsid w:val="555313D1"/>
    <w:rsid w:val="55546EF7"/>
    <w:rsid w:val="555D2250"/>
    <w:rsid w:val="555D3FFE"/>
    <w:rsid w:val="55627866"/>
    <w:rsid w:val="55631913"/>
    <w:rsid w:val="556709D9"/>
    <w:rsid w:val="55684751"/>
    <w:rsid w:val="556C4241"/>
    <w:rsid w:val="556D11D3"/>
    <w:rsid w:val="556F1F83"/>
    <w:rsid w:val="5572776A"/>
    <w:rsid w:val="55733821"/>
    <w:rsid w:val="55782BE6"/>
    <w:rsid w:val="55805F3E"/>
    <w:rsid w:val="55816518"/>
    <w:rsid w:val="5583536A"/>
    <w:rsid w:val="558772CD"/>
    <w:rsid w:val="5588094F"/>
    <w:rsid w:val="55895AFA"/>
    <w:rsid w:val="558A46C7"/>
    <w:rsid w:val="55935C72"/>
    <w:rsid w:val="559368EF"/>
    <w:rsid w:val="55937A20"/>
    <w:rsid w:val="559519EA"/>
    <w:rsid w:val="55985036"/>
    <w:rsid w:val="55990DAE"/>
    <w:rsid w:val="559B68D4"/>
    <w:rsid w:val="559E0172"/>
    <w:rsid w:val="559F348B"/>
    <w:rsid w:val="55A20145"/>
    <w:rsid w:val="55A43701"/>
    <w:rsid w:val="55A7171D"/>
    <w:rsid w:val="55A75279"/>
    <w:rsid w:val="55AC0AE1"/>
    <w:rsid w:val="55AF2CD7"/>
    <w:rsid w:val="55B172C9"/>
    <w:rsid w:val="55B654BC"/>
    <w:rsid w:val="55B856D8"/>
    <w:rsid w:val="55BC34F3"/>
    <w:rsid w:val="55BC36B8"/>
    <w:rsid w:val="55BD2CEE"/>
    <w:rsid w:val="55BF6A67"/>
    <w:rsid w:val="55C909CB"/>
    <w:rsid w:val="55CB540B"/>
    <w:rsid w:val="55CF47D0"/>
    <w:rsid w:val="55CF657E"/>
    <w:rsid w:val="55D122F6"/>
    <w:rsid w:val="55D2123A"/>
    <w:rsid w:val="55D32512"/>
    <w:rsid w:val="55D342C0"/>
    <w:rsid w:val="55D362EC"/>
    <w:rsid w:val="55D41DE6"/>
    <w:rsid w:val="55D64741"/>
    <w:rsid w:val="55D911AB"/>
    <w:rsid w:val="55DA38A0"/>
    <w:rsid w:val="55DA73FC"/>
    <w:rsid w:val="55DD0C9B"/>
    <w:rsid w:val="55E4027B"/>
    <w:rsid w:val="55E62245"/>
    <w:rsid w:val="55EC7130"/>
    <w:rsid w:val="55EE4C56"/>
    <w:rsid w:val="55EF09CE"/>
    <w:rsid w:val="55F04E72"/>
    <w:rsid w:val="55F06C20"/>
    <w:rsid w:val="55F12998"/>
    <w:rsid w:val="55F2133B"/>
    <w:rsid w:val="55F61D5C"/>
    <w:rsid w:val="55F66444"/>
    <w:rsid w:val="55F67FAE"/>
    <w:rsid w:val="55F85AD5"/>
    <w:rsid w:val="55FB55C5"/>
    <w:rsid w:val="55FF6F63"/>
    <w:rsid w:val="56002BDB"/>
    <w:rsid w:val="56013A0F"/>
    <w:rsid w:val="56024BA5"/>
    <w:rsid w:val="56063820"/>
    <w:rsid w:val="56073F6A"/>
    <w:rsid w:val="56095F34"/>
    <w:rsid w:val="56097CE2"/>
    <w:rsid w:val="560C1580"/>
    <w:rsid w:val="560C77D2"/>
    <w:rsid w:val="560E70A6"/>
    <w:rsid w:val="56114DE8"/>
    <w:rsid w:val="56130B60"/>
    <w:rsid w:val="561342EC"/>
    <w:rsid w:val="561623FF"/>
    <w:rsid w:val="56172757"/>
    <w:rsid w:val="561843C9"/>
    <w:rsid w:val="561A0928"/>
    <w:rsid w:val="561D553B"/>
    <w:rsid w:val="56222B52"/>
    <w:rsid w:val="56260894"/>
    <w:rsid w:val="562F3EBC"/>
    <w:rsid w:val="56307F1D"/>
    <w:rsid w:val="5632548A"/>
    <w:rsid w:val="56332FB1"/>
    <w:rsid w:val="56334D5F"/>
    <w:rsid w:val="56352885"/>
    <w:rsid w:val="5637484F"/>
    <w:rsid w:val="563805C7"/>
    <w:rsid w:val="563D4B36"/>
    <w:rsid w:val="5640122A"/>
    <w:rsid w:val="56414CA1"/>
    <w:rsid w:val="564231F4"/>
    <w:rsid w:val="56486E1E"/>
    <w:rsid w:val="56497D3A"/>
    <w:rsid w:val="564E2A58"/>
    <w:rsid w:val="564E3947"/>
    <w:rsid w:val="56521689"/>
    <w:rsid w:val="56527255"/>
    <w:rsid w:val="56552F27"/>
    <w:rsid w:val="56570A4D"/>
    <w:rsid w:val="56576C9F"/>
    <w:rsid w:val="56582A17"/>
    <w:rsid w:val="565A053D"/>
    <w:rsid w:val="565B702F"/>
    <w:rsid w:val="565C6063"/>
    <w:rsid w:val="565F5EB6"/>
    <w:rsid w:val="5661367A"/>
    <w:rsid w:val="56617B1E"/>
    <w:rsid w:val="566413BC"/>
    <w:rsid w:val="56644F18"/>
    <w:rsid w:val="56646DA2"/>
    <w:rsid w:val="56665134"/>
    <w:rsid w:val="56666EE2"/>
    <w:rsid w:val="56682C5A"/>
    <w:rsid w:val="566C201F"/>
    <w:rsid w:val="566E3FE9"/>
    <w:rsid w:val="566E5733"/>
    <w:rsid w:val="566E5F5F"/>
    <w:rsid w:val="56725887"/>
    <w:rsid w:val="56737851"/>
    <w:rsid w:val="5675517D"/>
    <w:rsid w:val="56777341"/>
    <w:rsid w:val="56786C15"/>
    <w:rsid w:val="56796231"/>
    <w:rsid w:val="567A298E"/>
    <w:rsid w:val="567C4958"/>
    <w:rsid w:val="567C6706"/>
    <w:rsid w:val="567D422C"/>
    <w:rsid w:val="567D5FDA"/>
    <w:rsid w:val="567D77DA"/>
    <w:rsid w:val="56811F6E"/>
    <w:rsid w:val="56815ACA"/>
    <w:rsid w:val="56835CE6"/>
    <w:rsid w:val="56892BD1"/>
    <w:rsid w:val="568B6949"/>
    <w:rsid w:val="568D0F6A"/>
    <w:rsid w:val="568D446F"/>
    <w:rsid w:val="568F468B"/>
    <w:rsid w:val="568F4B6E"/>
    <w:rsid w:val="56927CD7"/>
    <w:rsid w:val="569577C7"/>
    <w:rsid w:val="5696244B"/>
    <w:rsid w:val="569752EE"/>
    <w:rsid w:val="569945BB"/>
    <w:rsid w:val="569A6B8C"/>
    <w:rsid w:val="569C0B56"/>
    <w:rsid w:val="569E48CE"/>
    <w:rsid w:val="569F0646"/>
    <w:rsid w:val="569F41A2"/>
    <w:rsid w:val="56A33C92"/>
    <w:rsid w:val="56A417B8"/>
    <w:rsid w:val="56A66065"/>
    <w:rsid w:val="56A93273"/>
    <w:rsid w:val="56AB4C95"/>
    <w:rsid w:val="56AD2D63"/>
    <w:rsid w:val="56AD4B11"/>
    <w:rsid w:val="56AE2637"/>
    <w:rsid w:val="56AE2A4C"/>
    <w:rsid w:val="56B0015D"/>
    <w:rsid w:val="56B37C4E"/>
    <w:rsid w:val="56B55774"/>
    <w:rsid w:val="56B7773E"/>
    <w:rsid w:val="56B85264"/>
    <w:rsid w:val="56B90D23"/>
    <w:rsid w:val="56BC190A"/>
    <w:rsid w:val="56BC4D54"/>
    <w:rsid w:val="56BE0ACC"/>
    <w:rsid w:val="56BE4E46"/>
    <w:rsid w:val="56C105BC"/>
    <w:rsid w:val="56C449A6"/>
    <w:rsid w:val="56C47819"/>
    <w:rsid w:val="56C8194B"/>
    <w:rsid w:val="56C87B9D"/>
    <w:rsid w:val="56CD6F61"/>
    <w:rsid w:val="56D227CA"/>
    <w:rsid w:val="56D402F0"/>
    <w:rsid w:val="56D4449B"/>
    <w:rsid w:val="56D73191"/>
    <w:rsid w:val="56DA342C"/>
    <w:rsid w:val="56DE4CCA"/>
    <w:rsid w:val="56DF6C95"/>
    <w:rsid w:val="56E12A0D"/>
    <w:rsid w:val="56E16569"/>
    <w:rsid w:val="56E83DA1"/>
    <w:rsid w:val="56E85B49"/>
    <w:rsid w:val="56E878F7"/>
    <w:rsid w:val="56EA7B13"/>
    <w:rsid w:val="56EF2533"/>
    <w:rsid w:val="56EF512A"/>
    <w:rsid w:val="56F049FE"/>
    <w:rsid w:val="56F20776"/>
    <w:rsid w:val="56F24C1A"/>
    <w:rsid w:val="56F73FDE"/>
    <w:rsid w:val="56FA762A"/>
    <w:rsid w:val="56FC20F7"/>
    <w:rsid w:val="56FC7846"/>
    <w:rsid w:val="56FE35BF"/>
    <w:rsid w:val="57041966"/>
    <w:rsid w:val="57062473"/>
    <w:rsid w:val="57064221"/>
    <w:rsid w:val="570879E4"/>
    <w:rsid w:val="570A1F63"/>
    <w:rsid w:val="570D55B0"/>
    <w:rsid w:val="570F757A"/>
    <w:rsid w:val="571132F2"/>
    <w:rsid w:val="57146841"/>
    <w:rsid w:val="571701DC"/>
    <w:rsid w:val="571759D3"/>
    <w:rsid w:val="571A1478"/>
    <w:rsid w:val="571B7CCD"/>
    <w:rsid w:val="571E5A0F"/>
    <w:rsid w:val="57203535"/>
    <w:rsid w:val="5728063B"/>
    <w:rsid w:val="572B3C88"/>
    <w:rsid w:val="572D17AE"/>
    <w:rsid w:val="572D6D24"/>
    <w:rsid w:val="572D7A00"/>
    <w:rsid w:val="5730129E"/>
    <w:rsid w:val="57346FE0"/>
    <w:rsid w:val="5737087F"/>
    <w:rsid w:val="573945F7"/>
    <w:rsid w:val="574134AB"/>
    <w:rsid w:val="57427BEF"/>
    <w:rsid w:val="57453287"/>
    <w:rsid w:val="57497744"/>
    <w:rsid w:val="574A05B2"/>
    <w:rsid w:val="574A2360"/>
    <w:rsid w:val="574A6804"/>
    <w:rsid w:val="574D3BFE"/>
    <w:rsid w:val="57525515"/>
    <w:rsid w:val="57580F21"/>
    <w:rsid w:val="575E5E0B"/>
    <w:rsid w:val="57631674"/>
    <w:rsid w:val="576378C6"/>
    <w:rsid w:val="5765589C"/>
    <w:rsid w:val="57684EDC"/>
    <w:rsid w:val="57686C8A"/>
    <w:rsid w:val="57730A07"/>
    <w:rsid w:val="57783371"/>
    <w:rsid w:val="5778511F"/>
    <w:rsid w:val="577949F3"/>
    <w:rsid w:val="577B3D89"/>
    <w:rsid w:val="577B4C0F"/>
    <w:rsid w:val="577D0987"/>
    <w:rsid w:val="57803FD4"/>
    <w:rsid w:val="57811AFA"/>
    <w:rsid w:val="578A6C00"/>
    <w:rsid w:val="578D049F"/>
    <w:rsid w:val="578D66F1"/>
    <w:rsid w:val="578F2469"/>
    <w:rsid w:val="57931F59"/>
    <w:rsid w:val="57973510"/>
    <w:rsid w:val="57995095"/>
    <w:rsid w:val="579B2BBB"/>
    <w:rsid w:val="579C3E76"/>
    <w:rsid w:val="579D6934"/>
    <w:rsid w:val="57A001D2"/>
    <w:rsid w:val="57A06424"/>
    <w:rsid w:val="57A2219C"/>
    <w:rsid w:val="57A44166"/>
    <w:rsid w:val="57A75A04"/>
    <w:rsid w:val="57A85717"/>
    <w:rsid w:val="57A92B86"/>
    <w:rsid w:val="57AA1051"/>
    <w:rsid w:val="57AA2DFF"/>
    <w:rsid w:val="57AA72A2"/>
    <w:rsid w:val="57AB3143"/>
    <w:rsid w:val="57AB6EDE"/>
    <w:rsid w:val="57AD28EF"/>
    <w:rsid w:val="57AD375A"/>
    <w:rsid w:val="57B22417"/>
    <w:rsid w:val="57B36157"/>
    <w:rsid w:val="57B41ECF"/>
    <w:rsid w:val="57B5791A"/>
    <w:rsid w:val="57B679F5"/>
    <w:rsid w:val="57B8364E"/>
    <w:rsid w:val="57B95737"/>
    <w:rsid w:val="57C2283E"/>
    <w:rsid w:val="57C6377C"/>
    <w:rsid w:val="57CA524F"/>
    <w:rsid w:val="57CE2F91"/>
    <w:rsid w:val="57CF2865"/>
    <w:rsid w:val="57D04F5B"/>
    <w:rsid w:val="57D31F28"/>
    <w:rsid w:val="57D32355"/>
    <w:rsid w:val="57D54F6A"/>
    <w:rsid w:val="57D61E46"/>
    <w:rsid w:val="57D77C44"/>
    <w:rsid w:val="57D936E4"/>
    <w:rsid w:val="57DB2B89"/>
    <w:rsid w:val="57DB7A88"/>
    <w:rsid w:val="57DD47C3"/>
    <w:rsid w:val="57E207EA"/>
    <w:rsid w:val="57E36310"/>
    <w:rsid w:val="57E74053"/>
    <w:rsid w:val="57EA3B43"/>
    <w:rsid w:val="57EE6D4B"/>
    <w:rsid w:val="57F329F7"/>
    <w:rsid w:val="57F347A6"/>
    <w:rsid w:val="57F66044"/>
    <w:rsid w:val="57FF139C"/>
    <w:rsid w:val="5801432C"/>
    <w:rsid w:val="58020E8D"/>
    <w:rsid w:val="580544D9"/>
    <w:rsid w:val="580746F5"/>
    <w:rsid w:val="58074A00"/>
    <w:rsid w:val="580A1AEF"/>
    <w:rsid w:val="580C3AB9"/>
    <w:rsid w:val="580C5867"/>
    <w:rsid w:val="580F5357"/>
    <w:rsid w:val="581035A9"/>
    <w:rsid w:val="58112E7E"/>
    <w:rsid w:val="5813309A"/>
    <w:rsid w:val="58150BC0"/>
    <w:rsid w:val="581666E6"/>
    <w:rsid w:val="581806B0"/>
    <w:rsid w:val="581A1E64"/>
    <w:rsid w:val="581B3832"/>
    <w:rsid w:val="58233EF6"/>
    <w:rsid w:val="5827444F"/>
    <w:rsid w:val="582D0E61"/>
    <w:rsid w:val="58311772"/>
    <w:rsid w:val="58313520"/>
    <w:rsid w:val="583152CE"/>
    <w:rsid w:val="58331046"/>
    <w:rsid w:val="583354EA"/>
    <w:rsid w:val="58375925"/>
    <w:rsid w:val="5838665C"/>
    <w:rsid w:val="583D3C73"/>
    <w:rsid w:val="58405511"/>
    <w:rsid w:val="584414A5"/>
    <w:rsid w:val="5847689F"/>
    <w:rsid w:val="584E019A"/>
    <w:rsid w:val="58501BF8"/>
    <w:rsid w:val="585039A6"/>
    <w:rsid w:val="585079D2"/>
    <w:rsid w:val="58533496"/>
    <w:rsid w:val="585A4825"/>
    <w:rsid w:val="585B059D"/>
    <w:rsid w:val="585C4CB9"/>
    <w:rsid w:val="585D60C3"/>
    <w:rsid w:val="58690F0C"/>
    <w:rsid w:val="58694A68"/>
    <w:rsid w:val="586A0E03"/>
    <w:rsid w:val="586E02D0"/>
    <w:rsid w:val="5870229A"/>
    <w:rsid w:val="587753D7"/>
    <w:rsid w:val="587A0A23"/>
    <w:rsid w:val="587B1D88"/>
    <w:rsid w:val="587D1AD7"/>
    <w:rsid w:val="58845D45"/>
    <w:rsid w:val="58854E97"/>
    <w:rsid w:val="5886386C"/>
    <w:rsid w:val="588834ED"/>
    <w:rsid w:val="58894699"/>
    <w:rsid w:val="588B0E82"/>
    <w:rsid w:val="588B6CAC"/>
    <w:rsid w:val="58922210"/>
    <w:rsid w:val="58937D37"/>
    <w:rsid w:val="5898359F"/>
    <w:rsid w:val="589917F1"/>
    <w:rsid w:val="589F65B2"/>
    <w:rsid w:val="58A27F7A"/>
    <w:rsid w:val="58A65CBC"/>
    <w:rsid w:val="58A82DAC"/>
    <w:rsid w:val="58AB32D2"/>
    <w:rsid w:val="58AB5080"/>
    <w:rsid w:val="58AE691E"/>
    <w:rsid w:val="58B57CAD"/>
    <w:rsid w:val="58B8154B"/>
    <w:rsid w:val="58B959EF"/>
    <w:rsid w:val="58BE1257"/>
    <w:rsid w:val="58BF0B2C"/>
    <w:rsid w:val="58BF28DA"/>
    <w:rsid w:val="58C3061C"/>
    <w:rsid w:val="58C3742F"/>
    <w:rsid w:val="58C46142"/>
    <w:rsid w:val="58C6010C"/>
    <w:rsid w:val="58CE6FC1"/>
    <w:rsid w:val="58D5034F"/>
    <w:rsid w:val="58D75E75"/>
    <w:rsid w:val="58D8399B"/>
    <w:rsid w:val="58DC16DE"/>
    <w:rsid w:val="58DC7930"/>
    <w:rsid w:val="58DD0FB2"/>
    <w:rsid w:val="58E14F46"/>
    <w:rsid w:val="58E16CF4"/>
    <w:rsid w:val="58E32A6C"/>
    <w:rsid w:val="58E42340"/>
    <w:rsid w:val="58E60F03"/>
    <w:rsid w:val="58E73667"/>
    <w:rsid w:val="58E862D4"/>
    <w:rsid w:val="58F20F01"/>
    <w:rsid w:val="58F5454D"/>
    <w:rsid w:val="58F9403E"/>
    <w:rsid w:val="58FA6008"/>
    <w:rsid w:val="58FB7741"/>
    <w:rsid w:val="58FE1654"/>
    <w:rsid w:val="58FE4A38"/>
    <w:rsid w:val="5900361E"/>
    <w:rsid w:val="5901400A"/>
    <w:rsid w:val="59015C91"/>
    <w:rsid w:val="590B68F5"/>
    <w:rsid w:val="590D1897"/>
    <w:rsid w:val="591075D9"/>
    <w:rsid w:val="59126EAD"/>
    <w:rsid w:val="59140E77"/>
    <w:rsid w:val="59153B14"/>
    <w:rsid w:val="59172716"/>
    <w:rsid w:val="59177A83"/>
    <w:rsid w:val="591946E0"/>
    <w:rsid w:val="591C41D0"/>
    <w:rsid w:val="591F15CA"/>
    <w:rsid w:val="59232E69"/>
    <w:rsid w:val="59246BE1"/>
    <w:rsid w:val="592B2698"/>
    <w:rsid w:val="592D1F39"/>
    <w:rsid w:val="592E5BEC"/>
    <w:rsid w:val="593037D7"/>
    <w:rsid w:val="593132EC"/>
    <w:rsid w:val="59345076"/>
    <w:rsid w:val="5934586C"/>
    <w:rsid w:val="59360909"/>
    <w:rsid w:val="59396B30"/>
    <w:rsid w:val="593A6404"/>
    <w:rsid w:val="593B4656"/>
    <w:rsid w:val="59413C36"/>
    <w:rsid w:val="59444C41"/>
    <w:rsid w:val="59447B54"/>
    <w:rsid w:val="59457283"/>
    <w:rsid w:val="594F1EAF"/>
    <w:rsid w:val="5951073E"/>
    <w:rsid w:val="595219A0"/>
    <w:rsid w:val="59536686"/>
    <w:rsid w:val="59545718"/>
    <w:rsid w:val="595474C6"/>
    <w:rsid w:val="5955323E"/>
    <w:rsid w:val="59561490"/>
    <w:rsid w:val="59576FB6"/>
    <w:rsid w:val="59580628"/>
    <w:rsid w:val="595816F4"/>
    <w:rsid w:val="595C45CC"/>
    <w:rsid w:val="595E20F3"/>
    <w:rsid w:val="595F636A"/>
    <w:rsid w:val="59644A3A"/>
    <w:rsid w:val="596516D3"/>
    <w:rsid w:val="596C0CB3"/>
    <w:rsid w:val="596D0588"/>
    <w:rsid w:val="59700723"/>
    <w:rsid w:val="5971612F"/>
    <w:rsid w:val="597436C4"/>
    <w:rsid w:val="59771406"/>
    <w:rsid w:val="597A4A53"/>
    <w:rsid w:val="597C5162"/>
    <w:rsid w:val="597E2795"/>
    <w:rsid w:val="59810274"/>
    <w:rsid w:val="59831B59"/>
    <w:rsid w:val="598558D1"/>
    <w:rsid w:val="598A738C"/>
    <w:rsid w:val="598C3104"/>
    <w:rsid w:val="598D29D8"/>
    <w:rsid w:val="598D6049"/>
    <w:rsid w:val="598F6750"/>
    <w:rsid w:val="59924B7C"/>
    <w:rsid w:val="59941FB8"/>
    <w:rsid w:val="59945B14"/>
    <w:rsid w:val="59967ADE"/>
    <w:rsid w:val="599864FB"/>
    <w:rsid w:val="599975CF"/>
    <w:rsid w:val="599C0E6D"/>
    <w:rsid w:val="59A0270B"/>
    <w:rsid w:val="59A246D5"/>
    <w:rsid w:val="59A3044D"/>
    <w:rsid w:val="59A33FA9"/>
    <w:rsid w:val="59A57D21"/>
    <w:rsid w:val="59A65848"/>
    <w:rsid w:val="59A71CEC"/>
    <w:rsid w:val="59A85A64"/>
    <w:rsid w:val="59AA17DC"/>
    <w:rsid w:val="59AA5338"/>
    <w:rsid w:val="59AC7302"/>
    <w:rsid w:val="59AF5838"/>
    <w:rsid w:val="59B03041"/>
    <w:rsid w:val="59B12B6A"/>
    <w:rsid w:val="59B14918"/>
    <w:rsid w:val="59B15C12"/>
    <w:rsid w:val="59B241EC"/>
    <w:rsid w:val="59B44408"/>
    <w:rsid w:val="59B72108"/>
    <w:rsid w:val="59B82F14"/>
    <w:rsid w:val="59B91A1F"/>
    <w:rsid w:val="59BA330C"/>
    <w:rsid w:val="59BB12F3"/>
    <w:rsid w:val="59BC506B"/>
    <w:rsid w:val="59BD150F"/>
    <w:rsid w:val="59C02B36"/>
    <w:rsid w:val="59C12681"/>
    <w:rsid w:val="59C26B25"/>
    <w:rsid w:val="59C4289D"/>
    <w:rsid w:val="59C503C4"/>
    <w:rsid w:val="59C83A10"/>
    <w:rsid w:val="59CC52AE"/>
    <w:rsid w:val="59CC740B"/>
    <w:rsid w:val="59D10B16"/>
    <w:rsid w:val="59D14FBA"/>
    <w:rsid w:val="59D26700"/>
    <w:rsid w:val="59D625D1"/>
    <w:rsid w:val="59D70720"/>
    <w:rsid w:val="59D86F20"/>
    <w:rsid w:val="59D95C1D"/>
    <w:rsid w:val="59E0586D"/>
    <w:rsid w:val="59E44CEE"/>
    <w:rsid w:val="59E77422"/>
    <w:rsid w:val="59E940B2"/>
    <w:rsid w:val="59EC76FE"/>
    <w:rsid w:val="59EE6C20"/>
    <w:rsid w:val="59EE791A"/>
    <w:rsid w:val="59F34F31"/>
    <w:rsid w:val="59F667CF"/>
    <w:rsid w:val="59FA62BF"/>
    <w:rsid w:val="59FB5B93"/>
    <w:rsid w:val="59FD190B"/>
    <w:rsid w:val="59FD7B5D"/>
    <w:rsid w:val="5A00764E"/>
    <w:rsid w:val="5A0233C6"/>
    <w:rsid w:val="5A032C9A"/>
    <w:rsid w:val="5A0507C0"/>
    <w:rsid w:val="5A0709DC"/>
    <w:rsid w:val="5A07278A"/>
    <w:rsid w:val="5A0802B0"/>
    <w:rsid w:val="5A0B3629"/>
    <w:rsid w:val="5A0B7ADD"/>
    <w:rsid w:val="5A101AFF"/>
    <w:rsid w:val="5A132EDD"/>
    <w:rsid w:val="5A144EA7"/>
    <w:rsid w:val="5A146C55"/>
    <w:rsid w:val="5A17720A"/>
    <w:rsid w:val="5A1B4C6E"/>
    <w:rsid w:val="5A1E534A"/>
    <w:rsid w:val="5A2055FA"/>
    <w:rsid w:val="5A24333C"/>
    <w:rsid w:val="5A2570B4"/>
    <w:rsid w:val="5A2C3F9F"/>
    <w:rsid w:val="5A3103F0"/>
    <w:rsid w:val="5A317807"/>
    <w:rsid w:val="5A33357F"/>
    <w:rsid w:val="5A395817"/>
    <w:rsid w:val="5A3A490E"/>
    <w:rsid w:val="5A3B04A7"/>
    <w:rsid w:val="5A3E3CD2"/>
    <w:rsid w:val="5A42306D"/>
    <w:rsid w:val="5A440B56"/>
    <w:rsid w:val="5A463B8F"/>
    <w:rsid w:val="5A470DD9"/>
    <w:rsid w:val="5A532442"/>
    <w:rsid w:val="5A551748"/>
    <w:rsid w:val="5A56101C"/>
    <w:rsid w:val="5A586FF2"/>
    <w:rsid w:val="5A5B2AD6"/>
    <w:rsid w:val="5A5F48DF"/>
    <w:rsid w:val="5A604A46"/>
    <w:rsid w:val="5A6279C1"/>
    <w:rsid w:val="5A647BDD"/>
    <w:rsid w:val="5A655CE7"/>
    <w:rsid w:val="5A682D95"/>
    <w:rsid w:val="5A690D4F"/>
    <w:rsid w:val="5A6C6A91"/>
    <w:rsid w:val="5A6E1822"/>
    <w:rsid w:val="5A6E2809"/>
    <w:rsid w:val="5A731BCE"/>
    <w:rsid w:val="5A7476F4"/>
    <w:rsid w:val="5A761A05"/>
    <w:rsid w:val="5A767910"/>
    <w:rsid w:val="5A785436"/>
    <w:rsid w:val="5A7A11AE"/>
    <w:rsid w:val="5A7A2F5C"/>
    <w:rsid w:val="5A7D2A4C"/>
    <w:rsid w:val="5A7F4A16"/>
    <w:rsid w:val="5A81078E"/>
    <w:rsid w:val="5A820063"/>
    <w:rsid w:val="5A845B89"/>
    <w:rsid w:val="5A855B85"/>
    <w:rsid w:val="5A867B53"/>
    <w:rsid w:val="5A897643"/>
    <w:rsid w:val="5A8B33BB"/>
    <w:rsid w:val="5A8B6F17"/>
    <w:rsid w:val="5A8C2C8F"/>
    <w:rsid w:val="5A8D7133"/>
    <w:rsid w:val="5A9009D2"/>
    <w:rsid w:val="5A90452E"/>
    <w:rsid w:val="5A9164F8"/>
    <w:rsid w:val="5A9304C2"/>
    <w:rsid w:val="5A93401E"/>
    <w:rsid w:val="5A9A35FE"/>
    <w:rsid w:val="5AA11C28"/>
    <w:rsid w:val="5AA241D3"/>
    <w:rsid w:val="5AA63D51"/>
    <w:rsid w:val="5AA7161B"/>
    <w:rsid w:val="5AA8748E"/>
    <w:rsid w:val="5AA955EF"/>
    <w:rsid w:val="5AAB1367"/>
    <w:rsid w:val="5AAB75B9"/>
    <w:rsid w:val="5AB02E22"/>
    <w:rsid w:val="5AB126F6"/>
    <w:rsid w:val="5AB3021C"/>
    <w:rsid w:val="5AB5009D"/>
    <w:rsid w:val="5AB5486F"/>
    <w:rsid w:val="5AB67D0C"/>
    <w:rsid w:val="5ABA5A4E"/>
    <w:rsid w:val="5ABB5323"/>
    <w:rsid w:val="5ABC3575"/>
    <w:rsid w:val="5ABD7CBF"/>
    <w:rsid w:val="5ABF12B7"/>
    <w:rsid w:val="5AC02939"/>
    <w:rsid w:val="5AC10B8B"/>
    <w:rsid w:val="5AC255B4"/>
    <w:rsid w:val="5AC4067B"/>
    <w:rsid w:val="5AC661A1"/>
    <w:rsid w:val="5AC669FA"/>
    <w:rsid w:val="5AC735ED"/>
    <w:rsid w:val="5ACC12DE"/>
    <w:rsid w:val="5ACE32A8"/>
    <w:rsid w:val="5AD00DCE"/>
    <w:rsid w:val="5AD703AE"/>
    <w:rsid w:val="5AD7215D"/>
    <w:rsid w:val="5AD84127"/>
    <w:rsid w:val="5AD93E55"/>
    <w:rsid w:val="5ADD1472"/>
    <w:rsid w:val="5ADF1CCE"/>
    <w:rsid w:val="5AE12FDB"/>
    <w:rsid w:val="5AE14D89"/>
    <w:rsid w:val="5AE20B01"/>
    <w:rsid w:val="5AE64A95"/>
    <w:rsid w:val="5AE81E43"/>
    <w:rsid w:val="5AE825BC"/>
    <w:rsid w:val="5AED7BD2"/>
    <w:rsid w:val="5AEE394A"/>
    <w:rsid w:val="5AEE56F8"/>
    <w:rsid w:val="5AF076C2"/>
    <w:rsid w:val="5AF34ABD"/>
    <w:rsid w:val="5AF745AD"/>
    <w:rsid w:val="5AF820D3"/>
    <w:rsid w:val="5AFA5E4B"/>
    <w:rsid w:val="5AFD593B"/>
    <w:rsid w:val="5B04316E"/>
    <w:rsid w:val="5B046CCA"/>
    <w:rsid w:val="5B062107"/>
    <w:rsid w:val="5B0E49AC"/>
    <w:rsid w:val="5B13515F"/>
    <w:rsid w:val="5B141DFE"/>
    <w:rsid w:val="5B1525E6"/>
    <w:rsid w:val="5B182775"/>
    <w:rsid w:val="5B1B02D1"/>
    <w:rsid w:val="5B1E5FDD"/>
    <w:rsid w:val="5B1F1D55"/>
    <w:rsid w:val="5B252ECE"/>
    <w:rsid w:val="5B2555BE"/>
    <w:rsid w:val="5B2829B8"/>
    <w:rsid w:val="5B296730"/>
    <w:rsid w:val="5B2B24A8"/>
    <w:rsid w:val="5B2D4374"/>
    <w:rsid w:val="5B351579"/>
    <w:rsid w:val="5B37178B"/>
    <w:rsid w:val="5B372BFB"/>
    <w:rsid w:val="5B382B56"/>
    <w:rsid w:val="5B3A093D"/>
    <w:rsid w:val="5B3D3F8A"/>
    <w:rsid w:val="5B3E21DC"/>
    <w:rsid w:val="5B3F5F54"/>
    <w:rsid w:val="5B4325A2"/>
    <w:rsid w:val="5B4524D0"/>
    <w:rsid w:val="5B4D68C3"/>
    <w:rsid w:val="5B501F0F"/>
    <w:rsid w:val="5B527A35"/>
    <w:rsid w:val="5B5419FF"/>
    <w:rsid w:val="5B5639C9"/>
    <w:rsid w:val="5B5648CD"/>
    <w:rsid w:val="5B5E63DA"/>
    <w:rsid w:val="5B6065F6"/>
    <w:rsid w:val="5B607127"/>
    <w:rsid w:val="5B653C0C"/>
    <w:rsid w:val="5B6D0D13"/>
    <w:rsid w:val="5B6D6AB9"/>
    <w:rsid w:val="5B6F6839"/>
    <w:rsid w:val="5B7025B1"/>
    <w:rsid w:val="5B721E85"/>
    <w:rsid w:val="5B726329"/>
    <w:rsid w:val="5B745BFD"/>
    <w:rsid w:val="5B751975"/>
    <w:rsid w:val="5B77749C"/>
    <w:rsid w:val="5B7C2D04"/>
    <w:rsid w:val="5B7C4AB2"/>
    <w:rsid w:val="5B7F45A2"/>
    <w:rsid w:val="5B805972"/>
    <w:rsid w:val="5B8147BE"/>
    <w:rsid w:val="5B8935B6"/>
    <w:rsid w:val="5B8C73EB"/>
    <w:rsid w:val="5B9462A0"/>
    <w:rsid w:val="5B977B3E"/>
    <w:rsid w:val="5B9938B6"/>
    <w:rsid w:val="5B995664"/>
    <w:rsid w:val="5B9B13DC"/>
    <w:rsid w:val="5B9F7C18"/>
    <w:rsid w:val="5BA34735"/>
    <w:rsid w:val="5BA67D81"/>
    <w:rsid w:val="5BA8378D"/>
    <w:rsid w:val="5BA83AF9"/>
    <w:rsid w:val="5BAF4E87"/>
    <w:rsid w:val="5BB02907"/>
    <w:rsid w:val="5BB22BCA"/>
    <w:rsid w:val="5BB26726"/>
    <w:rsid w:val="5BB406F0"/>
    <w:rsid w:val="5BB4249E"/>
    <w:rsid w:val="5BB701E0"/>
    <w:rsid w:val="5BC416A9"/>
    <w:rsid w:val="5BC621D1"/>
    <w:rsid w:val="5BC70423"/>
    <w:rsid w:val="5BC85F10"/>
    <w:rsid w:val="5BCA3A6F"/>
    <w:rsid w:val="5BCF72D8"/>
    <w:rsid w:val="5BD043CD"/>
    <w:rsid w:val="5BD112A2"/>
    <w:rsid w:val="5BD14DFE"/>
    <w:rsid w:val="5BD963A8"/>
    <w:rsid w:val="5BE10DB9"/>
    <w:rsid w:val="5BE30FD5"/>
    <w:rsid w:val="5BE34B31"/>
    <w:rsid w:val="5BE663CF"/>
    <w:rsid w:val="5BE74621"/>
    <w:rsid w:val="5BE92A98"/>
    <w:rsid w:val="5BEA2363"/>
    <w:rsid w:val="5BEA75BF"/>
    <w:rsid w:val="5BEC60DC"/>
    <w:rsid w:val="5BF178BC"/>
    <w:rsid w:val="5BF22FC6"/>
    <w:rsid w:val="5BF31218"/>
    <w:rsid w:val="5BF412EC"/>
    <w:rsid w:val="5BF5103B"/>
    <w:rsid w:val="5BF8682E"/>
    <w:rsid w:val="5BFB3F1E"/>
    <w:rsid w:val="5C07081F"/>
    <w:rsid w:val="5C0A0310"/>
    <w:rsid w:val="5C0A47B4"/>
    <w:rsid w:val="5C0B704D"/>
    <w:rsid w:val="5C0E6052"/>
    <w:rsid w:val="5C110814"/>
    <w:rsid w:val="5C1473E0"/>
    <w:rsid w:val="5C164F06"/>
    <w:rsid w:val="5C186ED1"/>
    <w:rsid w:val="5C19093C"/>
    <w:rsid w:val="5C1949F7"/>
    <w:rsid w:val="5C1B076F"/>
    <w:rsid w:val="5C1B251D"/>
    <w:rsid w:val="5C1D44E7"/>
    <w:rsid w:val="5C1F025F"/>
    <w:rsid w:val="5C2018E1"/>
    <w:rsid w:val="5C205D85"/>
    <w:rsid w:val="5C244176"/>
    <w:rsid w:val="5C2657A0"/>
    <w:rsid w:val="5C2E290C"/>
    <w:rsid w:val="5C2F421A"/>
    <w:rsid w:val="5C321615"/>
    <w:rsid w:val="5C327B4C"/>
    <w:rsid w:val="5C3D06E5"/>
    <w:rsid w:val="5C3D63A0"/>
    <w:rsid w:val="5C3E620B"/>
    <w:rsid w:val="5C3F26AF"/>
    <w:rsid w:val="5C422212"/>
    <w:rsid w:val="5C425CFC"/>
    <w:rsid w:val="5C45759A"/>
    <w:rsid w:val="5C4A4BB0"/>
    <w:rsid w:val="5C4C26D6"/>
    <w:rsid w:val="5C531CB7"/>
    <w:rsid w:val="5C545A2F"/>
    <w:rsid w:val="5C554484"/>
    <w:rsid w:val="5C576CE3"/>
    <w:rsid w:val="5C58551F"/>
    <w:rsid w:val="5C5872CD"/>
    <w:rsid w:val="5C5D0D87"/>
    <w:rsid w:val="5C606182"/>
    <w:rsid w:val="5C642116"/>
    <w:rsid w:val="5C645C72"/>
    <w:rsid w:val="5C677510"/>
    <w:rsid w:val="5C6858FB"/>
    <w:rsid w:val="5C6953BD"/>
    <w:rsid w:val="5C69772C"/>
    <w:rsid w:val="5C6F4617"/>
    <w:rsid w:val="5C702869"/>
    <w:rsid w:val="5C734107"/>
    <w:rsid w:val="5C7F0D24"/>
    <w:rsid w:val="5C8606C0"/>
    <w:rsid w:val="5C875E04"/>
    <w:rsid w:val="5C89392A"/>
    <w:rsid w:val="5C8A31FF"/>
    <w:rsid w:val="5C8F6A67"/>
    <w:rsid w:val="5C950521"/>
    <w:rsid w:val="5C966047"/>
    <w:rsid w:val="5C99018A"/>
    <w:rsid w:val="5C9A5B38"/>
    <w:rsid w:val="5C9A78E6"/>
    <w:rsid w:val="5C9B365E"/>
    <w:rsid w:val="5C9B540C"/>
    <w:rsid w:val="5C9F6CAA"/>
    <w:rsid w:val="5CA00C74"/>
    <w:rsid w:val="5CA11C62"/>
    <w:rsid w:val="5CA31609"/>
    <w:rsid w:val="5CA37228"/>
    <w:rsid w:val="5CA442C0"/>
    <w:rsid w:val="5CA6628A"/>
    <w:rsid w:val="5CA73DB1"/>
    <w:rsid w:val="5CA758E9"/>
    <w:rsid w:val="5CA97B29"/>
    <w:rsid w:val="5CB0535B"/>
    <w:rsid w:val="5CB12E81"/>
    <w:rsid w:val="5CB36BF9"/>
    <w:rsid w:val="5CB63FF4"/>
    <w:rsid w:val="5CB84210"/>
    <w:rsid w:val="5CBC60F5"/>
    <w:rsid w:val="5CBF559E"/>
    <w:rsid w:val="5CC44962"/>
    <w:rsid w:val="5CC74453"/>
    <w:rsid w:val="5CCE0307"/>
    <w:rsid w:val="5CD131E9"/>
    <w:rsid w:val="5CD46F4D"/>
    <w:rsid w:val="5CD821BC"/>
    <w:rsid w:val="5CDB2B0E"/>
    <w:rsid w:val="5CDC7EFE"/>
    <w:rsid w:val="5CDD5A24"/>
    <w:rsid w:val="5CE172C2"/>
    <w:rsid w:val="5CE24DE9"/>
    <w:rsid w:val="5CE97CE3"/>
    <w:rsid w:val="5CEC7FD0"/>
    <w:rsid w:val="5CED210B"/>
    <w:rsid w:val="5CF05758"/>
    <w:rsid w:val="5CF547F8"/>
    <w:rsid w:val="5CFE60C6"/>
    <w:rsid w:val="5CFF599B"/>
    <w:rsid w:val="5D02548B"/>
    <w:rsid w:val="5D042FB1"/>
    <w:rsid w:val="5D07484F"/>
    <w:rsid w:val="5D0905C7"/>
    <w:rsid w:val="5D0C00B7"/>
    <w:rsid w:val="5D0E2082"/>
    <w:rsid w:val="5D0F5421"/>
    <w:rsid w:val="5D101956"/>
    <w:rsid w:val="5D152F01"/>
    <w:rsid w:val="5D1A5681"/>
    <w:rsid w:val="5D1F6922"/>
    <w:rsid w:val="5D230C5E"/>
    <w:rsid w:val="5D296EBB"/>
    <w:rsid w:val="5D2B2C34"/>
    <w:rsid w:val="5D2E6280"/>
    <w:rsid w:val="5D323FC2"/>
    <w:rsid w:val="5D325D70"/>
    <w:rsid w:val="5D3D63DE"/>
    <w:rsid w:val="5D3F7145"/>
    <w:rsid w:val="5D415FB3"/>
    <w:rsid w:val="5D423AD9"/>
    <w:rsid w:val="5D431D2B"/>
    <w:rsid w:val="5D4567E9"/>
    <w:rsid w:val="5D46181B"/>
    <w:rsid w:val="5D4930BA"/>
    <w:rsid w:val="5D4B5084"/>
    <w:rsid w:val="5D4D4958"/>
    <w:rsid w:val="5D56227A"/>
    <w:rsid w:val="5D5A52C7"/>
    <w:rsid w:val="5D5C103F"/>
    <w:rsid w:val="5D663C6C"/>
    <w:rsid w:val="5D667A45"/>
    <w:rsid w:val="5D6A3A99"/>
    <w:rsid w:val="5D6B1282"/>
    <w:rsid w:val="5D6F0D72"/>
    <w:rsid w:val="5D6F2B20"/>
    <w:rsid w:val="5D706898"/>
    <w:rsid w:val="5D746389"/>
    <w:rsid w:val="5D753EAF"/>
    <w:rsid w:val="5D775E79"/>
    <w:rsid w:val="5D777C27"/>
    <w:rsid w:val="5D7A358E"/>
    <w:rsid w:val="5D810AA5"/>
    <w:rsid w:val="5D854AC8"/>
    <w:rsid w:val="5D883BE2"/>
    <w:rsid w:val="5D8A4ADF"/>
    <w:rsid w:val="5D8A5BAC"/>
    <w:rsid w:val="5D902A97"/>
    <w:rsid w:val="5D91187F"/>
    <w:rsid w:val="5D916C44"/>
    <w:rsid w:val="5D9562FF"/>
    <w:rsid w:val="5D961626"/>
    <w:rsid w:val="5D973E25"/>
    <w:rsid w:val="5D9A6865"/>
    <w:rsid w:val="5D9B1B67"/>
    <w:rsid w:val="5D9E51B4"/>
    <w:rsid w:val="5D9F2CDA"/>
    <w:rsid w:val="5DA0717E"/>
    <w:rsid w:val="5DA11E30"/>
    <w:rsid w:val="5DA14CA4"/>
    <w:rsid w:val="5DA16A52"/>
    <w:rsid w:val="5DA36C6E"/>
    <w:rsid w:val="5DA62404"/>
    <w:rsid w:val="5DA64281"/>
    <w:rsid w:val="5DAA1DAA"/>
    <w:rsid w:val="5DAA3B58"/>
    <w:rsid w:val="5DAA4A5C"/>
    <w:rsid w:val="5DAA7FFC"/>
    <w:rsid w:val="5DAB167E"/>
    <w:rsid w:val="5DAB78D0"/>
    <w:rsid w:val="5DAB7ECA"/>
    <w:rsid w:val="5DAD53F7"/>
    <w:rsid w:val="5DAE78AC"/>
    <w:rsid w:val="5DAF2ACA"/>
    <w:rsid w:val="5DB449D7"/>
    <w:rsid w:val="5DB531A9"/>
    <w:rsid w:val="5DB6074F"/>
    <w:rsid w:val="5DB76275"/>
    <w:rsid w:val="5DBA5079"/>
    <w:rsid w:val="5DBB57C1"/>
    <w:rsid w:val="5DC170F4"/>
    <w:rsid w:val="5DC56BE4"/>
    <w:rsid w:val="5DC67BBD"/>
    <w:rsid w:val="5DC7295C"/>
    <w:rsid w:val="5DCA244C"/>
    <w:rsid w:val="5DCC7F73"/>
    <w:rsid w:val="5DCF58DD"/>
    <w:rsid w:val="5DDC3F2E"/>
    <w:rsid w:val="5DDC5CDC"/>
    <w:rsid w:val="5DDE7158"/>
    <w:rsid w:val="5DE055FE"/>
    <w:rsid w:val="5DE132F2"/>
    <w:rsid w:val="5DE51034"/>
    <w:rsid w:val="5DE5254C"/>
    <w:rsid w:val="5DE52DE2"/>
    <w:rsid w:val="5DE639DC"/>
    <w:rsid w:val="5DF9063C"/>
    <w:rsid w:val="5DFB43B4"/>
    <w:rsid w:val="5E0019CA"/>
    <w:rsid w:val="5E015742"/>
    <w:rsid w:val="5E023994"/>
    <w:rsid w:val="5E031047"/>
    <w:rsid w:val="5E0C65C1"/>
    <w:rsid w:val="5E145476"/>
    <w:rsid w:val="5E167440"/>
    <w:rsid w:val="5E176D14"/>
    <w:rsid w:val="5E211941"/>
    <w:rsid w:val="5E227B93"/>
    <w:rsid w:val="5E2558D5"/>
    <w:rsid w:val="5E27164D"/>
    <w:rsid w:val="5E287173"/>
    <w:rsid w:val="5E2960AF"/>
    <w:rsid w:val="5E2C5468"/>
    <w:rsid w:val="5E2D1C55"/>
    <w:rsid w:val="5E2D6537"/>
    <w:rsid w:val="5E31427A"/>
    <w:rsid w:val="5E317DD6"/>
    <w:rsid w:val="5E361890"/>
    <w:rsid w:val="5E371BD2"/>
    <w:rsid w:val="5E39312E"/>
    <w:rsid w:val="5E3B0C54"/>
    <w:rsid w:val="5E3E24F3"/>
    <w:rsid w:val="5E3E6996"/>
    <w:rsid w:val="5E413714"/>
    <w:rsid w:val="5E435D5B"/>
    <w:rsid w:val="5E442CB7"/>
    <w:rsid w:val="5E452ED7"/>
    <w:rsid w:val="5E457D25"/>
    <w:rsid w:val="5E4618E9"/>
    <w:rsid w:val="5E4D0988"/>
    <w:rsid w:val="5E512226"/>
    <w:rsid w:val="5E5341F0"/>
    <w:rsid w:val="5E565A8E"/>
    <w:rsid w:val="5E572BE8"/>
    <w:rsid w:val="5E5835B4"/>
    <w:rsid w:val="5E5B4E53"/>
    <w:rsid w:val="5E5D506F"/>
    <w:rsid w:val="5E6006BB"/>
    <w:rsid w:val="5E613E7A"/>
    <w:rsid w:val="5E627981"/>
    <w:rsid w:val="5E6301AB"/>
    <w:rsid w:val="5E655CD1"/>
    <w:rsid w:val="5E6737F7"/>
    <w:rsid w:val="5E677C9B"/>
    <w:rsid w:val="5E6E102A"/>
    <w:rsid w:val="5E705F80"/>
    <w:rsid w:val="5E714676"/>
    <w:rsid w:val="5E724E4C"/>
    <w:rsid w:val="5E734892"/>
    <w:rsid w:val="5E766130"/>
    <w:rsid w:val="5E767EDE"/>
    <w:rsid w:val="5E781EA8"/>
    <w:rsid w:val="5E7C394C"/>
    <w:rsid w:val="5E7F4FE5"/>
    <w:rsid w:val="5E84084D"/>
    <w:rsid w:val="5E8819C0"/>
    <w:rsid w:val="5E897C12"/>
    <w:rsid w:val="5E8C14B0"/>
    <w:rsid w:val="5E8E347A"/>
    <w:rsid w:val="5E914D18"/>
    <w:rsid w:val="5E940365"/>
    <w:rsid w:val="5E960581"/>
    <w:rsid w:val="5E9640DD"/>
    <w:rsid w:val="5E993BCD"/>
    <w:rsid w:val="5E99597B"/>
    <w:rsid w:val="5E9A008E"/>
    <w:rsid w:val="5E9A1E1F"/>
    <w:rsid w:val="5E9D190F"/>
    <w:rsid w:val="5E9E5003"/>
    <w:rsid w:val="5E9F11E3"/>
    <w:rsid w:val="5EA762EA"/>
    <w:rsid w:val="5EAC3900"/>
    <w:rsid w:val="5EB10F16"/>
    <w:rsid w:val="5EB17168"/>
    <w:rsid w:val="5EB629D1"/>
    <w:rsid w:val="5EB86749"/>
    <w:rsid w:val="5EBA426F"/>
    <w:rsid w:val="5EBA4AA2"/>
    <w:rsid w:val="5EBB1D95"/>
    <w:rsid w:val="5EBB3B43"/>
    <w:rsid w:val="5EBB452B"/>
    <w:rsid w:val="5EC00903"/>
    <w:rsid w:val="5EC549C2"/>
    <w:rsid w:val="5EC7073A"/>
    <w:rsid w:val="5EC76A1D"/>
    <w:rsid w:val="5EC944B2"/>
    <w:rsid w:val="5ECD5776"/>
    <w:rsid w:val="5ED2780B"/>
    <w:rsid w:val="5ED35331"/>
    <w:rsid w:val="5ED370DF"/>
    <w:rsid w:val="5ED74A1A"/>
    <w:rsid w:val="5ED846F5"/>
    <w:rsid w:val="5ED864A3"/>
    <w:rsid w:val="5EDD61AF"/>
    <w:rsid w:val="5EDF3258"/>
    <w:rsid w:val="5EE10ECB"/>
    <w:rsid w:val="5EE25574"/>
    <w:rsid w:val="5EE4309A"/>
    <w:rsid w:val="5EE65064"/>
    <w:rsid w:val="5EE66E12"/>
    <w:rsid w:val="5EE74938"/>
    <w:rsid w:val="5EE8324C"/>
    <w:rsid w:val="5EEC01A1"/>
    <w:rsid w:val="5EF37781"/>
    <w:rsid w:val="5EF534F9"/>
    <w:rsid w:val="5EF552A7"/>
    <w:rsid w:val="5EF57055"/>
    <w:rsid w:val="5EFD5F0A"/>
    <w:rsid w:val="5F011E9E"/>
    <w:rsid w:val="5F066AD1"/>
    <w:rsid w:val="5F077F61"/>
    <w:rsid w:val="5F0C439F"/>
    <w:rsid w:val="5F0E6369"/>
    <w:rsid w:val="5F0E693E"/>
    <w:rsid w:val="5F100333"/>
    <w:rsid w:val="5F103E8F"/>
    <w:rsid w:val="5F1119B5"/>
    <w:rsid w:val="5F13397F"/>
    <w:rsid w:val="5F16521D"/>
    <w:rsid w:val="5F1E4D57"/>
    <w:rsid w:val="5F203BB5"/>
    <w:rsid w:val="5F261904"/>
    <w:rsid w:val="5F265461"/>
    <w:rsid w:val="5F2711D9"/>
    <w:rsid w:val="5F27742B"/>
    <w:rsid w:val="5F2B0CC9"/>
    <w:rsid w:val="5F2D2C93"/>
    <w:rsid w:val="5F2E5FE3"/>
    <w:rsid w:val="5F30008D"/>
    <w:rsid w:val="5F335DCF"/>
    <w:rsid w:val="5F36141C"/>
    <w:rsid w:val="5F363EF7"/>
    <w:rsid w:val="5F3758C0"/>
    <w:rsid w:val="5F3C2ED6"/>
    <w:rsid w:val="5F4129FC"/>
    <w:rsid w:val="5F434264"/>
    <w:rsid w:val="5F4753F3"/>
    <w:rsid w:val="5F4E49B7"/>
    <w:rsid w:val="5F4E674B"/>
    <w:rsid w:val="5F50072F"/>
    <w:rsid w:val="5F530220"/>
    <w:rsid w:val="5F5479F7"/>
    <w:rsid w:val="5F5F0972"/>
    <w:rsid w:val="5F6076DB"/>
    <w:rsid w:val="5F610B8F"/>
    <w:rsid w:val="5F6661A5"/>
    <w:rsid w:val="5F6B37BB"/>
    <w:rsid w:val="5F6D308F"/>
    <w:rsid w:val="5F702B80"/>
    <w:rsid w:val="5F7C7776"/>
    <w:rsid w:val="5F7D704B"/>
    <w:rsid w:val="5F811774"/>
    <w:rsid w:val="5F8351CE"/>
    <w:rsid w:val="5F85487D"/>
    <w:rsid w:val="5F8959EF"/>
    <w:rsid w:val="5F8E126A"/>
    <w:rsid w:val="5F904FD0"/>
    <w:rsid w:val="5F937EBF"/>
    <w:rsid w:val="5F944AC0"/>
    <w:rsid w:val="5F950838"/>
    <w:rsid w:val="5F993E84"/>
    <w:rsid w:val="5F9A19AB"/>
    <w:rsid w:val="5F9A7BFD"/>
    <w:rsid w:val="5F9E149B"/>
    <w:rsid w:val="5F9F5213"/>
    <w:rsid w:val="5FA15FFE"/>
    <w:rsid w:val="5FA32F55"/>
    <w:rsid w:val="5FA467F2"/>
    <w:rsid w:val="5FA55E0F"/>
    <w:rsid w:val="5FA82319"/>
    <w:rsid w:val="5FA840C8"/>
    <w:rsid w:val="5FA97E40"/>
    <w:rsid w:val="5FAC38BC"/>
    <w:rsid w:val="5FAD7930"/>
    <w:rsid w:val="5FAF18FA"/>
    <w:rsid w:val="5FB213EA"/>
    <w:rsid w:val="5FB23198"/>
    <w:rsid w:val="5FB707AE"/>
    <w:rsid w:val="5FB76A00"/>
    <w:rsid w:val="5FB816B4"/>
    <w:rsid w:val="5FB94285"/>
    <w:rsid w:val="5FBA3DFB"/>
    <w:rsid w:val="5FBC7B73"/>
    <w:rsid w:val="5FC609F2"/>
    <w:rsid w:val="5FCA1E36"/>
    <w:rsid w:val="5FCD1D80"/>
    <w:rsid w:val="5FCD5625"/>
    <w:rsid w:val="5FCE38DA"/>
    <w:rsid w:val="5FCF3D4A"/>
    <w:rsid w:val="5FD30251"/>
    <w:rsid w:val="5FD749AD"/>
    <w:rsid w:val="5FD90725"/>
    <w:rsid w:val="5FDB26EF"/>
    <w:rsid w:val="5FDB4A4E"/>
    <w:rsid w:val="5FDC1FC3"/>
    <w:rsid w:val="5FE175D9"/>
    <w:rsid w:val="5FE33B7B"/>
    <w:rsid w:val="5FEA0B84"/>
    <w:rsid w:val="5FEB4543"/>
    <w:rsid w:val="5FEB66AA"/>
    <w:rsid w:val="5FEC48FC"/>
    <w:rsid w:val="5FEF619A"/>
    <w:rsid w:val="5FF27A39"/>
    <w:rsid w:val="5FF732A1"/>
    <w:rsid w:val="5FF76DFD"/>
    <w:rsid w:val="5FFE018B"/>
    <w:rsid w:val="600339F4"/>
    <w:rsid w:val="6005776C"/>
    <w:rsid w:val="60065292"/>
    <w:rsid w:val="600734E4"/>
    <w:rsid w:val="60077E55"/>
    <w:rsid w:val="6008725C"/>
    <w:rsid w:val="600A6B30"/>
    <w:rsid w:val="600D03CE"/>
    <w:rsid w:val="600D6620"/>
    <w:rsid w:val="601259E5"/>
    <w:rsid w:val="601479AF"/>
    <w:rsid w:val="60163727"/>
    <w:rsid w:val="6017124D"/>
    <w:rsid w:val="60193217"/>
    <w:rsid w:val="60196D73"/>
    <w:rsid w:val="601A3622"/>
    <w:rsid w:val="601B6F8F"/>
    <w:rsid w:val="601E25DC"/>
    <w:rsid w:val="6022031E"/>
    <w:rsid w:val="6025396A"/>
    <w:rsid w:val="60261BC5"/>
    <w:rsid w:val="60285208"/>
    <w:rsid w:val="603040BD"/>
    <w:rsid w:val="6034779D"/>
    <w:rsid w:val="60355C9A"/>
    <w:rsid w:val="6037544B"/>
    <w:rsid w:val="60397415"/>
    <w:rsid w:val="603E2C7E"/>
    <w:rsid w:val="6045400C"/>
    <w:rsid w:val="604638E0"/>
    <w:rsid w:val="604A1623"/>
    <w:rsid w:val="604D4D70"/>
    <w:rsid w:val="604E1113"/>
    <w:rsid w:val="60561D75"/>
    <w:rsid w:val="60563B24"/>
    <w:rsid w:val="605A515F"/>
    <w:rsid w:val="605C4EB2"/>
    <w:rsid w:val="605C4EFD"/>
    <w:rsid w:val="605D3104"/>
    <w:rsid w:val="606721D5"/>
    <w:rsid w:val="60687CFB"/>
    <w:rsid w:val="606A3A73"/>
    <w:rsid w:val="606D11AA"/>
    <w:rsid w:val="606E3563"/>
    <w:rsid w:val="606F2E37"/>
    <w:rsid w:val="606F6C7A"/>
    <w:rsid w:val="6071416B"/>
    <w:rsid w:val="60724A56"/>
    <w:rsid w:val="6074044E"/>
    <w:rsid w:val="60787F3E"/>
    <w:rsid w:val="6079152F"/>
    <w:rsid w:val="607B17DC"/>
    <w:rsid w:val="607E52DF"/>
    <w:rsid w:val="60830691"/>
    <w:rsid w:val="608368E3"/>
    <w:rsid w:val="608508AD"/>
    <w:rsid w:val="60874625"/>
    <w:rsid w:val="60885CA7"/>
    <w:rsid w:val="608E6AB5"/>
    <w:rsid w:val="608E7761"/>
    <w:rsid w:val="60910B83"/>
    <w:rsid w:val="60980A56"/>
    <w:rsid w:val="609A4358"/>
    <w:rsid w:val="609B3C2C"/>
    <w:rsid w:val="609B4994"/>
    <w:rsid w:val="609D5BF6"/>
    <w:rsid w:val="609D79A4"/>
    <w:rsid w:val="60A05AA7"/>
    <w:rsid w:val="60A07495"/>
    <w:rsid w:val="60A126BD"/>
    <w:rsid w:val="60A26D69"/>
    <w:rsid w:val="60A46FF9"/>
    <w:rsid w:val="60A70823"/>
    <w:rsid w:val="60A72DA9"/>
    <w:rsid w:val="60A800F7"/>
    <w:rsid w:val="60AA0313"/>
    <w:rsid w:val="60AC7BE7"/>
    <w:rsid w:val="60AD6A5F"/>
    <w:rsid w:val="60AE3960"/>
    <w:rsid w:val="60AF592A"/>
    <w:rsid w:val="60AF76D8"/>
    <w:rsid w:val="60B42F40"/>
    <w:rsid w:val="60B44CEE"/>
    <w:rsid w:val="60B82A30"/>
    <w:rsid w:val="60BB7E2A"/>
    <w:rsid w:val="60BC7CA3"/>
    <w:rsid w:val="60BD1DF5"/>
    <w:rsid w:val="60BD7BA0"/>
    <w:rsid w:val="60C2109A"/>
    <w:rsid w:val="60C34F31"/>
    <w:rsid w:val="60CA4511"/>
    <w:rsid w:val="60CE4002"/>
    <w:rsid w:val="60CF4AB1"/>
    <w:rsid w:val="60D55390"/>
    <w:rsid w:val="60D77632"/>
    <w:rsid w:val="60D86C2E"/>
    <w:rsid w:val="60D94755"/>
    <w:rsid w:val="60DA29A7"/>
    <w:rsid w:val="60DC3129"/>
    <w:rsid w:val="60DF7FBD"/>
    <w:rsid w:val="60E07891"/>
    <w:rsid w:val="60EA6BBD"/>
    <w:rsid w:val="60F03CB7"/>
    <w:rsid w:val="60F27F20"/>
    <w:rsid w:val="60F5158E"/>
    <w:rsid w:val="60F738B8"/>
    <w:rsid w:val="60F872D1"/>
    <w:rsid w:val="60FA6BA5"/>
    <w:rsid w:val="60FD0443"/>
    <w:rsid w:val="610139B4"/>
    <w:rsid w:val="61025A59"/>
    <w:rsid w:val="61047A23"/>
    <w:rsid w:val="6105554A"/>
    <w:rsid w:val="610935D6"/>
    <w:rsid w:val="610B0DB2"/>
    <w:rsid w:val="610C4B2A"/>
    <w:rsid w:val="610D63F4"/>
    <w:rsid w:val="610E2650"/>
    <w:rsid w:val="6113099A"/>
    <w:rsid w:val="61143DA8"/>
    <w:rsid w:val="6116474A"/>
    <w:rsid w:val="6118702B"/>
    <w:rsid w:val="611A7247"/>
    <w:rsid w:val="611C2FBF"/>
    <w:rsid w:val="611E5AAD"/>
    <w:rsid w:val="61220890"/>
    <w:rsid w:val="61265BEC"/>
    <w:rsid w:val="61296084"/>
    <w:rsid w:val="61296C26"/>
    <w:rsid w:val="612C0D28"/>
    <w:rsid w:val="612E4AA0"/>
    <w:rsid w:val="61314591"/>
    <w:rsid w:val="61321F75"/>
    <w:rsid w:val="61371BA7"/>
    <w:rsid w:val="6138147B"/>
    <w:rsid w:val="613876CD"/>
    <w:rsid w:val="613A51F3"/>
    <w:rsid w:val="613D1187"/>
    <w:rsid w:val="613F0A5C"/>
    <w:rsid w:val="61406582"/>
    <w:rsid w:val="61453B98"/>
    <w:rsid w:val="61475B62"/>
    <w:rsid w:val="61493688"/>
    <w:rsid w:val="614B7400"/>
    <w:rsid w:val="614E5143"/>
    <w:rsid w:val="615269E1"/>
    <w:rsid w:val="61565DA5"/>
    <w:rsid w:val="615A3AE7"/>
    <w:rsid w:val="615A7643"/>
    <w:rsid w:val="615D5386"/>
    <w:rsid w:val="615D7134"/>
    <w:rsid w:val="615F10FE"/>
    <w:rsid w:val="61614E76"/>
    <w:rsid w:val="6162299C"/>
    <w:rsid w:val="61665236"/>
    <w:rsid w:val="61677FB2"/>
    <w:rsid w:val="616C7377"/>
    <w:rsid w:val="616E6A18"/>
    <w:rsid w:val="616F15C7"/>
    <w:rsid w:val="61700C15"/>
    <w:rsid w:val="617044FB"/>
    <w:rsid w:val="61706E67"/>
    <w:rsid w:val="61720E31"/>
    <w:rsid w:val="61722BDF"/>
    <w:rsid w:val="617526CF"/>
    <w:rsid w:val="61761FA3"/>
    <w:rsid w:val="61815457"/>
    <w:rsid w:val="61826B9A"/>
    <w:rsid w:val="618741B1"/>
    <w:rsid w:val="61946FF9"/>
    <w:rsid w:val="619743F4"/>
    <w:rsid w:val="619863BE"/>
    <w:rsid w:val="6199628F"/>
    <w:rsid w:val="619A2136"/>
    <w:rsid w:val="619D273D"/>
    <w:rsid w:val="619D39D4"/>
    <w:rsid w:val="61A42FB4"/>
    <w:rsid w:val="61A44D62"/>
    <w:rsid w:val="61A62889"/>
    <w:rsid w:val="61A66D2D"/>
    <w:rsid w:val="61A86601"/>
    <w:rsid w:val="61AB7535"/>
    <w:rsid w:val="61AE5BE1"/>
    <w:rsid w:val="61AF3E33"/>
    <w:rsid w:val="61B50D1E"/>
    <w:rsid w:val="61B56F70"/>
    <w:rsid w:val="61B76844"/>
    <w:rsid w:val="61BC3E5A"/>
    <w:rsid w:val="61C079E6"/>
    <w:rsid w:val="61C176C2"/>
    <w:rsid w:val="61C40F61"/>
    <w:rsid w:val="61C55405"/>
    <w:rsid w:val="61C64CD9"/>
    <w:rsid w:val="61C80397"/>
    <w:rsid w:val="61C827FF"/>
    <w:rsid w:val="61CA2A1B"/>
    <w:rsid w:val="61D218D0"/>
    <w:rsid w:val="61D2367E"/>
    <w:rsid w:val="61D373F6"/>
    <w:rsid w:val="61D5316E"/>
    <w:rsid w:val="61D75138"/>
    <w:rsid w:val="61D94772"/>
    <w:rsid w:val="61DA0220"/>
    <w:rsid w:val="61DB4C28"/>
    <w:rsid w:val="61E15FB7"/>
    <w:rsid w:val="61E33ADD"/>
    <w:rsid w:val="61E41603"/>
    <w:rsid w:val="61E92979"/>
    <w:rsid w:val="61EB0BE3"/>
    <w:rsid w:val="61ED04B8"/>
    <w:rsid w:val="61ED6709"/>
    <w:rsid w:val="61EE278A"/>
    <w:rsid w:val="61EE5FDE"/>
    <w:rsid w:val="61F23D20"/>
    <w:rsid w:val="61F41846"/>
    <w:rsid w:val="61F623AC"/>
    <w:rsid w:val="61F730E4"/>
    <w:rsid w:val="61F93300"/>
    <w:rsid w:val="61F96E5C"/>
    <w:rsid w:val="61FA2BD4"/>
    <w:rsid w:val="61FE0917"/>
    <w:rsid w:val="6200643D"/>
    <w:rsid w:val="62013F63"/>
    <w:rsid w:val="62053A53"/>
    <w:rsid w:val="62065A1D"/>
    <w:rsid w:val="62083543"/>
    <w:rsid w:val="620852F1"/>
    <w:rsid w:val="6208709F"/>
    <w:rsid w:val="620B4DE2"/>
    <w:rsid w:val="62127F1E"/>
    <w:rsid w:val="621413E8"/>
    <w:rsid w:val="62143C96"/>
    <w:rsid w:val="62165C60"/>
    <w:rsid w:val="621A6DD3"/>
    <w:rsid w:val="621F43E9"/>
    <w:rsid w:val="62233ED9"/>
    <w:rsid w:val="62255A72"/>
    <w:rsid w:val="62255EA3"/>
    <w:rsid w:val="622639C9"/>
    <w:rsid w:val="622A5334"/>
    <w:rsid w:val="622B7232"/>
    <w:rsid w:val="622F0AD0"/>
    <w:rsid w:val="622F287E"/>
    <w:rsid w:val="623205C0"/>
    <w:rsid w:val="62326812"/>
    <w:rsid w:val="62377985"/>
    <w:rsid w:val="62381CFC"/>
    <w:rsid w:val="623B7475"/>
    <w:rsid w:val="623E0D13"/>
    <w:rsid w:val="623F6FC1"/>
    <w:rsid w:val="6243457B"/>
    <w:rsid w:val="62465E1A"/>
    <w:rsid w:val="62483940"/>
    <w:rsid w:val="62487DE4"/>
    <w:rsid w:val="624A3B5C"/>
    <w:rsid w:val="624B51DE"/>
    <w:rsid w:val="624D53FA"/>
    <w:rsid w:val="625247BE"/>
    <w:rsid w:val="6252656D"/>
    <w:rsid w:val="62540537"/>
    <w:rsid w:val="62571DD5"/>
    <w:rsid w:val="625B7B17"/>
    <w:rsid w:val="625C563D"/>
    <w:rsid w:val="6260512D"/>
    <w:rsid w:val="62606EDB"/>
    <w:rsid w:val="62632EA9"/>
    <w:rsid w:val="62652744"/>
    <w:rsid w:val="626562A0"/>
    <w:rsid w:val="62683FE2"/>
    <w:rsid w:val="626A1B08"/>
    <w:rsid w:val="626A743D"/>
    <w:rsid w:val="626B762E"/>
    <w:rsid w:val="626C5880"/>
    <w:rsid w:val="626D15F8"/>
    <w:rsid w:val="627045C4"/>
    <w:rsid w:val="6271541F"/>
    <w:rsid w:val="627209BD"/>
    <w:rsid w:val="62724E61"/>
    <w:rsid w:val="62777C6E"/>
    <w:rsid w:val="627B1F67"/>
    <w:rsid w:val="627C48B1"/>
    <w:rsid w:val="627C5F72"/>
    <w:rsid w:val="627E55B4"/>
    <w:rsid w:val="628030DA"/>
    <w:rsid w:val="628250A4"/>
    <w:rsid w:val="62851A54"/>
    <w:rsid w:val="62854B94"/>
    <w:rsid w:val="62856942"/>
    <w:rsid w:val="6287090C"/>
    <w:rsid w:val="628726BA"/>
    <w:rsid w:val="62894684"/>
    <w:rsid w:val="628C5F22"/>
    <w:rsid w:val="628D57F7"/>
    <w:rsid w:val="62946B85"/>
    <w:rsid w:val="62972B7A"/>
    <w:rsid w:val="62976675"/>
    <w:rsid w:val="629923ED"/>
    <w:rsid w:val="62996FF1"/>
    <w:rsid w:val="629B6165"/>
    <w:rsid w:val="629D0130"/>
    <w:rsid w:val="629D3C8C"/>
    <w:rsid w:val="62A414BE"/>
    <w:rsid w:val="62A425F6"/>
    <w:rsid w:val="62AF1C11"/>
    <w:rsid w:val="62AF39D2"/>
    <w:rsid w:val="62AF7E63"/>
    <w:rsid w:val="62B10EC3"/>
    <w:rsid w:val="62B162F2"/>
    <w:rsid w:val="62B31701"/>
    <w:rsid w:val="62C236F2"/>
    <w:rsid w:val="62CF4061"/>
    <w:rsid w:val="62CF7BBD"/>
    <w:rsid w:val="62D13935"/>
    <w:rsid w:val="62D41677"/>
    <w:rsid w:val="62D653F0"/>
    <w:rsid w:val="62D82F16"/>
    <w:rsid w:val="62D90A3C"/>
    <w:rsid w:val="62DD677E"/>
    <w:rsid w:val="62DE42A4"/>
    <w:rsid w:val="62DE5968"/>
    <w:rsid w:val="62E0001C"/>
    <w:rsid w:val="62E0626E"/>
    <w:rsid w:val="62E25095"/>
    <w:rsid w:val="62E25B42"/>
    <w:rsid w:val="62E278F0"/>
    <w:rsid w:val="62E30C00"/>
    <w:rsid w:val="62E31BA4"/>
    <w:rsid w:val="62E96ED1"/>
    <w:rsid w:val="62EA0E9B"/>
    <w:rsid w:val="62F53AC8"/>
    <w:rsid w:val="62F87FB3"/>
    <w:rsid w:val="62FB09B2"/>
    <w:rsid w:val="62FC0898"/>
    <w:rsid w:val="62FE04A2"/>
    <w:rsid w:val="63001DEA"/>
    <w:rsid w:val="6302457D"/>
    <w:rsid w:val="6306451B"/>
    <w:rsid w:val="630A5099"/>
    <w:rsid w:val="630E4B89"/>
    <w:rsid w:val="630E6937"/>
    <w:rsid w:val="63101DE8"/>
    <w:rsid w:val="6311467A"/>
    <w:rsid w:val="63155F18"/>
    <w:rsid w:val="63163A3E"/>
    <w:rsid w:val="631D55A2"/>
    <w:rsid w:val="631F6D97"/>
    <w:rsid w:val="63224191"/>
    <w:rsid w:val="6324615B"/>
    <w:rsid w:val="632717A7"/>
    <w:rsid w:val="63273E9D"/>
    <w:rsid w:val="632C3261"/>
    <w:rsid w:val="63302D52"/>
    <w:rsid w:val="63334079"/>
    <w:rsid w:val="63352116"/>
    <w:rsid w:val="63365E8E"/>
    <w:rsid w:val="633E3E53"/>
    <w:rsid w:val="633E7923"/>
    <w:rsid w:val="63400ABB"/>
    <w:rsid w:val="6341070D"/>
    <w:rsid w:val="63471E49"/>
    <w:rsid w:val="63493E13"/>
    <w:rsid w:val="634A36E8"/>
    <w:rsid w:val="634B193A"/>
    <w:rsid w:val="634C3904"/>
    <w:rsid w:val="634E142A"/>
    <w:rsid w:val="634E31D8"/>
    <w:rsid w:val="634E4F86"/>
    <w:rsid w:val="63536A40"/>
    <w:rsid w:val="6358340E"/>
    <w:rsid w:val="63584057"/>
    <w:rsid w:val="635A7DCF"/>
    <w:rsid w:val="635B58F5"/>
    <w:rsid w:val="635C3B47"/>
    <w:rsid w:val="635D341B"/>
    <w:rsid w:val="635D78BF"/>
    <w:rsid w:val="63660521"/>
    <w:rsid w:val="636649C5"/>
    <w:rsid w:val="63666773"/>
    <w:rsid w:val="636B2239"/>
    <w:rsid w:val="636C365E"/>
    <w:rsid w:val="636C4E0A"/>
    <w:rsid w:val="636C7B02"/>
    <w:rsid w:val="636D2BD5"/>
    <w:rsid w:val="636E387A"/>
    <w:rsid w:val="636E721D"/>
    <w:rsid w:val="6370314E"/>
    <w:rsid w:val="63730E90"/>
    <w:rsid w:val="63743316"/>
    <w:rsid w:val="63770981"/>
    <w:rsid w:val="6377272F"/>
    <w:rsid w:val="63772861"/>
    <w:rsid w:val="637C5F97"/>
    <w:rsid w:val="637F15E3"/>
    <w:rsid w:val="637F5A87"/>
    <w:rsid w:val="637F7835"/>
    <w:rsid w:val="63807109"/>
    <w:rsid w:val="638135AD"/>
    <w:rsid w:val="63862972"/>
    <w:rsid w:val="638C3D00"/>
    <w:rsid w:val="638C790B"/>
    <w:rsid w:val="638D707F"/>
    <w:rsid w:val="638E7A78"/>
    <w:rsid w:val="639037F0"/>
    <w:rsid w:val="639121DA"/>
    <w:rsid w:val="639332E1"/>
    <w:rsid w:val="63952BB5"/>
    <w:rsid w:val="63984453"/>
    <w:rsid w:val="639926E5"/>
    <w:rsid w:val="639A01CB"/>
    <w:rsid w:val="639A641D"/>
    <w:rsid w:val="639C2195"/>
    <w:rsid w:val="639D5F0D"/>
    <w:rsid w:val="639D7CBB"/>
    <w:rsid w:val="639E415F"/>
    <w:rsid w:val="63A64DC2"/>
    <w:rsid w:val="63A956A6"/>
    <w:rsid w:val="63AB2F21"/>
    <w:rsid w:val="63B17589"/>
    <w:rsid w:val="63B514A9"/>
    <w:rsid w:val="63B81CCF"/>
    <w:rsid w:val="63B84AF5"/>
    <w:rsid w:val="63BC45E5"/>
    <w:rsid w:val="63BF7C32"/>
    <w:rsid w:val="63C11BFC"/>
    <w:rsid w:val="63C14FC9"/>
    <w:rsid w:val="63C40DAF"/>
    <w:rsid w:val="63C65464"/>
    <w:rsid w:val="63C82F8A"/>
    <w:rsid w:val="63C83FDA"/>
    <w:rsid w:val="63C94F54"/>
    <w:rsid w:val="63CB2A7A"/>
    <w:rsid w:val="63CB4828"/>
    <w:rsid w:val="63CE60C7"/>
    <w:rsid w:val="63D01E3F"/>
    <w:rsid w:val="63D3192F"/>
    <w:rsid w:val="63D57455"/>
    <w:rsid w:val="63D80CF3"/>
    <w:rsid w:val="63D812B9"/>
    <w:rsid w:val="63D95197"/>
    <w:rsid w:val="63DA0F0F"/>
    <w:rsid w:val="63DA4A6C"/>
    <w:rsid w:val="63DC4C88"/>
    <w:rsid w:val="63DC6090"/>
    <w:rsid w:val="63DD455C"/>
    <w:rsid w:val="63DE27AE"/>
    <w:rsid w:val="63E31B72"/>
    <w:rsid w:val="63E37DC4"/>
    <w:rsid w:val="63E46486"/>
    <w:rsid w:val="63E8362C"/>
    <w:rsid w:val="63E92F01"/>
    <w:rsid w:val="63EB6C79"/>
    <w:rsid w:val="63F21DB5"/>
    <w:rsid w:val="63F55D49"/>
    <w:rsid w:val="63F70806"/>
    <w:rsid w:val="63F7561D"/>
    <w:rsid w:val="63FA3360"/>
    <w:rsid w:val="63FA510E"/>
    <w:rsid w:val="63FD075A"/>
    <w:rsid w:val="64005DE5"/>
    <w:rsid w:val="64032214"/>
    <w:rsid w:val="64047D3A"/>
    <w:rsid w:val="64054F9F"/>
    <w:rsid w:val="64061D04"/>
    <w:rsid w:val="640970FF"/>
    <w:rsid w:val="640B2E77"/>
    <w:rsid w:val="640D6A68"/>
    <w:rsid w:val="64124205"/>
    <w:rsid w:val="64175CC0"/>
    <w:rsid w:val="64177A6E"/>
    <w:rsid w:val="64191A38"/>
    <w:rsid w:val="641937E6"/>
    <w:rsid w:val="64195594"/>
    <w:rsid w:val="641B57B0"/>
    <w:rsid w:val="641E6C54"/>
    <w:rsid w:val="64202DC6"/>
    <w:rsid w:val="642108EC"/>
    <w:rsid w:val="642503DD"/>
    <w:rsid w:val="64281C7B"/>
    <w:rsid w:val="64283A29"/>
    <w:rsid w:val="642D54E3"/>
    <w:rsid w:val="642F125B"/>
    <w:rsid w:val="6430273E"/>
    <w:rsid w:val="643028DD"/>
    <w:rsid w:val="64314722"/>
    <w:rsid w:val="6431668F"/>
    <w:rsid w:val="643204FD"/>
    <w:rsid w:val="64354398"/>
    <w:rsid w:val="64356146"/>
    <w:rsid w:val="64357EF4"/>
    <w:rsid w:val="64395C36"/>
    <w:rsid w:val="643A3B32"/>
    <w:rsid w:val="643B7C00"/>
    <w:rsid w:val="643E149E"/>
    <w:rsid w:val="643E5896"/>
    <w:rsid w:val="643F0D73"/>
    <w:rsid w:val="64406A89"/>
    <w:rsid w:val="64416899"/>
    <w:rsid w:val="644442D9"/>
    <w:rsid w:val="644545DB"/>
    <w:rsid w:val="644665A5"/>
    <w:rsid w:val="644751C1"/>
    <w:rsid w:val="644A7E43"/>
    <w:rsid w:val="644D348F"/>
    <w:rsid w:val="644F0FB6"/>
    <w:rsid w:val="64504D2E"/>
    <w:rsid w:val="64550596"/>
    <w:rsid w:val="64572560"/>
    <w:rsid w:val="64597225"/>
    <w:rsid w:val="645A610D"/>
    <w:rsid w:val="645B552C"/>
    <w:rsid w:val="645E744B"/>
    <w:rsid w:val="645F55DF"/>
    <w:rsid w:val="64610CE9"/>
    <w:rsid w:val="6461518D"/>
    <w:rsid w:val="64623EC2"/>
    <w:rsid w:val="64634A61"/>
    <w:rsid w:val="6468651B"/>
    <w:rsid w:val="646D3B32"/>
    <w:rsid w:val="646D6205"/>
    <w:rsid w:val="64700725"/>
    <w:rsid w:val="64713C3C"/>
    <w:rsid w:val="64744EC0"/>
    <w:rsid w:val="64747D3B"/>
    <w:rsid w:val="647924D6"/>
    <w:rsid w:val="647B13BB"/>
    <w:rsid w:val="647C1FC7"/>
    <w:rsid w:val="647C5B23"/>
    <w:rsid w:val="64833DB3"/>
    <w:rsid w:val="648A3E9D"/>
    <w:rsid w:val="648A4F1F"/>
    <w:rsid w:val="648E53EF"/>
    <w:rsid w:val="64917820"/>
    <w:rsid w:val="64945083"/>
    <w:rsid w:val="64953A50"/>
    <w:rsid w:val="64963088"/>
    <w:rsid w:val="64964E36"/>
    <w:rsid w:val="64966BE4"/>
    <w:rsid w:val="64970BAF"/>
    <w:rsid w:val="64A04C33"/>
    <w:rsid w:val="64A34B15"/>
    <w:rsid w:val="64A66A04"/>
    <w:rsid w:val="64AE06C7"/>
    <w:rsid w:val="64B21544"/>
    <w:rsid w:val="64B41760"/>
    <w:rsid w:val="64B74DAD"/>
    <w:rsid w:val="64BC23C3"/>
    <w:rsid w:val="64BE613B"/>
    <w:rsid w:val="64C179D9"/>
    <w:rsid w:val="64C25C2B"/>
    <w:rsid w:val="64C37BF6"/>
    <w:rsid w:val="64C51278"/>
    <w:rsid w:val="64C5396E"/>
    <w:rsid w:val="64C6694E"/>
    <w:rsid w:val="64C80D68"/>
    <w:rsid w:val="64C8567A"/>
    <w:rsid w:val="64C86FBA"/>
    <w:rsid w:val="64CC2606"/>
    <w:rsid w:val="64CD45D0"/>
    <w:rsid w:val="64CF659A"/>
    <w:rsid w:val="64D37E39"/>
    <w:rsid w:val="64D63485"/>
    <w:rsid w:val="64D8544F"/>
    <w:rsid w:val="64DF4A2F"/>
    <w:rsid w:val="64E02555"/>
    <w:rsid w:val="64E04304"/>
    <w:rsid w:val="64E30A47"/>
    <w:rsid w:val="64E33DF4"/>
    <w:rsid w:val="64E43618"/>
    <w:rsid w:val="64E831B8"/>
    <w:rsid w:val="64EA5182"/>
    <w:rsid w:val="64EE6A20"/>
    <w:rsid w:val="64EE71FA"/>
    <w:rsid w:val="64F102BF"/>
    <w:rsid w:val="64F25DE5"/>
    <w:rsid w:val="64F270AC"/>
    <w:rsid w:val="64F34037"/>
    <w:rsid w:val="64F41B5D"/>
    <w:rsid w:val="64F46001"/>
    <w:rsid w:val="64F828B1"/>
    <w:rsid w:val="65000502"/>
    <w:rsid w:val="650106B8"/>
    <w:rsid w:val="65013B75"/>
    <w:rsid w:val="65077AE2"/>
    <w:rsid w:val="65085608"/>
    <w:rsid w:val="650A1380"/>
    <w:rsid w:val="650D2C1F"/>
    <w:rsid w:val="650E0E71"/>
    <w:rsid w:val="6511270F"/>
    <w:rsid w:val="65130235"/>
    <w:rsid w:val="65136487"/>
    <w:rsid w:val="651568FC"/>
    <w:rsid w:val="651641C9"/>
    <w:rsid w:val="65183A9D"/>
    <w:rsid w:val="651915C4"/>
    <w:rsid w:val="651962B9"/>
    <w:rsid w:val="65197815"/>
    <w:rsid w:val="651A5A67"/>
    <w:rsid w:val="651D10B4"/>
    <w:rsid w:val="651E6BDA"/>
    <w:rsid w:val="65200BA4"/>
    <w:rsid w:val="6522491C"/>
    <w:rsid w:val="652341F0"/>
    <w:rsid w:val="65260934"/>
    <w:rsid w:val="65270184"/>
    <w:rsid w:val="65271F32"/>
    <w:rsid w:val="65293EFC"/>
    <w:rsid w:val="65295CAB"/>
    <w:rsid w:val="652A1A23"/>
    <w:rsid w:val="652A6ED5"/>
    <w:rsid w:val="652C579B"/>
    <w:rsid w:val="652D40DE"/>
    <w:rsid w:val="65305935"/>
    <w:rsid w:val="6533428D"/>
    <w:rsid w:val="6534525A"/>
    <w:rsid w:val="65393B1F"/>
    <w:rsid w:val="653A1C66"/>
    <w:rsid w:val="653B778C"/>
    <w:rsid w:val="653E4CDE"/>
    <w:rsid w:val="653F54CE"/>
    <w:rsid w:val="653F56B9"/>
    <w:rsid w:val="65404DA2"/>
    <w:rsid w:val="65407FD2"/>
    <w:rsid w:val="65424FBE"/>
    <w:rsid w:val="654A79CF"/>
    <w:rsid w:val="654B3C55"/>
    <w:rsid w:val="654D1146"/>
    <w:rsid w:val="654E74BF"/>
    <w:rsid w:val="655318C6"/>
    <w:rsid w:val="65532D27"/>
    <w:rsid w:val="65534383"/>
    <w:rsid w:val="655B110E"/>
    <w:rsid w:val="655D5954"/>
    <w:rsid w:val="656071F2"/>
    <w:rsid w:val="65640A91"/>
    <w:rsid w:val="65660CAD"/>
    <w:rsid w:val="65661CED"/>
    <w:rsid w:val="656A1E1F"/>
    <w:rsid w:val="65752C9E"/>
    <w:rsid w:val="657666FB"/>
    <w:rsid w:val="6578453C"/>
    <w:rsid w:val="657A6506"/>
    <w:rsid w:val="65841133"/>
    <w:rsid w:val="65842EE1"/>
    <w:rsid w:val="65870C23"/>
    <w:rsid w:val="658729D1"/>
    <w:rsid w:val="65880BDD"/>
    <w:rsid w:val="6589499B"/>
    <w:rsid w:val="658C1780"/>
    <w:rsid w:val="659155FE"/>
    <w:rsid w:val="65953340"/>
    <w:rsid w:val="65966701"/>
    <w:rsid w:val="659A0956"/>
    <w:rsid w:val="659A2704"/>
    <w:rsid w:val="659A6BA8"/>
    <w:rsid w:val="659B022A"/>
    <w:rsid w:val="659C46CE"/>
    <w:rsid w:val="65A13A93"/>
    <w:rsid w:val="65A24113"/>
    <w:rsid w:val="65A45331"/>
    <w:rsid w:val="65A74B2E"/>
    <w:rsid w:val="65AD68DC"/>
    <w:rsid w:val="65B23EF2"/>
    <w:rsid w:val="65B25CA0"/>
    <w:rsid w:val="65BC6B1F"/>
    <w:rsid w:val="65BD63F3"/>
    <w:rsid w:val="65BF660F"/>
    <w:rsid w:val="65C87949"/>
    <w:rsid w:val="65C9123C"/>
    <w:rsid w:val="65C94D98"/>
    <w:rsid w:val="65CB6D62"/>
    <w:rsid w:val="65CC44E2"/>
    <w:rsid w:val="65CD232B"/>
    <w:rsid w:val="65CD2ADA"/>
    <w:rsid w:val="65CE0600"/>
    <w:rsid w:val="65D04378"/>
    <w:rsid w:val="65D33E68"/>
    <w:rsid w:val="65D379C4"/>
    <w:rsid w:val="65D5198E"/>
    <w:rsid w:val="65D73958"/>
    <w:rsid w:val="65D75707"/>
    <w:rsid w:val="65D8322D"/>
    <w:rsid w:val="65DC0F6F"/>
    <w:rsid w:val="65E120E1"/>
    <w:rsid w:val="65E41BD1"/>
    <w:rsid w:val="65E6594A"/>
    <w:rsid w:val="65E676F8"/>
    <w:rsid w:val="65E73470"/>
    <w:rsid w:val="65E9368C"/>
    <w:rsid w:val="65EB11B2"/>
    <w:rsid w:val="65EF15EA"/>
    <w:rsid w:val="65F00576"/>
    <w:rsid w:val="65F04A1A"/>
    <w:rsid w:val="65F067C8"/>
    <w:rsid w:val="65F30067"/>
    <w:rsid w:val="65F52031"/>
    <w:rsid w:val="65F938CF"/>
    <w:rsid w:val="65FC516D"/>
    <w:rsid w:val="65FD2C93"/>
    <w:rsid w:val="66044022"/>
    <w:rsid w:val="6605645B"/>
    <w:rsid w:val="660D2ED6"/>
    <w:rsid w:val="660D77BE"/>
    <w:rsid w:val="660E220A"/>
    <w:rsid w:val="660F30F2"/>
    <w:rsid w:val="66106E6A"/>
    <w:rsid w:val="661701F9"/>
    <w:rsid w:val="66171FA7"/>
    <w:rsid w:val="661848D1"/>
    <w:rsid w:val="661A04F6"/>
    <w:rsid w:val="661A55F3"/>
    <w:rsid w:val="661C580F"/>
    <w:rsid w:val="661E1587"/>
    <w:rsid w:val="661E3335"/>
    <w:rsid w:val="661E50E3"/>
    <w:rsid w:val="662014F4"/>
    <w:rsid w:val="66214BD4"/>
    <w:rsid w:val="66230554"/>
    <w:rsid w:val="6623094C"/>
    <w:rsid w:val="66233125"/>
    <w:rsid w:val="662621EA"/>
    <w:rsid w:val="66263F98"/>
    <w:rsid w:val="662B7800"/>
    <w:rsid w:val="662F5543"/>
    <w:rsid w:val="66302B58"/>
    <w:rsid w:val="6635067F"/>
    <w:rsid w:val="66364027"/>
    <w:rsid w:val="66383CCB"/>
    <w:rsid w:val="6639016F"/>
    <w:rsid w:val="66415276"/>
    <w:rsid w:val="66430FEE"/>
    <w:rsid w:val="664D7777"/>
    <w:rsid w:val="664F1FFE"/>
    <w:rsid w:val="66534969"/>
    <w:rsid w:val="66560D21"/>
    <w:rsid w:val="66587E4D"/>
    <w:rsid w:val="665C4848"/>
    <w:rsid w:val="665C66CA"/>
    <w:rsid w:val="665E7BD6"/>
    <w:rsid w:val="66613222"/>
    <w:rsid w:val="66641A48"/>
    <w:rsid w:val="66660410"/>
    <w:rsid w:val="666845B1"/>
    <w:rsid w:val="66685B88"/>
    <w:rsid w:val="666B5E4F"/>
    <w:rsid w:val="666D606B"/>
    <w:rsid w:val="666E56CA"/>
    <w:rsid w:val="666F3B91"/>
    <w:rsid w:val="66742F55"/>
    <w:rsid w:val="66754F1F"/>
    <w:rsid w:val="667E09CC"/>
    <w:rsid w:val="66802FB5"/>
    <w:rsid w:val="66811B16"/>
    <w:rsid w:val="66846F11"/>
    <w:rsid w:val="66886A01"/>
    <w:rsid w:val="668C4743"/>
    <w:rsid w:val="668F5FE1"/>
    <w:rsid w:val="668F7D8F"/>
    <w:rsid w:val="66911D59"/>
    <w:rsid w:val="669B4986"/>
    <w:rsid w:val="669E7FD2"/>
    <w:rsid w:val="66A51361"/>
    <w:rsid w:val="66A650D9"/>
    <w:rsid w:val="66A82BFF"/>
    <w:rsid w:val="66AA4BC9"/>
    <w:rsid w:val="66AB26EF"/>
    <w:rsid w:val="66AD46B9"/>
    <w:rsid w:val="66AF21DF"/>
    <w:rsid w:val="66B10793"/>
    <w:rsid w:val="66B141AA"/>
    <w:rsid w:val="66B43C9A"/>
    <w:rsid w:val="66B85F6D"/>
    <w:rsid w:val="66B912B0"/>
    <w:rsid w:val="66BA2932"/>
    <w:rsid w:val="66BB0B84"/>
    <w:rsid w:val="66BE2423"/>
    <w:rsid w:val="66C20165"/>
    <w:rsid w:val="66C37A39"/>
    <w:rsid w:val="66C832A1"/>
    <w:rsid w:val="66CA526B"/>
    <w:rsid w:val="66CD4D5B"/>
    <w:rsid w:val="66D103A8"/>
    <w:rsid w:val="66D32372"/>
    <w:rsid w:val="66D439F4"/>
    <w:rsid w:val="66D63C10"/>
    <w:rsid w:val="66D6776C"/>
    <w:rsid w:val="66D954AE"/>
    <w:rsid w:val="66DA5B19"/>
    <w:rsid w:val="66DB1226"/>
    <w:rsid w:val="66E217EC"/>
    <w:rsid w:val="66E225B5"/>
    <w:rsid w:val="66E31E89"/>
    <w:rsid w:val="66E75E1D"/>
    <w:rsid w:val="66EA76BB"/>
    <w:rsid w:val="66EC51E2"/>
    <w:rsid w:val="66EC6F90"/>
    <w:rsid w:val="66F422E8"/>
    <w:rsid w:val="66F45E44"/>
    <w:rsid w:val="66F552F2"/>
    <w:rsid w:val="66F61BBC"/>
    <w:rsid w:val="66FE3167"/>
    <w:rsid w:val="66FE6CC3"/>
    <w:rsid w:val="670047E9"/>
    <w:rsid w:val="6702616B"/>
    <w:rsid w:val="67050051"/>
    <w:rsid w:val="67073DC9"/>
    <w:rsid w:val="670818F0"/>
    <w:rsid w:val="670A38BA"/>
    <w:rsid w:val="670D5158"/>
    <w:rsid w:val="670E777A"/>
    <w:rsid w:val="670F2C7E"/>
    <w:rsid w:val="670F7122"/>
    <w:rsid w:val="6711338A"/>
    <w:rsid w:val="671464E6"/>
    <w:rsid w:val="6716400D"/>
    <w:rsid w:val="67173381"/>
    <w:rsid w:val="671A2A3A"/>
    <w:rsid w:val="671D183F"/>
    <w:rsid w:val="67204E8B"/>
    <w:rsid w:val="6723497B"/>
    <w:rsid w:val="67236729"/>
    <w:rsid w:val="67237D09"/>
    <w:rsid w:val="67242BCD"/>
    <w:rsid w:val="672524A2"/>
    <w:rsid w:val="6727446C"/>
    <w:rsid w:val="6727621A"/>
    <w:rsid w:val="67283D40"/>
    <w:rsid w:val="672A3F5C"/>
    <w:rsid w:val="672E57FA"/>
    <w:rsid w:val="672E75A8"/>
    <w:rsid w:val="672F50CE"/>
    <w:rsid w:val="67380427"/>
    <w:rsid w:val="673B7F17"/>
    <w:rsid w:val="673D5A3D"/>
    <w:rsid w:val="67406157"/>
    <w:rsid w:val="674072DB"/>
    <w:rsid w:val="67424E02"/>
    <w:rsid w:val="674548F2"/>
    <w:rsid w:val="67472418"/>
    <w:rsid w:val="67486190"/>
    <w:rsid w:val="674F751F"/>
    <w:rsid w:val="6752111F"/>
    <w:rsid w:val="67550FD9"/>
    <w:rsid w:val="67555A5D"/>
    <w:rsid w:val="67564D51"/>
    <w:rsid w:val="67580AC9"/>
    <w:rsid w:val="67582877"/>
    <w:rsid w:val="6759214B"/>
    <w:rsid w:val="675D7E8D"/>
    <w:rsid w:val="67640B0A"/>
    <w:rsid w:val="6764121C"/>
    <w:rsid w:val="67672ABA"/>
    <w:rsid w:val="67683ED3"/>
    <w:rsid w:val="677D5E3A"/>
    <w:rsid w:val="677E1BB2"/>
    <w:rsid w:val="678331C5"/>
    <w:rsid w:val="678371C8"/>
    <w:rsid w:val="678436AC"/>
    <w:rsid w:val="6784541A"/>
    <w:rsid w:val="67874F0A"/>
    <w:rsid w:val="678A67A9"/>
    <w:rsid w:val="678E0566"/>
    <w:rsid w:val="678E6299"/>
    <w:rsid w:val="6793565D"/>
    <w:rsid w:val="6796339F"/>
    <w:rsid w:val="679715F1"/>
    <w:rsid w:val="67975D72"/>
    <w:rsid w:val="679D028A"/>
    <w:rsid w:val="679D6984"/>
    <w:rsid w:val="679F4002"/>
    <w:rsid w:val="67A07D7A"/>
    <w:rsid w:val="67A23AF2"/>
    <w:rsid w:val="67A41618"/>
    <w:rsid w:val="67A45ABC"/>
    <w:rsid w:val="67A4786A"/>
    <w:rsid w:val="67A639D9"/>
    <w:rsid w:val="67A92E77"/>
    <w:rsid w:val="67A94E81"/>
    <w:rsid w:val="67AA29A7"/>
    <w:rsid w:val="67AC1177"/>
    <w:rsid w:val="67B331D4"/>
    <w:rsid w:val="67B35CFF"/>
    <w:rsid w:val="67B37A94"/>
    <w:rsid w:val="67B55127"/>
    <w:rsid w:val="67B56133"/>
    <w:rsid w:val="67B75B18"/>
    <w:rsid w:val="67B97DDD"/>
    <w:rsid w:val="67BD092C"/>
    <w:rsid w:val="67C1202C"/>
    <w:rsid w:val="67C27CF0"/>
    <w:rsid w:val="67C47F0C"/>
    <w:rsid w:val="67C95523"/>
    <w:rsid w:val="67CC0181"/>
    <w:rsid w:val="67D31EFE"/>
    <w:rsid w:val="67D46EF3"/>
    <w:rsid w:val="67D5211A"/>
    <w:rsid w:val="67D55C76"/>
    <w:rsid w:val="67DB0013"/>
    <w:rsid w:val="67DD4B2A"/>
    <w:rsid w:val="67E1286C"/>
    <w:rsid w:val="67E660D5"/>
    <w:rsid w:val="67E73BFB"/>
    <w:rsid w:val="67ED11DA"/>
    <w:rsid w:val="67ED7463"/>
    <w:rsid w:val="67EE4F89"/>
    <w:rsid w:val="67F307F2"/>
    <w:rsid w:val="67F500C6"/>
    <w:rsid w:val="67F547F9"/>
    <w:rsid w:val="67F60DFC"/>
    <w:rsid w:val="67F65BEC"/>
    <w:rsid w:val="67F67374"/>
    <w:rsid w:val="67F81964"/>
    <w:rsid w:val="67F85E08"/>
    <w:rsid w:val="67FA392E"/>
    <w:rsid w:val="67FC1454"/>
    <w:rsid w:val="67FF0F45"/>
    <w:rsid w:val="68014CBD"/>
    <w:rsid w:val="680B78E9"/>
    <w:rsid w:val="680C2887"/>
    <w:rsid w:val="680D18B3"/>
    <w:rsid w:val="681317B4"/>
    <w:rsid w:val="681625CB"/>
    <w:rsid w:val="68182006"/>
    <w:rsid w:val="681B3C55"/>
    <w:rsid w:val="681C1AF7"/>
    <w:rsid w:val="681C5653"/>
    <w:rsid w:val="681F15E7"/>
    <w:rsid w:val="681F3395"/>
    <w:rsid w:val="68212C69"/>
    <w:rsid w:val="68213264"/>
    <w:rsid w:val="6821710D"/>
    <w:rsid w:val="68256D1C"/>
    <w:rsid w:val="682664D1"/>
    <w:rsid w:val="68273FF7"/>
    <w:rsid w:val="68295FC1"/>
    <w:rsid w:val="682D7860"/>
    <w:rsid w:val="6834222E"/>
    <w:rsid w:val="683430E3"/>
    <w:rsid w:val="68356714"/>
    <w:rsid w:val="6837444B"/>
    <w:rsid w:val="68376930"/>
    <w:rsid w:val="683926A8"/>
    <w:rsid w:val="683A01CF"/>
    <w:rsid w:val="683F57E5"/>
    <w:rsid w:val="68430937"/>
    <w:rsid w:val="685079F2"/>
    <w:rsid w:val="68556DB7"/>
    <w:rsid w:val="68572B2F"/>
    <w:rsid w:val="68580655"/>
    <w:rsid w:val="685C0145"/>
    <w:rsid w:val="685C6397"/>
    <w:rsid w:val="685E3EBD"/>
    <w:rsid w:val="685E5C6B"/>
    <w:rsid w:val="68607DBB"/>
    <w:rsid w:val="6862378C"/>
    <w:rsid w:val="686314D3"/>
    <w:rsid w:val="68637725"/>
    <w:rsid w:val="68670447"/>
    <w:rsid w:val="68677C8E"/>
    <w:rsid w:val="68694610"/>
    <w:rsid w:val="686A0AB4"/>
    <w:rsid w:val="686D2352"/>
    <w:rsid w:val="68725BBA"/>
    <w:rsid w:val="68752FB5"/>
    <w:rsid w:val="68784853"/>
    <w:rsid w:val="687F5BE1"/>
    <w:rsid w:val="68802085"/>
    <w:rsid w:val="688356D2"/>
    <w:rsid w:val="688651C2"/>
    <w:rsid w:val="688C5357"/>
    <w:rsid w:val="688D47A2"/>
    <w:rsid w:val="689173D8"/>
    <w:rsid w:val="68925915"/>
    <w:rsid w:val="689478DF"/>
    <w:rsid w:val="68953657"/>
    <w:rsid w:val="68977284"/>
    <w:rsid w:val="689A40B9"/>
    <w:rsid w:val="689E42BA"/>
    <w:rsid w:val="68A044D6"/>
    <w:rsid w:val="68A57C30"/>
    <w:rsid w:val="68AD09A1"/>
    <w:rsid w:val="68AF64C7"/>
    <w:rsid w:val="68B0223F"/>
    <w:rsid w:val="68B47F81"/>
    <w:rsid w:val="68B55FE4"/>
    <w:rsid w:val="68B735CD"/>
    <w:rsid w:val="68B73EBF"/>
    <w:rsid w:val="68B7537B"/>
    <w:rsid w:val="68B93423"/>
    <w:rsid w:val="68BB130F"/>
    <w:rsid w:val="68BC6E36"/>
    <w:rsid w:val="68BF2482"/>
    <w:rsid w:val="68C03F9C"/>
    <w:rsid w:val="68C051D9"/>
    <w:rsid w:val="68C4012B"/>
    <w:rsid w:val="68C53F3C"/>
    <w:rsid w:val="68C61A62"/>
    <w:rsid w:val="68C63810"/>
    <w:rsid w:val="68C8445A"/>
    <w:rsid w:val="68C857DA"/>
    <w:rsid w:val="68C87588"/>
    <w:rsid w:val="68CC52CB"/>
    <w:rsid w:val="68D221B5"/>
    <w:rsid w:val="68D423D1"/>
    <w:rsid w:val="68D4417F"/>
    <w:rsid w:val="68D51CA5"/>
    <w:rsid w:val="68D555CE"/>
    <w:rsid w:val="68D66149"/>
    <w:rsid w:val="68D67EF7"/>
    <w:rsid w:val="68D979E8"/>
    <w:rsid w:val="68E00D76"/>
    <w:rsid w:val="68E02B24"/>
    <w:rsid w:val="68E24AEE"/>
    <w:rsid w:val="68E32614"/>
    <w:rsid w:val="68E5013A"/>
    <w:rsid w:val="68E64A1D"/>
    <w:rsid w:val="68E85E7D"/>
    <w:rsid w:val="68EA0337"/>
    <w:rsid w:val="68EC14C9"/>
    <w:rsid w:val="68ED5241"/>
    <w:rsid w:val="68EF0FB9"/>
    <w:rsid w:val="68EF2D67"/>
    <w:rsid w:val="68EF4B15"/>
    <w:rsid w:val="68EF720B"/>
    <w:rsid w:val="68F021D6"/>
    <w:rsid w:val="68F2396D"/>
    <w:rsid w:val="68F44821"/>
    <w:rsid w:val="68F62348"/>
    <w:rsid w:val="68F91E38"/>
    <w:rsid w:val="68F93BE6"/>
    <w:rsid w:val="68FE744E"/>
    <w:rsid w:val="69004F74"/>
    <w:rsid w:val="69006D22"/>
    <w:rsid w:val="69012A9A"/>
    <w:rsid w:val="69036813"/>
    <w:rsid w:val="690600B1"/>
    <w:rsid w:val="690A594E"/>
    <w:rsid w:val="690C0CC9"/>
    <w:rsid w:val="6910007F"/>
    <w:rsid w:val="69124CA8"/>
    <w:rsid w:val="69147503"/>
    <w:rsid w:val="69164798"/>
    <w:rsid w:val="69197DE4"/>
    <w:rsid w:val="691B3B5C"/>
    <w:rsid w:val="691B5192"/>
    <w:rsid w:val="691C1682"/>
    <w:rsid w:val="691E53FA"/>
    <w:rsid w:val="69225065"/>
    <w:rsid w:val="692844CB"/>
    <w:rsid w:val="692C5D69"/>
    <w:rsid w:val="692C65C6"/>
    <w:rsid w:val="692E7D33"/>
    <w:rsid w:val="69366BE8"/>
    <w:rsid w:val="693764BC"/>
    <w:rsid w:val="693B41FE"/>
    <w:rsid w:val="693B74C7"/>
    <w:rsid w:val="693D306B"/>
    <w:rsid w:val="693E5A9D"/>
    <w:rsid w:val="69401815"/>
    <w:rsid w:val="69456CBE"/>
    <w:rsid w:val="69470DF5"/>
    <w:rsid w:val="69513A22"/>
    <w:rsid w:val="695157D0"/>
    <w:rsid w:val="695232F6"/>
    <w:rsid w:val="69531548"/>
    <w:rsid w:val="69594684"/>
    <w:rsid w:val="695D23C7"/>
    <w:rsid w:val="695D5F23"/>
    <w:rsid w:val="695E7EED"/>
    <w:rsid w:val="69643755"/>
    <w:rsid w:val="69644E17"/>
    <w:rsid w:val="696A4AE4"/>
    <w:rsid w:val="6974326C"/>
    <w:rsid w:val="697601DE"/>
    <w:rsid w:val="69765236"/>
    <w:rsid w:val="69780FAF"/>
    <w:rsid w:val="69794D27"/>
    <w:rsid w:val="697F058F"/>
    <w:rsid w:val="69894F6A"/>
    <w:rsid w:val="698D243B"/>
    <w:rsid w:val="698D3932"/>
    <w:rsid w:val="69935DE8"/>
    <w:rsid w:val="699833FF"/>
    <w:rsid w:val="69990F25"/>
    <w:rsid w:val="699A7177"/>
    <w:rsid w:val="699C32E1"/>
    <w:rsid w:val="699F29DF"/>
    <w:rsid w:val="69A2602B"/>
    <w:rsid w:val="69A73642"/>
    <w:rsid w:val="69A973BA"/>
    <w:rsid w:val="69B13899"/>
    <w:rsid w:val="69B33D95"/>
    <w:rsid w:val="69B55D5F"/>
    <w:rsid w:val="69B67D29"/>
    <w:rsid w:val="69B875FD"/>
    <w:rsid w:val="69B95123"/>
    <w:rsid w:val="69C2047C"/>
    <w:rsid w:val="69C2222A"/>
    <w:rsid w:val="69C274C7"/>
    <w:rsid w:val="69C441F4"/>
    <w:rsid w:val="69C45FA2"/>
    <w:rsid w:val="69CA3FC5"/>
    <w:rsid w:val="69D07E37"/>
    <w:rsid w:val="69D62568"/>
    <w:rsid w:val="69D65CD5"/>
    <w:rsid w:val="69DA57C5"/>
    <w:rsid w:val="69DB1359"/>
    <w:rsid w:val="69E403F2"/>
    <w:rsid w:val="69E421A0"/>
    <w:rsid w:val="69E46644"/>
    <w:rsid w:val="69EA352F"/>
    <w:rsid w:val="69EE1271"/>
    <w:rsid w:val="69F07DED"/>
    <w:rsid w:val="69F4314E"/>
    <w:rsid w:val="69F543AD"/>
    <w:rsid w:val="69F745C9"/>
    <w:rsid w:val="69F83E9D"/>
    <w:rsid w:val="69FC5E8B"/>
    <w:rsid w:val="69FD3262"/>
    <w:rsid w:val="6A0154E3"/>
    <w:rsid w:val="6A0445F0"/>
    <w:rsid w:val="6A072AD7"/>
    <w:rsid w:val="6A0A6A43"/>
    <w:rsid w:val="6A0E546F"/>
    <w:rsid w:val="6A1A2066"/>
    <w:rsid w:val="6A1D1F7E"/>
    <w:rsid w:val="6A1D56B2"/>
    <w:rsid w:val="6A1F767C"/>
    <w:rsid w:val="6A2124C5"/>
    <w:rsid w:val="6A2133F4"/>
    <w:rsid w:val="6A220F1A"/>
    <w:rsid w:val="6A244C92"/>
    <w:rsid w:val="6A253BE6"/>
    <w:rsid w:val="6A260A0B"/>
    <w:rsid w:val="6A266C5C"/>
    <w:rsid w:val="6A2B6021"/>
    <w:rsid w:val="6A2E3D63"/>
    <w:rsid w:val="6A2E5B11"/>
    <w:rsid w:val="6A301889"/>
    <w:rsid w:val="6A334ED5"/>
    <w:rsid w:val="6A3950E6"/>
    <w:rsid w:val="6A3B3D8A"/>
    <w:rsid w:val="6A3D3FA6"/>
    <w:rsid w:val="6A4175F2"/>
    <w:rsid w:val="6A42336B"/>
    <w:rsid w:val="6A4470E3"/>
    <w:rsid w:val="6A4610AD"/>
    <w:rsid w:val="6A4964A7"/>
    <w:rsid w:val="6A4A3798"/>
    <w:rsid w:val="6A4B66C3"/>
    <w:rsid w:val="6A4C2E4F"/>
    <w:rsid w:val="6A4E3ABD"/>
    <w:rsid w:val="6A4F66FC"/>
    <w:rsid w:val="6A51241A"/>
    <w:rsid w:val="6A514364"/>
    <w:rsid w:val="6A535578"/>
    <w:rsid w:val="6A551CF9"/>
    <w:rsid w:val="6A56618B"/>
    <w:rsid w:val="6A5A06B4"/>
    <w:rsid w:val="6A5A4B58"/>
    <w:rsid w:val="6A60702F"/>
    <w:rsid w:val="6A611A43"/>
    <w:rsid w:val="6A615EE7"/>
    <w:rsid w:val="6A647785"/>
    <w:rsid w:val="6A694087"/>
    <w:rsid w:val="6A6C06A2"/>
    <w:rsid w:val="6A753740"/>
    <w:rsid w:val="6A773014"/>
    <w:rsid w:val="6A7A2B04"/>
    <w:rsid w:val="6A7D4D35"/>
    <w:rsid w:val="6A81158B"/>
    <w:rsid w:val="6A81400C"/>
    <w:rsid w:val="6A8169BA"/>
    <w:rsid w:val="6A841BD5"/>
    <w:rsid w:val="6A843983"/>
    <w:rsid w:val="6A851AA6"/>
    <w:rsid w:val="6A890F99"/>
    <w:rsid w:val="6A8A2F57"/>
    <w:rsid w:val="6A8A3E6E"/>
    <w:rsid w:val="6A8B4631"/>
    <w:rsid w:val="6A8B4D12"/>
    <w:rsid w:val="6A8E035E"/>
    <w:rsid w:val="6A933BC6"/>
    <w:rsid w:val="6A975464"/>
    <w:rsid w:val="6A995680"/>
    <w:rsid w:val="6A9A31A7"/>
    <w:rsid w:val="6AA162E3"/>
    <w:rsid w:val="6AA33E09"/>
    <w:rsid w:val="6AA40B0F"/>
    <w:rsid w:val="6AA61B4B"/>
    <w:rsid w:val="6AA71493"/>
    <w:rsid w:val="6AA933EA"/>
    <w:rsid w:val="6AAC3883"/>
    <w:rsid w:val="6AAD6A36"/>
    <w:rsid w:val="6AAF6C52"/>
    <w:rsid w:val="6AB2229E"/>
    <w:rsid w:val="6AB2641F"/>
    <w:rsid w:val="6AB44268"/>
    <w:rsid w:val="6AB51D8E"/>
    <w:rsid w:val="6AB53B3C"/>
    <w:rsid w:val="6AB778B5"/>
    <w:rsid w:val="6ABC311D"/>
    <w:rsid w:val="6AC72B33"/>
    <w:rsid w:val="6ACD0E86"/>
    <w:rsid w:val="6ACD70D8"/>
    <w:rsid w:val="6AD20B92"/>
    <w:rsid w:val="6AD55F8D"/>
    <w:rsid w:val="6AD93CCF"/>
    <w:rsid w:val="6ADE12E5"/>
    <w:rsid w:val="6ADF0F1B"/>
    <w:rsid w:val="6AE34B4E"/>
    <w:rsid w:val="6AE54422"/>
    <w:rsid w:val="6AE663EC"/>
    <w:rsid w:val="6AEC1C54"/>
    <w:rsid w:val="6AED32D6"/>
    <w:rsid w:val="6AEF704E"/>
    <w:rsid w:val="6AF01A9B"/>
    <w:rsid w:val="6AF02DC7"/>
    <w:rsid w:val="6AF208ED"/>
    <w:rsid w:val="6AF74155"/>
    <w:rsid w:val="6AF7565C"/>
    <w:rsid w:val="6AFB3C45"/>
    <w:rsid w:val="6AFE3735"/>
    <w:rsid w:val="6AFE54E3"/>
    <w:rsid w:val="6B064398"/>
    <w:rsid w:val="6B080110"/>
    <w:rsid w:val="6B0A20DA"/>
    <w:rsid w:val="6B0F76F1"/>
    <w:rsid w:val="6B146AB5"/>
    <w:rsid w:val="6B166CD1"/>
    <w:rsid w:val="6B1747F7"/>
    <w:rsid w:val="6B182A49"/>
    <w:rsid w:val="6B19056F"/>
    <w:rsid w:val="6B1D005F"/>
    <w:rsid w:val="6B1E16E2"/>
    <w:rsid w:val="6B205CF8"/>
    <w:rsid w:val="6B227A82"/>
    <w:rsid w:val="6B23319C"/>
    <w:rsid w:val="6B286A04"/>
    <w:rsid w:val="6B2A62D8"/>
    <w:rsid w:val="6B2B3DFF"/>
    <w:rsid w:val="6B2B52BE"/>
    <w:rsid w:val="6B2D21E8"/>
    <w:rsid w:val="6B317667"/>
    <w:rsid w:val="6B373797"/>
    <w:rsid w:val="6B3D24B0"/>
    <w:rsid w:val="6B3D425E"/>
    <w:rsid w:val="6B3E7FD6"/>
    <w:rsid w:val="6B4355EC"/>
    <w:rsid w:val="6B43739A"/>
    <w:rsid w:val="6B460C38"/>
    <w:rsid w:val="6B4D0219"/>
    <w:rsid w:val="6B4F5D3F"/>
    <w:rsid w:val="6B5670CE"/>
    <w:rsid w:val="6B5C220A"/>
    <w:rsid w:val="6B5E2426"/>
    <w:rsid w:val="6B5E5F82"/>
    <w:rsid w:val="6B621F16"/>
    <w:rsid w:val="6B6446DD"/>
    <w:rsid w:val="6B6C68F1"/>
    <w:rsid w:val="6B7457A6"/>
    <w:rsid w:val="6B7E03D2"/>
    <w:rsid w:val="6B8062E7"/>
    <w:rsid w:val="6B825095"/>
    <w:rsid w:val="6B827EC3"/>
    <w:rsid w:val="6B855C05"/>
    <w:rsid w:val="6B881251"/>
    <w:rsid w:val="6B8C0D41"/>
    <w:rsid w:val="6B8D21A8"/>
    <w:rsid w:val="6B916358"/>
    <w:rsid w:val="6B94207B"/>
    <w:rsid w:val="6B961BC0"/>
    <w:rsid w:val="6B96396E"/>
    <w:rsid w:val="6B963CD0"/>
    <w:rsid w:val="6B981494"/>
    <w:rsid w:val="6B99520C"/>
    <w:rsid w:val="6B9A16B0"/>
    <w:rsid w:val="6B9E2823"/>
    <w:rsid w:val="6BA208B3"/>
    <w:rsid w:val="6BA918F3"/>
    <w:rsid w:val="6BAC4F3F"/>
    <w:rsid w:val="6BAF2E48"/>
    <w:rsid w:val="6BB43DF4"/>
    <w:rsid w:val="6BB65DBE"/>
    <w:rsid w:val="6BB81B36"/>
    <w:rsid w:val="6BB87D88"/>
    <w:rsid w:val="6BB9765C"/>
    <w:rsid w:val="6BBB4395"/>
    <w:rsid w:val="6BBF1E9A"/>
    <w:rsid w:val="6BC06C3D"/>
    <w:rsid w:val="6BC229B5"/>
    <w:rsid w:val="6BC404DB"/>
    <w:rsid w:val="6BC42750"/>
    <w:rsid w:val="6BC54253"/>
    <w:rsid w:val="6BC75690"/>
    <w:rsid w:val="6BC95AF1"/>
    <w:rsid w:val="6BCD4FAC"/>
    <w:rsid w:val="6BD10E4A"/>
    <w:rsid w:val="6BD334AD"/>
    <w:rsid w:val="6BD526E8"/>
    <w:rsid w:val="6BD9385B"/>
    <w:rsid w:val="6BDA0B80"/>
    <w:rsid w:val="6BDF70C3"/>
    <w:rsid w:val="6BE16F41"/>
    <w:rsid w:val="6BE21DEB"/>
    <w:rsid w:val="6BE566A3"/>
    <w:rsid w:val="6BEC17E0"/>
    <w:rsid w:val="6BEE37AA"/>
    <w:rsid w:val="6BEF307E"/>
    <w:rsid w:val="6BF40694"/>
    <w:rsid w:val="6BF54B38"/>
    <w:rsid w:val="6BF608B1"/>
    <w:rsid w:val="6BF95CAB"/>
    <w:rsid w:val="6BFB5EC7"/>
    <w:rsid w:val="6BFE6179"/>
    <w:rsid w:val="6BFF7765"/>
    <w:rsid w:val="6C00528B"/>
    <w:rsid w:val="6C022DB1"/>
    <w:rsid w:val="6C082C59"/>
    <w:rsid w:val="6C101972"/>
    <w:rsid w:val="6C104B90"/>
    <w:rsid w:val="6C164AAF"/>
    <w:rsid w:val="6C172D01"/>
    <w:rsid w:val="6C180827"/>
    <w:rsid w:val="6C206AC0"/>
    <w:rsid w:val="6C240F7A"/>
    <w:rsid w:val="6C276CBC"/>
    <w:rsid w:val="6C292A34"/>
    <w:rsid w:val="6C2947E2"/>
    <w:rsid w:val="6C2B055A"/>
    <w:rsid w:val="6C2B2308"/>
    <w:rsid w:val="6C2C6080"/>
    <w:rsid w:val="6C327B3B"/>
    <w:rsid w:val="6C33740F"/>
    <w:rsid w:val="6C360CAD"/>
    <w:rsid w:val="6C382C77"/>
    <w:rsid w:val="6C3867D3"/>
    <w:rsid w:val="6C397AD4"/>
    <w:rsid w:val="6C3A079D"/>
    <w:rsid w:val="6C3B62C3"/>
    <w:rsid w:val="6C3C2767"/>
    <w:rsid w:val="6C44786E"/>
    <w:rsid w:val="6C4640CE"/>
    <w:rsid w:val="6C465394"/>
    <w:rsid w:val="6C474C68"/>
    <w:rsid w:val="6C4909E0"/>
    <w:rsid w:val="6C492D52"/>
    <w:rsid w:val="6C4E5FF7"/>
    <w:rsid w:val="6C515AE7"/>
    <w:rsid w:val="6C53360D"/>
    <w:rsid w:val="6C5C4BB7"/>
    <w:rsid w:val="6C5F0204"/>
    <w:rsid w:val="6C5F1FB2"/>
    <w:rsid w:val="6C643A6C"/>
    <w:rsid w:val="6C661056"/>
    <w:rsid w:val="6C6770B8"/>
    <w:rsid w:val="6C6E6699"/>
    <w:rsid w:val="6C6F6A3B"/>
    <w:rsid w:val="6C77379F"/>
    <w:rsid w:val="6C786B47"/>
    <w:rsid w:val="6C7A503E"/>
    <w:rsid w:val="6C7A6DEC"/>
    <w:rsid w:val="6C7C0DB6"/>
    <w:rsid w:val="6C7D4B2E"/>
    <w:rsid w:val="6C7F08A6"/>
    <w:rsid w:val="6C807818"/>
    <w:rsid w:val="6C823EF2"/>
    <w:rsid w:val="6C8639E2"/>
    <w:rsid w:val="6C871509"/>
    <w:rsid w:val="6C875BB5"/>
    <w:rsid w:val="6C8A6DA4"/>
    <w:rsid w:val="6C8E2897"/>
    <w:rsid w:val="6C9205D9"/>
    <w:rsid w:val="6C946F4C"/>
    <w:rsid w:val="6C975BF0"/>
    <w:rsid w:val="6C983716"/>
    <w:rsid w:val="6C996482"/>
    <w:rsid w:val="6C9F6852"/>
    <w:rsid w:val="6CA1081C"/>
    <w:rsid w:val="6CA26D23"/>
    <w:rsid w:val="6CA34594"/>
    <w:rsid w:val="6CA36342"/>
    <w:rsid w:val="6CA65E33"/>
    <w:rsid w:val="6CA67BE1"/>
    <w:rsid w:val="6CAB169B"/>
    <w:rsid w:val="6CAB34E9"/>
    <w:rsid w:val="6CAB51F7"/>
    <w:rsid w:val="6CAD0F6F"/>
    <w:rsid w:val="6CAF3ECE"/>
    <w:rsid w:val="6CB0280D"/>
    <w:rsid w:val="6CB06CB1"/>
    <w:rsid w:val="6CB5251A"/>
    <w:rsid w:val="6CB57E24"/>
    <w:rsid w:val="6CBC11B2"/>
    <w:rsid w:val="6CBD325C"/>
    <w:rsid w:val="6CBF0CA2"/>
    <w:rsid w:val="6CC10EBE"/>
    <w:rsid w:val="6CC162E3"/>
    <w:rsid w:val="6CC23385"/>
    <w:rsid w:val="6CC30793"/>
    <w:rsid w:val="6CC4450B"/>
    <w:rsid w:val="6CC64968"/>
    <w:rsid w:val="6CC67584"/>
    <w:rsid w:val="6CC83FFB"/>
    <w:rsid w:val="6CC951B0"/>
    <w:rsid w:val="6CCD1611"/>
    <w:rsid w:val="6CCD4069"/>
    <w:rsid w:val="6CD02EB0"/>
    <w:rsid w:val="6CD176D0"/>
    <w:rsid w:val="6CD17DE6"/>
    <w:rsid w:val="6CD209D6"/>
    <w:rsid w:val="6CD26C28"/>
    <w:rsid w:val="6CD40BF2"/>
    <w:rsid w:val="6CD438E8"/>
    <w:rsid w:val="6CD504C6"/>
    <w:rsid w:val="6CD97FB6"/>
    <w:rsid w:val="6CE02CFC"/>
    <w:rsid w:val="6CE10C19"/>
    <w:rsid w:val="6CE1418C"/>
    <w:rsid w:val="6CE52946"/>
    <w:rsid w:val="6CE60925"/>
    <w:rsid w:val="6CE626D3"/>
    <w:rsid w:val="6CEB5F3B"/>
    <w:rsid w:val="6CED1CB3"/>
    <w:rsid w:val="6CEE3336"/>
    <w:rsid w:val="6CF22E26"/>
    <w:rsid w:val="6CF3094C"/>
    <w:rsid w:val="6CF46B9E"/>
    <w:rsid w:val="6CF50B68"/>
    <w:rsid w:val="6CF546C4"/>
    <w:rsid w:val="6CF80F83"/>
    <w:rsid w:val="6CF90658"/>
    <w:rsid w:val="6CFA1CDB"/>
    <w:rsid w:val="6CFC1EF7"/>
    <w:rsid w:val="6CFC5A53"/>
    <w:rsid w:val="6CFE5C6F"/>
    <w:rsid w:val="6CFF5543"/>
    <w:rsid w:val="6D003795"/>
    <w:rsid w:val="6D036DE1"/>
    <w:rsid w:val="6D047801"/>
    <w:rsid w:val="6D06067F"/>
    <w:rsid w:val="6D082649"/>
    <w:rsid w:val="6D0A4613"/>
    <w:rsid w:val="6D0D7148"/>
    <w:rsid w:val="6D0E5786"/>
    <w:rsid w:val="6D12495D"/>
    <w:rsid w:val="6D156B14"/>
    <w:rsid w:val="6D185B70"/>
    <w:rsid w:val="6D19632A"/>
    <w:rsid w:val="6D1B4145"/>
    <w:rsid w:val="6D1C7EA3"/>
    <w:rsid w:val="6D1D6C3D"/>
    <w:rsid w:val="6D1E49F0"/>
    <w:rsid w:val="6D205BE5"/>
    <w:rsid w:val="6D21195D"/>
    <w:rsid w:val="6D21370B"/>
    <w:rsid w:val="6D236777"/>
    <w:rsid w:val="6D2531FB"/>
    <w:rsid w:val="6D266F73"/>
    <w:rsid w:val="6D2867F4"/>
    <w:rsid w:val="6D286921"/>
    <w:rsid w:val="6D2A6A64"/>
    <w:rsid w:val="6D2F407A"/>
    <w:rsid w:val="6D2F7BD6"/>
    <w:rsid w:val="6D301BA0"/>
    <w:rsid w:val="6D346605"/>
    <w:rsid w:val="6D365409"/>
    <w:rsid w:val="6D392803"/>
    <w:rsid w:val="6D3A657B"/>
    <w:rsid w:val="6D3B2A1F"/>
    <w:rsid w:val="6D3B47CD"/>
    <w:rsid w:val="6D3C22F3"/>
    <w:rsid w:val="6D3E42BD"/>
    <w:rsid w:val="6D400035"/>
    <w:rsid w:val="6D45497B"/>
    <w:rsid w:val="6D4573FA"/>
    <w:rsid w:val="6D463172"/>
    <w:rsid w:val="6D4F2026"/>
    <w:rsid w:val="6D513FF0"/>
    <w:rsid w:val="6D5450CE"/>
    <w:rsid w:val="6D567859"/>
    <w:rsid w:val="6D593268"/>
    <w:rsid w:val="6D602485"/>
    <w:rsid w:val="6D604233"/>
    <w:rsid w:val="6D605FE2"/>
    <w:rsid w:val="6D631F76"/>
    <w:rsid w:val="6D633D24"/>
    <w:rsid w:val="6D641134"/>
    <w:rsid w:val="6D6655C2"/>
    <w:rsid w:val="6D673814"/>
    <w:rsid w:val="6D683DB4"/>
    <w:rsid w:val="6D7101EF"/>
    <w:rsid w:val="6D741A8D"/>
    <w:rsid w:val="6D77332B"/>
    <w:rsid w:val="6D7C6B93"/>
    <w:rsid w:val="6D7E46BA"/>
    <w:rsid w:val="6D800432"/>
    <w:rsid w:val="6D820DB6"/>
    <w:rsid w:val="6D8223FC"/>
    <w:rsid w:val="6D8343C6"/>
    <w:rsid w:val="6D8A4356"/>
    <w:rsid w:val="6D8C5028"/>
    <w:rsid w:val="6D8D5B32"/>
    <w:rsid w:val="6D8E489E"/>
    <w:rsid w:val="6D8E6FF3"/>
    <w:rsid w:val="6D91263F"/>
    <w:rsid w:val="6D9143ED"/>
    <w:rsid w:val="6D963D7A"/>
    <w:rsid w:val="6D9640F9"/>
    <w:rsid w:val="6D9716CF"/>
    <w:rsid w:val="6D9B526C"/>
    <w:rsid w:val="6DA32E70"/>
    <w:rsid w:val="6DA83EFF"/>
    <w:rsid w:val="6DAA1953"/>
    <w:rsid w:val="6DAC0B3C"/>
    <w:rsid w:val="6DAC7479"/>
    <w:rsid w:val="6DAD31F1"/>
    <w:rsid w:val="6DAF0D17"/>
    <w:rsid w:val="6DB1683D"/>
    <w:rsid w:val="6DB225B5"/>
    <w:rsid w:val="6DB602F7"/>
    <w:rsid w:val="6DBC51E2"/>
    <w:rsid w:val="6DBD1686"/>
    <w:rsid w:val="6DBE53FE"/>
    <w:rsid w:val="6DBE71AC"/>
    <w:rsid w:val="6DC01176"/>
    <w:rsid w:val="6DC04CD2"/>
    <w:rsid w:val="6DC81DD9"/>
    <w:rsid w:val="6DCA69DB"/>
    <w:rsid w:val="6DCB757A"/>
    <w:rsid w:val="6DD16EDF"/>
    <w:rsid w:val="6DD24A05"/>
    <w:rsid w:val="6DD4077E"/>
    <w:rsid w:val="6DD469CF"/>
    <w:rsid w:val="6DD72B83"/>
    <w:rsid w:val="6DD8201C"/>
    <w:rsid w:val="6DDA2238"/>
    <w:rsid w:val="6DDD5884"/>
    <w:rsid w:val="6DDE33AA"/>
    <w:rsid w:val="6DE43BBB"/>
    <w:rsid w:val="6DE63302"/>
    <w:rsid w:val="6DEA1D4F"/>
    <w:rsid w:val="6DEE5CE3"/>
    <w:rsid w:val="6DF40E20"/>
    <w:rsid w:val="6DF606F4"/>
    <w:rsid w:val="6DF66946"/>
    <w:rsid w:val="6DF80910"/>
    <w:rsid w:val="6DFE1741"/>
    <w:rsid w:val="6DFE57FA"/>
    <w:rsid w:val="6E0077C5"/>
    <w:rsid w:val="6E020C56"/>
    <w:rsid w:val="6E027099"/>
    <w:rsid w:val="6E033011"/>
    <w:rsid w:val="6E054DDB"/>
    <w:rsid w:val="6E056B89"/>
    <w:rsid w:val="6E084D0E"/>
    <w:rsid w:val="6E0C6169"/>
    <w:rsid w:val="6E0F17B6"/>
    <w:rsid w:val="6E11552E"/>
    <w:rsid w:val="6E11742A"/>
    <w:rsid w:val="6E184B0E"/>
    <w:rsid w:val="6E1868BC"/>
    <w:rsid w:val="6E2214E9"/>
    <w:rsid w:val="6E22773B"/>
    <w:rsid w:val="6E2434B3"/>
    <w:rsid w:val="6E250FD9"/>
    <w:rsid w:val="6E26547D"/>
    <w:rsid w:val="6E274D51"/>
    <w:rsid w:val="6E30177C"/>
    <w:rsid w:val="6E314013"/>
    <w:rsid w:val="6E337B9A"/>
    <w:rsid w:val="6E3556C0"/>
    <w:rsid w:val="6E361438"/>
    <w:rsid w:val="6E3631E6"/>
    <w:rsid w:val="6E386F5E"/>
    <w:rsid w:val="6E3A2CD6"/>
    <w:rsid w:val="6E3B07FD"/>
    <w:rsid w:val="6E3B25AB"/>
    <w:rsid w:val="6E3B6A4F"/>
    <w:rsid w:val="6E3C08A1"/>
    <w:rsid w:val="6E3F209B"/>
    <w:rsid w:val="6E405D89"/>
    <w:rsid w:val="6E4476B1"/>
    <w:rsid w:val="6E4753F3"/>
    <w:rsid w:val="6E4771A1"/>
    <w:rsid w:val="6E492F1A"/>
    <w:rsid w:val="6E4C2A0A"/>
    <w:rsid w:val="6E4E6782"/>
    <w:rsid w:val="6E510020"/>
    <w:rsid w:val="6E526272"/>
    <w:rsid w:val="6E5518BE"/>
    <w:rsid w:val="6E570631"/>
    <w:rsid w:val="6E5813AF"/>
    <w:rsid w:val="6E5A6ED5"/>
    <w:rsid w:val="6E5B4004"/>
    <w:rsid w:val="6E5B49FB"/>
    <w:rsid w:val="6E602011"/>
    <w:rsid w:val="6E641B01"/>
    <w:rsid w:val="6E66587A"/>
    <w:rsid w:val="6E6B10E2"/>
    <w:rsid w:val="6E702C1C"/>
    <w:rsid w:val="6E710C21"/>
    <w:rsid w:val="6E731D44"/>
    <w:rsid w:val="6E7449D1"/>
    <w:rsid w:val="6E745E0C"/>
    <w:rsid w:val="6E775CD9"/>
    <w:rsid w:val="6E7C509D"/>
    <w:rsid w:val="6E8421A4"/>
    <w:rsid w:val="6E881C94"/>
    <w:rsid w:val="6E8A17C8"/>
    <w:rsid w:val="6E8B52E0"/>
    <w:rsid w:val="6E8E3022"/>
    <w:rsid w:val="6E8E5F64"/>
    <w:rsid w:val="6E90563A"/>
    <w:rsid w:val="6E9557B5"/>
    <w:rsid w:val="6E9817AB"/>
    <w:rsid w:val="6E9A5523"/>
    <w:rsid w:val="6E9B4A8E"/>
    <w:rsid w:val="6E9D3265"/>
    <w:rsid w:val="6E9F0D8B"/>
    <w:rsid w:val="6EA2087C"/>
    <w:rsid w:val="6EA22E53"/>
    <w:rsid w:val="6EA43AB0"/>
    <w:rsid w:val="6EA463A2"/>
    <w:rsid w:val="6EA6036C"/>
    <w:rsid w:val="6EAD16FA"/>
    <w:rsid w:val="6EAE5472"/>
    <w:rsid w:val="6EAE7221"/>
    <w:rsid w:val="6EB02F99"/>
    <w:rsid w:val="6EBB1D37"/>
    <w:rsid w:val="6EBB1FFF"/>
    <w:rsid w:val="6EBF7AA2"/>
    <w:rsid w:val="6EC10D02"/>
    <w:rsid w:val="6EC15BA9"/>
    <w:rsid w:val="6EC52DE9"/>
    <w:rsid w:val="6EC66318"/>
    <w:rsid w:val="6ECB572E"/>
    <w:rsid w:val="6ECB7DD2"/>
    <w:rsid w:val="6ECC76A7"/>
    <w:rsid w:val="6ED21161"/>
    <w:rsid w:val="6ED924EF"/>
    <w:rsid w:val="6ED93710"/>
    <w:rsid w:val="6EDA0016"/>
    <w:rsid w:val="6EDF562C"/>
    <w:rsid w:val="6EDF6561"/>
    <w:rsid w:val="6EE02FE9"/>
    <w:rsid w:val="6EE113A4"/>
    <w:rsid w:val="6EE13152"/>
    <w:rsid w:val="6EE47802"/>
    <w:rsid w:val="6EE74A40"/>
    <w:rsid w:val="6EE80984"/>
    <w:rsid w:val="6EE80D54"/>
    <w:rsid w:val="6EE91C12"/>
    <w:rsid w:val="6EE964AB"/>
    <w:rsid w:val="6EEA2A6C"/>
    <w:rsid w:val="6EF512A1"/>
    <w:rsid w:val="6EF530A1"/>
    <w:rsid w:val="6EF8049C"/>
    <w:rsid w:val="6EF87108"/>
    <w:rsid w:val="6EFA6855"/>
    <w:rsid w:val="6F011A46"/>
    <w:rsid w:val="6F0137F4"/>
    <w:rsid w:val="6F082DD5"/>
    <w:rsid w:val="6F0A08FB"/>
    <w:rsid w:val="6F0D2199"/>
    <w:rsid w:val="6F0D3F47"/>
    <w:rsid w:val="6F0E789B"/>
    <w:rsid w:val="6F0E7CBF"/>
    <w:rsid w:val="6F165DD9"/>
    <w:rsid w:val="6F174DC6"/>
    <w:rsid w:val="6F1D10D4"/>
    <w:rsid w:val="6F235519"/>
    <w:rsid w:val="6F286FD3"/>
    <w:rsid w:val="6F2A4AF9"/>
    <w:rsid w:val="6F2F210F"/>
    <w:rsid w:val="6F3040D9"/>
    <w:rsid w:val="6F321C00"/>
    <w:rsid w:val="6F3239AE"/>
    <w:rsid w:val="6F3275E5"/>
    <w:rsid w:val="6F343BCA"/>
    <w:rsid w:val="6F345978"/>
    <w:rsid w:val="6F347726"/>
    <w:rsid w:val="6F394D3C"/>
    <w:rsid w:val="6F3B4F58"/>
    <w:rsid w:val="6F3C2A7E"/>
    <w:rsid w:val="6F41514A"/>
    <w:rsid w:val="6F435BBB"/>
    <w:rsid w:val="6F481423"/>
    <w:rsid w:val="6F4A0C5D"/>
    <w:rsid w:val="6F4C55E1"/>
    <w:rsid w:val="6F4E14FC"/>
    <w:rsid w:val="6F4F3F62"/>
    <w:rsid w:val="6F525DFE"/>
    <w:rsid w:val="6F541B76"/>
    <w:rsid w:val="6F571666"/>
    <w:rsid w:val="6F5778B8"/>
    <w:rsid w:val="6F5F0E86"/>
    <w:rsid w:val="6F5F5795"/>
    <w:rsid w:val="6F60051B"/>
    <w:rsid w:val="6F6124E5"/>
    <w:rsid w:val="6F6318FD"/>
    <w:rsid w:val="6F655B31"/>
    <w:rsid w:val="6F6618A9"/>
    <w:rsid w:val="6F675D4D"/>
    <w:rsid w:val="6F682F36"/>
    <w:rsid w:val="6F6D2C38"/>
    <w:rsid w:val="6F71097A"/>
    <w:rsid w:val="6F7246F2"/>
    <w:rsid w:val="6F743FC6"/>
    <w:rsid w:val="6F746859"/>
    <w:rsid w:val="6F79782E"/>
    <w:rsid w:val="6F7B35A7"/>
    <w:rsid w:val="6F7B5355"/>
    <w:rsid w:val="6F7C10CD"/>
    <w:rsid w:val="6F7C2E7B"/>
    <w:rsid w:val="6F7E3097"/>
    <w:rsid w:val="6F83245B"/>
    <w:rsid w:val="6F8561D3"/>
    <w:rsid w:val="6F885CC3"/>
    <w:rsid w:val="6F8A1A3C"/>
    <w:rsid w:val="6F8D32DA"/>
    <w:rsid w:val="6F8F2BAE"/>
    <w:rsid w:val="6F906926"/>
    <w:rsid w:val="6F914B78"/>
    <w:rsid w:val="6F963F3C"/>
    <w:rsid w:val="6F991C7F"/>
    <w:rsid w:val="6F992945"/>
    <w:rsid w:val="6F9B77A5"/>
    <w:rsid w:val="6F9C351D"/>
    <w:rsid w:val="6F9E7295"/>
    <w:rsid w:val="6FA26D85"/>
    <w:rsid w:val="6FA4432F"/>
    <w:rsid w:val="6FA56875"/>
    <w:rsid w:val="6FAA79E8"/>
    <w:rsid w:val="6FAB550E"/>
    <w:rsid w:val="6FAD572A"/>
    <w:rsid w:val="6FAF3250"/>
    <w:rsid w:val="6FB46AB9"/>
    <w:rsid w:val="6FB645DF"/>
    <w:rsid w:val="6FB72105"/>
    <w:rsid w:val="6FBC771B"/>
    <w:rsid w:val="6FBE16E5"/>
    <w:rsid w:val="6FC00FB9"/>
    <w:rsid w:val="6FC1105E"/>
    <w:rsid w:val="6FC1431C"/>
    <w:rsid w:val="6FC36CFC"/>
    <w:rsid w:val="6FC46BA4"/>
    <w:rsid w:val="6FCA008A"/>
    <w:rsid w:val="6FCC5BB0"/>
    <w:rsid w:val="6FCC795E"/>
    <w:rsid w:val="6FCD12F8"/>
    <w:rsid w:val="6FCD1928"/>
    <w:rsid w:val="6FCD36D6"/>
    <w:rsid w:val="6FCE01E6"/>
    <w:rsid w:val="6FCF56A0"/>
    <w:rsid w:val="6FCF744E"/>
    <w:rsid w:val="6FD11419"/>
    <w:rsid w:val="6FD66A2F"/>
    <w:rsid w:val="6FD9651F"/>
    <w:rsid w:val="6FDA0DCA"/>
    <w:rsid w:val="6FDB2297"/>
    <w:rsid w:val="6FDD7DBD"/>
    <w:rsid w:val="6FE23626"/>
    <w:rsid w:val="6FE253D4"/>
    <w:rsid w:val="6FE2755C"/>
    <w:rsid w:val="6FE32EFA"/>
    <w:rsid w:val="6FE70C3C"/>
    <w:rsid w:val="6FE74798"/>
    <w:rsid w:val="6FEA15CC"/>
    <w:rsid w:val="6FEA6982"/>
    <w:rsid w:val="6FEC6252"/>
    <w:rsid w:val="6FF2492F"/>
    <w:rsid w:val="6FF46EB5"/>
    <w:rsid w:val="6FF702F2"/>
    <w:rsid w:val="6FF70753"/>
    <w:rsid w:val="6FF9271D"/>
    <w:rsid w:val="6FF944CB"/>
    <w:rsid w:val="6FF96D46"/>
    <w:rsid w:val="6FFB1844"/>
    <w:rsid w:val="6FFD3FBC"/>
    <w:rsid w:val="6FFE09C2"/>
    <w:rsid w:val="6FFF70DA"/>
    <w:rsid w:val="7002147B"/>
    <w:rsid w:val="700370F8"/>
    <w:rsid w:val="70041503"/>
    <w:rsid w:val="7007308C"/>
    <w:rsid w:val="700A0487"/>
    <w:rsid w:val="70115CB9"/>
    <w:rsid w:val="7012558D"/>
    <w:rsid w:val="701632CF"/>
    <w:rsid w:val="701B6B38"/>
    <w:rsid w:val="70291255"/>
    <w:rsid w:val="70293003"/>
    <w:rsid w:val="702A0B29"/>
    <w:rsid w:val="702A6D7B"/>
    <w:rsid w:val="702C2AF3"/>
    <w:rsid w:val="702E0B72"/>
    <w:rsid w:val="702E686B"/>
    <w:rsid w:val="70335C2F"/>
    <w:rsid w:val="703379DD"/>
    <w:rsid w:val="7036127C"/>
    <w:rsid w:val="70381498"/>
    <w:rsid w:val="70384FF4"/>
    <w:rsid w:val="703D6AAE"/>
    <w:rsid w:val="703F2264"/>
    <w:rsid w:val="7042571A"/>
    <w:rsid w:val="7047474D"/>
    <w:rsid w:val="704E4817"/>
    <w:rsid w:val="704F233D"/>
    <w:rsid w:val="705160B5"/>
    <w:rsid w:val="7053007F"/>
    <w:rsid w:val="70545BA6"/>
    <w:rsid w:val="70553DF8"/>
    <w:rsid w:val="705A7660"/>
    <w:rsid w:val="705D2CAC"/>
    <w:rsid w:val="7064228D"/>
    <w:rsid w:val="70650803"/>
    <w:rsid w:val="706633D4"/>
    <w:rsid w:val="70666005"/>
    <w:rsid w:val="70691651"/>
    <w:rsid w:val="70691D55"/>
    <w:rsid w:val="706C1141"/>
    <w:rsid w:val="70736AC3"/>
    <w:rsid w:val="70753381"/>
    <w:rsid w:val="7075449A"/>
    <w:rsid w:val="70787AE6"/>
    <w:rsid w:val="707A560C"/>
    <w:rsid w:val="707B1384"/>
    <w:rsid w:val="707B337B"/>
    <w:rsid w:val="707F3F7B"/>
    <w:rsid w:val="7080540B"/>
    <w:rsid w:val="708244C1"/>
    <w:rsid w:val="70840239"/>
    <w:rsid w:val="7084648B"/>
    <w:rsid w:val="708C3591"/>
    <w:rsid w:val="708C533F"/>
    <w:rsid w:val="708E2E66"/>
    <w:rsid w:val="708E730A"/>
    <w:rsid w:val="70910BA8"/>
    <w:rsid w:val="70932B72"/>
    <w:rsid w:val="70976A29"/>
    <w:rsid w:val="709A3F00"/>
    <w:rsid w:val="709A7A5C"/>
    <w:rsid w:val="709C4360"/>
    <w:rsid w:val="709D12FB"/>
    <w:rsid w:val="709D754D"/>
    <w:rsid w:val="70A02B99"/>
    <w:rsid w:val="70A36F0F"/>
    <w:rsid w:val="70A408DB"/>
    <w:rsid w:val="70A42689"/>
    <w:rsid w:val="70A703CB"/>
    <w:rsid w:val="70A95EF1"/>
    <w:rsid w:val="70AE58B8"/>
    <w:rsid w:val="70B00342"/>
    <w:rsid w:val="70B2124A"/>
    <w:rsid w:val="70B36D70"/>
    <w:rsid w:val="70B84386"/>
    <w:rsid w:val="70C25205"/>
    <w:rsid w:val="70C26FB3"/>
    <w:rsid w:val="70C44AD9"/>
    <w:rsid w:val="70C84FC4"/>
    <w:rsid w:val="70C90342"/>
    <w:rsid w:val="70CB230C"/>
    <w:rsid w:val="70CB5E68"/>
    <w:rsid w:val="70CC398E"/>
    <w:rsid w:val="70D016D0"/>
    <w:rsid w:val="70D07922"/>
    <w:rsid w:val="70D2369A"/>
    <w:rsid w:val="70D25448"/>
    <w:rsid w:val="70D867D7"/>
    <w:rsid w:val="70DA61B3"/>
    <w:rsid w:val="70DC62C7"/>
    <w:rsid w:val="70DD3DED"/>
    <w:rsid w:val="70DF36C1"/>
    <w:rsid w:val="70E86ED8"/>
    <w:rsid w:val="70EB475C"/>
    <w:rsid w:val="70EC5DDE"/>
    <w:rsid w:val="70EE5445"/>
    <w:rsid w:val="70F133F4"/>
    <w:rsid w:val="70F21646"/>
    <w:rsid w:val="70F353BF"/>
    <w:rsid w:val="70F51137"/>
    <w:rsid w:val="70F53BCB"/>
    <w:rsid w:val="70F74C48"/>
    <w:rsid w:val="70F84783"/>
    <w:rsid w:val="70F96E79"/>
    <w:rsid w:val="70FA674D"/>
    <w:rsid w:val="70FB6A8F"/>
    <w:rsid w:val="70FF3CCF"/>
    <w:rsid w:val="70FF3D63"/>
    <w:rsid w:val="710366B1"/>
    <w:rsid w:val="710870BC"/>
    <w:rsid w:val="71096990"/>
    <w:rsid w:val="710B2708"/>
    <w:rsid w:val="710D46D2"/>
    <w:rsid w:val="711041C2"/>
    <w:rsid w:val="71123A97"/>
    <w:rsid w:val="711315BD"/>
    <w:rsid w:val="71136C39"/>
    <w:rsid w:val="71145A61"/>
    <w:rsid w:val="71161F56"/>
    <w:rsid w:val="71162ABA"/>
    <w:rsid w:val="71190825"/>
    <w:rsid w:val="711D243B"/>
    <w:rsid w:val="711D7258"/>
    <w:rsid w:val="711E068D"/>
    <w:rsid w:val="71221416"/>
    <w:rsid w:val="712330CA"/>
    <w:rsid w:val="71260C9E"/>
    <w:rsid w:val="712D6B22"/>
    <w:rsid w:val="712E4649"/>
    <w:rsid w:val="7130216F"/>
    <w:rsid w:val="71306613"/>
    <w:rsid w:val="71347EB1"/>
    <w:rsid w:val="713734FD"/>
    <w:rsid w:val="713954C7"/>
    <w:rsid w:val="71420DEC"/>
    <w:rsid w:val="71430F73"/>
    <w:rsid w:val="71463740"/>
    <w:rsid w:val="714A1482"/>
    <w:rsid w:val="714A5429"/>
    <w:rsid w:val="714F4CEB"/>
    <w:rsid w:val="715045BF"/>
    <w:rsid w:val="71535E5D"/>
    <w:rsid w:val="715440AF"/>
    <w:rsid w:val="71573B9F"/>
    <w:rsid w:val="715B71FA"/>
    <w:rsid w:val="715C7408"/>
    <w:rsid w:val="715F2A54"/>
    <w:rsid w:val="71601EA2"/>
    <w:rsid w:val="716342F2"/>
    <w:rsid w:val="71641E18"/>
    <w:rsid w:val="71665B90"/>
    <w:rsid w:val="716F0EE9"/>
    <w:rsid w:val="717007BD"/>
    <w:rsid w:val="71721D45"/>
    <w:rsid w:val="71754026"/>
    <w:rsid w:val="71755DD4"/>
    <w:rsid w:val="71791D1D"/>
    <w:rsid w:val="717B6263"/>
    <w:rsid w:val="717C0C66"/>
    <w:rsid w:val="717C3606"/>
    <w:rsid w:val="718129CA"/>
    <w:rsid w:val="71844269"/>
    <w:rsid w:val="71864485"/>
    <w:rsid w:val="718A5D23"/>
    <w:rsid w:val="7190214B"/>
    <w:rsid w:val="71926986"/>
    <w:rsid w:val="719721EE"/>
    <w:rsid w:val="71997D14"/>
    <w:rsid w:val="719B725E"/>
    <w:rsid w:val="719C15B2"/>
    <w:rsid w:val="719C7877"/>
    <w:rsid w:val="719E532A"/>
    <w:rsid w:val="719F4B9D"/>
    <w:rsid w:val="71A14E1B"/>
    <w:rsid w:val="71A80522"/>
    <w:rsid w:val="71AB7A47"/>
    <w:rsid w:val="71AD37BF"/>
    <w:rsid w:val="71AD47A1"/>
    <w:rsid w:val="71AD7C63"/>
    <w:rsid w:val="71AF5789"/>
    <w:rsid w:val="71B11502"/>
    <w:rsid w:val="71B52674"/>
    <w:rsid w:val="71B61295"/>
    <w:rsid w:val="71B66B18"/>
    <w:rsid w:val="71B763EC"/>
    <w:rsid w:val="71B82B42"/>
    <w:rsid w:val="71BB2380"/>
    <w:rsid w:val="71BC7EA6"/>
    <w:rsid w:val="71BE777B"/>
    <w:rsid w:val="71BF372C"/>
    <w:rsid w:val="71C07919"/>
    <w:rsid w:val="71C34D91"/>
    <w:rsid w:val="71C50B09"/>
    <w:rsid w:val="71C70D25"/>
    <w:rsid w:val="71C81856"/>
    <w:rsid w:val="71CD751C"/>
    <w:rsid w:val="71D40D4C"/>
    <w:rsid w:val="71D945B4"/>
    <w:rsid w:val="71DC5B81"/>
    <w:rsid w:val="71DC5E53"/>
    <w:rsid w:val="71DD7011"/>
    <w:rsid w:val="71DE5A2E"/>
    <w:rsid w:val="71DE606F"/>
    <w:rsid w:val="71E80C9B"/>
    <w:rsid w:val="71EA67C2"/>
    <w:rsid w:val="71EC078C"/>
    <w:rsid w:val="71ED1E0E"/>
    <w:rsid w:val="71ED62B2"/>
    <w:rsid w:val="71EF5B86"/>
    <w:rsid w:val="71F15DA2"/>
    <w:rsid w:val="71F32978"/>
    <w:rsid w:val="71F4319C"/>
    <w:rsid w:val="71FB452B"/>
    <w:rsid w:val="72015187"/>
    <w:rsid w:val="72035AD5"/>
    <w:rsid w:val="72037043"/>
    <w:rsid w:val="720553A9"/>
    <w:rsid w:val="72077373"/>
    <w:rsid w:val="720A0C12"/>
    <w:rsid w:val="720C2BDC"/>
    <w:rsid w:val="720D24B0"/>
    <w:rsid w:val="72113D4E"/>
    <w:rsid w:val="72165809"/>
    <w:rsid w:val="72166784"/>
    <w:rsid w:val="72192C03"/>
    <w:rsid w:val="721A7FA6"/>
    <w:rsid w:val="721D0945"/>
    <w:rsid w:val="721F290F"/>
    <w:rsid w:val="72233A82"/>
    <w:rsid w:val="722577FA"/>
    <w:rsid w:val="72343EE1"/>
    <w:rsid w:val="72347A3D"/>
    <w:rsid w:val="72355177"/>
    <w:rsid w:val="723839D1"/>
    <w:rsid w:val="723932A5"/>
    <w:rsid w:val="723B701D"/>
    <w:rsid w:val="723C3DF4"/>
    <w:rsid w:val="723C4321"/>
    <w:rsid w:val="723D4B43"/>
    <w:rsid w:val="72444124"/>
    <w:rsid w:val="72457E9C"/>
    <w:rsid w:val="72473C14"/>
    <w:rsid w:val="72474993"/>
    <w:rsid w:val="72475FCF"/>
    <w:rsid w:val="724C122A"/>
    <w:rsid w:val="724C2FD8"/>
    <w:rsid w:val="724D0AFE"/>
    <w:rsid w:val="725052A0"/>
    <w:rsid w:val="725325B9"/>
    <w:rsid w:val="725620A9"/>
    <w:rsid w:val="72563E57"/>
    <w:rsid w:val="725E2D0C"/>
    <w:rsid w:val="725E4ABA"/>
    <w:rsid w:val="72604CD6"/>
    <w:rsid w:val="726056E6"/>
    <w:rsid w:val="726143B4"/>
    <w:rsid w:val="72620A4E"/>
    <w:rsid w:val="72662077"/>
    <w:rsid w:val="72676064"/>
    <w:rsid w:val="72693B8A"/>
    <w:rsid w:val="726B668A"/>
    <w:rsid w:val="726E2F4F"/>
    <w:rsid w:val="72710C91"/>
    <w:rsid w:val="72730565"/>
    <w:rsid w:val="72734A09"/>
    <w:rsid w:val="727442DD"/>
    <w:rsid w:val="7276104D"/>
    <w:rsid w:val="727662A7"/>
    <w:rsid w:val="72783DCD"/>
    <w:rsid w:val="7278700A"/>
    <w:rsid w:val="727918F3"/>
    <w:rsid w:val="727A162B"/>
    <w:rsid w:val="727A7B45"/>
    <w:rsid w:val="727D13E4"/>
    <w:rsid w:val="727F3840"/>
    <w:rsid w:val="72834520"/>
    <w:rsid w:val="728409C4"/>
    <w:rsid w:val="7285473C"/>
    <w:rsid w:val="72897D89"/>
    <w:rsid w:val="729325FE"/>
    <w:rsid w:val="72966949"/>
    <w:rsid w:val="729A01E8"/>
    <w:rsid w:val="729A1F96"/>
    <w:rsid w:val="729A7263"/>
    <w:rsid w:val="729C3F60"/>
    <w:rsid w:val="72A10970"/>
    <w:rsid w:val="72A42E14"/>
    <w:rsid w:val="72A46970"/>
    <w:rsid w:val="72A65D90"/>
    <w:rsid w:val="72A66B8C"/>
    <w:rsid w:val="72A921D9"/>
    <w:rsid w:val="72AB5F51"/>
    <w:rsid w:val="72B207C8"/>
    <w:rsid w:val="72B56DCF"/>
    <w:rsid w:val="72BA2638"/>
    <w:rsid w:val="72BB1F0C"/>
    <w:rsid w:val="72BD1DD4"/>
    <w:rsid w:val="72C24A83"/>
    <w:rsid w:val="72C25048"/>
    <w:rsid w:val="72CC236B"/>
    <w:rsid w:val="72CC5EC7"/>
    <w:rsid w:val="72D03C09"/>
    <w:rsid w:val="72D354A8"/>
    <w:rsid w:val="72D6715D"/>
    <w:rsid w:val="72D719CB"/>
    <w:rsid w:val="72D82ABE"/>
    <w:rsid w:val="72DB435C"/>
    <w:rsid w:val="72DE492A"/>
    <w:rsid w:val="72DF3E4C"/>
    <w:rsid w:val="72DF6B7C"/>
    <w:rsid w:val="72E01973"/>
    <w:rsid w:val="72E12DC5"/>
    <w:rsid w:val="72E56A04"/>
    <w:rsid w:val="72E651DB"/>
    <w:rsid w:val="72E70F53"/>
    <w:rsid w:val="72EE408F"/>
    <w:rsid w:val="72F316A6"/>
    <w:rsid w:val="72F33BF6"/>
    <w:rsid w:val="72F5541E"/>
    <w:rsid w:val="72F71196"/>
    <w:rsid w:val="72FB4C14"/>
    <w:rsid w:val="73013DC3"/>
    <w:rsid w:val="73045661"/>
    <w:rsid w:val="730833A3"/>
    <w:rsid w:val="730B4C41"/>
    <w:rsid w:val="730D6C0C"/>
    <w:rsid w:val="730E64E0"/>
    <w:rsid w:val="731358A4"/>
    <w:rsid w:val="73154050"/>
    <w:rsid w:val="7315786E"/>
    <w:rsid w:val="731955B0"/>
    <w:rsid w:val="731C0BFD"/>
    <w:rsid w:val="731C3537"/>
    <w:rsid w:val="731F693F"/>
    <w:rsid w:val="73216213"/>
    <w:rsid w:val="73245D03"/>
    <w:rsid w:val="732B0E40"/>
    <w:rsid w:val="732B2BCE"/>
    <w:rsid w:val="732D105C"/>
    <w:rsid w:val="732E6B82"/>
    <w:rsid w:val="733046A8"/>
    <w:rsid w:val="733221CE"/>
    <w:rsid w:val="733A0C17"/>
    <w:rsid w:val="733C67EE"/>
    <w:rsid w:val="733F48EB"/>
    <w:rsid w:val="734463A5"/>
    <w:rsid w:val="73452751"/>
    <w:rsid w:val="7346211D"/>
    <w:rsid w:val="73467A28"/>
    <w:rsid w:val="734E4B2E"/>
    <w:rsid w:val="734E594C"/>
    <w:rsid w:val="734F7183"/>
    <w:rsid w:val="73522870"/>
    <w:rsid w:val="73523813"/>
    <w:rsid w:val="7352573A"/>
    <w:rsid w:val="73566CAF"/>
    <w:rsid w:val="73577E87"/>
    <w:rsid w:val="7358775B"/>
    <w:rsid w:val="735C549D"/>
    <w:rsid w:val="73635AE0"/>
    <w:rsid w:val="736A5E0C"/>
    <w:rsid w:val="736C2616"/>
    <w:rsid w:val="736D3AA6"/>
    <w:rsid w:val="736D76AA"/>
    <w:rsid w:val="737203CC"/>
    <w:rsid w:val="737722D7"/>
    <w:rsid w:val="73774085"/>
    <w:rsid w:val="737A5923"/>
    <w:rsid w:val="737B2A34"/>
    <w:rsid w:val="737C4621"/>
    <w:rsid w:val="737C5B3F"/>
    <w:rsid w:val="7386076C"/>
    <w:rsid w:val="7386251A"/>
    <w:rsid w:val="738A200A"/>
    <w:rsid w:val="73944C37"/>
    <w:rsid w:val="739764D5"/>
    <w:rsid w:val="739C7F8F"/>
    <w:rsid w:val="739E7864"/>
    <w:rsid w:val="73A330CC"/>
    <w:rsid w:val="73A6496A"/>
    <w:rsid w:val="73A806E2"/>
    <w:rsid w:val="73A909E7"/>
    <w:rsid w:val="73AA26AC"/>
    <w:rsid w:val="73AA445A"/>
    <w:rsid w:val="73AB01D2"/>
    <w:rsid w:val="73AD3F4B"/>
    <w:rsid w:val="73AF6C96"/>
    <w:rsid w:val="73B01345"/>
    <w:rsid w:val="73B2330F"/>
    <w:rsid w:val="73B40E35"/>
    <w:rsid w:val="73B47087"/>
    <w:rsid w:val="73B8604B"/>
    <w:rsid w:val="73BA21C4"/>
    <w:rsid w:val="73BC5F3C"/>
    <w:rsid w:val="73CB43D1"/>
    <w:rsid w:val="73CB617F"/>
    <w:rsid w:val="73CC7847"/>
    <w:rsid w:val="73CE2E42"/>
    <w:rsid w:val="73D239B1"/>
    <w:rsid w:val="73D2786F"/>
    <w:rsid w:val="73D56FFD"/>
    <w:rsid w:val="73D70FC8"/>
    <w:rsid w:val="73DB2866"/>
    <w:rsid w:val="73DD7CA5"/>
    <w:rsid w:val="73E07E7C"/>
    <w:rsid w:val="73E13BF4"/>
    <w:rsid w:val="73E358C7"/>
    <w:rsid w:val="73E536E4"/>
    <w:rsid w:val="73E57241"/>
    <w:rsid w:val="73E6120B"/>
    <w:rsid w:val="73EB05CF"/>
    <w:rsid w:val="73EB10C8"/>
    <w:rsid w:val="73EB6821"/>
    <w:rsid w:val="73ED63CB"/>
    <w:rsid w:val="73EF1E6D"/>
    <w:rsid w:val="73F27BAF"/>
    <w:rsid w:val="73F41B79"/>
    <w:rsid w:val="73F9563A"/>
    <w:rsid w:val="73FC0A2E"/>
    <w:rsid w:val="73FC27DC"/>
    <w:rsid w:val="74017DF2"/>
    <w:rsid w:val="74026044"/>
    <w:rsid w:val="74031DBD"/>
    <w:rsid w:val="740A08AA"/>
    <w:rsid w:val="7411378B"/>
    <w:rsid w:val="74141576"/>
    <w:rsid w:val="74147B26"/>
    <w:rsid w:val="74161AF0"/>
    <w:rsid w:val="7416389E"/>
    <w:rsid w:val="7416564C"/>
    <w:rsid w:val="74177616"/>
    <w:rsid w:val="7419513C"/>
    <w:rsid w:val="741A60C8"/>
    <w:rsid w:val="741B5358"/>
    <w:rsid w:val="741B7106"/>
    <w:rsid w:val="741F2D62"/>
    <w:rsid w:val="74213FF1"/>
    <w:rsid w:val="7423420D"/>
    <w:rsid w:val="74235FBB"/>
    <w:rsid w:val="74251D33"/>
    <w:rsid w:val="742A559B"/>
    <w:rsid w:val="742A7577"/>
    <w:rsid w:val="742C54E5"/>
    <w:rsid w:val="742D27FD"/>
    <w:rsid w:val="742E508B"/>
    <w:rsid w:val="743029A1"/>
    <w:rsid w:val="74312486"/>
    <w:rsid w:val="74324450"/>
    <w:rsid w:val="743261FE"/>
    <w:rsid w:val="743401C8"/>
    <w:rsid w:val="74341F76"/>
    <w:rsid w:val="74365CEE"/>
    <w:rsid w:val="74387CB8"/>
    <w:rsid w:val="743B50B2"/>
    <w:rsid w:val="743E4BA3"/>
    <w:rsid w:val="74416304"/>
    <w:rsid w:val="7443665D"/>
    <w:rsid w:val="74463A57"/>
    <w:rsid w:val="744B0BB8"/>
    <w:rsid w:val="744E128A"/>
    <w:rsid w:val="744F4027"/>
    <w:rsid w:val="74500088"/>
    <w:rsid w:val="74503106"/>
    <w:rsid w:val="74511518"/>
    <w:rsid w:val="745126A4"/>
    <w:rsid w:val="74542618"/>
    <w:rsid w:val="74547EF0"/>
    <w:rsid w:val="74571348"/>
    <w:rsid w:val="745B0FC3"/>
    <w:rsid w:val="745D771F"/>
    <w:rsid w:val="746740F9"/>
    <w:rsid w:val="74687E72"/>
    <w:rsid w:val="746A3BEA"/>
    <w:rsid w:val="746C7962"/>
    <w:rsid w:val="746E5488"/>
    <w:rsid w:val="746F2FAE"/>
    <w:rsid w:val="746F7452"/>
    <w:rsid w:val="74744A68"/>
    <w:rsid w:val="747800B5"/>
    <w:rsid w:val="747846C3"/>
    <w:rsid w:val="74786307"/>
    <w:rsid w:val="74842EFD"/>
    <w:rsid w:val="74844CAB"/>
    <w:rsid w:val="74884070"/>
    <w:rsid w:val="749018A2"/>
    <w:rsid w:val="74911176"/>
    <w:rsid w:val="74962C31"/>
    <w:rsid w:val="749649DF"/>
    <w:rsid w:val="749D5D6D"/>
    <w:rsid w:val="74A7099A"/>
    <w:rsid w:val="74A7193D"/>
    <w:rsid w:val="74AA048A"/>
    <w:rsid w:val="74AB66DC"/>
    <w:rsid w:val="74AF10D9"/>
    <w:rsid w:val="74B80DF9"/>
    <w:rsid w:val="74B84955"/>
    <w:rsid w:val="74B9247B"/>
    <w:rsid w:val="74BA691F"/>
    <w:rsid w:val="74BB61F3"/>
    <w:rsid w:val="74BD640F"/>
    <w:rsid w:val="74BE59C8"/>
    <w:rsid w:val="74BE7A92"/>
    <w:rsid w:val="74C257D4"/>
    <w:rsid w:val="74C432FA"/>
    <w:rsid w:val="74C652C4"/>
    <w:rsid w:val="74CC0400"/>
    <w:rsid w:val="74CC6652"/>
    <w:rsid w:val="74CD4769"/>
    <w:rsid w:val="74D07EF1"/>
    <w:rsid w:val="74D13C69"/>
    <w:rsid w:val="74D472B5"/>
    <w:rsid w:val="74D774D1"/>
    <w:rsid w:val="74D86DA5"/>
    <w:rsid w:val="74DA0D6F"/>
    <w:rsid w:val="74DA2B1D"/>
    <w:rsid w:val="74DA7401"/>
    <w:rsid w:val="74E162BD"/>
    <w:rsid w:val="74E7523A"/>
    <w:rsid w:val="74E76FE8"/>
    <w:rsid w:val="74E90984"/>
    <w:rsid w:val="74EE65C9"/>
    <w:rsid w:val="74EE691B"/>
    <w:rsid w:val="74EF608F"/>
    <w:rsid w:val="74F17E67"/>
    <w:rsid w:val="74F57957"/>
    <w:rsid w:val="74FC0CE6"/>
    <w:rsid w:val="74FD2A1F"/>
    <w:rsid w:val="750202C6"/>
    <w:rsid w:val="75041948"/>
    <w:rsid w:val="750556C0"/>
    <w:rsid w:val="75061B64"/>
    <w:rsid w:val="750758DC"/>
    <w:rsid w:val="7507768A"/>
    <w:rsid w:val="75091655"/>
    <w:rsid w:val="750A2CD7"/>
    <w:rsid w:val="750B717B"/>
    <w:rsid w:val="750E1922"/>
    <w:rsid w:val="75100625"/>
    <w:rsid w:val="75134281"/>
    <w:rsid w:val="75175B20"/>
    <w:rsid w:val="751B4EE4"/>
    <w:rsid w:val="751C1388"/>
    <w:rsid w:val="751F49D4"/>
    <w:rsid w:val="7521074C"/>
    <w:rsid w:val="75227685"/>
    <w:rsid w:val="75283036"/>
    <w:rsid w:val="75284986"/>
    <w:rsid w:val="75295853"/>
    <w:rsid w:val="752A2DE7"/>
    <w:rsid w:val="752B3379"/>
    <w:rsid w:val="752C70F1"/>
    <w:rsid w:val="752D4185"/>
    <w:rsid w:val="752E10BB"/>
    <w:rsid w:val="752E4C17"/>
    <w:rsid w:val="75387844"/>
    <w:rsid w:val="753A35BC"/>
    <w:rsid w:val="753B10E2"/>
    <w:rsid w:val="753C5586"/>
    <w:rsid w:val="753D4E5A"/>
    <w:rsid w:val="753E5ABC"/>
    <w:rsid w:val="753F16EA"/>
    <w:rsid w:val="753F6E24"/>
    <w:rsid w:val="75433484"/>
    <w:rsid w:val="7544268D"/>
    <w:rsid w:val="754461E9"/>
    <w:rsid w:val="754601B3"/>
    <w:rsid w:val="75472AE0"/>
    <w:rsid w:val="754E350B"/>
    <w:rsid w:val="75504B8E"/>
    <w:rsid w:val="75513B92"/>
    <w:rsid w:val="75526B58"/>
    <w:rsid w:val="755725D5"/>
    <w:rsid w:val="755C09F2"/>
    <w:rsid w:val="755D3EDE"/>
    <w:rsid w:val="75616D9B"/>
    <w:rsid w:val="75657150"/>
    <w:rsid w:val="75666069"/>
    <w:rsid w:val="75666D28"/>
    <w:rsid w:val="756920F3"/>
    <w:rsid w:val="756B5E6B"/>
    <w:rsid w:val="75712F63"/>
    <w:rsid w:val="75720FA8"/>
    <w:rsid w:val="75734D20"/>
    <w:rsid w:val="75752846"/>
    <w:rsid w:val="7577036C"/>
    <w:rsid w:val="757840E4"/>
    <w:rsid w:val="757A4300"/>
    <w:rsid w:val="757C3BD5"/>
    <w:rsid w:val="757F5473"/>
    <w:rsid w:val="758147E1"/>
    <w:rsid w:val="75846F2D"/>
    <w:rsid w:val="75874327"/>
    <w:rsid w:val="758807CB"/>
    <w:rsid w:val="758962F1"/>
    <w:rsid w:val="758D4034"/>
    <w:rsid w:val="759058D2"/>
    <w:rsid w:val="759251A6"/>
    <w:rsid w:val="759929D8"/>
    <w:rsid w:val="75994786"/>
    <w:rsid w:val="75A0768A"/>
    <w:rsid w:val="75A10B1A"/>
    <w:rsid w:val="75A11CFC"/>
    <w:rsid w:val="75A1363B"/>
    <w:rsid w:val="75A220DD"/>
    <w:rsid w:val="75A5137D"/>
    <w:rsid w:val="75A650F5"/>
    <w:rsid w:val="75A849CA"/>
    <w:rsid w:val="75A924F0"/>
    <w:rsid w:val="75AD0232"/>
    <w:rsid w:val="75B07D22"/>
    <w:rsid w:val="75B1152C"/>
    <w:rsid w:val="75B673D5"/>
    <w:rsid w:val="75BC0475"/>
    <w:rsid w:val="75BC2223"/>
    <w:rsid w:val="75BC66C7"/>
    <w:rsid w:val="75BD407D"/>
    <w:rsid w:val="75BF1D13"/>
    <w:rsid w:val="75CC0479"/>
    <w:rsid w:val="75D166E3"/>
    <w:rsid w:val="75D25EEA"/>
    <w:rsid w:val="75D752AF"/>
    <w:rsid w:val="75DA08FB"/>
    <w:rsid w:val="75DB213B"/>
    <w:rsid w:val="75E154DA"/>
    <w:rsid w:val="75E2200E"/>
    <w:rsid w:val="75EB48B6"/>
    <w:rsid w:val="75EC4476"/>
    <w:rsid w:val="75ED6880"/>
    <w:rsid w:val="75F0011F"/>
    <w:rsid w:val="75F419BD"/>
    <w:rsid w:val="75F55735"/>
    <w:rsid w:val="75F669BB"/>
    <w:rsid w:val="75F714AD"/>
    <w:rsid w:val="75F75951"/>
    <w:rsid w:val="75FB7FE4"/>
    <w:rsid w:val="75FE2420"/>
    <w:rsid w:val="75FE6CDF"/>
    <w:rsid w:val="76013E56"/>
    <w:rsid w:val="760360A4"/>
    <w:rsid w:val="76051B05"/>
    <w:rsid w:val="760616F0"/>
    <w:rsid w:val="760A7432"/>
    <w:rsid w:val="760D2A7F"/>
    <w:rsid w:val="760D6F22"/>
    <w:rsid w:val="760D7B18"/>
    <w:rsid w:val="760F46FF"/>
    <w:rsid w:val="7610431D"/>
    <w:rsid w:val="761107C1"/>
    <w:rsid w:val="76116A13"/>
    <w:rsid w:val="76120095"/>
    <w:rsid w:val="7615092E"/>
    <w:rsid w:val="7615375C"/>
    <w:rsid w:val="76164029"/>
    <w:rsid w:val="76165078"/>
    <w:rsid w:val="761A67FE"/>
    <w:rsid w:val="761B163F"/>
    <w:rsid w:val="76200A04"/>
    <w:rsid w:val="7621652A"/>
    <w:rsid w:val="76277FE4"/>
    <w:rsid w:val="76285B0A"/>
    <w:rsid w:val="762A21AE"/>
    <w:rsid w:val="7630676D"/>
    <w:rsid w:val="763224E5"/>
    <w:rsid w:val="76323795"/>
    <w:rsid w:val="76342701"/>
    <w:rsid w:val="763444AF"/>
    <w:rsid w:val="76370E37"/>
    <w:rsid w:val="763A3FE7"/>
    <w:rsid w:val="763B75EC"/>
    <w:rsid w:val="764333E2"/>
    <w:rsid w:val="764741E2"/>
    <w:rsid w:val="764861AD"/>
    <w:rsid w:val="764A5A81"/>
    <w:rsid w:val="764A782F"/>
    <w:rsid w:val="764D5571"/>
    <w:rsid w:val="76530DD9"/>
    <w:rsid w:val="765406AD"/>
    <w:rsid w:val="7657219D"/>
    <w:rsid w:val="765863F0"/>
    <w:rsid w:val="76593F16"/>
    <w:rsid w:val="765B6C11"/>
    <w:rsid w:val="76634D94"/>
    <w:rsid w:val="76663435"/>
    <w:rsid w:val="7666438C"/>
    <w:rsid w:val="76685F07"/>
    <w:rsid w:val="766936B6"/>
    <w:rsid w:val="766B0829"/>
    <w:rsid w:val="766D176F"/>
    <w:rsid w:val="766E5C13"/>
    <w:rsid w:val="766F3739"/>
    <w:rsid w:val="766F54E7"/>
    <w:rsid w:val="76724FD8"/>
    <w:rsid w:val="76726D86"/>
    <w:rsid w:val="7677439C"/>
    <w:rsid w:val="76780840"/>
    <w:rsid w:val="76796366"/>
    <w:rsid w:val="767B3E8C"/>
    <w:rsid w:val="767B616B"/>
    <w:rsid w:val="767C19B2"/>
    <w:rsid w:val="767E572A"/>
    <w:rsid w:val="76805946"/>
    <w:rsid w:val="768076F4"/>
    <w:rsid w:val="76876745"/>
    <w:rsid w:val="76877FFF"/>
    <w:rsid w:val="768A3BE6"/>
    <w:rsid w:val="768A639E"/>
    <w:rsid w:val="768C6099"/>
    <w:rsid w:val="768D0F4C"/>
    <w:rsid w:val="7691545E"/>
    <w:rsid w:val="769431A0"/>
    <w:rsid w:val="76946CFC"/>
    <w:rsid w:val="769767EC"/>
    <w:rsid w:val="769A6A08"/>
    <w:rsid w:val="769B452E"/>
    <w:rsid w:val="769B62DC"/>
    <w:rsid w:val="769F401E"/>
    <w:rsid w:val="76A038F3"/>
    <w:rsid w:val="76A41635"/>
    <w:rsid w:val="76A72ED3"/>
    <w:rsid w:val="76A74C81"/>
    <w:rsid w:val="76A809F9"/>
    <w:rsid w:val="76A81926"/>
    <w:rsid w:val="76AE6010"/>
    <w:rsid w:val="76AF3B36"/>
    <w:rsid w:val="76B15B00"/>
    <w:rsid w:val="76B178AE"/>
    <w:rsid w:val="76B8443B"/>
    <w:rsid w:val="76B949B4"/>
    <w:rsid w:val="76BB697E"/>
    <w:rsid w:val="76BE1FCB"/>
    <w:rsid w:val="76C021E7"/>
    <w:rsid w:val="76C37E1C"/>
    <w:rsid w:val="76C53359"/>
    <w:rsid w:val="76C75323"/>
    <w:rsid w:val="76C92E49"/>
    <w:rsid w:val="76CB7891"/>
    <w:rsid w:val="76CD21B1"/>
    <w:rsid w:val="76CD220E"/>
    <w:rsid w:val="76D17F50"/>
    <w:rsid w:val="76D35A76"/>
    <w:rsid w:val="76D417EE"/>
    <w:rsid w:val="76D87530"/>
    <w:rsid w:val="76DB0DCF"/>
    <w:rsid w:val="76DB492B"/>
    <w:rsid w:val="76E01F41"/>
    <w:rsid w:val="76E07197"/>
    <w:rsid w:val="76E11AB7"/>
    <w:rsid w:val="76E2215D"/>
    <w:rsid w:val="76E41A31"/>
    <w:rsid w:val="76E44763"/>
    <w:rsid w:val="76E47C83"/>
    <w:rsid w:val="76E732D0"/>
    <w:rsid w:val="76E9529A"/>
    <w:rsid w:val="76EE28B0"/>
    <w:rsid w:val="76F37EC6"/>
    <w:rsid w:val="76F81981"/>
    <w:rsid w:val="76F8372F"/>
    <w:rsid w:val="76FA1255"/>
    <w:rsid w:val="76FA74A7"/>
    <w:rsid w:val="76FB4FCD"/>
    <w:rsid w:val="76FF4ABD"/>
    <w:rsid w:val="77020109"/>
    <w:rsid w:val="77022531"/>
    <w:rsid w:val="770E6AAE"/>
    <w:rsid w:val="77100A78"/>
    <w:rsid w:val="77112A42"/>
    <w:rsid w:val="771340C5"/>
    <w:rsid w:val="77163BB5"/>
    <w:rsid w:val="771B741D"/>
    <w:rsid w:val="771F0CBB"/>
    <w:rsid w:val="771F2A69"/>
    <w:rsid w:val="7720462A"/>
    <w:rsid w:val="772207AC"/>
    <w:rsid w:val="7722255A"/>
    <w:rsid w:val="7724758F"/>
    <w:rsid w:val="77277B70"/>
    <w:rsid w:val="772B58B2"/>
    <w:rsid w:val="772C162A"/>
    <w:rsid w:val="772C33D8"/>
    <w:rsid w:val="772C5186"/>
    <w:rsid w:val="772E53A2"/>
    <w:rsid w:val="773724A9"/>
    <w:rsid w:val="773728B1"/>
    <w:rsid w:val="773B1404"/>
    <w:rsid w:val="773C7ABF"/>
    <w:rsid w:val="773D55E5"/>
    <w:rsid w:val="773F135E"/>
    <w:rsid w:val="77420E4E"/>
    <w:rsid w:val="774249AA"/>
    <w:rsid w:val="77444BC6"/>
    <w:rsid w:val="774626EC"/>
    <w:rsid w:val="77477C76"/>
    <w:rsid w:val="774921DC"/>
    <w:rsid w:val="774B7D02"/>
    <w:rsid w:val="774C3647"/>
    <w:rsid w:val="7750356B"/>
    <w:rsid w:val="77560455"/>
    <w:rsid w:val="775766A7"/>
    <w:rsid w:val="7758241F"/>
    <w:rsid w:val="77584D6C"/>
    <w:rsid w:val="775A6197"/>
    <w:rsid w:val="775B5A6C"/>
    <w:rsid w:val="775F555C"/>
    <w:rsid w:val="77613082"/>
    <w:rsid w:val="7762504C"/>
    <w:rsid w:val="77665301"/>
    <w:rsid w:val="77692F57"/>
    <w:rsid w:val="7769462C"/>
    <w:rsid w:val="776B3F01"/>
    <w:rsid w:val="776C3DBF"/>
    <w:rsid w:val="77707769"/>
    <w:rsid w:val="77747C82"/>
    <w:rsid w:val="777728A5"/>
    <w:rsid w:val="777803CC"/>
    <w:rsid w:val="7778661E"/>
    <w:rsid w:val="777A05E8"/>
    <w:rsid w:val="777A2396"/>
    <w:rsid w:val="777E5981"/>
    <w:rsid w:val="777F175A"/>
    <w:rsid w:val="77844FC2"/>
    <w:rsid w:val="77852348"/>
    <w:rsid w:val="778B6D05"/>
    <w:rsid w:val="77916F70"/>
    <w:rsid w:val="779416A9"/>
    <w:rsid w:val="77972F48"/>
    <w:rsid w:val="77974CF6"/>
    <w:rsid w:val="7799050D"/>
    <w:rsid w:val="779A57EC"/>
    <w:rsid w:val="779C40BA"/>
    <w:rsid w:val="77A103E0"/>
    <w:rsid w:val="77A411C1"/>
    <w:rsid w:val="77A6318B"/>
    <w:rsid w:val="77A86F03"/>
    <w:rsid w:val="77A92C7B"/>
    <w:rsid w:val="77AD4519"/>
    <w:rsid w:val="77AE0A71"/>
    <w:rsid w:val="77B04009"/>
    <w:rsid w:val="77B05DB7"/>
    <w:rsid w:val="77B51620"/>
    <w:rsid w:val="77B533CE"/>
    <w:rsid w:val="77B72606"/>
    <w:rsid w:val="77B77146"/>
    <w:rsid w:val="77B87EA9"/>
    <w:rsid w:val="77B91110"/>
    <w:rsid w:val="77B92EBE"/>
    <w:rsid w:val="77BA09E4"/>
    <w:rsid w:val="77BA0F87"/>
    <w:rsid w:val="77BA6C36"/>
    <w:rsid w:val="77BC29AE"/>
    <w:rsid w:val="77BF5FFA"/>
    <w:rsid w:val="77C27899"/>
    <w:rsid w:val="77C552C7"/>
    <w:rsid w:val="77C6382D"/>
    <w:rsid w:val="77C67389"/>
    <w:rsid w:val="77C875A5"/>
    <w:rsid w:val="77C90C27"/>
    <w:rsid w:val="77CA50CB"/>
    <w:rsid w:val="77CC404C"/>
    <w:rsid w:val="77CF1A90"/>
    <w:rsid w:val="77D31AA6"/>
    <w:rsid w:val="77D53A70"/>
    <w:rsid w:val="77D93560"/>
    <w:rsid w:val="77DA1086"/>
    <w:rsid w:val="77DB72D8"/>
    <w:rsid w:val="77DC095A"/>
    <w:rsid w:val="77DD4321"/>
    <w:rsid w:val="77E37F3B"/>
    <w:rsid w:val="77E51F05"/>
    <w:rsid w:val="77E837A3"/>
    <w:rsid w:val="77E912C9"/>
    <w:rsid w:val="77E93077"/>
    <w:rsid w:val="77EB5041"/>
    <w:rsid w:val="77ED0DBA"/>
    <w:rsid w:val="77F008AA"/>
    <w:rsid w:val="77F167F8"/>
    <w:rsid w:val="77F263D0"/>
    <w:rsid w:val="77F37B85"/>
    <w:rsid w:val="77FC0FFD"/>
    <w:rsid w:val="77FC2DAB"/>
    <w:rsid w:val="77FE2FC7"/>
    <w:rsid w:val="77FE6B23"/>
    <w:rsid w:val="77FF289B"/>
    <w:rsid w:val="78006D3F"/>
    <w:rsid w:val="78014865"/>
    <w:rsid w:val="78034139"/>
    <w:rsid w:val="780A196C"/>
    <w:rsid w:val="780A3970"/>
    <w:rsid w:val="780D4FB8"/>
    <w:rsid w:val="780D6D66"/>
    <w:rsid w:val="78153E6C"/>
    <w:rsid w:val="78175E36"/>
    <w:rsid w:val="78177BE5"/>
    <w:rsid w:val="7819395D"/>
    <w:rsid w:val="781A76D5"/>
    <w:rsid w:val="781C344D"/>
    <w:rsid w:val="781D71EE"/>
    <w:rsid w:val="78200134"/>
    <w:rsid w:val="78216CB5"/>
    <w:rsid w:val="78283BA0"/>
    <w:rsid w:val="782A0C45"/>
    <w:rsid w:val="782C7E18"/>
    <w:rsid w:val="782D7408"/>
    <w:rsid w:val="782F4F2E"/>
    <w:rsid w:val="7831514A"/>
    <w:rsid w:val="78324A1E"/>
    <w:rsid w:val="783469E8"/>
    <w:rsid w:val="78362761"/>
    <w:rsid w:val="78372035"/>
    <w:rsid w:val="783754AD"/>
    <w:rsid w:val="7839784B"/>
    <w:rsid w:val="783B1B25"/>
    <w:rsid w:val="783B7D77"/>
    <w:rsid w:val="783C636B"/>
    <w:rsid w:val="78434E7D"/>
    <w:rsid w:val="784529A4"/>
    <w:rsid w:val="7846409D"/>
    <w:rsid w:val="78484242"/>
    <w:rsid w:val="784A620C"/>
    <w:rsid w:val="784C1F84"/>
    <w:rsid w:val="784D1858"/>
    <w:rsid w:val="784D1D22"/>
    <w:rsid w:val="784F3822"/>
    <w:rsid w:val="785250C1"/>
    <w:rsid w:val="78530EF5"/>
    <w:rsid w:val="78532FC3"/>
    <w:rsid w:val="78615304"/>
    <w:rsid w:val="78673D1B"/>
    <w:rsid w:val="78743289"/>
    <w:rsid w:val="78745037"/>
    <w:rsid w:val="78746F41"/>
    <w:rsid w:val="78767001"/>
    <w:rsid w:val="7878529E"/>
    <w:rsid w:val="787B0173"/>
    <w:rsid w:val="787B4617"/>
    <w:rsid w:val="787B48AE"/>
    <w:rsid w:val="78811502"/>
    <w:rsid w:val="7885716E"/>
    <w:rsid w:val="78866B18"/>
    <w:rsid w:val="78880AE2"/>
    <w:rsid w:val="78882890"/>
    <w:rsid w:val="788A03B6"/>
    <w:rsid w:val="788A2AAC"/>
    <w:rsid w:val="788A6608"/>
    <w:rsid w:val="788B412F"/>
    <w:rsid w:val="788C2381"/>
    <w:rsid w:val="788D60F9"/>
    <w:rsid w:val="7899575F"/>
    <w:rsid w:val="789B6A68"/>
    <w:rsid w:val="789C7836"/>
    <w:rsid w:val="789E0306"/>
    <w:rsid w:val="789E3E62"/>
    <w:rsid w:val="78A21BA4"/>
    <w:rsid w:val="78A31F60"/>
    <w:rsid w:val="78A37F4B"/>
    <w:rsid w:val="78A413DB"/>
    <w:rsid w:val="78A512E9"/>
    <w:rsid w:val="78A91184"/>
    <w:rsid w:val="78AC657F"/>
    <w:rsid w:val="78B10039"/>
    <w:rsid w:val="78B13B95"/>
    <w:rsid w:val="78B611AB"/>
    <w:rsid w:val="78B663C1"/>
    <w:rsid w:val="78B673FD"/>
    <w:rsid w:val="78B83176"/>
    <w:rsid w:val="78B90C9C"/>
    <w:rsid w:val="78BC253A"/>
    <w:rsid w:val="78BC3BF4"/>
    <w:rsid w:val="78BD69DE"/>
    <w:rsid w:val="78C0565A"/>
    <w:rsid w:val="78C074D3"/>
    <w:rsid w:val="78C31B1A"/>
    <w:rsid w:val="78C87131"/>
    <w:rsid w:val="78CA10FB"/>
    <w:rsid w:val="78CB7157"/>
    <w:rsid w:val="78CD4747"/>
    <w:rsid w:val="78D36355"/>
    <w:rsid w:val="78D45AD6"/>
    <w:rsid w:val="78D52DDA"/>
    <w:rsid w:val="78D855C6"/>
    <w:rsid w:val="78D87374"/>
    <w:rsid w:val="78DD0E2E"/>
    <w:rsid w:val="78DE0702"/>
    <w:rsid w:val="78DE55CD"/>
    <w:rsid w:val="78E8667F"/>
    <w:rsid w:val="78E977D3"/>
    <w:rsid w:val="78EA354B"/>
    <w:rsid w:val="78EC2E1F"/>
    <w:rsid w:val="78ED25F6"/>
    <w:rsid w:val="78F30652"/>
    <w:rsid w:val="78F36363"/>
    <w:rsid w:val="78F47F26"/>
    <w:rsid w:val="78F63C9E"/>
    <w:rsid w:val="78F65A4C"/>
    <w:rsid w:val="78F660E9"/>
    <w:rsid w:val="78F87A16"/>
    <w:rsid w:val="78FA19E0"/>
    <w:rsid w:val="78FB5758"/>
    <w:rsid w:val="78FF6FF6"/>
    <w:rsid w:val="79002D6F"/>
    <w:rsid w:val="79017442"/>
    <w:rsid w:val="79023C03"/>
    <w:rsid w:val="790740FD"/>
    <w:rsid w:val="79075EAB"/>
    <w:rsid w:val="790E7239"/>
    <w:rsid w:val="790F4D60"/>
    <w:rsid w:val="79116D2A"/>
    <w:rsid w:val="791210F7"/>
    <w:rsid w:val="7914060D"/>
    <w:rsid w:val="7915569C"/>
    <w:rsid w:val="79164340"/>
    <w:rsid w:val="79167E9C"/>
    <w:rsid w:val="7918401D"/>
    <w:rsid w:val="791A693D"/>
    <w:rsid w:val="791B40DF"/>
    <w:rsid w:val="791B54B2"/>
    <w:rsid w:val="79206D53"/>
    <w:rsid w:val="792112DC"/>
    <w:rsid w:val="792275BE"/>
    <w:rsid w:val="79230CC4"/>
    <w:rsid w:val="792611F2"/>
    <w:rsid w:val="79273E57"/>
    <w:rsid w:val="79281469"/>
    <w:rsid w:val="792B2480"/>
    <w:rsid w:val="792C76C0"/>
    <w:rsid w:val="792E168A"/>
    <w:rsid w:val="792E3438"/>
    <w:rsid w:val="792E3806"/>
    <w:rsid w:val="79322EE8"/>
    <w:rsid w:val="79332791"/>
    <w:rsid w:val="79344625"/>
    <w:rsid w:val="793622EC"/>
    <w:rsid w:val="79366790"/>
    <w:rsid w:val="79393B8B"/>
    <w:rsid w:val="793E4FA2"/>
    <w:rsid w:val="793F3897"/>
    <w:rsid w:val="793F5645"/>
    <w:rsid w:val="79426EE3"/>
    <w:rsid w:val="79442C5B"/>
    <w:rsid w:val="79464C25"/>
    <w:rsid w:val="7947274B"/>
    <w:rsid w:val="79490272"/>
    <w:rsid w:val="79492020"/>
    <w:rsid w:val="794964C4"/>
    <w:rsid w:val="794F7C70"/>
    <w:rsid w:val="79503A9F"/>
    <w:rsid w:val="79515378"/>
    <w:rsid w:val="795310F0"/>
    <w:rsid w:val="79532625"/>
    <w:rsid w:val="79534C4C"/>
    <w:rsid w:val="7955121E"/>
    <w:rsid w:val="79554E68"/>
    <w:rsid w:val="795A422D"/>
    <w:rsid w:val="795A5FDB"/>
    <w:rsid w:val="795C61F7"/>
    <w:rsid w:val="7961380D"/>
    <w:rsid w:val="796230E1"/>
    <w:rsid w:val="796432FD"/>
    <w:rsid w:val="796450AB"/>
    <w:rsid w:val="79652BD2"/>
    <w:rsid w:val="79667075"/>
    <w:rsid w:val="796706F8"/>
    <w:rsid w:val="7967694A"/>
    <w:rsid w:val="796B3663"/>
    <w:rsid w:val="79700F04"/>
    <w:rsid w:val="797057FE"/>
    <w:rsid w:val="7972207C"/>
    <w:rsid w:val="79733540"/>
    <w:rsid w:val="79750948"/>
    <w:rsid w:val="79764DDF"/>
    <w:rsid w:val="79775EC9"/>
    <w:rsid w:val="7979724A"/>
    <w:rsid w:val="797F1EE5"/>
    <w:rsid w:val="798968C0"/>
    <w:rsid w:val="798E037A"/>
    <w:rsid w:val="798E2128"/>
    <w:rsid w:val="79907C4E"/>
    <w:rsid w:val="79921C19"/>
    <w:rsid w:val="799534B7"/>
    <w:rsid w:val="79974A93"/>
    <w:rsid w:val="79974B23"/>
    <w:rsid w:val="79984D55"/>
    <w:rsid w:val="79994937"/>
    <w:rsid w:val="799C2A97"/>
    <w:rsid w:val="799D236B"/>
    <w:rsid w:val="799E5641"/>
    <w:rsid w:val="799E680F"/>
    <w:rsid w:val="79A25BD4"/>
    <w:rsid w:val="79A4194C"/>
    <w:rsid w:val="79A47B9E"/>
    <w:rsid w:val="79A90D10"/>
    <w:rsid w:val="79AD6A52"/>
    <w:rsid w:val="79B17BC5"/>
    <w:rsid w:val="79BA4CCB"/>
    <w:rsid w:val="79BC4EE7"/>
    <w:rsid w:val="79C33147"/>
    <w:rsid w:val="79C45B4A"/>
    <w:rsid w:val="79C82D3A"/>
    <w:rsid w:val="79C913B2"/>
    <w:rsid w:val="79CB43E5"/>
    <w:rsid w:val="79D10B6F"/>
    <w:rsid w:val="79D73ACF"/>
    <w:rsid w:val="79D97847"/>
    <w:rsid w:val="79DC2E94"/>
    <w:rsid w:val="79DF4732"/>
    <w:rsid w:val="79E166FC"/>
    <w:rsid w:val="79E47F9A"/>
    <w:rsid w:val="79E82189"/>
    <w:rsid w:val="79E85CDC"/>
    <w:rsid w:val="79E916CD"/>
    <w:rsid w:val="79E955B1"/>
    <w:rsid w:val="79EB1329"/>
    <w:rsid w:val="79EB30D7"/>
    <w:rsid w:val="79EE3136"/>
    <w:rsid w:val="79F24465"/>
    <w:rsid w:val="79FA674E"/>
    <w:rsid w:val="79FC1788"/>
    <w:rsid w:val="79FF6B82"/>
    <w:rsid w:val="7A097A01"/>
    <w:rsid w:val="7A0B5527"/>
    <w:rsid w:val="7A0E5017"/>
    <w:rsid w:val="7A115CEF"/>
    <w:rsid w:val="7A122D59"/>
    <w:rsid w:val="7A1268B5"/>
    <w:rsid w:val="7A1545F8"/>
    <w:rsid w:val="7A166948"/>
    <w:rsid w:val="7A170370"/>
    <w:rsid w:val="7A187C44"/>
    <w:rsid w:val="7A195E96"/>
    <w:rsid w:val="7A1C7734"/>
    <w:rsid w:val="7A1D2509"/>
    <w:rsid w:val="7A1E34AC"/>
    <w:rsid w:val="7A2025CB"/>
    <w:rsid w:val="7A2404B1"/>
    <w:rsid w:val="7A2A00A3"/>
    <w:rsid w:val="7A2B7977"/>
    <w:rsid w:val="7A2D36EF"/>
    <w:rsid w:val="7A2D7B93"/>
    <w:rsid w:val="7A2F7D5F"/>
    <w:rsid w:val="7A320D06"/>
    <w:rsid w:val="7A326F58"/>
    <w:rsid w:val="7A3C7DD6"/>
    <w:rsid w:val="7A3D293B"/>
    <w:rsid w:val="7A3E3B4E"/>
    <w:rsid w:val="7A4000B2"/>
    <w:rsid w:val="7A434CC1"/>
    <w:rsid w:val="7A450285"/>
    <w:rsid w:val="7A462A03"/>
    <w:rsid w:val="7A480529"/>
    <w:rsid w:val="7A49604F"/>
    <w:rsid w:val="7A49714C"/>
    <w:rsid w:val="7A4B626B"/>
    <w:rsid w:val="7A4D3D91"/>
    <w:rsid w:val="7A4F7B0A"/>
    <w:rsid w:val="7A5769BE"/>
    <w:rsid w:val="7A5F5873"/>
    <w:rsid w:val="7A603AC5"/>
    <w:rsid w:val="7A613399"/>
    <w:rsid w:val="7A666C01"/>
    <w:rsid w:val="7A6A04A0"/>
    <w:rsid w:val="7A6B246A"/>
    <w:rsid w:val="7A6C06BC"/>
    <w:rsid w:val="7A707A80"/>
    <w:rsid w:val="7A7237F8"/>
    <w:rsid w:val="7A731AD0"/>
    <w:rsid w:val="7A756E44"/>
    <w:rsid w:val="7A772BBC"/>
    <w:rsid w:val="7A796935"/>
    <w:rsid w:val="7A7E0416"/>
    <w:rsid w:val="7A7E219D"/>
    <w:rsid w:val="7A7E738E"/>
    <w:rsid w:val="7A8A00FA"/>
    <w:rsid w:val="7A8A6D94"/>
    <w:rsid w:val="7A8B6668"/>
    <w:rsid w:val="7A8D0632"/>
    <w:rsid w:val="7A8D418E"/>
    <w:rsid w:val="7A8E3857"/>
    <w:rsid w:val="7A8F43AA"/>
    <w:rsid w:val="7A902F4D"/>
    <w:rsid w:val="7A903C7E"/>
    <w:rsid w:val="7A94376E"/>
    <w:rsid w:val="7A996FD7"/>
    <w:rsid w:val="7A9D6AC7"/>
    <w:rsid w:val="7A9E283F"/>
    <w:rsid w:val="7AA02113"/>
    <w:rsid w:val="7AA240DD"/>
    <w:rsid w:val="7AA4241B"/>
    <w:rsid w:val="7AA42467"/>
    <w:rsid w:val="7AAD4830"/>
    <w:rsid w:val="7AB102CB"/>
    <w:rsid w:val="7AB160CE"/>
    <w:rsid w:val="7AB47064"/>
    <w:rsid w:val="7AB54304"/>
    <w:rsid w:val="7AB636E5"/>
    <w:rsid w:val="7ABB6F4D"/>
    <w:rsid w:val="7ABC430D"/>
    <w:rsid w:val="7ABE6923"/>
    <w:rsid w:val="7ABE6A3D"/>
    <w:rsid w:val="7AC314BE"/>
    <w:rsid w:val="7AC34054"/>
    <w:rsid w:val="7AC35E02"/>
    <w:rsid w:val="7AC758F2"/>
    <w:rsid w:val="7AC83418"/>
    <w:rsid w:val="7ACB4CB6"/>
    <w:rsid w:val="7ACE4ED2"/>
    <w:rsid w:val="7ACF29F8"/>
    <w:rsid w:val="7AD42736"/>
    <w:rsid w:val="7AD63D87"/>
    <w:rsid w:val="7AD7365B"/>
    <w:rsid w:val="7ADD291C"/>
    <w:rsid w:val="7ADD3367"/>
    <w:rsid w:val="7AE91D0C"/>
    <w:rsid w:val="7AEE7323"/>
    <w:rsid w:val="7AEF6BF7"/>
    <w:rsid w:val="7AF10BC1"/>
    <w:rsid w:val="7AF16E13"/>
    <w:rsid w:val="7AF64429"/>
    <w:rsid w:val="7AF75AAB"/>
    <w:rsid w:val="7AF97A75"/>
    <w:rsid w:val="7AFB559C"/>
    <w:rsid w:val="7AFE508C"/>
    <w:rsid w:val="7AFF1FEC"/>
    <w:rsid w:val="7B002BB2"/>
    <w:rsid w:val="7B00726C"/>
    <w:rsid w:val="7B0326A2"/>
    <w:rsid w:val="7B061228"/>
    <w:rsid w:val="7B0C77A9"/>
    <w:rsid w:val="7B0E3521"/>
    <w:rsid w:val="7B0F32F8"/>
    <w:rsid w:val="7B123BE8"/>
    <w:rsid w:val="7B130B37"/>
    <w:rsid w:val="7B161C7D"/>
    <w:rsid w:val="7B180D87"/>
    <w:rsid w:val="7B1B79EC"/>
    <w:rsid w:val="7B1D19B6"/>
    <w:rsid w:val="7B205002"/>
    <w:rsid w:val="7B220D7A"/>
    <w:rsid w:val="7B2368A0"/>
    <w:rsid w:val="7B252618"/>
    <w:rsid w:val="7B256ABC"/>
    <w:rsid w:val="7B2A40D3"/>
    <w:rsid w:val="7B2E3BC3"/>
    <w:rsid w:val="7B2F3497"/>
    <w:rsid w:val="7B2F5245"/>
    <w:rsid w:val="7B38059E"/>
    <w:rsid w:val="7B3A4316"/>
    <w:rsid w:val="7B3B184D"/>
    <w:rsid w:val="7B422D5F"/>
    <w:rsid w:val="7B452CBB"/>
    <w:rsid w:val="7B454A69"/>
    <w:rsid w:val="7B476A33"/>
    <w:rsid w:val="7B4909FD"/>
    <w:rsid w:val="7B4A02D1"/>
    <w:rsid w:val="7B4C4049"/>
    <w:rsid w:val="7B4E4265"/>
    <w:rsid w:val="7B533629"/>
    <w:rsid w:val="7B5573A2"/>
    <w:rsid w:val="7B566C76"/>
    <w:rsid w:val="7B5B428C"/>
    <w:rsid w:val="7B5F3D7C"/>
    <w:rsid w:val="7B65510B"/>
    <w:rsid w:val="7B66335D"/>
    <w:rsid w:val="7B670E83"/>
    <w:rsid w:val="7B6B0973"/>
    <w:rsid w:val="7B6E2211"/>
    <w:rsid w:val="7B705F89"/>
    <w:rsid w:val="7B7517F2"/>
    <w:rsid w:val="7B780263"/>
    <w:rsid w:val="7B780AEF"/>
    <w:rsid w:val="7B821819"/>
    <w:rsid w:val="7B835745"/>
    <w:rsid w:val="7B872BF5"/>
    <w:rsid w:val="7B886F98"/>
    <w:rsid w:val="7B8A691F"/>
    <w:rsid w:val="7B917CAE"/>
    <w:rsid w:val="7B95154C"/>
    <w:rsid w:val="7B9559F0"/>
    <w:rsid w:val="7B963516"/>
    <w:rsid w:val="7B974D78"/>
    <w:rsid w:val="7B98728E"/>
    <w:rsid w:val="7B9B0B2D"/>
    <w:rsid w:val="7B9D48A5"/>
    <w:rsid w:val="7B9D6653"/>
    <w:rsid w:val="7B9D74A9"/>
    <w:rsid w:val="7B9F061D"/>
    <w:rsid w:val="7B9F23CB"/>
    <w:rsid w:val="7BA0756B"/>
    <w:rsid w:val="7BA82956"/>
    <w:rsid w:val="7BA9149B"/>
    <w:rsid w:val="7BA94FF8"/>
    <w:rsid w:val="7BAB467E"/>
    <w:rsid w:val="7BB5399C"/>
    <w:rsid w:val="7BBF36D2"/>
    <w:rsid w:val="7BC2497A"/>
    <w:rsid w:val="7BC42654"/>
    <w:rsid w:val="7BC6204D"/>
    <w:rsid w:val="7BC736D0"/>
    <w:rsid w:val="7BCC0CE6"/>
    <w:rsid w:val="7BD271A4"/>
    <w:rsid w:val="7BD61B65"/>
    <w:rsid w:val="7BDA1655"/>
    <w:rsid w:val="7BDA3403"/>
    <w:rsid w:val="7BDA78A7"/>
    <w:rsid w:val="7BDD535C"/>
    <w:rsid w:val="7BDF0A19"/>
    <w:rsid w:val="7BE32A41"/>
    <w:rsid w:val="7BE349AD"/>
    <w:rsid w:val="7BE424D4"/>
    <w:rsid w:val="7BE61DA8"/>
    <w:rsid w:val="7BE814DF"/>
    <w:rsid w:val="7BE95D3C"/>
    <w:rsid w:val="7BE97AEA"/>
    <w:rsid w:val="7BEB1AB4"/>
    <w:rsid w:val="7BF070CA"/>
    <w:rsid w:val="7BF5648F"/>
    <w:rsid w:val="7BF74231"/>
    <w:rsid w:val="7BFD3595"/>
    <w:rsid w:val="7BFE1DCD"/>
    <w:rsid w:val="7C014E34"/>
    <w:rsid w:val="7C0466D2"/>
    <w:rsid w:val="7C05228E"/>
    <w:rsid w:val="7C06069C"/>
    <w:rsid w:val="7C0861C2"/>
    <w:rsid w:val="7C0906C4"/>
    <w:rsid w:val="7C091F3A"/>
    <w:rsid w:val="7C092067"/>
    <w:rsid w:val="7C0B180E"/>
    <w:rsid w:val="7C0B5CB2"/>
    <w:rsid w:val="7C0E12FE"/>
    <w:rsid w:val="7C10714B"/>
    <w:rsid w:val="7C134B67"/>
    <w:rsid w:val="7C1508DF"/>
    <w:rsid w:val="7C1903CF"/>
    <w:rsid w:val="7C1A7CA3"/>
    <w:rsid w:val="7C1E3C37"/>
    <w:rsid w:val="7C235C41"/>
    <w:rsid w:val="7C246D74"/>
    <w:rsid w:val="7C264C3C"/>
    <w:rsid w:val="7C284C6A"/>
    <w:rsid w:val="7C295CA4"/>
    <w:rsid w:val="7C2B0102"/>
    <w:rsid w:val="7C2B6FA4"/>
    <w:rsid w:val="7C2E374F"/>
    <w:rsid w:val="7C3242A6"/>
    <w:rsid w:val="7C345209"/>
    <w:rsid w:val="7C354ADD"/>
    <w:rsid w:val="7C365C2B"/>
    <w:rsid w:val="7C372603"/>
    <w:rsid w:val="7C4116D4"/>
    <w:rsid w:val="7C444D20"/>
    <w:rsid w:val="7C451CB1"/>
    <w:rsid w:val="7C460A98"/>
    <w:rsid w:val="7C464F3C"/>
    <w:rsid w:val="7C4965E7"/>
    <w:rsid w:val="7C5848D0"/>
    <w:rsid w:val="7C596A1E"/>
    <w:rsid w:val="7C5F1B82"/>
    <w:rsid w:val="7C613B24"/>
    <w:rsid w:val="7C662EE9"/>
    <w:rsid w:val="7C6B04FF"/>
    <w:rsid w:val="7C6C2CF0"/>
    <w:rsid w:val="7C6D071B"/>
    <w:rsid w:val="7C703D67"/>
    <w:rsid w:val="7C72188D"/>
    <w:rsid w:val="7C765AB7"/>
    <w:rsid w:val="7C7A6994"/>
    <w:rsid w:val="7C7B7C1A"/>
    <w:rsid w:val="7C7C44BA"/>
    <w:rsid w:val="7C7E0232"/>
    <w:rsid w:val="7C8141C6"/>
    <w:rsid w:val="7C8415C1"/>
    <w:rsid w:val="7C85696F"/>
    <w:rsid w:val="7C857813"/>
    <w:rsid w:val="7C8617DD"/>
    <w:rsid w:val="7C8B294F"/>
    <w:rsid w:val="7C8C5230"/>
    <w:rsid w:val="7C9000FA"/>
    <w:rsid w:val="7C920181"/>
    <w:rsid w:val="7C923CDE"/>
    <w:rsid w:val="7C935EA0"/>
    <w:rsid w:val="7C991510"/>
    <w:rsid w:val="7C9931A2"/>
    <w:rsid w:val="7C9932BE"/>
    <w:rsid w:val="7C9D36AC"/>
    <w:rsid w:val="7C9F63FA"/>
    <w:rsid w:val="7CA0289E"/>
    <w:rsid w:val="7CA103C5"/>
    <w:rsid w:val="7CA13F21"/>
    <w:rsid w:val="7CA26617"/>
    <w:rsid w:val="7CA3413D"/>
    <w:rsid w:val="7CA60132"/>
    <w:rsid w:val="7CAA231C"/>
    <w:rsid w:val="7CAB4D9F"/>
    <w:rsid w:val="7CB023B6"/>
    <w:rsid w:val="7CB33E74"/>
    <w:rsid w:val="7CB400F8"/>
    <w:rsid w:val="7CB52F7A"/>
    <w:rsid w:val="7CB579CC"/>
    <w:rsid w:val="7CB63E70"/>
    <w:rsid w:val="7CB93960"/>
    <w:rsid w:val="7CB95538"/>
    <w:rsid w:val="7CBB3234"/>
    <w:rsid w:val="7CC0084B"/>
    <w:rsid w:val="7CC145C3"/>
    <w:rsid w:val="7CC16371"/>
    <w:rsid w:val="7CC24F7F"/>
    <w:rsid w:val="7CC3033B"/>
    <w:rsid w:val="7CC52305"/>
    <w:rsid w:val="7CC77E2B"/>
    <w:rsid w:val="7CC80DF1"/>
    <w:rsid w:val="7CCA03ED"/>
    <w:rsid w:val="7CCA791B"/>
    <w:rsid w:val="7CCC3693"/>
    <w:rsid w:val="7CD07583"/>
    <w:rsid w:val="7CD14CD2"/>
    <w:rsid w:val="7CD2057E"/>
    <w:rsid w:val="7CD24A22"/>
    <w:rsid w:val="7CD57FDE"/>
    <w:rsid w:val="7CD90635"/>
    <w:rsid w:val="7CD915C9"/>
    <w:rsid w:val="7CDB7433"/>
    <w:rsid w:val="7CDE2919"/>
    <w:rsid w:val="7CDE33C7"/>
    <w:rsid w:val="7CDE5175"/>
    <w:rsid w:val="7CE56503"/>
    <w:rsid w:val="7CE65DD7"/>
    <w:rsid w:val="7CE85FF3"/>
    <w:rsid w:val="7CEC5AE4"/>
    <w:rsid w:val="7CEF1130"/>
    <w:rsid w:val="7CF14EA8"/>
    <w:rsid w:val="7CFB7AD5"/>
    <w:rsid w:val="7CFD1A9F"/>
    <w:rsid w:val="7D006E99"/>
    <w:rsid w:val="7D020E63"/>
    <w:rsid w:val="7D036989"/>
    <w:rsid w:val="7D0621D5"/>
    <w:rsid w:val="7D0A5F6A"/>
    <w:rsid w:val="7D0D7808"/>
    <w:rsid w:val="7D0F17D2"/>
    <w:rsid w:val="7D1666BD"/>
    <w:rsid w:val="7D1868D9"/>
    <w:rsid w:val="7D1943FF"/>
    <w:rsid w:val="7D1B3CD3"/>
    <w:rsid w:val="7D1C7A4B"/>
    <w:rsid w:val="7D20753B"/>
    <w:rsid w:val="7D2232B3"/>
    <w:rsid w:val="7D226E2B"/>
    <w:rsid w:val="7D256900"/>
    <w:rsid w:val="7D276B1C"/>
    <w:rsid w:val="7D280290"/>
    <w:rsid w:val="7D2F3C22"/>
    <w:rsid w:val="7D2F59D0"/>
    <w:rsid w:val="7D2F777E"/>
    <w:rsid w:val="7D311748"/>
    <w:rsid w:val="7D32101D"/>
    <w:rsid w:val="7D360B0D"/>
    <w:rsid w:val="7D3905FD"/>
    <w:rsid w:val="7D3D1E9B"/>
    <w:rsid w:val="7D3D633F"/>
    <w:rsid w:val="7D3F20B7"/>
    <w:rsid w:val="7D423956"/>
    <w:rsid w:val="7D44147C"/>
    <w:rsid w:val="7D4476CE"/>
    <w:rsid w:val="7D450D50"/>
    <w:rsid w:val="7D471265"/>
    <w:rsid w:val="7D493485"/>
    <w:rsid w:val="7D494CE4"/>
    <w:rsid w:val="7D4A0A5C"/>
    <w:rsid w:val="7D4F6073"/>
    <w:rsid w:val="7D567401"/>
    <w:rsid w:val="7D5920FE"/>
    <w:rsid w:val="7D592A4D"/>
    <w:rsid w:val="7D5947FB"/>
    <w:rsid w:val="7D5D078F"/>
    <w:rsid w:val="7D5E0064"/>
    <w:rsid w:val="7D625DA6"/>
    <w:rsid w:val="7D660289"/>
    <w:rsid w:val="7D6A07B6"/>
    <w:rsid w:val="7D6A6A08"/>
    <w:rsid w:val="7D6D017E"/>
    <w:rsid w:val="7D711B45"/>
    <w:rsid w:val="7D7A4E9D"/>
    <w:rsid w:val="7D7D04EA"/>
    <w:rsid w:val="7D80447E"/>
    <w:rsid w:val="7D822167"/>
    <w:rsid w:val="7D824DCE"/>
    <w:rsid w:val="7D871368"/>
    <w:rsid w:val="7D8856FB"/>
    <w:rsid w:val="7D8950E1"/>
    <w:rsid w:val="7D8E6B9B"/>
    <w:rsid w:val="7D8F16AE"/>
    <w:rsid w:val="7D9121E7"/>
    <w:rsid w:val="7D9341B1"/>
    <w:rsid w:val="7D951CD7"/>
    <w:rsid w:val="7D9662B8"/>
    <w:rsid w:val="7D972E83"/>
    <w:rsid w:val="7D99109C"/>
    <w:rsid w:val="7D9B14E6"/>
    <w:rsid w:val="7D9D6DDE"/>
    <w:rsid w:val="7D9F4904"/>
    <w:rsid w:val="7DA168CE"/>
    <w:rsid w:val="7DA22646"/>
    <w:rsid w:val="7DA27AAD"/>
    <w:rsid w:val="7DA41F1A"/>
    <w:rsid w:val="7DA55C93"/>
    <w:rsid w:val="7DAC0DCF"/>
    <w:rsid w:val="7DAF4942"/>
    <w:rsid w:val="7DB008BF"/>
    <w:rsid w:val="7DB12040"/>
    <w:rsid w:val="7DB36601"/>
    <w:rsid w:val="7DC51F16"/>
    <w:rsid w:val="7DC600E3"/>
    <w:rsid w:val="7DC66335"/>
    <w:rsid w:val="7DC9372F"/>
    <w:rsid w:val="7DCC1471"/>
    <w:rsid w:val="7DCC321F"/>
    <w:rsid w:val="7DCE5B9D"/>
    <w:rsid w:val="7DD87E16"/>
    <w:rsid w:val="7DDA593C"/>
    <w:rsid w:val="7DDF2F52"/>
    <w:rsid w:val="7DE14F1D"/>
    <w:rsid w:val="7DE22A43"/>
    <w:rsid w:val="7DE762AB"/>
    <w:rsid w:val="7DE844FD"/>
    <w:rsid w:val="7DE92023"/>
    <w:rsid w:val="7DE95B7F"/>
    <w:rsid w:val="7DEB5D9B"/>
    <w:rsid w:val="7DEC38C1"/>
    <w:rsid w:val="7DF458AA"/>
    <w:rsid w:val="7DF6029C"/>
    <w:rsid w:val="7DF764EE"/>
    <w:rsid w:val="7DFD5ACF"/>
    <w:rsid w:val="7E074257"/>
    <w:rsid w:val="7E0B1F99"/>
    <w:rsid w:val="7E0B4983"/>
    <w:rsid w:val="7E0D3F64"/>
    <w:rsid w:val="7E0E1A8A"/>
    <w:rsid w:val="7E10135E"/>
    <w:rsid w:val="7E102EB2"/>
    <w:rsid w:val="7E1075B0"/>
    <w:rsid w:val="7E1150D6"/>
    <w:rsid w:val="7E123328"/>
    <w:rsid w:val="7E124581"/>
    <w:rsid w:val="7E1C41A7"/>
    <w:rsid w:val="7E1F5A45"/>
    <w:rsid w:val="7E21356B"/>
    <w:rsid w:val="7E235328"/>
    <w:rsid w:val="7E2968C4"/>
    <w:rsid w:val="7E2A0415"/>
    <w:rsid w:val="7E2D0162"/>
    <w:rsid w:val="7E2E5C88"/>
    <w:rsid w:val="7E327526"/>
    <w:rsid w:val="7E3338BA"/>
    <w:rsid w:val="7E356183"/>
    <w:rsid w:val="7E374B3D"/>
    <w:rsid w:val="7E39147D"/>
    <w:rsid w:val="7E3A287F"/>
    <w:rsid w:val="7E3E411D"/>
    <w:rsid w:val="7E4121CA"/>
    <w:rsid w:val="7E417769"/>
    <w:rsid w:val="7E421F1F"/>
    <w:rsid w:val="7E484F9C"/>
    <w:rsid w:val="7E486D4A"/>
    <w:rsid w:val="7E492AC2"/>
    <w:rsid w:val="7E494870"/>
    <w:rsid w:val="7E4C610E"/>
    <w:rsid w:val="7E4E00D8"/>
    <w:rsid w:val="7E521976"/>
    <w:rsid w:val="7E525E1A"/>
    <w:rsid w:val="7E584AB3"/>
    <w:rsid w:val="7E5A6A7D"/>
    <w:rsid w:val="7E5F22E5"/>
    <w:rsid w:val="7E5F57E1"/>
    <w:rsid w:val="7E6416AA"/>
    <w:rsid w:val="7E64593C"/>
    <w:rsid w:val="7E670F6E"/>
    <w:rsid w:val="7E696CC0"/>
    <w:rsid w:val="7E751B09"/>
    <w:rsid w:val="7E7933A7"/>
    <w:rsid w:val="7E7B31DC"/>
    <w:rsid w:val="7E7F64E4"/>
    <w:rsid w:val="7E88183C"/>
    <w:rsid w:val="7E8B4E88"/>
    <w:rsid w:val="7E8D0C00"/>
    <w:rsid w:val="7E955D07"/>
    <w:rsid w:val="7E96616C"/>
    <w:rsid w:val="7E9A50CB"/>
    <w:rsid w:val="7E9C2B2A"/>
    <w:rsid w:val="7E9C52E7"/>
    <w:rsid w:val="7E9E2E0E"/>
    <w:rsid w:val="7E9E7F46"/>
    <w:rsid w:val="7EA06B86"/>
    <w:rsid w:val="7EA128FE"/>
    <w:rsid w:val="7EA36676"/>
    <w:rsid w:val="7EAC0EDE"/>
    <w:rsid w:val="7EAD4DFF"/>
    <w:rsid w:val="7EB55657"/>
    <w:rsid w:val="7EB663A9"/>
    <w:rsid w:val="7EBA751C"/>
    <w:rsid w:val="7EBE0DBA"/>
    <w:rsid w:val="7EC00FD6"/>
    <w:rsid w:val="7EC65EC0"/>
    <w:rsid w:val="7ECA3C03"/>
    <w:rsid w:val="7ECA59B1"/>
    <w:rsid w:val="7ECF1219"/>
    <w:rsid w:val="7ED131BD"/>
    <w:rsid w:val="7ED700CE"/>
    <w:rsid w:val="7EDA196C"/>
    <w:rsid w:val="7EE06F82"/>
    <w:rsid w:val="7EE10F4C"/>
    <w:rsid w:val="7EE2286E"/>
    <w:rsid w:val="7EE414FD"/>
    <w:rsid w:val="7EE54599"/>
    <w:rsid w:val="7EEB251F"/>
    <w:rsid w:val="7EEC1DCB"/>
    <w:rsid w:val="7EF46ED2"/>
    <w:rsid w:val="7EF70770"/>
    <w:rsid w:val="7EF86055"/>
    <w:rsid w:val="7F005876"/>
    <w:rsid w:val="7F016EF9"/>
    <w:rsid w:val="7F020597"/>
    <w:rsid w:val="7F030EC3"/>
    <w:rsid w:val="7F054C3B"/>
    <w:rsid w:val="7F076C05"/>
    <w:rsid w:val="7F0A70E2"/>
    <w:rsid w:val="7F0B7D77"/>
    <w:rsid w:val="7F0D3AEF"/>
    <w:rsid w:val="7F0E027B"/>
    <w:rsid w:val="7F0F1615"/>
    <w:rsid w:val="7F154BF9"/>
    <w:rsid w:val="7F17496E"/>
    <w:rsid w:val="7F1B620C"/>
    <w:rsid w:val="7F1C3D32"/>
    <w:rsid w:val="7F1E662F"/>
    <w:rsid w:val="7F21018D"/>
    <w:rsid w:val="7F211349"/>
    <w:rsid w:val="7F250E39"/>
    <w:rsid w:val="7F2826D7"/>
    <w:rsid w:val="7F2B2374"/>
    <w:rsid w:val="7F2E6F87"/>
    <w:rsid w:val="7F3379FA"/>
    <w:rsid w:val="7F34107C"/>
    <w:rsid w:val="7F361298"/>
    <w:rsid w:val="7F38179C"/>
    <w:rsid w:val="7F3948E4"/>
    <w:rsid w:val="7F4219EB"/>
    <w:rsid w:val="7F427C3D"/>
    <w:rsid w:val="7F4339B5"/>
    <w:rsid w:val="7F44278E"/>
    <w:rsid w:val="7F453289"/>
    <w:rsid w:val="7F460DAF"/>
    <w:rsid w:val="7F496B47"/>
    <w:rsid w:val="7F4D0390"/>
    <w:rsid w:val="7F4E65E2"/>
    <w:rsid w:val="7F4F5EB6"/>
    <w:rsid w:val="7F50002E"/>
    <w:rsid w:val="7F594F87"/>
    <w:rsid w:val="7F5A53F2"/>
    <w:rsid w:val="7F5E3AC2"/>
    <w:rsid w:val="7F62208D"/>
    <w:rsid w:val="7F631961"/>
    <w:rsid w:val="7F645E05"/>
    <w:rsid w:val="7F65392B"/>
    <w:rsid w:val="7F671451"/>
    <w:rsid w:val="7F6851CA"/>
    <w:rsid w:val="7F6A2CF0"/>
    <w:rsid w:val="7F6D458E"/>
    <w:rsid w:val="7F6F3664"/>
    <w:rsid w:val="7F6F47AA"/>
    <w:rsid w:val="7F761695"/>
    <w:rsid w:val="7F792F33"/>
    <w:rsid w:val="7F7973D7"/>
    <w:rsid w:val="7F7B4EFD"/>
    <w:rsid w:val="7F82628B"/>
    <w:rsid w:val="7F855D7C"/>
    <w:rsid w:val="7F89761A"/>
    <w:rsid w:val="7F8A15E4"/>
    <w:rsid w:val="7F8B1A92"/>
    <w:rsid w:val="7F8E145F"/>
    <w:rsid w:val="7F8F4030"/>
    <w:rsid w:val="7F914720"/>
    <w:rsid w:val="7F963AE5"/>
    <w:rsid w:val="7F98785D"/>
    <w:rsid w:val="7F991F7B"/>
    <w:rsid w:val="7F9E2999"/>
    <w:rsid w:val="7F9F6E3D"/>
    <w:rsid w:val="7FA2248A"/>
    <w:rsid w:val="7FA53D28"/>
    <w:rsid w:val="7FA64B92"/>
    <w:rsid w:val="7FAC3308"/>
    <w:rsid w:val="7FAE52D2"/>
    <w:rsid w:val="7FAF4BA7"/>
    <w:rsid w:val="7FB0104A"/>
    <w:rsid w:val="7FB0171A"/>
    <w:rsid w:val="7FB14DC3"/>
    <w:rsid w:val="7FB56661"/>
    <w:rsid w:val="7FB83A5B"/>
    <w:rsid w:val="7FB977D3"/>
    <w:rsid w:val="7FBC304D"/>
    <w:rsid w:val="7FBD3767"/>
    <w:rsid w:val="7FC20D7E"/>
    <w:rsid w:val="7FC40652"/>
    <w:rsid w:val="7FC42C6F"/>
    <w:rsid w:val="7FC5261C"/>
    <w:rsid w:val="7FC64644"/>
    <w:rsid w:val="7FC72D31"/>
    <w:rsid w:val="7FC93EBA"/>
    <w:rsid w:val="7FCE14D1"/>
    <w:rsid w:val="7FD64829"/>
    <w:rsid w:val="7FDB3BED"/>
    <w:rsid w:val="7FE64B79"/>
    <w:rsid w:val="7FE8226B"/>
    <w:rsid w:val="7FEC5DFB"/>
    <w:rsid w:val="7FEE1B73"/>
    <w:rsid w:val="7FF01447"/>
    <w:rsid w:val="7FF32CE5"/>
    <w:rsid w:val="7FF4079D"/>
    <w:rsid w:val="7FF60A27"/>
    <w:rsid w:val="7FF6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heading 1"/>
    <w:basedOn w:val="1"/>
    <w:next w:val="1"/>
    <w:link w:val="34"/>
    <w:autoRedefine/>
    <w:qFormat/>
    <w:uiPriority w:val="0"/>
    <w:pPr>
      <w:keepNext/>
      <w:keepLines/>
      <w:numPr>
        <w:ilvl w:val="0"/>
        <w:numId w:val="1"/>
      </w:numPr>
      <w:autoSpaceDE w:val="0"/>
      <w:autoSpaceDN w:val="0"/>
      <w:adjustRightInd w:val="0"/>
      <w:spacing w:before="120" w:after="120" w:line="300" w:lineRule="auto"/>
      <w:jc w:val="center"/>
      <w:textAlignment w:val="baseline"/>
      <w:outlineLvl w:val="0"/>
    </w:pPr>
    <w:rPr>
      <w:rFonts w:ascii="Times New Roman" w:hAnsi="Times New Roman" w:eastAsia="宋体" w:cs="Times New Roman"/>
      <w:spacing w:val="40"/>
      <w:kern w:val="44"/>
    </w:rPr>
  </w:style>
  <w:style w:type="paragraph" w:styleId="10">
    <w:name w:val="heading 2"/>
    <w:basedOn w:val="1"/>
    <w:next w:val="1"/>
    <w:link w:val="35"/>
    <w:autoRedefine/>
    <w:semiHidden/>
    <w:unhideWhenUsed/>
    <w:qFormat/>
    <w:uiPriority w:val="0"/>
    <w:pPr>
      <w:jc w:val="left"/>
      <w:outlineLvl w:val="1"/>
    </w:pPr>
    <w:rPr>
      <w:rFonts w:ascii="Times New Roman" w:hAnsi="Times New Roman" w:eastAsia="宋体" w:cs="Times New Roman"/>
      <w:b/>
      <w:sz w:val="28"/>
    </w:rPr>
  </w:style>
  <w:style w:type="paragraph" w:styleId="11">
    <w:name w:val="heading 3"/>
    <w:basedOn w:val="1"/>
    <w:next w:val="1"/>
    <w:autoRedefine/>
    <w:unhideWhenUsed/>
    <w:qFormat/>
    <w:uiPriority w:val="0"/>
    <w:pPr>
      <w:keepNext/>
      <w:keepLines/>
      <w:spacing w:before="260" w:after="260" w:line="416" w:lineRule="auto"/>
      <w:outlineLvl w:val="2"/>
    </w:pPr>
    <w:rPr>
      <w:b/>
      <w:bCs/>
      <w:sz w:val="32"/>
      <w:szCs w:val="32"/>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line="240" w:lineRule="auto"/>
      <w:ind w:left="420" w:leftChars="200" w:firstLine="420" w:firstLineChars="200"/>
    </w:pPr>
    <w:rPr>
      <w:spacing w:val="0"/>
      <w:sz w:val="21"/>
    </w:rPr>
  </w:style>
  <w:style w:type="paragraph" w:styleId="3">
    <w:name w:val="Body Text Indent"/>
    <w:basedOn w:val="1"/>
    <w:next w:val="4"/>
    <w:autoRedefine/>
    <w:qFormat/>
    <w:uiPriority w:val="0"/>
    <w:pPr>
      <w:spacing w:after="120"/>
      <w:ind w:left="420" w:leftChars="200"/>
    </w:pPr>
    <w:rPr>
      <w:kern w:val="0"/>
      <w:sz w:val="24"/>
      <w:szCs w:val="20"/>
    </w:rPr>
  </w:style>
  <w:style w:type="paragraph" w:styleId="4">
    <w:name w:val="header"/>
    <w:basedOn w:val="1"/>
    <w:next w:val="5"/>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5">
    <w:name w:val="样式5"/>
    <w:basedOn w:val="6"/>
    <w:next w:val="1"/>
    <w:autoRedefine/>
    <w:qFormat/>
    <w:uiPriority w:val="0"/>
    <w:pPr>
      <w:spacing w:line="460" w:lineRule="exact"/>
      <w:ind w:firstLine="510"/>
    </w:pPr>
    <w:rPr>
      <w:sz w:val="24"/>
    </w:rPr>
  </w:style>
  <w:style w:type="paragraph" w:customStyle="1" w:styleId="6">
    <w:name w:val="正文1"/>
    <w:basedOn w:val="7"/>
    <w:next w:val="1"/>
    <w:autoRedefine/>
    <w:qFormat/>
    <w:uiPriority w:val="0"/>
    <w:pPr>
      <w:snapToGrid w:val="0"/>
      <w:spacing w:beforeLines="20" w:afterLines="20" w:line="312" w:lineRule="auto"/>
      <w:ind w:firstLine="475" w:firstLineChars="198"/>
    </w:pPr>
    <w:rPr>
      <w:rFonts w:ascii="宋体" w:hAnsi="宋体"/>
      <w:color w:val="000000"/>
      <w:sz w:val="24"/>
      <w:szCs w:val="20"/>
    </w:rPr>
  </w:style>
  <w:style w:type="paragraph" w:styleId="7">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8">
    <w:name w:val="macro"/>
    <w:basedOn w:val="1"/>
    <w:next w:val="1"/>
    <w:autoRedefine/>
    <w:qFormat/>
    <w:uiPriority w:val="0"/>
    <w:pPr>
      <w:numPr>
        <w:ilvl w:val="8"/>
        <w:numId w:val="2"/>
      </w:numPr>
      <w:tabs>
        <w:tab w:val="center" w:pos="0"/>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0"/>
      <w:jc w:val="center"/>
    </w:pPr>
    <w:rPr>
      <w:rFonts w:cs="Times New Roman"/>
      <w:b/>
      <w:kern w:val="2"/>
    </w:rPr>
  </w:style>
  <w:style w:type="paragraph" w:styleId="12">
    <w:name w:val="Normal Indent"/>
    <w:basedOn w:val="1"/>
    <w:autoRedefine/>
    <w:qFormat/>
    <w:uiPriority w:val="0"/>
    <w:pPr>
      <w:ind w:firstLine="420" w:firstLineChars="200"/>
    </w:pPr>
  </w:style>
  <w:style w:type="paragraph" w:styleId="13">
    <w:name w:val="annotation text"/>
    <w:basedOn w:val="1"/>
    <w:autoRedefine/>
    <w:qFormat/>
    <w:uiPriority w:val="0"/>
    <w:pPr>
      <w:jc w:val="left"/>
    </w:pPr>
    <w:rPr>
      <w:kern w:val="0"/>
      <w:sz w:val="24"/>
      <w:szCs w:val="20"/>
    </w:rPr>
  </w:style>
  <w:style w:type="paragraph" w:styleId="14">
    <w:name w:val="Plain Text"/>
    <w:basedOn w:val="1"/>
    <w:next w:val="1"/>
    <w:autoRedefine/>
    <w:qFormat/>
    <w:uiPriority w:val="0"/>
    <w:rPr>
      <w:rFonts w:ascii="宋体" w:hAnsi="Courier New"/>
      <w:szCs w:val="20"/>
    </w:rPr>
  </w:style>
  <w:style w:type="paragraph" w:styleId="15">
    <w:name w:val="List Bullet 5"/>
    <w:basedOn w:val="1"/>
    <w:autoRedefine/>
    <w:qFormat/>
    <w:uiPriority w:val="0"/>
    <w:pPr>
      <w:numPr>
        <w:ilvl w:val="0"/>
        <w:numId w:val="3"/>
      </w:numPr>
    </w:pPr>
  </w:style>
  <w:style w:type="paragraph" w:styleId="16">
    <w:name w:val="Body Text Indent 2"/>
    <w:basedOn w:val="1"/>
    <w:next w:val="17"/>
    <w:autoRedefine/>
    <w:qFormat/>
    <w:uiPriority w:val="99"/>
    <w:pPr>
      <w:spacing w:line="360" w:lineRule="auto"/>
      <w:ind w:left="720" w:hanging="720"/>
    </w:pPr>
    <w:rPr>
      <w:rFonts w:ascii="宋体"/>
      <w:sz w:val="24"/>
    </w:rPr>
  </w:style>
  <w:style w:type="paragraph" w:customStyle="1" w:styleId="17">
    <w:name w:val="reader-word-layer reader-word-s46-2"/>
    <w:basedOn w:val="1"/>
    <w:next w:val="18"/>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
    <w:name w:val="xl35"/>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Unicode MS" w:hAnsi="Arial Unicode MS" w:eastAsia="Arial Unicode MS"/>
      <w:spacing w:val="12"/>
      <w:kern w:val="0"/>
      <w:sz w:val="24"/>
      <w:szCs w:val="24"/>
    </w:rPr>
  </w:style>
  <w:style w:type="paragraph" w:styleId="19">
    <w:name w:val="List Continue 5"/>
    <w:basedOn w:val="1"/>
    <w:autoRedefine/>
    <w:qFormat/>
    <w:uiPriority w:val="0"/>
    <w:pPr>
      <w:spacing w:after="120" w:line="360" w:lineRule="auto"/>
      <w:ind w:left="2100" w:leftChars="1000" w:firstLine="200" w:firstLineChars="200"/>
    </w:pPr>
    <w:rPr>
      <w:sz w:val="24"/>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autoRedefine/>
    <w:qFormat/>
    <w:uiPriority w:val="0"/>
    <w:pPr>
      <w:spacing w:before="240" w:beforeLines="0" w:beforeAutospacing="0" w:after="60" w:afterLines="0" w:afterAutospacing="0"/>
      <w:jc w:val="center"/>
      <w:outlineLvl w:val="0"/>
    </w:pPr>
    <w:rPr>
      <w:rFonts w:ascii="Arial" w:hAnsi="Arial"/>
      <w:b/>
      <w:sz w:val="32"/>
    </w:rPr>
  </w:style>
  <w:style w:type="paragraph" w:styleId="23">
    <w:name w:val="Body Text First Indent"/>
    <w:basedOn w:val="7"/>
    <w:next w:val="1"/>
    <w:qFormat/>
    <w:uiPriority w:val="0"/>
    <w:pPr>
      <w:spacing w:line="400" w:lineRule="exact"/>
      <w:ind w:firstLine="493"/>
    </w:pPr>
    <w:rPr>
      <w:rFonts w:ascii="楷体_GB2312"/>
      <w:spacing w:val="8"/>
      <w:kern w:val="24"/>
      <w:sz w:val="24"/>
    </w:r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autoRedefine/>
    <w:qFormat/>
    <w:uiPriority w:val="0"/>
  </w:style>
  <w:style w:type="character" w:styleId="29">
    <w:name w:val="Emphasis"/>
    <w:basedOn w:val="26"/>
    <w:autoRedefine/>
    <w:qFormat/>
    <w:uiPriority w:val="0"/>
    <w:rPr>
      <w:color w:val="C60A00"/>
    </w:rPr>
  </w:style>
  <w:style w:type="paragraph" w:customStyle="1" w:styleId="30">
    <w:name w:val="xl27"/>
    <w:basedOn w:val="1"/>
    <w:autoRedefine/>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rPr>
  </w:style>
  <w:style w:type="paragraph" w:customStyle="1" w:styleId="31">
    <w:name w:val="样式 正文文本缩进 + 行距: 1.5 倍行距"/>
    <w:basedOn w:val="32"/>
    <w:next w:val="1"/>
    <w:autoRedefine/>
    <w:qFormat/>
    <w:uiPriority w:val="0"/>
    <w:pPr>
      <w:spacing w:after="120" w:line="360" w:lineRule="auto"/>
      <w:ind w:left="90" w:leftChars="32" w:firstLine="560" w:firstLineChars="200"/>
    </w:pPr>
    <w:rPr>
      <w:rFonts w:cs="宋体"/>
    </w:rPr>
  </w:style>
  <w:style w:type="paragraph" w:customStyle="1" w:styleId="32">
    <w:name w:val="Body Text Indent"/>
    <w:basedOn w:val="1"/>
    <w:next w:val="31"/>
    <w:autoRedefine/>
    <w:qFormat/>
    <w:uiPriority w:val="0"/>
    <w:pPr>
      <w:spacing w:after="120" w:afterLines="0"/>
      <w:ind w:left="420" w:leftChars="200"/>
    </w:pPr>
    <w:rPr>
      <w:rFonts w:ascii="Times New Roman" w:hAnsi="Times New Roman" w:eastAsia="宋体"/>
      <w:sz w:val="24"/>
    </w:rPr>
  </w:style>
  <w:style w:type="paragraph" w:customStyle="1" w:styleId="33">
    <w:name w:val="正文文本缩进1"/>
    <w:basedOn w:val="1"/>
    <w:next w:val="31"/>
    <w:autoRedefine/>
    <w:qFormat/>
    <w:uiPriority w:val="0"/>
    <w:pPr>
      <w:spacing w:line="500" w:lineRule="exact"/>
      <w:ind w:firstLine="525"/>
    </w:pPr>
    <w:rPr>
      <w:sz w:val="24"/>
      <w:szCs w:val="20"/>
    </w:rPr>
  </w:style>
  <w:style w:type="character" w:customStyle="1" w:styleId="34">
    <w:name w:val="标题 1 Char"/>
    <w:link w:val="9"/>
    <w:autoRedefine/>
    <w:qFormat/>
    <w:uiPriority w:val="0"/>
    <w:rPr>
      <w:rFonts w:ascii="Times New Roman" w:hAnsi="Times New Roman" w:eastAsia="宋体" w:cs="Times New Roman"/>
      <w:b/>
      <w:spacing w:val="40"/>
      <w:kern w:val="44"/>
      <w:sz w:val="32"/>
    </w:rPr>
  </w:style>
  <w:style w:type="character" w:customStyle="1" w:styleId="35">
    <w:name w:val="标题 2 Char"/>
    <w:link w:val="10"/>
    <w:autoRedefine/>
    <w:qFormat/>
    <w:uiPriority w:val="0"/>
    <w:rPr>
      <w:rFonts w:ascii="Times New Roman" w:hAnsi="Times New Roman" w:eastAsia="宋体" w:cs="Times New Roman"/>
      <w:b/>
      <w:spacing w:val="40"/>
      <w:kern w:val="44"/>
      <w:sz w:val="28"/>
    </w:rPr>
  </w:style>
  <w:style w:type="paragraph" w:customStyle="1" w:styleId="36">
    <w:name w:val="Default"/>
    <w:basedOn w:val="37"/>
    <w:autoRedefine/>
    <w:qFormat/>
    <w:uiPriority w:val="0"/>
    <w:pPr>
      <w:widowControl w:val="0"/>
      <w:autoSpaceDE w:val="0"/>
      <w:autoSpaceDN w:val="0"/>
      <w:adjustRightInd w:val="0"/>
    </w:pPr>
    <w:rPr>
      <w:rFonts w:ascii="T T 846o 00" w:hAnsi="Calibri" w:eastAsia="T T 846o 00" w:cs="T T 846o 00"/>
      <w:color w:val="000000"/>
      <w:sz w:val="24"/>
      <w:szCs w:val="24"/>
      <w:lang w:val="en-US" w:eastAsia="zh-CN" w:bidi="ar-SA"/>
    </w:rPr>
  </w:style>
  <w:style w:type="paragraph" w:customStyle="1" w:styleId="37">
    <w:name w:val="纯文本1"/>
    <w:basedOn w:val="1"/>
    <w:autoRedefine/>
    <w:qFormat/>
    <w:uiPriority w:val="0"/>
    <w:pPr>
      <w:adjustRightInd w:val="0"/>
      <w:textAlignment w:val="baseline"/>
    </w:pPr>
    <w:rPr>
      <w:rFonts w:ascii="宋体" w:hAnsi="Courier New"/>
      <w:szCs w:val="20"/>
    </w:rPr>
  </w:style>
  <w:style w:type="paragraph" w:customStyle="1" w:styleId="38">
    <w:name w:val="样式35"/>
    <w:basedOn w:val="1"/>
    <w:next w:val="1"/>
    <w:autoRedefine/>
    <w:qFormat/>
    <w:uiPriority w:val="0"/>
    <w:pPr>
      <w:spacing w:line="312" w:lineRule="auto"/>
      <w:ind w:firstLine="567"/>
    </w:pPr>
    <w:rPr>
      <w:rFonts w:ascii="宋体"/>
      <w:sz w:val="28"/>
    </w:rPr>
  </w:style>
  <w:style w:type="paragraph" w:customStyle="1" w:styleId="39">
    <w:name w:val="[Normal]"/>
    <w:autoRedefine/>
    <w:qFormat/>
    <w:uiPriority w:val="99"/>
    <w:pPr>
      <w:widowControl w:val="0"/>
      <w:autoSpaceDE w:val="0"/>
      <w:autoSpaceDN w:val="0"/>
      <w:adjustRightInd w:val="0"/>
    </w:pPr>
    <w:rPr>
      <w:rFonts w:ascii="Arial" w:hAnsi="Arial" w:eastAsia="宋体" w:cs="Arial"/>
      <w:sz w:val="24"/>
      <w:szCs w:val="24"/>
      <w:lang w:val="en-US" w:eastAsia="zh-CN" w:bidi="ar-SA"/>
    </w:rPr>
  </w:style>
  <w:style w:type="paragraph" w:customStyle="1" w:styleId="40">
    <w:name w:val="小标题"/>
    <w:basedOn w:val="41"/>
    <w:autoRedefine/>
    <w:qFormat/>
    <w:uiPriority w:val="0"/>
    <w:pPr>
      <w:numPr>
        <w:ilvl w:val="0"/>
        <w:numId w:val="4"/>
      </w:numPr>
      <w:ind w:left="0" w:firstLine="200"/>
    </w:pPr>
    <w:rPr>
      <w:rFonts w:cs="Times New Roman"/>
      <w:b/>
    </w:rPr>
  </w:style>
  <w:style w:type="paragraph" w:customStyle="1" w:styleId="41">
    <w:name w:val="正文d"/>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42">
    <w:name w:val="A正文"/>
    <w:basedOn w:val="1"/>
    <w:autoRedefine/>
    <w:qFormat/>
    <w:uiPriority w:val="0"/>
    <w:pPr>
      <w:spacing w:line="360" w:lineRule="auto"/>
      <w:ind w:firstLine="480" w:firstLineChars="200"/>
    </w:pPr>
    <w:rPr>
      <w:rFonts w:ascii="Calibri" w:hAnsi="Calibri"/>
      <w:kern w:val="0"/>
      <w:sz w:val="24"/>
    </w:rPr>
  </w:style>
  <w:style w:type="character" w:customStyle="1" w:styleId="43">
    <w:name w:val="NormalCharacter"/>
    <w:autoRedefine/>
    <w:qFormat/>
    <w:uiPriority w:val="0"/>
    <w:rPr>
      <w:kern w:val="2"/>
      <w:sz w:val="21"/>
      <w:szCs w:val="24"/>
      <w:lang w:val="en-US" w:eastAsia="zh-CN" w:bidi="ar-SA"/>
    </w:rPr>
  </w:style>
  <w:style w:type="paragraph" w:customStyle="1" w:styleId="44">
    <w:name w:val="正文11"/>
    <w:basedOn w:val="1"/>
    <w:autoRedefine/>
    <w:qFormat/>
    <w:uiPriority w:val="0"/>
    <w:pPr>
      <w:spacing w:line="360" w:lineRule="auto"/>
      <w:ind w:firstLine="420" w:firstLineChars="200"/>
    </w:pPr>
    <w:rPr>
      <w:color w:val="000000"/>
      <w:sz w:val="24"/>
    </w:rPr>
  </w:style>
  <w:style w:type="paragraph" w:customStyle="1" w:styleId="45">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46">
    <w:name w:val="1111"/>
    <w:basedOn w:val="1"/>
    <w:autoRedefine/>
    <w:qFormat/>
    <w:uiPriority w:val="0"/>
    <w:pPr>
      <w:widowControl/>
      <w:adjustRightInd w:val="0"/>
      <w:snapToGrid w:val="0"/>
      <w:spacing w:line="360" w:lineRule="auto"/>
      <w:ind w:firstLine="200" w:firstLineChars="200"/>
    </w:pPr>
    <w:rPr>
      <w:kern w:val="0"/>
      <w:sz w:val="24"/>
      <w:szCs w:val="30"/>
    </w:rPr>
  </w:style>
  <w:style w:type="paragraph" w:customStyle="1" w:styleId="47">
    <w:name w:val="Table Paragraph"/>
    <w:basedOn w:val="1"/>
    <w:next w:val="1"/>
    <w:autoRedefine/>
    <w:qFormat/>
    <w:uiPriority w:val="1"/>
    <w:pPr>
      <w:autoSpaceDE w:val="0"/>
      <w:autoSpaceDN w:val="0"/>
      <w:adjustRightInd w:val="0"/>
      <w:jc w:val="left"/>
    </w:pPr>
    <w:rPr>
      <w:rFonts w:eastAsia="宋体"/>
      <w:kern w:val="0"/>
      <w:sz w:val="24"/>
    </w:rPr>
  </w:style>
  <w:style w:type="paragraph" w:customStyle="1" w:styleId="48">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table" w:customStyle="1" w:styleId="49">
    <w:name w:val="Table Normal"/>
    <w:autoRedefine/>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50">
    <w:name w:val="Table Text"/>
    <w:basedOn w:val="1"/>
    <w:autoRedefine/>
    <w:semiHidden/>
    <w:qFormat/>
    <w:uiPriority w:val="0"/>
    <w:rPr>
      <w:rFonts w:ascii="宋体" w:hAnsi="宋体" w:eastAsia="宋体" w:cs="宋体"/>
      <w:sz w:val="16"/>
      <w:szCs w:val="16"/>
      <w:lang w:val="en-US" w:eastAsia="en-US" w:bidi="ar-SA"/>
    </w:rPr>
  </w:style>
  <w:style w:type="paragraph" w:customStyle="1" w:styleId="51">
    <w:name w:val="li_正文"/>
    <w:basedOn w:val="1"/>
    <w:autoRedefine/>
    <w:qFormat/>
    <w:uiPriority w:val="0"/>
    <w:pPr>
      <w:spacing w:line="360" w:lineRule="auto"/>
      <w:ind w:firstLine="360" w:firstLineChars="150"/>
      <w:jc w:val="left"/>
    </w:pPr>
    <w:rPr>
      <w:rFonts w:ascii="宋体" w:hAnsi="宋体"/>
      <w:sz w:val="24"/>
    </w:rPr>
  </w:style>
  <w:style w:type="paragraph" w:customStyle="1" w:styleId="52">
    <w:name w:val="中文报告书样式"/>
    <w:basedOn w:val="1"/>
    <w:autoRedefine/>
    <w:qFormat/>
    <w:uiPriority w:val="0"/>
    <w:pPr>
      <w:adjustRightInd w:val="0"/>
      <w:snapToGrid w:val="0"/>
      <w:spacing w:line="360" w:lineRule="auto"/>
      <w:ind w:firstLine="480" w:firstLineChars="200"/>
      <w:textAlignment w:val="baseline"/>
    </w:pPr>
    <w:rPr>
      <w:kern w:val="24"/>
      <w:sz w:val="24"/>
      <w:szCs w:val="20"/>
    </w:rPr>
  </w:style>
  <w:style w:type="paragraph" w:customStyle="1" w:styleId="53">
    <w:name w:val="1、正文"/>
    <w:basedOn w:val="1"/>
    <w:autoRedefine/>
    <w:qFormat/>
    <w:uiPriority w:val="0"/>
    <w:pPr>
      <w:adjustRightInd w:val="0"/>
      <w:snapToGrid w:val="0"/>
      <w:ind w:firstLine="200"/>
    </w:pPr>
    <w:rPr>
      <w:kern w:val="0"/>
    </w:rPr>
  </w:style>
  <w:style w:type="character" w:customStyle="1" w:styleId="54">
    <w:name w:val="Body text|2 + 10.5 pt"/>
    <w:basedOn w:val="55"/>
    <w:unhideWhenUsed/>
    <w:qFormat/>
    <w:uiPriority w:val="0"/>
    <w:rPr>
      <w:color w:val="000000"/>
      <w:spacing w:val="0"/>
      <w:w w:val="100"/>
      <w:position w:val="0"/>
      <w:sz w:val="21"/>
      <w:szCs w:val="21"/>
      <w:lang w:val="en-US" w:eastAsia="en-US" w:bidi="en-US"/>
    </w:rPr>
  </w:style>
  <w:style w:type="character" w:customStyle="1" w:styleId="55">
    <w:name w:val="Body text|2_"/>
    <w:basedOn w:val="26"/>
    <w:link w:val="56"/>
    <w:qFormat/>
    <w:uiPriority w:val="0"/>
    <w:rPr>
      <w:rFonts w:ascii="PMingLiU" w:hAnsi="PMingLiU" w:eastAsia="PMingLiU" w:cs="PMingLiU"/>
      <w:sz w:val="22"/>
      <w:szCs w:val="22"/>
      <w:u w:val="none"/>
    </w:rPr>
  </w:style>
  <w:style w:type="paragraph" w:customStyle="1" w:styleId="56">
    <w:name w:val="Body text|231"/>
    <w:basedOn w:val="1"/>
    <w:link w:val="55"/>
    <w:qFormat/>
    <w:uiPriority w:val="0"/>
    <w:pPr>
      <w:widowControl w:val="0"/>
      <w:shd w:val="clear" w:color="auto" w:fill="FFFFFF"/>
      <w:spacing w:line="451" w:lineRule="exact"/>
      <w:ind w:hanging="2100"/>
      <w:jc w:val="distribute"/>
    </w:pPr>
    <w:rPr>
      <w:rFonts w:ascii="PMingLiU" w:hAnsi="PMingLiU" w:eastAsia="PMingLiU" w:cs="PMingLiU"/>
      <w:sz w:val="22"/>
      <w:szCs w:val="22"/>
      <w:u w:val="none"/>
    </w:rPr>
  </w:style>
  <w:style w:type="character" w:customStyle="1" w:styleId="57">
    <w:name w:val="Body text|2 + Spacing 0 pt"/>
    <w:basedOn w:val="55"/>
    <w:unhideWhenUsed/>
    <w:qFormat/>
    <w:uiPriority w:val="0"/>
    <w:rPr>
      <w:color w:val="000000"/>
      <w:spacing w:val="10"/>
      <w:w w:val="100"/>
      <w:position w:val="0"/>
      <w:lang w:val="zh-CN" w:eastAsia="zh-CN" w:bidi="zh-CN"/>
    </w:rPr>
  </w:style>
  <w:style w:type="paragraph" w:customStyle="1" w:styleId="58">
    <w:name w:val="表文"/>
    <w:basedOn w:val="41"/>
    <w:autoRedefine/>
    <w:qFormat/>
    <w:uiPriority w:val="0"/>
    <w:pPr>
      <w:spacing w:line="360" w:lineRule="exact"/>
      <w:ind w:firstLine="0" w:firstLineChars="0"/>
      <w:jc w:val="center"/>
    </w:pPr>
  </w:style>
  <w:style w:type="paragraph" w:customStyle="1" w:styleId="59">
    <w:name w:val="表格填充1"/>
    <w:basedOn w:val="14"/>
    <w:autoRedefine/>
    <w:qFormat/>
    <w:uiPriority w:val="0"/>
    <w:rPr>
      <w:rFonts w:ascii="Calibri"/>
      <w:sz w:val="28"/>
    </w:rPr>
  </w:style>
  <w:style w:type="character" w:customStyle="1" w:styleId="60">
    <w:name w:val="font31"/>
    <w:basedOn w:val="26"/>
    <w:autoRedefine/>
    <w:qFormat/>
    <w:uiPriority w:val="0"/>
    <w:rPr>
      <w:rFonts w:hint="default" w:ascii="Times New Roman" w:hAnsi="Times New Roman" w:cs="Times New Roman"/>
      <w:color w:val="000000"/>
      <w:sz w:val="13"/>
      <w:szCs w:val="13"/>
      <w:u w:val="none"/>
    </w:rPr>
  </w:style>
  <w:style w:type="character" w:customStyle="1" w:styleId="61">
    <w:name w:val="font01"/>
    <w:basedOn w:val="26"/>
    <w:autoRedefine/>
    <w:qFormat/>
    <w:uiPriority w:val="0"/>
    <w:rPr>
      <w:rFonts w:hint="eastAsia" w:ascii="宋体" w:hAnsi="宋体" w:eastAsia="宋体" w:cs="宋体"/>
      <w:color w:val="000000"/>
      <w:sz w:val="21"/>
      <w:szCs w:val="21"/>
      <w:u w:val="none"/>
    </w:rPr>
  </w:style>
  <w:style w:type="paragraph" w:customStyle="1" w:styleId="62">
    <w:name w:val="表格内容"/>
    <w:basedOn w:val="7"/>
    <w:autoRedefine/>
    <w:qFormat/>
    <w:uiPriority w:val="0"/>
    <w:pPr>
      <w:snapToGrid w:val="0"/>
      <w:spacing w:line="240" w:lineRule="atLeast"/>
      <w:ind w:firstLine="200" w:firstLineChars="200"/>
      <w:jc w:val="center"/>
    </w:pPr>
    <w:rPr>
      <w:rFonts w:ascii="宋体"/>
      <w:snapToGrid w:val="0"/>
      <w:kern w:val="0"/>
    </w:rPr>
  </w:style>
  <w:style w:type="paragraph" w:customStyle="1" w:styleId="63">
    <w:name w:val="zhengwen  zhang"/>
    <w:basedOn w:val="1"/>
    <w:autoRedefine/>
    <w:qFormat/>
    <w:uiPriority w:val="0"/>
    <w:pPr>
      <w:ind w:firstLine="200" w:firstLineChars="200"/>
    </w:pPr>
  </w:style>
  <w:style w:type="character" w:customStyle="1" w:styleId="64">
    <w:name w:val="font21"/>
    <w:qFormat/>
    <w:uiPriority w:val="0"/>
    <w:rPr>
      <w:rFonts w:hint="default" w:ascii="Times New Roman" w:hAnsi="Times New Roman" w:cs="Times New Roman"/>
      <w:color w:val="000000"/>
      <w:sz w:val="21"/>
      <w:szCs w:val="21"/>
      <w:u w:val="none"/>
    </w:rPr>
  </w:style>
  <w:style w:type="character" w:customStyle="1" w:styleId="65">
    <w:name w:val="font11"/>
    <w:basedOn w:val="26"/>
    <w:qFormat/>
    <w:uiPriority w:val="0"/>
    <w:rPr>
      <w:rFonts w:hint="default" w:ascii="Times New Roman" w:hAnsi="Times New Roman" w:cs="Times New Roman"/>
      <w:color w:val="000000"/>
      <w:sz w:val="21"/>
      <w:szCs w:val="21"/>
      <w:u w:val="none"/>
    </w:rPr>
  </w:style>
  <w:style w:type="character" w:customStyle="1" w:styleId="66">
    <w:name w:val="font41"/>
    <w:basedOn w:val="26"/>
    <w:qFormat/>
    <w:uiPriority w:val="0"/>
    <w:rPr>
      <w:rFonts w:hint="default" w:ascii="Times New Roman" w:hAnsi="Times New Roman" w:cs="Times New Roman"/>
      <w:color w:val="000000"/>
      <w:sz w:val="21"/>
      <w:szCs w:val="21"/>
      <w:u w:val="none"/>
    </w:rPr>
  </w:style>
  <w:style w:type="character" w:customStyle="1" w:styleId="67">
    <w:name w:val="font51"/>
    <w:basedOn w:val="26"/>
    <w:qFormat/>
    <w:uiPriority w:val="0"/>
    <w:rPr>
      <w:rFonts w:hint="default" w:ascii="Times New Roman" w:hAnsi="Times New Roman" w:cs="Times New Roman"/>
      <w:color w:val="000000"/>
      <w:sz w:val="21"/>
      <w:szCs w:val="21"/>
      <w:u w:val="none"/>
      <w:vertAlign w:val="subscript"/>
    </w:rPr>
  </w:style>
  <w:style w:type="paragraph" w:customStyle="1" w:styleId="68">
    <w:name w:val="正文 首行缩进:  2 字符"/>
    <w:basedOn w:val="1"/>
    <w:qFormat/>
    <w:uiPriority w:val="0"/>
    <w:pPr>
      <w:adjustRightInd w:val="0"/>
      <w:snapToGrid w:val="0"/>
      <w:spacing w:line="500" w:lineRule="exact"/>
      <w:ind w:firstLine="200" w:firstLineChars="20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rgbClr val="FF0000"/>
          </a:solidFill>
        </a:ln>
      </a:spPr>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35353</Words>
  <Characters>42633</Characters>
  <Lines>0</Lines>
  <Paragraphs>0</Paragraphs>
  <TotalTime>0</TotalTime>
  <ScaleCrop>false</ScaleCrop>
  <LinksUpToDate>false</LinksUpToDate>
  <CharactersWithSpaces>42669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2024-04-07T10:32:00Z</dcterms:created>
  <dc:creator>阳光暖、</dc:creator>
  <cp:lastModifiedBy>LGS</cp:lastModifiedBy>
  <dcterms:modified xsi:type="dcterms:W3CDTF">2024-07-25T08:10:11Z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2F6F4A34A7C94193B56054799B7E76EC_13</vt:lpwstr>
  </property>
</Properties>
</file>