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9D" w:rsidRDefault="000046A7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嘉祥县公安局</w:t>
      </w: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2023</w:t>
      </w: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年政府信息公开</w:t>
      </w:r>
    </w:p>
    <w:p w:rsidR="00290F9D" w:rsidRDefault="000046A7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工作年度报告</w:t>
      </w:r>
    </w:p>
    <w:p w:rsidR="00290F9D" w:rsidRDefault="00290F9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本报告由嘉祥县公安局按照《中华人民共和国政府信息公开条例》（以下简称《条例》）和《中华人民共和国政府信息公开工作年度报告格式》（国办公开办函〔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〕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30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号）要求编制。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本报告所列数据的统计期限自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2023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日起至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2023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12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日止。本报告电子版可在“嘉祥县人民政府”网站（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http://www.jiaxiang.gov.cn/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）政府信息公开专栏查阅或下载。如对本报告有疑问，请与嘉祥县公安局联系（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地址：嘉祥县呈祥大道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号，联系电话：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0537-6936023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:rsidR="00290F9D" w:rsidRDefault="000046A7" w:rsidP="00867EF9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:rsidR="00290F9D" w:rsidRDefault="000046A7">
      <w:pPr>
        <w:spacing w:line="600" w:lineRule="exact"/>
        <w:ind w:firstLineChars="200" w:firstLine="643"/>
        <w:rPr>
          <w:rStyle w:val="a4"/>
          <w:rFonts w:ascii="Times New Roman" w:eastAsia="方正仿宋简体" w:hAnsi="Times New Roman" w:cs="Times New Roman"/>
          <w:sz w:val="32"/>
          <w:szCs w:val="32"/>
        </w:rPr>
      </w:pP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2023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年以来，县公安局进一步规范公开内容、完善公开制度、优化公开平台、创新公开形式、增强公开实效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不断提升本机关政务公开标准化规范化水平。通过嘉祥县人民</w:t>
      </w:r>
      <w:r>
        <w:rPr>
          <w:rStyle w:val="a4"/>
          <w:rFonts w:ascii="Times New Roman" w:eastAsia="方正仿宋简体" w:hAnsi="Times New Roman" w:cs="Times New Roman"/>
          <w:sz w:val="32"/>
          <w:szCs w:val="32"/>
        </w:rPr>
        <w:t>政府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门户网站、“嘉祥</w:t>
      </w:r>
      <w:r>
        <w:rPr>
          <w:rStyle w:val="a4"/>
          <w:rFonts w:ascii="Times New Roman" w:eastAsia="方正仿宋简体" w:hAnsi="Times New Roman" w:cs="Times New Roman"/>
          <w:sz w:val="32"/>
          <w:szCs w:val="32"/>
        </w:rPr>
        <w:t>公安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”微信公众号等平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台不断加大信息公开力度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 w:hint="eastAsia"/>
          <w:sz w:val="32"/>
          <w:szCs w:val="32"/>
        </w:rPr>
        <w:t>切实保障人民群众知情权、参与权和监督权。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（一）主动公开情况</w:t>
      </w:r>
    </w:p>
    <w:p w:rsidR="00290F9D" w:rsidRDefault="000046A7">
      <w:pPr>
        <w:spacing w:line="600" w:lineRule="exact"/>
        <w:ind w:firstLineChars="200" w:firstLine="643"/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5274310" cy="3076575"/>
            <wp:effectExtent l="0" t="0" r="2540" b="9525"/>
            <wp:wrapTight wrapText="bothSides">
              <wp:wrapPolygon edited="0">
                <wp:start x="0" y="0"/>
                <wp:lineTo x="0" y="21533"/>
                <wp:lineTo x="21532" y="21533"/>
                <wp:lineTo x="21532" y="0"/>
                <wp:lineTo x="0" y="0"/>
              </wp:wrapPolygon>
            </wp:wrapTight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202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3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年，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嘉祥县公安局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主动公开、更新各类信息事项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718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条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，其中在政府网站公开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100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条。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通过和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嘉祥公安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微信公众号、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嘉祥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交警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微信公众号等新媒体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不断提高信息公开水平和公共服务能力，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发布信息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618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件。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在警民互动方面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通过微信回应群众关切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28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件。通过领导信箱留言等收到并成功办结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12345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市长投诉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16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件。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  <w:t>（二）依申请公开情况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2023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年本单位未收政府信息公开申请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:rsidR="00290F9D" w:rsidRDefault="000046A7">
      <w:pPr>
        <w:spacing w:line="600" w:lineRule="exact"/>
        <w:ind w:firstLineChars="200" w:firstLine="643"/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持续完善政府信息公开相关制度规定。结合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县局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实际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进一步完善政务公开制度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在实际工作中严格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三审三校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要求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完善信息发布工作流程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编制工作要点并及时公开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使制度规定更成体系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更加完善。修订完善《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2023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年嘉祥县公安局主动公开基本目录》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《嘉祥公安局政府信息公开指南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(2023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年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lastRenderedPageBreak/>
        <w:t>5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月修订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)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》并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予以公开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方便公众查阅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。坚决保障公开内容的持续性、及时性、有效性，定期进行公开内容保障检查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:rsidR="00290F9D" w:rsidRDefault="000046A7">
      <w:pPr>
        <w:spacing w:line="600" w:lineRule="exact"/>
        <w:ind w:firstLineChars="200" w:firstLine="643"/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将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嘉祥县人民政府门户网站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作为政府信息公开第一平台，加强对县公安局信息公开工作的动态管理，对公开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内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容进一步丰富，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切实发挥政务公开、成效宣传、警民互动、为民服务的阵地作用，针对各类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公开材料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的文字内容</w:t>
      </w:r>
      <w:r>
        <w:rPr>
          <w:rStyle w:val="a4"/>
          <w:rFonts w:ascii="Times New Roman" w:eastAsia="方正仿宋简体" w:hAnsi="Times New Roman" w:cs="Times New Roman"/>
          <w:color w:val="000000"/>
          <w:sz w:val="32"/>
          <w:szCs w:val="32"/>
        </w:rPr>
        <w:t>、行文排版</w:t>
      </w:r>
      <w:r>
        <w:rPr>
          <w:rStyle w:val="a4"/>
          <w:rFonts w:ascii="Times New Roman" w:eastAsia="方正仿宋简体" w:hAnsi="Times New Roman" w:cs="Times New Roman" w:hint="eastAsia"/>
          <w:color w:val="000000"/>
          <w:sz w:val="32"/>
          <w:szCs w:val="32"/>
        </w:rPr>
        <w:t>、图文解读等进行优化升级。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2023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年，县公安局构建分工明确、统筹协作、共同推进的政务公开工作局面，为改善政务环境、服务人民群众上发挥了巨大的作用。一是对政务公开工作组织培训，就信息公开范围、信息公开要求等作强调说明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对政务公开工作提出相关要求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进一步加强了政务公开工作在公安工作中的重要性。二是结合各警种部门工作职责分解政务公开工作任务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下发任务压实警种责任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进一步提高了各警种部门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对政务公开工作的认识和政务公开工作质量。三是开展政务公开工作实地调研，了解公安相关政务公开工作开展情况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,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并提出存在的薄弱环节共商下步工作。</w:t>
      </w:r>
    </w:p>
    <w:p w:rsidR="00290F9D" w:rsidRDefault="000046A7" w:rsidP="00867EF9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133"/>
        <w:gridCol w:w="2216"/>
        <w:gridCol w:w="1989"/>
      </w:tblGrid>
      <w:tr w:rsidR="00290F9D" w:rsidTr="00867EF9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第二十条第（一）项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现行有效件数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 w:val="24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 w:val="24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第二十条第（五）项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lastRenderedPageBreak/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本年处理决定数量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lang/>
              </w:rPr>
              <w:t>68462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第二十条第（六）项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本年处理决定数量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2469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569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lang/>
              </w:rPr>
              <w:t>第二十条第（八）项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本年收费金额（单位：万元）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195.12</w:t>
            </w:r>
          </w:p>
        </w:tc>
      </w:tr>
    </w:tbl>
    <w:p w:rsidR="00290F9D" w:rsidRDefault="000046A7" w:rsidP="00867EF9">
      <w:pPr>
        <w:spacing w:beforeLines="10" w:afterLines="10" w:line="600" w:lineRule="exact"/>
        <w:ind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290F9D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楷体" w:cs="楷体" w:hint="eastAsia"/>
                <w:b/>
                <w:kern w:val="0"/>
                <w:szCs w:val="21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申请人情况</w:t>
            </w:r>
          </w:p>
        </w:tc>
      </w:tr>
      <w:tr w:rsidR="00290F9D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</w:tr>
      <w:tr w:rsidR="00290F9D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商业</w:t>
            </w:r>
          </w:p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科研</w:t>
            </w:r>
          </w:p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290F9D" w:rsidTr="00867EF9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（二）部分公开</w:t>
            </w:r>
            <w:r>
              <w:rPr>
                <w:rFonts w:ascii="方正仿宋简体" w:eastAsia="方正仿宋简体" w:hAnsi="楷体" w:cs="楷体" w:hint="eastAsia"/>
                <w:b/>
                <w:kern w:val="0"/>
                <w:szCs w:val="21"/>
                <w:lang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1.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2.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3.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4.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5.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6.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7.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8.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1.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2.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3.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1.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2.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3.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4.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5.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1.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申请人无正当理由逾期不补正、行政机关不再处理其政府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lastRenderedPageBreak/>
              <w:t>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lastRenderedPageBreak/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2.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3.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290F9D" w:rsidRDefault="00290F9D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</w:tr>
      <w:tr w:rsidR="00290F9D" w:rsidTr="00867EF9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290F9D" w:rsidRDefault="000046A7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290F9D" w:rsidRDefault="000046A7" w:rsidP="00867EF9">
            <w:pPr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290F9D" w:rsidRDefault="000046A7" w:rsidP="00867EF9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290F9D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行政诉讼</w:t>
            </w:r>
          </w:p>
        </w:tc>
      </w:tr>
      <w:tr w:rsidR="00290F9D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宋体" w:cs="宋体"/>
                <w:b/>
                <w:kern w:val="0"/>
                <w:szCs w:val="21"/>
                <w:lang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复议后起诉</w:t>
            </w:r>
          </w:p>
        </w:tc>
      </w:tr>
      <w:tr w:rsidR="00290F9D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290F9D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br/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/>
              </w:rPr>
              <w:t>总计</w:t>
            </w:r>
          </w:p>
        </w:tc>
      </w:tr>
      <w:tr w:rsidR="00290F9D" w:rsidTr="00867EF9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0F9D" w:rsidRDefault="000046A7" w:rsidP="00867EF9">
            <w:pPr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290F9D" w:rsidRDefault="000046A7" w:rsidP="00867EF9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五、存在的主要问题及改进情况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存在</w:t>
      </w:r>
      <w:r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的主要问题有：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一是法定主动公开仍需加强，法定主动公开内容虽已扩大公开范围，但公开内容质量有待进一步提高。二是各单位之间对于主动公开内容认识有较大出入，未完全达到理想效果。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下步嘉祥县公安局将加强以下方面的</w:t>
      </w:r>
      <w:r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工作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，一是结合县局工作实际制定政务公开具体文件，完善细化本单位政务工作考核细则，梳理本单位工作要点，制定本单位公开工作目标，坚决完成公开任务目标。二是完善队伍建设，通过制度的规范，完善人员管理制度，组织政务公开工作人员培训，增加政务公开工作人员专业知识，提升政务公开工作实操能力，</w:t>
      </w:r>
      <w:r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不断</w:t>
      </w: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丰富法定主动公开信息、其他主动公开信息内容。</w:t>
      </w:r>
    </w:p>
    <w:p w:rsidR="00290F9D" w:rsidRDefault="000046A7" w:rsidP="00867EF9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六、其他需要报告的事项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（一）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依据《政府信息公开信息处理费管理办法》，嘉祥县公安局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年没有收取信息处理费情况。</w:t>
      </w:r>
    </w:p>
    <w:p w:rsidR="00290F9D" w:rsidRDefault="000046A7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lastRenderedPageBreak/>
        <w:t>（二）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本行政机关落实上级年度政务公开工作要点情况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 xml:space="preserve">: 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嘉祥县公安局严格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按照县政府安排部署落实各项工作任务，对本单位</w:t>
      </w:r>
      <w:r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工作</w:t>
      </w:r>
      <w:r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及时有效公开。</w:t>
      </w:r>
    </w:p>
    <w:p w:rsidR="00290F9D" w:rsidRDefault="00290F9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</w:p>
    <w:p w:rsidR="00290F9D" w:rsidRDefault="00290F9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</w:p>
    <w:p w:rsidR="00290F9D" w:rsidRDefault="00290F9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</w:p>
    <w:p w:rsidR="00290F9D" w:rsidRDefault="00290F9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</w:p>
    <w:p w:rsidR="00290F9D" w:rsidRDefault="00290F9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</w:p>
    <w:p w:rsidR="00290F9D" w:rsidRDefault="00290F9D"/>
    <w:sectPr w:rsidR="00290F9D" w:rsidSect="0029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A7" w:rsidRDefault="000046A7" w:rsidP="00867EF9">
      <w:r>
        <w:separator/>
      </w:r>
    </w:p>
  </w:endnote>
  <w:endnote w:type="continuationSeparator" w:id="0">
    <w:p w:rsidR="000046A7" w:rsidRDefault="000046A7" w:rsidP="0086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A7" w:rsidRDefault="000046A7" w:rsidP="00867EF9">
      <w:r>
        <w:separator/>
      </w:r>
    </w:p>
  </w:footnote>
  <w:footnote w:type="continuationSeparator" w:id="0">
    <w:p w:rsidR="000046A7" w:rsidRDefault="000046A7" w:rsidP="00867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E1NGMxOTc3YjAwODFhMzgyOWI3YzMzZDcwOWQzNTQifQ=="/>
  </w:docVars>
  <w:rsids>
    <w:rsidRoot w:val="26FC1666"/>
    <w:rsid w:val="000046A7"/>
    <w:rsid w:val="00071759"/>
    <w:rsid w:val="00100CBB"/>
    <w:rsid w:val="00117FE9"/>
    <w:rsid w:val="001477EF"/>
    <w:rsid w:val="00290F9D"/>
    <w:rsid w:val="00324427"/>
    <w:rsid w:val="004E4F23"/>
    <w:rsid w:val="005144FA"/>
    <w:rsid w:val="00691FFC"/>
    <w:rsid w:val="0072298F"/>
    <w:rsid w:val="007F6411"/>
    <w:rsid w:val="00867EF9"/>
    <w:rsid w:val="008F6CB7"/>
    <w:rsid w:val="009A7535"/>
    <w:rsid w:val="00A46CC2"/>
    <w:rsid w:val="00B67AD4"/>
    <w:rsid w:val="00E40077"/>
    <w:rsid w:val="262A754D"/>
    <w:rsid w:val="26FC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90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90F9D"/>
    <w:rPr>
      <w:b/>
      <w:bCs/>
    </w:rPr>
  </w:style>
  <w:style w:type="paragraph" w:styleId="a5">
    <w:name w:val="header"/>
    <w:basedOn w:val="a"/>
    <w:link w:val="Char"/>
    <w:rsid w:val="00867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7EF9"/>
    <w:rPr>
      <w:kern w:val="2"/>
      <w:sz w:val="18"/>
      <w:szCs w:val="18"/>
    </w:rPr>
  </w:style>
  <w:style w:type="paragraph" w:styleId="a6">
    <w:name w:val="footer"/>
    <w:basedOn w:val="a"/>
    <w:link w:val="Char0"/>
    <w:rsid w:val="00867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7E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Sheet1!$A$2:$A$6</c:f>
              <c:strCache>
                <c:ptCount val="5"/>
                <c:pt idx="0">
                  <c:v>各类公开总计</c:v>
                </c:pt>
                <c:pt idx="1">
                  <c:v>政府网站公开</c:v>
                </c:pt>
                <c:pt idx="2">
                  <c:v>微信公众号公开</c:v>
                </c:pt>
                <c:pt idx="3">
                  <c:v>回应群众</c:v>
                </c:pt>
                <c:pt idx="4">
                  <c:v>办理留言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718</c:v>
                </c:pt>
                <c:pt idx="1">
                  <c:v>100</c:v>
                </c:pt>
                <c:pt idx="2">
                  <c:v>618</c:v>
                </c:pt>
                <c:pt idx="3">
                  <c:v>28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Sheet1!$A$2:$A$6</c:f>
              <c:strCache>
                <c:ptCount val="5"/>
                <c:pt idx="0">
                  <c:v>各类公开总计</c:v>
                </c:pt>
                <c:pt idx="1">
                  <c:v>政府网站公开</c:v>
                </c:pt>
                <c:pt idx="2">
                  <c:v>微信公众号公开</c:v>
                </c:pt>
                <c:pt idx="3">
                  <c:v>回应群众</c:v>
                </c:pt>
                <c:pt idx="4">
                  <c:v>办理留言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02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Sheet1!$A$2:$A$6</c:f>
              <c:strCache>
                <c:ptCount val="5"/>
                <c:pt idx="0">
                  <c:v>各类公开总计</c:v>
                </c:pt>
                <c:pt idx="1">
                  <c:v>政府网站公开</c:v>
                </c:pt>
                <c:pt idx="2">
                  <c:v>微信公众号公开</c:v>
                </c:pt>
                <c:pt idx="3">
                  <c:v>回应群众</c:v>
                </c:pt>
                <c:pt idx="4">
                  <c:v>办理留言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gapWidth val="219"/>
        <c:overlap val="-27"/>
        <c:axId val="128226816"/>
        <c:axId val="128228352"/>
      </c:barChart>
      <c:catAx>
        <c:axId val="128226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8228352"/>
        <c:crosses val="autoZero"/>
        <c:auto val="1"/>
        <c:lblAlgn val="ctr"/>
        <c:lblOffset val="100"/>
      </c:catAx>
      <c:valAx>
        <c:axId val="128228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822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uri="{0b15fc19-7d7d-44ad-8c2d-2c3a37ce22c3}">
        <chartProps xmlns="https://web.wps.cn/et/2018/main" chartId="{3c1fb658-b392-4585-a01c-bda8abf5628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卢鹏</dc:creator>
  <cp:lastModifiedBy>Administrator</cp:lastModifiedBy>
  <cp:revision>9</cp:revision>
  <dcterms:created xsi:type="dcterms:W3CDTF">2024-01-11T08:26:00Z</dcterms:created>
  <dcterms:modified xsi:type="dcterms:W3CDTF">2025-01-17T08:50:00Z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4CEB29CE95B0497283DCEAE51CB8A6E6_11</vt:lpwstr>
  </property>
  <property fmtid="{D5CDD505-2E9C-101B-9397-08002B2CF9AE}" pid="4" name="KSOTemplateDocerSaveRecord">
    <vt:lpwstr>eyJoZGlkIjoiZWVhMDcxYzZjNWFjZDhhYjg3ZTMwZTBlYjkwNDNkOWEiLCJ1c2VySWQiOiIyMjkyNTEyODMifQ==</vt:lpwstr>
  </property>
</Properties>
</file>