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A3BEF">
      <w:pPr>
        <w:ind w:left="0" w:leftChars="0" w:firstLine="0" w:firstLineChars="0"/>
        <w:rPr>
          <w:rFonts w:eastAsia="仿宋_GB2312"/>
          <w:color w:val="auto"/>
          <w:sz w:val="36"/>
          <w:szCs w:val="36"/>
        </w:rPr>
      </w:pPr>
    </w:p>
    <w:p w14:paraId="5D11469B">
      <w:pPr>
        <w:rPr>
          <w:rFonts w:eastAsia="仿宋_GB2312"/>
          <w:color w:val="auto"/>
          <w:sz w:val="36"/>
          <w:szCs w:val="36"/>
        </w:rPr>
      </w:pPr>
    </w:p>
    <w:p w14:paraId="175FB0FD">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0"/>
        <w:rPr>
          <w:rFonts w:eastAsia="方正小标宋_GBK"/>
          <w:bCs/>
          <w:color w:val="auto"/>
          <w:sz w:val="72"/>
          <w:szCs w:val="72"/>
        </w:rPr>
      </w:pPr>
      <w:r>
        <w:rPr>
          <w:rFonts w:eastAsia="方正小标宋_GBK"/>
          <w:bCs/>
          <w:color w:val="auto"/>
          <w:sz w:val="72"/>
          <w:szCs w:val="72"/>
        </w:rPr>
        <w:t>建设项目环境影响报告表</w:t>
      </w:r>
    </w:p>
    <w:p w14:paraId="1DA19D0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rFonts w:eastAsia="楷体_GB2312"/>
          <w:bCs/>
          <w:color w:val="auto"/>
          <w:sz w:val="48"/>
          <w:szCs w:val="48"/>
        </w:rPr>
      </w:pPr>
      <w:r>
        <w:rPr>
          <w:rFonts w:eastAsia="楷体_GB2312"/>
          <w:bCs/>
          <w:color w:val="auto"/>
          <w:sz w:val="48"/>
          <w:szCs w:val="48"/>
        </w:rPr>
        <w:t>（污染影响类）</w:t>
      </w:r>
    </w:p>
    <w:p w14:paraId="2EB1FC95">
      <w:pPr>
        <w:adjustRightInd w:val="0"/>
        <w:snapToGrid w:val="0"/>
        <w:spacing w:line="288" w:lineRule="auto"/>
        <w:jc w:val="center"/>
        <w:outlineLvl w:val="9"/>
        <w:rPr>
          <w:rFonts w:eastAsia="华文仿宋"/>
          <w:color w:val="auto"/>
          <w:kern w:val="44"/>
          <w:sz w:val="44"/>
          <w:szCs w:val="44"/>
        </w:rPr>
      </w:pPr>
    </w:p>
    <w:p w14:paraId="23287672">
      <w:pPr>
        <w:jc w:val="center"/>
        <w:rPr>
          <w:rFonts w:eastAsia="仿宋"/>
          <w:color w:val="auto"/>
          <w:sz w:val="52"/>
          <w:szCs w:val="52"/>
        </w:rPr>
      </w:pPr>
    </w:p>
    <w:p w14:paraId="603C80D0">
      <w:pPr>
        <w:ind w:firstLine="1040"/>
        <w:rPr>
          <w:rFonts w:eastAsia="仿宋"/>
          <w:color w:val="auto"/>
          <w:sz w:val="44"/>
          <w:szCs w:val="44"/>
        </w:rPr>
      </w:pPr>
    </w:p>
    <w:p w14:paraId="608557F8">
      <w:pPr>
        <w:ind w:firstLine="1040"/>
        <w:rPr>
          <w:rFonts w:eastAsia="仿宋"/>
          <w:color w:val="auto"/>
          <w:sz w:val="44"/>
          <w:szCs w:val="44"/>
        </w:rPr>
      </w:pPr>
    </w:p>
    <w:p w14:paraId="1D8A5F40">
      <w:pPr>
        <w:ind w:firstLine="1040"/>
        <w:rPr>
          <w:rFonts w:eastAsia="仿宋"/>
          <w:color w:val="auto"/>
          <w:sz w:val="44"/>
          <w:szCs w:val="44"/>
        </w:rPr>
      </w:pPr>
    </w:p>
    <w:p w14:paraId="73CD05CD">
      <w:pPr>
        <w:ind w:firstLine="1040"/>
        <w:rPr>
          <w:rFonts w:eastAsia="仿宋"/>
          <w:color w:val="auto"/>
          <w:sz w:val="44"/>
          <w:szCs w:val="44"/>
        </w:rPr>
      </w:pPr>
    </w:p>
    <w:p w14:paraId="3471A59C">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eastAsia="宋体"/>
          <w:color w:val="auto"/>
          <w:sz w:val="36"/>
          <w:szCs w:val="36"/>
          <w:u w:val="single"/>
          <w:lang w:eastAsia="zh-CN"/>
        </w:rPr>
      </w:pPr>
      <w:r>
        <w:rPr>
          <w:rFonts w:hAnsi="宋体"/>
          <w:color w:val="auto"/>
          <w:sz w:val="36"/>
          <w:szCs w:val="36"/>
        </w:rPr>
        <w:t>项目名称：</w:t>
      </w:r>
      <w:r>
        <w:rPr>
          <w:rFonts w:hint="eastAsia" w:hAnsi="宋体"/>
          <w:color w:val="auto"/>
          <w:sz w:val="36"/>
          <w:szCs w:val="36"/>
          <w:u w:val="single"/>
          <w:lang w:eastAsia="zh-CN"/>
        </w:rPr>
        <w:t>新型建筑材料生产项目</w:t>
      </w:r>
    </w:p>
    <w:p w14:paraId="6AAEDB8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textAlignment w:val="auto"/>
        <w:outlineLvl w:val="0"/>
        <w:rPr>
          <w:rFonts w:hint="eastAsia" w:hAnsi="宋体" w:eastAsia="宋体"/>
          <w:color w:val="auto"/>
          <w:sz w:val="36"/>
          <w:szCs w:val="36"/>
          <w:u w:val="single"/>
          <w:lang w:eastAsia="zh-CN"/>
        </w:rPr>
      </w:pPr>
      <w:r>
        <w:rPr>
          <w:rFonts w:hAnsi="宋体"/>
          <w:color w:val="auto"/>
          <w:sz w:val="36"/>
          <w:szCs w:val="36"/>
        </w:rPr>
        <w:t>建设单位（盖章）：</w:t>
      </w:r>
      <w:r>
        <w:rPr>
          <w:rFonts w:hint="eastAsia" w:hAnsi="宋体"/>
          <w:color w:val="auto"/>
          <w:sz w:val="36"/>
          <w:szCs w:val="36"/>
          <w:u w:val="single"/>
          <w:lang w:eastAsia="zh-CN"/>
        </w:rPr>
        <w:t>山东嘉明新型建材有限公司</w:t>
      </w:r>
    </w:p>
    <w:p w14:paraId="0FCFC165">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textAlignment w:val="auto"/>
        <w:outlineLvl w:val="0"/>
        <w:rPr>
          <w:rFonts w:eastAsia="仿宋_GB2312"/>
          <w:color w:val="auto"/>
          <w:sz w:val="36"/>
          <w:szCs w:val="36"/>
          <w:u w:val="single"/>
        </w:rPr>
      </w:pPr>
      <w:r>
        <w:rPr>
          <w:rFonts w:hAnsi="宋体"/>
          <w:color w:val="auto"/>
          <w:sz w:val="36"/>
          <w:szCs w:val="36"/>
        </w:rPr>
        <w:t>编制日期：</w:t>
      </w:r>
      <w:r>
        <w:rPr>
          <w:color w:val="auto"/>
          <w:sz w:val="36"/>
          <w:szCs w:val="36"/>
          <w:u w:val="single"/>
        </w:rPr>
        <w:t>202</w:t>
      </w:r>
      <w:r>
        <w:rPr>
          <w:rFonts w:hint="eastAsia"/>
          <w:color w:val="auto"/>
          <w:sz w:val="36"/>
          <w:szCs w:val="36"/>
          <w:u w:val="single"/>
          <w:lang w:val="en-US" w:eastAsia="zh-CN"/>
        </w:rPr>
        <w:t>4</w:t>
      </w:r>
      <w:r>
        <w:rPr>
          <w:rFonts w:hAnsi="宋体"/>
          <w:color w:val="auto"/>
          <w:sz w:val="36"/>
          <w:szCs w:val="36"/>
          <w:u w:val="single"/>
        </w:rPr>
        <w:t>年</w:t>
      </w:r>
      <w:r>
        <w:rPr>
          <w:rFonts w:hint="eastAsia"/>
          <w:color w:val="auto"/>
          <w:sz w:val="36"/>
          <w:szCs w:val="36"/>
          <w:u w:val="single"/>
          <w:lang w:val="en-US" w:eastAsia="zh-CN"/>
        </w:rPr>
        <w:t>6</w:t>
      </w:r>
      <w:r>
        <w:rPr>
          <w:rFonts w:hAnsi="宋体"/>
          <w:color w:val="auto"/>
          <w:sz w:val="36"/>
          <w:szCs w:val="36"/>
          <w:u w:val="single"/>
        </w:rPr>
        <w:t>月</w:t>
      </w:r>
    </w:p>
    <w:p w14:paraId="64CB57AA">
      <w:pPr>
        <w:adjustRightInd w:val="0"/>
        <w:snapToGrid w:val="0"/>
        <w:spacing w:line="288" w:lineRule="auto"/>
        <w:ind w:firstLine="1040"/>
        <w:rPr>
          <w:rFonts w:eastAsia="仿宋_GB2312"/>
          <w:color w:val="auto"/>
          <w:sz w:val="36"/>
          <w:szCs w:val="36"/>
        </w:rPr>
      </w:pPr>
      <w:bookmarkStart w:id="0" w:name="_Hlk57884087"/>
    </w:p>
    <w:p w14:paraId="5C04E6FE">
      <w:pPr>
        <w:adjustRightInd w:val="0"/>
        <w:snapToGrid w:val="0"/>
        <w:spacing w:line="288" w:lineRule="auto"/>
        <w:ind w:firstLine="1040"/>
        <w:rPr>
          <w:rFonts w:eastAsia="仿宋_GB2312"/>
          <w:color w:val="auto"/>
          <w:sz w:val="36"/>
          <w:szCs w:val="36"/>
        </w:rPr>
      </w:pPr>
    </w:p>
    <w:p w14:paraId="357D0794">
      <w:pPr>
        <w:adjustRightInd w:val="0"/>
        <w:snapToGrid w:val="0"/>
        <w:spacing w:line="288" w:lineRule="auto"/>
        <w:ind w:firstLine="1040"/>
        <w:rPr>
          <w:rFonts w:eastAsia="仿宋_GB2312"/>
          <w:color w:val="auto"/>
          <w:sz w:val="36"/>
          <w:szCs w:val="36"/>
        </w:rPr>
      </w:pPr>
    </w:p>
    <w:bookmarkEnd w:id="0"/>
    <w:p w14:paraId="1EF9C7C9">
      <w:pPr>
        <w:adjustRightInd w:val="0"/>
        <w:snapToGrid w:val="0"/>
        <w:spacing w:line="288" w:lineRule="auto"/>
        <w:jc w:val="center"/>
        <w:outlineLvl w:val="0"/>
        <w:rPr>
          <w:color w:val="auto"/>
          <w:sz w:val="36"/>
          <w:szCs w:val="36"/>
        </w:rPr>
      </w:pPr>
      <w:r>
        <w:rPr>
          <w:rFonts w:hAnsi="宋体"/>
          <w:color w:val="auto"/>
          <w:sz w:val="36"/>
          <w:szCs w:val="36"/>
        </w:rPr>
        <w:t>中华人民共和国生态环境部制</w:t>
      </w:r>
    </w:p>
    <w:p w14:paraId="180CD607">
      <w:pPr>
        <w:adjustRightInd w:val="0"/>
        <w:snapToGrid w:val="0"/>
        <w:spacing w:line="288" w:lineRule="auto"/>
        <w:ind w:firstLine="1040"/>
        <w:rPr>
          <w:rFonts w:eastAsia="仿宋_GB2312"/>
          <w:color w:val="auto"/>
          <w:sz w:val="36"/>
          <w:szCs w:val="36"/>
        </w:rPr>
        <w:sectPr>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14:paraId="56548104">
      <w:pPr>
        <w:pStyle w:val="30"/>
        <w:spacing w:before="0" w:beforeAutospacing="0" w:after="0" w:afterAutospacing="0"/>
        <w:jc w:val="center"/>
        <w:outlineLvl w:val="0"/>
        <w:rPr>
          <w:rFonts w:ascii="Times New Roman" w:hAnsi="Times New Roman" w:eastAsia="黑体"/>
          <w:snapToGrid w:val="0"/>
          <w:color w:val="auto"/>
          <w:sz w:val="30"/>
          <w:szCs w:val="30"/>
        </w:rPr>
      </w:pPr>
      <w:r>
        <w:rPr>
          <w:rFonts w:ascii="Times New Roman" w:hAnsi="黑体" w:eastAsia="黑体"/>
          <w:snapToGrid w:val="0"/>
          <w:color w:val="auto"/>
          <w:sz w:val="30"/>
          <w:szCs w:val="30"/>
        </w:rPr>
        <w:t>一、建设项目基本情况</w:t>
      </w:r>
    </w:p>
    <w:tbl>
      <w:tblPr>
        <w:tblStyle w:val="33"/>
        <w:tblW w:w="100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03"/>
        <w:gridCol w:w="1125"/>
        <w:gridCol w:w="2745"/>
        <w:gridCol w:w="2157"/>
        <w:gridCol w:w="3360"/>
      </w:tblGrid>
      <w:tr w14:paraId="76D92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8" w:type="dxa"/>
            <w:gridSpan w:val="2"/>
            <w:tcBorders>
              <w:tl2br w:val="nil"/>
              <w:tr2bl w:val="nil"/>
            </w:tcBorders>
            <w:tcMar>
              <w:top w:w="16" w:type="dxa"/>
              <w:left w:w="16" w:type="dxa"/>
              <w:right w:w="16" w:type="dxa"/>
            </w:tcMar>
            <w:vAlign w:val="center"/>
          </w:tcPr>
          <w:p w14:paraId="1E33BD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建设项目名称</w:t>
            </w:r>
          </w:p>
        </w:tc>
        <w:tc>
          <w:tcPr>
            <w:tcW w:w="8262" w:type="dxa"/>
            <w:gridSpan w:val="3"/>
            <w:tcBorders>
              <w:tl2br w:val="nil"/>
              <w:tr2bl w:val="nil"/>
            </w:tcBorders>
            <w:vAlign w:val="center"/>
          </w:tcPr>
          <w:p w14:paraId="063E79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4"/>
                <w:lang w:val="en-US" w:eastAsia="zh-CN"/>
              </w:rPr>
            </w:pPr>
            <w:r>
              <w:rPr>
                <w:rFonts w:hint="eastAsia"/>
                <w:color w:val="auto"/>
                <w:sz w:val="24"/>
                <w:lang w:val="en-US" w:eastAsia="zh-CN"/>
              </w:rPr>
              <w:t>新型建筑材料生产项目</w:t>
            </w:r>
          </w:p>
        </w:tc>
      </w:tr>
      <w:tr w14:paraId="543D3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8" w:type="dxa"/>
            <w:gridSpan w:val="2"/>
            <w:tcBorders>
              <w:tl2br w:val="nil"/>
              <w:tr2bl w:val="nil"/>
            </w:tcBorders>
            <w:tcMar>
              <w:top w:w="16" w:type="dxa"/>
              <w:left w:w="16" w:type="dxa"/>
              <w:right w:w="16" w:type="dxa"/>
            </w:tcMar>
            <w:vAlign w:val="center"/>
          </w:tcPr>
          <w:p w14:paraId="364513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项目代码</w:t>
            </w:r>
          </w:p>
        </w:tc>
        <w:tc>
          <w:tcPr>
            <w:tcW w:w="8262" w:type="dxa"/>
            <w:gridSpan w:val="3"/>
            <w:tcBorders>
              <w:tl2br w:val="nil"/>
              <w:tr2bl w:val="nil"/>
            </w:tcBorders>
            <w:vAlign w:val="center"/>
          </w:tcPr>
          <w:p w14:paraId="1EE609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4"/>
                <w:lang w:val="en-US" w:eastAsia="zh-CN"/>
              </w:rPr>
            </w:pPr>
            <w:r>
              <w:rPr>
                <w:rFonts w:hint="eastAsia"/>
                <w:color w:val="auto"/>
                <w:sz w:val="24"/>
                <w:lang w:val="en-US" w:eastAsia="zh-CN"/>
              </w:rPr>
              <w:t>2405-370829-04-01-109300</w:t>
            </w:r>
          </w:p>
        </w:tc>
      </w:tr>
      <w:tr w14:paraId="70FBD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8" w:type="dxa"/>
            <w:gridSpan w:val="2"/>
            <w:tcBorders>
              <w:tl2br w:val="nil"/>
              <w:tr2bl w:val="nil"/>
            </w:tcBorders>
            <w:tcMar>
              <w:top w:w="16" w:type="dxa"/>
              <w:left w:w="16" w:type="dxa"/>
              <w:right w:w="16" w:type="dxa"/>
            </w:tcMar>
            <w:vAlign w:val="center"/>
          </w:tcPr>
          <w:p w14:paraId="6E10E3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建设单位联系人</w:t>
            </w:r>
          </w:p>
        </w:tc>
        <w:tc>
          <w:tcPr>
            <w:tcW w:w="2745" w:type="dxa"/>
            <w:tcBorders>
              <w:tl2br w:val="nil"/>
              <w:tr2bl w:val="nil"/>
            </w:tcBorders>
            <w:vAlign w:val="center"/>
          </w:tcPr>
          <w:p w14:paraId="22149B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李明华</w:t>
            </w:r>
          </w:p>
        </w:tc>
        <w:tc>
          <w:tcPr>
            <w:tcW w:w="2157" w:type="dxa"/>
            <w:tcBorders>
              <w:tl2br w:val="nil"/>
              <w:tr2bl w:val="nil"/>
            </w:tcBorders>
            <w:vAlign w:val="center"/>
          </w:tcPr>
          <w:p w14:paraId="50255E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4"/>
                <w:szCs w:val="24"/>
                <w:lang w:val="en-US" w:eastAsia="zh-CN" w:bidi="ar-SA"/>
              </w:rPr>
            </w:pPr>
            <w:r>
              <w:rPr>
                <w:color w:val="auto"/>
                <w:sz w:val="24"/>
              </w:rPr>
              <w:t>联系电话</w:t>
            </w:r>
          </w:p>
        </w:tc>
        <w:tc>
          <w:tcPr>
            <w:tcW w:w="3360" w:type="dxa"/>
            <w:tcBorders>
              <w:tl2br w:val="nil"/>
              <w:tr2bl w:val="nil"/>
            </w:tcBorders>
            <w:vAlign w:val="center"/>
          </w:tcPr>
          <w:p w14:paraId="215D64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13345180288</w:t>
            </w:r>
          </w:p>
        </w:tc>
      </w:tr>
      <w:tr w14:paraId="7BCF1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8" w:type="dxa"/>
            <w:gridSpan w:val="2"/>
            <w:tcBorders>
              <w:tl2br w:val="nil"/>
              <w:tr2bl w:val="nil"/>
            </w:tcBorders>
            <w:tcMar>
              <w:top w:w="16" w:type="dxa"/>
              <w:left w:w="16" w:type="dxa"/>
              <w:right w:w="16" w:type="dxa"/>
            </w:tcMar>
            <w:vAlign w:val="center"/>
          </w:tcPr>
          <w:p w14:paraId="463EC1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建设地点</w:t>
            </w:r>
          </w:p>
        </w:tc>
        <w:tc>
          <w:tcPr>
            <w:tcW w:w="8262" w:type="dxa"/>
            <w:gridSpan w:val="3"/>
            <w:tcBorders>
              <w:tl2br w:val="nil"/>
              <w:tr2bl w:val="nil"/>
            </w:tcBorders>
            <w:vAlign w:val="center"/>
          </w:tcPr>
          <w:p w14:paraId="1A214A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sz w:val="24"/>
                <w:lang w:val="en-US" w:eastAsia="zh-CN"/>
              </w:rPr>
            </w:pPr>
            <w:r>
              <w:rPr>
                <w:rFonts w:hint="eastAsia" w:eastAsia="宋体"/>
                <w:color w:val="auto"/>
                <w:sz w:val="24"/>
                <w:lang w:val="en-US" w:eastAsia="zh-CN"/>
              </w:rPr>
              <w:t>山东省济宁市</w:t>
            </w:r>
            <w:r>
              <w:rPr>
                <w:rFonts w:hint="eastAsia"/>
                <w:color w:val="auto"/>
                <w:sz w:val="24"/>
                <w:lang w:val="en-US" w:eastAsia="zh-CN"/>
              </w:rPr>
              <w:t>嘉祥县万张街道骆堂村西500米</w:t>
            </w:r>
          </w:p>
        </w:tc>
      </w:tr>
      <w:tr w14:paraId="41F4C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28" w:type="dxa"/>
            <w:gridSpan w:val="2"/>
            <w:tcBorders>
              <w:tl2br w:val="nil"/>
              <w:tr2bl w:val="nil"/>
            </w:tcBorders>
            <w:tcMar>
              <w:top w:w="16" w:type="dxa"/>
              <w:left w:w="16" w:type="dxa"/>
              <w:right w:w="16" w:type="dxa"/>
            </w:tcMar>
            <w:vAlign w:val="center"/>
          </w:tcPr>
          <w:p w14:paraId="56BFC8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地理坐标</w:t>
            </w:r>
          </w:p>
        </w:tc>
        <w:tc>
          <w:tcPr>
            <w:tcW w:w="8262" w:type="dxa"/>
            <w:gridSpan w:val="3"/>
            <w:tcBorders>
              <w:tl2br w:val="nil"/>
              <w:tr2bl w:val="nil"/>
            </w:tcBorders>
            <w:vAlign w:val="center"/>
          </w:tcPr>
          <w:p w14:paraId="7DFEC14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24"/>
              </w:rPr>
            </w:pPr>
            <w:r>
              <w:rPr>
                <w:rFonts w:hint="eastAsia"/>
                <w:color w:val="auto"/>
                <w:sz w:val="24"/>
                <w:lang w:eastAsia="zh-CN"/>
              </w:rPr>
              <w:t>（东经：116度</w:t>
            </w:r>
            <w:r>
              <w:rPr>
                <w:rFonts w:hint="eastAsia"/>
                <w:color w:val="auto"/>
                <w:sz w:val="24"/>
                <w:lang w:val="en-US" w:eastAsia="zh-CN"/>
              </w:rPr>
              <w:t>16</w:t>
            </w:r>
            <w:r>
              <w:rPr>
                <w:rFonts w:hint="eastAsia"/>
                <w:color w:val="auto"/>
                <w:sz w:val="24"/>
                <w:lang w:eastAsia="zh-CN"/>
              </w:rPr>
              <w:t>分</w:t>
            </w:r>
            <w:r>
              <w:rPr>
                <w:rFonts w:hint="eastAsia"/>
                <w:color w:val="auto"/>
                <w:sz w:val="24"/>
                <w:lang w:val="en-US" w:eastAsia="zh-CN"/>
              </w:rPr>
              <w:t>52.636</w:t>
            </w:r>
            <w:r>
              <w:rPr>
                <w:rFonts w:hint="eastAsia"/>
                <w:color w:val="auto"/>
                <w:sz w:val="24"/>
                <w:lang w:eastAsia="zh-CN"/>
              </w:rPr>
              <w:t>秒，北纬：35度</w:t>
            </w:r>
            <w:r>
              <w:rPr>
                <w:rFonts w:hint="eastAsia"/>
                <w:color w:val="auto"/>
                <w:sz w:val="24"/>
                <w:lang w:val="en-US" w:eastAsia="zh-CN"/>
              </w:rPr>
              <w:t>28</w:t>
            </w:r>
            <w:r>
              <w:rPr>
                <w:rFonts w:hint="eastAsia"/>
                <w:color w:val="auto"/>
                <w:sz w:val="24"/>
                <w:lang w:eastAsia="zh-CN"/>
              </w:rPr>
              <w:t>分</w:t>
            </w:r>
            <w:r>
              <w:rPr>
                <w:rFonts w:hint="eastAsia"/>
                <w:color w:val="auto"/>
                <w:sz w:val="24"/>
                <w:lang w:val="en-US" w:eastAsia="zh-CN"/>
              </w:rPr>
              <w:t>19.713</w:t>
            </w:r>
            <w:r>
              <w:rPr>
                <w:rFonts w:hint="eastAsia"/>
                <w:color w:val="auto"/>
                <w:sz w:val="24"/>
                <w:lang w:eastAsia="zh-CN"/>
              </w:rPr>
              <w:t>秒）</w:t>
            </w:r>
          </w:p>
        </w:tc>
      </w:tr>
      <w:tr w14:paraId="52715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083D5A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国民经济</w:t>
            </w:r>
          </w:p>
          <w:p w14:paraId="1D7FD9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highlight w:val="none"/>
              </w:rPr>
            </w:pPr>
            <w:r>
              <w:rPr>
                <w:rFonts w:hint="eastAsia" w:ascii="宋体" w:hAnsi="宋体" w:cs="宋体"/>
                <w:color w:val="auto"/>
                <w:sz w:val="24"/>
                <w:highlight w:val="none"/>
              </w:rPr>
              <w:t>行业类别</w:t>
            </w:r>
          </w:p>
        </w:tc>
        <w:tc>
          <w:tcPr>
            <w:tcW w:w="2745" w:type="dxa"/>
            <w:tcBorders>
              <w:tl2br w:val="nil"/>
              <w:tr2bl w:val="nil"/>
            </w:tcBorders>
            <w:vAlign w:val="center"/>
          </w:tcPr>
          <w:p w14:paraId="3D0217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C3039 其他建筑材料制造</w:t>
            </w:r>
          </w:p>
        </w:tc>
        <w:tc>
          <w:tcPr>
            <w:tcW w:w="2157" w:type="dxa"/>
            <w:tcBorders>
              <w:tl2br w:val="nil"/>
              <w:tr2bl w:val="nil"/>
            </w:tcBorders>
            <w:vAlign w:val="center"/>
          </w:tcPr>
          <w:p w14:paraId="11E26C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4"/>
              </w:rPr>
            </w:pPr>
            <w:r>
              <w:rPr>
                <w:rFonts w:ascii="Times New Roman" w:hAnsi="Times New Roman" w:cs="Times New Roman"/>
                <w:color w:val="auto"/>
                <w:sz w:val="24"/>
              </w:rPr>
              <w:t>建设项目</w:t>
            </w:r>
          </w:p>
          <w:p w14:paraId="681C4D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4"/>
              </w:rPr>
            </w:pPr>
            <w:r>
              <w:rPr>
                <w:rFonts w:ascii="Times New Roman" w:hAnsi="Times New Roman" w:cs="Times New Roman"/>
                <w:color w:val="auto"/>
                <w:sz w:val="24"/>
              </w:rPr>
              <w:t>行业类别</w:t>
            </w:r>
          </w:p>
        </w:tc>
        <w:tc>
          <w:tcPr>
            <w:tcW w:w="3360" w:type="dxa"/>
            <w:tcBorders>
              <w:tl2br w:val="nil"/>
              <w:tr2bl w:val="nil"/>
            </w:tcBorders>
            <w:vAlign w:val="center"/>
          </w:tcPr>
          <w:p w14:paraId="4D0336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eastAsia="宋体"/>
                <w:color w:val="auto"/>
                <w:sz w:val="24"/>
                <w:lang w:val="en-US" w:eastAsia="zh-CN"/>
              </w:rPr>
            </w:pPr>
            <w:r>
              <w:rPr>
                <w:rFonts w:hint="eastAsia" w:eastAsia="宋体"/>
                <w:color w:val="auto"/>
                <w:sz w:val="24"/>
                <w:lang w:val="en-US" w:eastAsia="zh-CN"/>
              </w:rPr>
              <w:t>二十七、非金属矿物制品业</w:t>
            </w:r>
            <w:r>
              <w:rPr>
                <w:rFonts w:hint="eastAsia"/>
                <w:color w:val="auto"/>
                <w:sz w:val="24"/>
                <w:lang w:val="en-US" w:eastAsia="zh-CN"/>
              </w:rPr>
              <w:t>30；</w:t>
            </w:r>
            <w:r>
              <w:rPr>
                <w:rFonts w:hint="eastAsia" w:eastAsia="宋体"/>
                <w:color w:val="auto"/>
                <w:sz w:val="24"/>
                <w:lang w:val="en-US" w:eastAsia="zh-CN"/>
              </w:rPr>
              <w:t xml:space="preserve"> </w:t>
            </w:r>
          </w:p>
          <w:p w14:paraId="14A7EE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eastAsia="宋体"/>
                <w:color w:val="auto"/>
                <w:sz w:val="24"/>
                <w:lang w:val="en-US" w:eastAsia="zh-CN"/>
              </w:rPr>
            </w:pPr>
            <w:r>
              <w:rPr>
                <w:rFonts w:hint="eastAsia" w:eastAsia="宋体"/>
                <w:color w:val="auto"/>
                <w:sz w:val="24"/>
                <w:lang w:val="en-US" w:eastAsia="zh-CN"/>
              </w:rPr>
              <w:t>56</w:t>
            </w:r>
            <w:r>
              <w:rPr>
                <w:rFonts w:hint="eastAsia"/>
                <w:color w:val="auto"/>
                <w:sz w:val="24"/>
                <w:lang w:val="en-US" w:eastAsia="zh-CN"/>
              </w:rPr>
              <w:t>、</w:t>
            </w:r>
            <w:r>
              <w:rPr>
                <w:rFonts w:hint="eastAsia" w:eastAsia="宋体"/>
                <w:color w:val="auto"/>
                <w:sz w:val="24"/>
                <w:lang w:val="en-US" w:eastAsia="zh-CN"/>
              </w:rPr>
              <w:t>砖瓦、石材等建筑材料制造 303中“其他建筑材料制造（含干粉砂浆搅拌站）”</w:t>
            </w:r>
          </w:p>
        </w:tc>
      </w:tr>
      <w:tr w14:paraId="19E9C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1828" w:type="dxa"/>
            <w:gridSpan w:val="2"/>
            <w:tcBorders>
              <w:tl2br w:val="nil"/>
              <w:tr2bl w:val="nil"/>
            </w:tcBorders>
            <w:tcMar>
              <w:top w:w="16" w:type="dxa"/>
              <w:left w:w="16" w:type="dxa"/>
              <w:right w:w="16" w:type="dxa"/>
            </w:tcMar>
            <w:vAlign w:val="center"/>
          </w:tcPr>
          <w:p w14:paraId="4D230A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rFonts w:hint="eastAsia" w:ascii="宋体" w:hAnsi="宋体" w:cs="宋体"/>
                <w:color w:val="auto"/>
                <w:sz w:val="24"/>
              </w:rPr>
              <w:t>建设性质</w:t>
            </w:r>
          </w:p>
        </w:tc>
        <w:tc>
          <w:tcPr>
            <w:tcW w:w="2745" w:type="dxa"/>
            <w:tcBorders>
              <w:tl2br w:val="nil"/>
              <w:tr2bl w:val="nil"/>
            </w:tcBorders>
            <w:vAlign w:val="center"/>
          </w:tcPr>
          <w:p w14:paraId="7B414289">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新建（迁建）</w:t>
            </w:r>
          </w:p>
          <w:p w14:paraId="1CDFEB31">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ascii="宋体" w:hAnsi="宋体" w:cs="宋体"/>
                <w:color w:val="auto"/>
                <w:sz w:val="24"/>
              </w:rPr>
            </w:pPr>
            <w:r>
              <w:rPr>
                <w:rFonts w:hint="eastAsia" w:ascii="宋体" w:hAnsi="宋体" w:cs="宋体"/>
                <w:color w:val="auto"/>
                <w:sz w:val="24"/>
              </w:rPr>
              <w:t>□改建</w:t>
            </w:r>
          </w:p>
          <w:p w14:paraId="1AFE4492">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ascii="宋体" w:hAnsi="宋体" w:cs="宋体"/>
                <w:color w:val="auto"/>
                <w:sz w:val="24"/>
              </w:rPr>
            </w:pPr>
            <w:r>
              <w:rPr>
                <w:rFonts w:hint="eastAsia" w:ascii="宋体" w:hAnsi="宋体" w:cs="宋体"/>
                <w:color w:val="auto"/>
                <w:sz w:val="24"/>
              </w:rPr>
              <w:t>□扩建</w:t>
            </w:r>
          </w:p>
          <w:p w14:paraId="581D1319">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color w:val="auto"/>
                <w:sz w:val="24"/>
              </w:rPr>
            </w:pPr>
            <w:r>
              <w:rPr>
                <w:rFonts w:hint="eastAsia" w:ascii="宋体" w:hAnsi="宋体" w:cs="宋体"/>
                <w:color w:val="auto"/>
                <w:sz w:val="24"/>
              </w:rPr>
              <w:t>□技术改造</w:t>
            </w:r>
          </w:p>
        </w:tc>
        <w:tc>
          <w:tcPr>
            <w:tcW w:w="2157" w:type="dxa"/>
            <w:tcBorders>
              <w:tl2br w:val="nil"/>
              <w:tr2bl w:val="nil"/>
            </w:tcBorders>
            <w:vAlign w:val="center"/>
          </w:tcPr>
          <w:p w14:paraId="4D9375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rPr>
            </w:pPr>
            <w:r>
              <w:rPr>
                <w:rFonts w:hint="eastAsia" w:ascii="宋体" w:hAnsi="宋体" w:cs="宋体"/>
                <w:color w:val="auto"/>
                <w:sz w:val="24"/>
              </w:rPr>
              <w:t>建设项目</w:t>
            </w:r>
          </w:p>
          <w:p w14:paraId="709EFF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rFonts w:hint="eastAsia" w:ascii="宋体" w:hAnsi="宋体" w:cs="宋体"/>
                <w:color w:val="auto"/>
                <w:sz w:val="24"/>
              </w:rPr>
              <w:t>申报情形</w:t>
            </w:r>
          </w:p>
        </w:tc>
        <w:tc>
          <w:tcPr>
            <w:tcW w:w="3360" w:type="dxa"/>
            <w:tcBorders>
              <w:tl2br w:val="nil"/>
              <w:tr2bl w:val="nil"/>
            </w:tcBorders>
            <w:vAlign w:val="center"/>
          </w:tcPr>
          <w:p w14:paraId="576A5B03">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首次申报项目</w:t>
            </w:r>
          </w:p>
          <w:p w14:paraId="667141CF">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ascii="宋体" w:hAnsi="宋体" w:cs="宋体"/>
                <w:color w:val="auto"/>
                <w:sz w:val="24"/>
              </w:rPr>
            </w:pPr>
            <w:r>
              <w:rPr>
                <w:rFonts w:hint="eastAsia" w:ascii="宋体" w:hAnsi="宋体" w:cs="宋体"/>
                <w:color w:val="auto"/>
                <w:sz w:val="24"/>
              </w:rPr>
              <w:t>□不予批准后再次申报项目</w:t>
            </w:r>
          </w:p>
          <w:p w14:paraId="3DA83AEB">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超五年重新审核项目</w:t>
            </w:r>
          </w:p>
          <w:p w14:paraId="472B4E21">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color w:val="auto"/>
                <w:sz w:val="24"/>
              </w:rPr>
            </w:pPr>
            <w:r>
              <w:rPr>
                <w:rFonts w:hint="eastAsia" w:ascii="宋体" w:hAnsi="宋体" w:cs="宋体"/>
                <w:color w:val="auto"/>
                <w:sz w:val="24"/>
              </w:rPr>
              <w:t>□重大变动重新报批项目</w:t>
            </w:r>
          </w:p>
        </w:tc>
      </w:tr>
      <w:tr w14:paraId="07A3F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3FF94A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rPr>
            </w:pPr>
            <w:r>
              <w:rPr>
                <w:rFonts w:hint="eastAsia" w:ascii="宋体" w:hAnsi="宋体" w:cs="宋体"/>
                <w:color w:val="auto"/>
                <w:sz w:val="24"/>
              </w:rPr>
              <w:t>项目审批（核准</w:t>
            </w:r>
            <w:r>
              <w:rPr>
                <w:rFonts w:ascii="宋体" w:hAnsi="宋体" w:cs="宋体"/>
                <w:color w:val="auto"/>
                <w:sz w:val="24"/>
              </w:rPr>
              <w:t>/</w:t>
            </w:r>
          </w:p>
          <w:p w14:paraId="7F4792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rFonts w:hint="eastAsia" w:ascii="宋体" w:hAnsi="宋体" w:cs="宋体"/>
                <w:color w:val="auto"/>
                <w:sz w:val="24"/>
              </w:rPr>
              <w:t>备案）部门（选填）</w:t>
            </w:r>
          </w:p>
        </w:tc>
        <w:tc>
          <w:tcPr>
            <w:tcW w:w="2745" w:type="dxa"/>
            <w:tcBorders>
              <w:tl2br w:val="nil"/>
              <w:tr2bl w:val="nil"/>
            </w:tcBorders>
            <w:vAlign w:val="center"/>
          </w:tcPr>
          <w:p w14:paraId="210DBE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rFonts w:hint="eastAsia"/>
                <w:color w:val="auto"/>
                <w:sz w:val="24"/>
                <w:lang w:val="en-US" w:eastAsia="zh-CN"/>
              </w:rPr>
              <w:t>嘉祥县行政审批服务局</w:t>
            </w:r>
          </w:p>
        </w:tc>
        <w:tc>
          <w:tcPr>
            <w:tcW w:w="2157" w:type="dxa"/>
            <w:tcBorders>
              <w:tl2br w:val="nil"/>
              <w:tr2bl w:val="nil"/>
            </w:tcBorders>
            <w:vAlign w:val="center"/>
          </w:tcPr>
          <w:p w14:paraId="7D2DDA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rPr>
            </w:pPr>
            <w:r>
              <w:rPr>
                <w:rFonts w:hint="eastAsia"/>
                <w:color w:val="auto"/>
                <w:sz w:val="24"/>
              </w:rPr>
              <w:t>项目审批（核准/</w:t>
            </w:r>
          </w:p>
          <w:p w14:paraId="66C8D6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rPr>
            </w:pPr>
            <w:r>
              <w:rPr>
                <w:rFonts w:hint="eastAsia"/>
                <w:color w:val="auto"/>
                <w:sz w:val="24"/>
              </w:rPr>
              <w:t>备案）文号（选填）</w:t>
            </w:r>
          </w:p>
        </w:tc>
        <w:tc>
          <w:tcPr>
            <w:tcW w:w="3360" w:type="dxa"/>
            <w:tcBorders>
              <w:tl2br w:val="nil"/>
              <w:tr2bl w:val="nil"/>
            </w:tcBorders>
            <w:vAlign w:val="center"/>
          </w:tcPr>
          <w:p w14:paraId="0AFE3D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rPr>
            </w:pPr>
            <w:r>
              <w:rPr>
                <w:rFonts w:hint="eastAsia"/>
                <w:color w:val="auto"/>
                <w:sz w:val="24"/>
                <w:lang w:val="en-US" w:eastAsia="zh-CN"/>
              </w:rPr>
              <w:t>2405-370829-04-01-109300</w:t>
            </w:r>
          </w:p>
        </w:tc>
      </w:tr>
      <w:tr w14:paraId="5FD7D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79A54D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总投资（万元）</w:t>
            </w:r>
          </w:p>
        </w:tc>
        <w:tc>
          <w:tcPr>
            <w:tcW w:w="2745" w:type="dxa"/>
            <w:tcBorders>
              <w:tl2br w:val="nil"/>
              <w:tr2bl w:val="nil"/>
            </w:tcBorders>
            <w:vAlign w:val="center"/>
          </w:tcPr>
          <w:p w14:paraId="4A2CBF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4"/>
                <w:lang w:val="en-US" w:eastAsia="zh-CN"/>
              </w:rPr>
            </w:pPr>
            <w:r>
              <w:rPr>
                <w:rFonts w:hint="eastAsia"/>
                <w:color w:val="auto"/>
                <w:sz w:val="24"/>
                <w:lang w:val="en-US" w:eastAsia="zh-CN"/>
              </w:rPr>
              <w:t>500</w:t>
            </w:r>
          </w:p>
        </w:tc>
        <w:tc>
          <w:tcPr>
            <w:tcW w:w="2157" w:type="dxa"/>
            <w:tcBorders>
              <w:tl2br w:val="nil"/>
              <w:tr2bl w:val="nil"/>
            </w:tcBorders>
            <w:tcMar>
              <w:top w:w="16" w:type="dxa"/>
              <w:left w:w="16" w:type="dxa"/>
              <w:right w:w="16" w:type="dxa"/>
            </w:tcMar>
            <w:vAlign w:val="center"/>
          </w:tcPr>
          <w:p w14:paraId="2B9021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环保投资（万元）</w:t>
            </w:r>
          </w:p>
        </w:tc>
        <w:tc>
          <w:tcPr>
            <w:tcW w:w="3360" w:type="dxa"/>
            <w:tcBorders>
              <w:tl2br w:val="nil"/>
              <w:tr2bl w:val="nil"/>
            </w:tcBorders>
            <w:vAlign w:val="center"/>
          </w:tcPr>
          <w:p w14:paraId="31FE75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4"/>
                <w:lang w:val="en-US" w:eastAsia="zh-CN"/>
              </w:rPr>
            </w:pPr>
            <w:r>
              <w:rPr>
                <w:rFonts w:hint="eastAsia"/>
                <w:color w:val="auto"/>
                <w:sz w:val="24"/>
                <w:lang w:val="en-US" w:eastAsia="zh-CN"/>
              </w:rPr>
              <w:t>50</w:t>
            </w:r>
          </w:p>
        </w:tc>
      </w:tr>
      <w:tr w14:paraId="0259F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2D5298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环保投资占比（%）</w:t>
            </w:r>
          </w:p>
        </w:tc>
        <w:tc>
          <w:tcPr>
            <w:tcW w:w="2745" w:type="dxa"/>
            <w:tcBorders>
              <w:tl2br w:val="nil"/>
              <w:tr2bl w:val="nil"/>
            </w:tcBorders>
            <w:vAlign w:val="center"/>
          </w:tcPr>
          <w:p w14:paraId="44A222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4"/>
                <w:lang w:val="en-US" w:eastAsia="zh-CN"/>
              </w:rPr>
            </w:pPr>
            <w:r>
              <w:rPr>
                <w:rFonts w:hint="eastAsia"/>
                <w:color w:val="auto"/>
                <w:sz w:val="24"/>
                <w:lang w:val="en-US" w:eastAsia="zh-CN"/>
              </w:rPr>
              <w:t>10</w:t>
            </w:r>
          </w:p>
        </w:tc>
        <w:tc>
          <w:tcPr>
            <w:tcW w:w="2157" w:type="dxa"/>
            <w:tcBorders>
              <w:tl2br w:val="nil"/>
              <w:tr2bl w:val="nil"/>
            </w:tcBorders>
            <w:tcMar>
              <w:top w:w="16" w:type="dxa"/>
              <w:left w:w="16" w:type="dxa"/>
              <w:right w:w="16" w:type="dxa"/>
            </w:tcMar>
            <w:vAlign w:val="center"/>
          </w:tcPr>
          <w:p w14:paraId="023F58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施工工期</w:t>
            </w:r>
          </w:p>
        </w:tc>
        <w:tc>
          <w:tcPr>
            <w:tcW w:w="3360" w:type="dxa"/>
            <w:tcBorders>
              <w:tl2br w:val="nil"/>
              <w:tr2bl w:val="nil"/>
            </w:tcBorders>
            <w:vAlign w:val="center"/>
          </w:tcPr>
          <w:p w14:paraId="3EA7E7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rFonts w:hint="eastAsia"/>
                <w:color w:val="auto"/>
                <w:sz w:val="24"/>
                <w:lang w:val="en-US" w:eastAsia="zh-CN"/>
              </w:rPr>
              <w:t>1</w:t>
            </w:r>
            <w:r>
              <w:rPr>
                <w:rFonts w:hint="eastAsia"/>
                <w:color w:val="auto"/>
                <w:sz w:val="24"/>
              </w:rPr>
              <w:t>个月</w:t>
            </w:r>
          </w:p>
        </w:tc>
      </w:tr>
      <w:tr w14:paraId="7FBDA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2D16B3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是否开工建设</w:t>
            </w:r>
          </w:p>
        </w:tc>
        <w:tc>
          <w:tcPr>
            <w:tcW w:w="2745" w:type="dxa"/>
            <w:tcBorders>
              <w:tl2br w:val="nil"/>
              <w:tr2bl w:val="nil"/>
            </w:tcBorders>
            <w:vAlign w:val="center"/>
          </w:tcPr>
          <w:p w14:paraId="09A652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rPr>
            </w:pPr>
            <w:r>
              <w:rPr>
                <w:rFonts w:hint="eastAsia"/>
                <w:color w:val="auto"/>
                <w:lang w:eastAsia="zh-CN"/>
              </w:rPr>
              <w:t>☑</w:t>
            </w:r>
            <w:r>
              <w:rPr>
                <w:color w:val="auto"/>
              </w:rPr>
              <w:t>否</w:t>
            </w:r>
          </w:p>
          <w:p w14:paraId="7D4682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eastAsia="宋体"/>
                <w:color w:val="auto"/>
                <w:u w:val="single"/>
                <w:lang w:val="en-US" w:eastAsia="zh-CN"/>
              </w:rPr>
            </w:pPr>
            <w:r>
              <w:rPr>
                <w:rFonts w:hint="eastAsia" w:ascii="宋体" w:hAnsi="宋体" w:cs="宋体"/>
                <w:color w:val="auto"/>
                <w:sz w:val="24"/>
              </w:rPr>
              <w:t>□</w:t>
            </w:r>
            <w:r>
              <w:rPr>
                <w:color w:val="auto"/>
              </w:rPr>
              <w:t>是：</w:t>
            </w:r>
            <w:r>
              <w:rPr>
                <w:rFonts w:hint="eastAsia"/>
                <w:color w:val="auto"/>
                <w:u w:val="single"/>
                <w:lang w:val="en-US" w:eastAsia="zh-CN"/>
              </w:rPr>
              <w:t xml:space="preserve">            </w:t>
            </w:r>
          </w:p>
        </w:tc>
        <w:tc>
          <w:tcPr>
            <w:tcW w:w="2157" w:type="dxa"/>
            <w:tcBorders>
              <w:tl2br w:val="nil"/>
              <w:tr2bl w:val="nil"/>
            </w:tcBorders>
            <w:tcMar>
              <w:top w:w="16" w:type="dxa"/>
              <w:left w:w="16" w:type="dxa"/>
              <w:right w:w="16" w:type="dxa"/>
            </w:tcMar>
            <w:vAlign w:val="center"/>
          </w:tcPr>
          <w:p w14:paraId="63BE99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6"/>
                <w:sz w:val="24"/>
              </w:rPr>
            </w:pPr>
            <w:r>
              <w:rPr>
                <w:color w:val="auto"/>
                <w:spacing w:val="-6"/>
                <w:sz w:val="24"/>
              </w:rPr>
              <w:t>用地（用海）</w:t>
            </w:r>
          </w:p>
          <w:p w14:paraId="7DED38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3360" w:type="dxa"/>
            <w:tcBorders>
              <w:tl2br w:val="nil"/>
              <w:tr2bl w:val="nil"/>
            </w:tcBorders>
            <w:vAlign w:val="center"/>
          </w:tcPr>
          <w:p w14:paraId="2F0053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4"/>
                <w:lang w:val="en-US" w:eastAsia="zh-CN"/>
              </w:rPr>
            </w:pPr>
            <w:r>
              <w:rPr>
                <w:rFonts w:hint="eastAsia"/>
                <w:color w:val="auto"/>
                <w:sz w:val="24"/>
                <w:highlight w:val="none"/>
                <w:lang w:val="en-US" w:eastAsia="zh-CN"/>
              </w:rPr>
              <w:t>1500</w:t>
            </w:r>
          </w:p>
        </w:tc>
      </w:tr>
      <w:tr w14:paraId="13394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28" w:type="dxa"/>
            <w:gridSpan w:val="2"/>
            <w:tcBorders>
              <w:tl2br w:val="nil"/>
              <w:tr2bl w:val="nil"/>
            </w:tcBorders>
            <w:vAlign w:val="center"/>
          </w:tcPr>
          <w:p w14:paraId="766F049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Ansi="宋体"/>
                <w:color w:val="auto"/>
                <w:kern w:val="0"/>
                <w:sz w:val="24"/>
              </w:rPr>
            </w:pPr>
            <w:r>
              <w:rPr>
                <w:rFonts w:hint="eastAsia" w:hAnsi="宋体"/>
                <w:color w:val="auto"/>
                <w:kern w:val="0"/>
                <w:sz w:val="24"/>
              </w:rPr>
              <w:t>专项评价设置情况</w:t>
            </w:r>
          </w:p>
        </w:tc>
        <w:tc>
          <w:tcPr>
            <w:tcW w:w="8262" w:type="dxa"/>
            <w:gridSpan w:val="3"/>
            <w:tcBorders>
              <w:tl2br w:val="nil"/>
              <w:tr2bl w:val="nil"/>
            </w:tcBorders>
            <w:vAlign w:val="center"/>
          </w:tcPr>
          <w:p w14:paraId="33C5792D">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Times New Roman" w:hAnsi="宋体" w:eastAsia="宋体" w:cs="Times New Roman"/>
                <w:color w:val="auto"/>
                <w:kern w:val="0"/>
                <w:sz w:val="24"/>
                <w:szCs w:val="24"/>
                <w:lang w:val="en-US" w:eastAsia="zh-CN" w:bidi="ar-SA"/>
              </w:rPr>
            </w:pPr>
            <w:r>
              <w:rPr>
                <w:rFonts w:hint="eastAsia" w:ascii="Times New Roman" w:hAnsi="Times New Roman" w:cs="Times New Roman"/>
                <w:color w:val="auto"/>
                <w:kern w:val="0"/>
                <w:sz w:val="24"/>
              </w:rPr>
              <w:t>对照《建设项目环境影响报告表编制技术指南（污染影响类）（试行）》，本项目</w:t>
            </w:r>
            <w:r>
              <w:rPr>
                <w:rFonts w:hint="eastAsia" w:cs="Times New Roman"/>
                <w:color w:val="auto"/>
                <w:kern w:val="0"/>
                <w:sz w:val="24"/>
                <w:lang w:val="en-US" w:eastAsia="zh-CN"/>
              </w:rPr>
              <w:t>无需</w:t>
            </w:r>
            <w:r>
              <w:rPr>
                <w:rFonts w:hint="eastAsia" w:ascii="Times New Roman" w:hAnsi="Times New Roman" w:cs="Times New Roman"/>
                <w:color w:val="auto"/>
                <w:kern w:val="0"/>
                <w:sz w:val="24"/>
              </w:rPr>
              <w:t>设置专项评价。</w:t>
            </w:r>
          </w:p>
        </w:tc>
      </w:tr>
      <w:tr w14:paraId="1AD38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8" w:type="dxa"/>
            <w:gridSpan w:val="2"/>
            <w:tcBorders>
              <w:tl2br w:val="nil"/>
              <w:tr2bl w:val="nil"/>
            </w:tcBorders>
            <w:vAlign w:val="center"/>
          </w:tcPr>
          <w:p w14:paraId="76839F8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Ansi="宋体"/>
                <w:color w:val="auto"/>
                <w:kern w:val="0"/>
                <w:sz w:val="24"/>
              </w:rPr>
            </w:pPr>
            <w:r>
              <w:rPr>
                <w:rFonts w:hint="eastAsia" w:hAnsi="宋体"/>
                <w:color w:val="auto"/>
                <w:kern w:val="0"/>
                <w:sz w:val="24"/>
              </w:rPr>
              <w:t>规划情况</w:t>
            </w:r>
          </w:p>
        </w:tc>
        <w:tc>
          <w:tcPr>
            <w:tcW w:w="8262" w:type="dxa"/>
            <w:gridSpan w:val="3"/>
            <w:tcBorders>
              <w:tl2br w:val="nil"/>
              <w:tr2bl w:val="nil"/>
            </w:tcBorders>
            <w:vAlign w:val="center"/>
          </w:tcPr>
          <w:p w14:paraId="3DDB311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宋体" w:eastAsia="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无</w:t>
            </w:r>
          </w:p>
        </w:tc>
      </w:tr>
      <w:tr w14:paraId="0751F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8" w:type="dxa"/>
            <w:gridSpan w:val="2"/>
            <w:tcBorders>
              <w:tl2br w:val="nil"/>
              <w:tr2bl w:val="nil"/>
            </w:tcBorders>
            <w:vAlign w:val="center"/>
          </w:tcPr>
          <w:p w14:paraId="0D38BE1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Ansi="宋体"/>
                <w:color w:val="auto"/>
                <w:kern w:val="0"/>
                <w:sz w:val="24"/>
              </w:rPr>
            </w:pPr>
            <w:r>
              <w:rPr>
                <w:rFonts w:hint="eastAsia" w:hAnsi="宋体"/>
                <w:color w:val="auto"/>
                <w:kern w:val="0"/>
                <w:sz w:val="24"/>
              </w:rPr>
              <w:t>规划环境影响评价情况</w:t>
            </w:r>
          </w:p>
        </w:tc>
        <w:tc>
          <w:tcPr>
            <w:tcW w:w="8262" w:type="dxa"/>
            <w:gridSpan w:val="3"/>
            <w:tcBorders>
              <w:tl2br w:val="nil"/>
              <w:tr2bl w:val="nil"/>
            </w:tcBorders>
            <w:vAlign w:val="center"/>
          </w:tcPr>
          <w:p w14:paraId="1143552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color w:val="auto"/>
                <w:lang w:val="en-US" w:eastAsia="zh-CN"/>
              </w:rPr>
            </w:pPr>
            <w:r>
              <w:rPr>
                <w:rFonts w:hint="eastAsia"/>
                <w:color w:val="auto"/>
                <w:lang w:val="en-US" w:eastAsia="zh-CN"/>
              </w:rPr>
              <w:t>无</w:t>
            </w:r>
          </w:p>
        </w:tc>
      </w:tr>
      <w:tr w14:paraId="6A71E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8" w:type="dxa"/>
            <w:gridSpan w:val="2"/>
            <w:tcBorders>
              <w:tl2br w:val="nil"/>
              <w:tr2bl w:val="nil"/>
            </w:tcBorders>
            <w:vAlign w:val="center"/>
          </w:tcPr>
          <w:p w14:paraId="5FC182A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color w:val="auto"/>
                <w:kern w:val="0"/>
                <w:sz w:val="24"/>
              </w:rPr>
            </w:pPr>
            <w:r>
              <w:rPr>
                <w:rFonts w:hAnsi="宋体"/>
                <w:color w:val="auto"/>
                <w:kern w:val="0"/>
                <w:sz w:val="24"/>
              </w:rPr>
              <w:t>规划及规划环境影响评价符合性分析</w:t>
            </w:r>
          </w:p>
        </w:tc>
        <w:tc>
          <w:tcPr>
            <w:tcW w:w="8262" w:type="dxa"/>
            <w:gridSpan w:val="3"/>
            <w:tcBorders>
              <w:tl2br w:val="nil"/>
              <w:tr2bl w:val="nil"/>
            </w:tcBorders>
            <w:vAlign w:val="center"/>
          </w:tcPr>
          <w:p w14:paraId="50D3167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hAnsi="宋体"/>
                <w:color w:val="auto"/>
                <w:kern w:val="0"/>
                <w:sz w:val="24"/>
                <w:lang w:val="en-US" w:eastAsia="zh-CN"/>
              </w:rPr>
            </w:pPr>
            <w:r>
              <w:rPr>
                <w:rFonts w:hint="eastAsia" w:hAnsi="宋体"/>
                <w:color w:val="auto"/>
                <w:kern w:val="0"/>
                <w:sz w:val="24"/>
                <w:lang w:val="en-US" w:eastAsia="zh-CN"/>
              </w:rPr>
              <w:t>无</w:t>
            </w:r>
          </w:p>
        </w:tc>
      </w:tr>
      <w:tr w14:paraId="0C993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4" w:hRule="atLeast"/>
          <w:jc w:val="center"/>
        </w:trPr>
        <w:tc>
          <w:tcPr>
            <w:tcW w:w="703" w:type="dxa"/>
            <w:tcBorders>
              <w:tl2br w:val="nil"/>
              <w:tr2bl w:val="nil"/>
            </w:tcBorders>
            <w:vAlign w:val="center"/>
          </w:tcPr>
          <w:p w14:paraId="458618FD">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color w:val="auto"/>
                <w:kern w:val="0"/>
                <w:szCs w:val="21"/>
              </w:rPr>
            </w:pPr>
            <w:r>
              <w:rPr>
                <w:rFonts w:hAnsi="宋体"/>
                <w:color w:val="auto"/>
                <w:kern w:val="0"/>
                <w:szCs w:val="21"/>
              </w:rPr>
              <w:t>其他符合性分析</w:t>
            </w:r>
          </w:p>
        </w:tc>
        <w:tc>
          <w:tcPr>
            <w:tcW w:w="9387" w:type="dxa"/>
            <w:gridSpan w:val="4"/>
            <w:tcBorders>
              <w:tl2br w:val="nil"/>
              <w:tr2bl w:val="nil"/>
            </w:tcBorders>
            <w:vAlign w:val="center"/>
          </w:tcPr>
          <w:p w14:paraId="016364FF">
            <w:pPr>
              <w:spacing w:line="360" w:lineRule="auto"/>
              <w:ind w:firstLine="482" w:firstLineChars="200"/>
              <w:rPr>
                <w:rFonts w:eastAsia="新宋体"/>
                <w:b/>
                <w:sz w:val="24"/>
              </w:rPr>
            </w:pPr>
            <w:r>
              <w:rPr>
                <w:rFonts w:hint="eastAsia" w:cs="Times New Roman"/>
                <w:b/>
                <w:bCs/>
                <w:color w:val="auto"/>
                <w:sz w:val="24"/>
                <w:szCs w:val="22"/>
                <w:lang w:val="en-US" w:eastAsia="zh-CN"/>
              </w:rPr>
              <w:t>1、</w:t>
            </w:r>
            <w:r>
              <w:rPr>
                <w:rFonts w:eastAsia="新宋体"/>
                <w:b/>
                <w:sz w:val="24"/>
              </w:rPr>
              <w:t>产业政策符合性</w:t>
            </w:r>
          </w:p>
          <w:p w14:paraId="4D2B07DF">
            <w:pPr>
              <w:spacing w:line="360" w:lineRule="auto"/>
              <w:ind w:firstLine="480" w:firstLineChars="200"/>
              <w:rPr>
                <w:rFonts w:hint="eastAsia" w:eastAsia="宋体"/>
                <w:sz w:val="24"/>
                <w:lang w:eastAsia="zh-CN"/>
              </w:rPr>
            </w:pPr>
            <w:r>
              <w:rPr>
                <w:rFonts w:hint="default" w:ascii="Times New Roman" w:hAnsi="Times New Roman" w:eastAsia="宋体" w:cs="Times New Roman"/>
                <w:color w:val="auto"/>
                <w:kern w:val="0"/>
                <w:sz w:val="24"/>
                <w:szCs w:val="24"/>
                <w:highlight w:val="none"/>
                <w:lang w:val="en-US" w:eastAsia="zh-CN"/>
              </w:rPr>
              <w:t>对照《产业结构调整指导目录（</w:t>
            </w:r>
            <w:r>
              <w:rPr>
                <w:rFonts w:hint="eastAsia" w:ascii="Times New Roman" w:hAnsi="Times New Roman" w:eastAsia="宋体" w:cs="Times New Roman"/>
                <w:color w:val="auto"/>
                <w:kern w:val="0"/>
                <w:sz w:val="24"/>
                <w:szCs w:val="24"/>
                <w:highlight w:val="none"/>
                <w:lang w:val="en-US" w:eastAsia="zh-CN"/>
              </w:rPr>
              <w:t>2024</w:t>
            </w:r>
            <w:r>
              <w:rPr>
                <w:rFonts w:hint="default" w:ascii="Times New Roman" w:hAnsi="Times New Roman" w:eastAsia="宋体" w:cs="Times New Roman"/>
                <w:color w:val="auto"/>
                <w:kern w:val="0"/>
                <w:sz w:val="24"/>
                <w:szCs w:val="24"/>
                <w:highlight w:val="none"/>
                <w:lang w:val="en-US" w:eastAsia="zh-CN"/>
              </w:rPr>
              <w:t>年本）》，本项目不属于其中的</w:t>
            </w:r>
            <w:r>
              <w:rPr>
                <w:rFonts w:hint="eastAsia" w:ascii="Times New Roman" w:hAnsi="Times New Roman" w:eastAsia="宋体" w:cs="Times New Roman"/>
                <w:color w:val="auto"/>
                <w:kern w:val="0"/>
                <w:sz w:val="24"/>
                <w:szCs w:val="24"/>
                <w:highlight w:val="none"/>
                <w:lang w:val="en-US" w:eastAsia="zh-CN"/>
              </w:rPr>
              <w:t>“鼓励类”、“</w:t>
            </w:r>
            <w:r>
              <w:rPr>
                <w:rFonts w:hint="default" w:ascii="Times New Roman" w:hAnsi="Times New Roman" w:eastAsia="宋体" w:cs="Times New Roman"/>
                <w:color w:val="auto"/>
                <w:kern w:val="0"/>
                <w:sz w:val="24"/>
                <w:szCs w:val="24"/>
                <w:highlight w:val="none"/>
                <w:lang w:val="en-US" w:eastAsia="zh-CN"/>
              </w:rPr>
              <w:t>淘汰类</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和</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限制类</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，属于允许</w:t>
            </w:r>
            <w:r>
              <w:rPr>
                <w:rFonts w:hint="eastAsia" w:ascii="Times New Roman" w:hAnsi="Times New Roman" w:eastAsia="宋体" w:cs="Times New Roman"/>
                <w:color w:val="auto"/>
                <w:kern w:val="0"/>
                <w:sz w:val="24"/>
                <w:szCs w:val="24"/>
                <w:highlight w:val="none"/>
                <w:lang w:val="en-US" w:eastAsia="zh-CN"/>
              </w:rPr>
              <w:t>建设</w:t>
            </w:r>
            <w:r>
              <w:rPr>
                <w:rFonts w:hint="default" w:ascii="Times New Roman" w:hAnsi="Times New Roman" w:eastAsia="宋体" w:cs="Times New Roman"/>
                <w:color w:val="auto"/>
                <w:kern w:val="0"/>
                <w:sz w:val="24"/>
                <w:szCs w:val="24"/>
                <w:highlight w:val="none"/>
                <w:lang w:val="en-US" w:eastAsia="zh-CN"/>
              </w:rPr>
              <w:t>项目</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项目建设符合国家产业政策</w:t>
            </w:r>
            <w:r>
              <w:rPr>
                <w:rFonts w:hint="eastAsia" w:ascii="Times New Roman" w:hAnsi="Times New Roman" w:eastAsia="宋体" w:cs="Times New Roman"/>
                <w:color w:val="auto"/>
                <w:kern w:val="0"/>
                <w:sz w:val="24"/>
                <w:szCs w:val="24"/>
                <w:highlight w:val="none"/>
                <w:lang w:val="en-US" w:eastAsia="zh-CN"/>
              </w:rPr>
              <w:t>要求。</w:t>
            </w:r>
            <w:r>
              <w:rPr>
                <w:rFonts w:hint="eastAsia"/>
                <w:sz w:val="24"/>
              </w:rPr>
              <w:t>项目已取得山东省建设项目备案证明（见附件</w:t>
            </w:r>
            <w:r>
              <w:rPr>
                <w:rFonts w:hint="eastAsia"/>
                <w:sz w:val="24"/>
                <w:lang w:val="en-US" w:eastAsia="zh-CN"/>
              </w:rPr>
              <w:t>4</w:t>
            </w:r>
            <w:r>
              <w:rPr>
                <w:rFonts w:hint="eastAsia"/>
                <w:sz w:val="24"/>
              </w:rPr>
              <w:t>），备案代码：</w:t>
            </w:r>
            <w:r>
              <w:rPr>
                <w:rFonts w:hint="eastAsia"/>
                <w:sz w:val="24"/>
                <w:szCs w:val="24"/>
                <w:lang w:eastAsia="zh-CN"/>
              </w:rPr>
              <w:t>2405-370829-04-01-109300。</w:t>
            </w:r>
          </w:p>
          <w:p w14:paraId="4AD8A1A3">
            <w:pPr>
              <w:spacing w:line="360" w:lineRule="auto"/>
              <w:ind w:left="480" w:leftChars="200" w:firstLine="0" w:firstLineChars="0"/>
              <w:rPr>
                <w:b/>
                <w:bCs/>
                <w:color w:val="auto"/>
                <w:sz w:val="24"/>
                <w:szCs w:val="22"/>
              </w:rPr>
            </w:pPr>
            <w:r>
              <w:rPr>
                <w:rFonts w:hint="eastAsia"/>
                <w:b/>
                <w:bCs/>
                <w:color w:val="auto"/>
                <w:sz w:val="24"/>
                <w:szCs w:val="22"/>
                <w:lang w:val="en-US" w:eastAsia="zh-CN"/>
              </w:rPr>
              <w:t>2</w:t>
            </w:r>
            <w:r>
              <w:rPr>
                <w:b/>
                <w:bCs/>
                <w:color w:val="auto"/>
                <w:sz w:val="24"/>
                <w:szCs w:val="22"/>
              </w:rPr>
              <w:t>、</w:t>
            </w:r>
            <w:r>
              <w:rPr>
                <w:rFonts w:hint="eastAsia"/>
                <w:b/>
                <w:bCs/>
                <w:color w:val="auto"/>
                <w:sz w:val="24"/>
                <w:szCs w:val="22"/>
                <w:lang w:val="en-US" w:eastAsia="zh-CN"/>
              </w:rPr>
              <w:t>选址</w:t>
            </w:r>
            <w:r>
              <w:rPr>
                <w:b/>
                <w:bCs/>
                <w:color w:val="auto"/>
                <w:sz w:val="24"/>
                <w:szCs w:val="22"/>
              </w:rPr>
              <w:t>合理性分析</w:t>
            </w:r>
          </w:p>
          <w:p w14:paraId="38D6DB1E">
            <w:pPr>
              <w:spacing w:line="360" w:lineRule="auto"/>
              <w:ind w:right="120" w:rightChars="50" w:firstLine="480" w:firstLineChars="200"/>
              <w:jc w:val="left"/>
              <w:rPr>
                <w:rFonts w:hint="default" w:eastAsia="宋体"/>
                <w:sz w:val="24"/>
                <w:lang w:val="en-US" w:eastAsia="zh-CN"/>
              </w:rPr>
            </w:pPr>
            <w:r>
              <w:rPr>
                <w:rFonts w:hint="eastAsia"/>
                <w:sz w:val="24"/>
                <w:lang w:val="en-US" w:eastAsia="zh-CN"/>
              </w:rPr>
              <w:t>本项目选址位于</w:t>
            </w:r>
            <w:r>
              <w:rPr>
                <w:rFonts w:hint="eastAsia"/>
                <w:sz w:val="24"/>
                <w:lang w:eastAsia="zh-CN"/>
              </w:rPr>
              <w:t>济宁市嘉祥县万张街道骆堂村西500米</w:t>
            </w:r>
            <w:r>
              <w:rPr>
                <w:sz w:val="24"/>
              </w:rPr>
              <w:t>，</w:t>
            </w:r>
            <w:r>
              <w:rPr>
                <w:rFonts w:hint="eastAsia"/>
                <w:sz w:val="24"/>
                <w:lang w:val="en-US" w:eastAsia="zh-CN"/>
              </w:rPr>
              <w:t>租赁现有闲置厂房建设，用地性质为工业用地，</w:t>
            </w:r>
            <w:r>
              <w:rPr>
                <w:rFonts w:hint="default" w:ascii="Times New Roman" w:hAnsi="Times New Roman" w:eastAsia="宋体" w:cs="Times New Roman"/>
                <w:color w:val="auto"/>
                <w:spacing w:val="0"/>
                <w:kern w:val="0"/>
                <w:sz w:val="24"/>
                <w:highlight w:val="none"/>
                <w:lang w:eastAsia="zh-CN"/>
              </w:rPr>
              <w:t>不位于</w:t>
            </w:r>
            <w:r>
              <w:rPr>
                <w:rFonts w:hint="default" w:ascii="Times New Roman" w:hAnsi="Times New Roman" w:eastAsia="宋体" w:cs="Times New Roman"/>
                <w:color w:val="auto"/>
                <w:spacing w:val="0"/>
                <w:kern w:val="0"/>
                <w:sz w:val="24"/>
                <w:highlight w:val="none"/>
              </w:rPr>
              <w:t>永久基本农田保护红线、生态保护红线</w:t>
            </w:r>
            <w:r>
              <w:rPr>
                <w:rFonts w:hint="default" w:ascii="Times New Roman" w:hAnsi="Times New Roman" w:eastAsia="宋体" w:cs="Times New Roman"/>
                <w:color w:val="auto"/>
                <w:spacing w:val="0"/>
                <w:kern w:val="0"/>
                <w:sz w:val="24"/>
                <w:highlight w:val="none"/>
                <w:lang w:eastAsia="zh-CN"/>
              </w:rPr>
              <w:t>范围内</w:t>
            </w:r>
            <w:r>
              <w:rPr>
                <w:rFonts w:hint="eastAsia" w:cs="Times New Roman"/>
                <w:color w:val="auto"/>
                <w:spacing w:val="0"/>
                <w:kern w:val="0"/>
                <w:sz w:val="24"/>
                <w:highlight w:val="none"/>
                <w:lang w:val="en-US" w:eastAsia="zh-CN"/>
              </w:rPr>
              <w:t>，</w:t>
            </w:r>
            <w:r>
              <w:rPr>
                <w:rFonts w:hint="eastAsia" w:ascii="Times New Roman" w:hAnsi="宋体" w:eastAsia="宋体" w:cs="Times New Roman"/>
                <w:color w:val="auto"/>
                <w:sz w:val="24"/>
                <w:highlight w:val="none"/>
                <w:lang w:eastAsia="zh-CN"/>
              </w:rPr>
              <w:t>符合《嘉祥县国土空间总体规划（2021-2035年）》</w:t>
            </w:r>
            <w:r>
              <w:rPr>
                <w:rFonts w:hint="eastAsia" w:hAnsi="宋体" w:cs="Times New Roman"/>
                <w:color w:val="auto"/>
                <w:sz w:val="24"/>
                <w:highlight w:val="none"/>
                <w:lang w:val="en-US" w:eastAsia="zh-CN"/>
              </w:rPr>
              <w:t>要求</w:t>
            </w:r>
            <w:r>
              <w:rPr>
                <w:rFonts w:hint="eastAsia"/>
                <w:sz w:val="24"/>
                <w:lang w:val="en-US" w:eastAsia="zh-CN"/>
              </w:rPr>
              <w:t>。</w:t>
            </w:r>
          </w:p>
          <w:p w14:paraId="1BE07749">
            <w:pPr>
              <w:snapToGrid w:val="0"/>
              <w:spacing w:line="360" w:lineRule="auto"/>
              <w:ind w:firstLine="480" w:firstLineChars="200"/>
              <w:rPr>
                <w:b/>
                <w:bCs/>
                <w:sz w:val="24"/>
                <w:szCs w:val="22"/>
              </w:rPr>
            </w:pPr>
            <w:r>
              <w:rPr>
                <w:bCs/>
                <w:sz w:val="24"/>
              </w:rPr>
              <w:t>根据国土资源部、国家发改委2012年5月30日发布的</w:t>
            </w:r>
            <w:r>
              <w:rPr>
                <w:sz w:val="24"/>
              </w:rPr>
              <w:t xml:space="preserve"> “关于发布实施《限制用地项目目录（2012年本）》和《禁止用地项目目录（2012年本）》的通知”中规定，项目不属于《禁止目录》和《限制目录》中的建设项目，不属于该文件中限批或禁批的范围。</w:t>
            </w:r>
          </w:p>
          <w:p w14:paraId="46BD579A">
            <w:pPr>
              <w:adjustRightInd w:val="0"/>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val="en-US" w:eastAsia="zh-CN"/>
              </w:rPr>
              <w:t>运营期</w:t>
            </w:r>
            <w:r>
              <w:rPr>
                <w:rFonts w:hint="default" w:ascii="Times New Roman" w:hAnsi="Times New Roman" w:cs="Times New Roman"/>
                <w:color w:val="auto"/>
                <w:sz w:val="24"/>
                <w:highlight w:val="none"/>
              </w:rPr>
              <w:t>采取有效的防治措施后，污染物均</w:t>
            </w:r>
            <w:r>
              <w:rPr>
                <w:rFonts w:hint="eastAsia" w:ascii="Times New Roman" w:hAnsi="Times New Roman" w:cs="Times New Roman"/>
                <w:color w:val="auto"/>
                <w:sz w:val="24"/>
                <w:highlight w:val="none"/>
                <w:lang w:val="en-US" w:eastAsia="zh-CN"/>
              </w:rPr>
              <w:t>可</w:t>
            </w:r>
            <w:r>
              <w:rPr>
                <w:rFonts w:hint="default" w:ascii="Times New Roman" w:hAnsi="Times New Roman" w:cs="Times New Roman"/>
                <w:color w:val="auto"/>
                <w:sz w:val="24"/>
                <w:highlight w:val="none"/>
              </w:rPr>
              <w:t>达标排放，对周围环境影响较小；</w:t>
            </w:r>
            <w:r>
              <w:rPr>
                <w:rFonts w:hint="default" w:ascii="Times New Roman" w:hAnsi="Times New Roman" w:cs="Times New Roman"/>
                <w:color w:val="auto"/>
                <w:kern w:val="0"/>
                <w:sz w:val="24"/>
                <w:highlight w:val="none"/>
              </w:rPr>
              <w:t>项目周围没有历史文物古迹、风景名胜区及重要生态功能区；项目区域具有水、电及交通便利等有利条件。</w:t>
            </w:r>
          </w:p>
          <w:p w14:paraId="75AA9790">
            <w:pPr>
              <w:spacing w:line="360" w:lineRule="auto"/>
              <w:ind w:left="274" w:leftChars="114" w:firstLine="360" w:firstLineChars="150"/>
              <w:rPr>
                <w:rFonts w:hint="eastAsia" w:cs="Times New Roman"/>
                <w:b/>
                <w:bCs/>
                <w:color w:val="auto"/>
                <w:sz w:val="24"/>
                <w:szCs w:val="22"/>
                <w:lang w:val="en-US" w:eastAsia="zh-CN"/>
              </w:rPr>
            </w:pPr>
            <w:r>
              <w:rPr>
                <w:rFonts w:hint="default" w:ascii="Times New Roman" w:hAnsi="Times New Roman" w:cs="Times New Roman"/>
                <w:color w:val="auto"/>
                <w:kern w:val="0"/>
                <w:sz w:val="24"/>
                <w:highlight w:val="none"/>
              </w:rPr>
              <w:t>综上所述，</w:t>
            </w:r>
            <w:r>
              <w:rPr>
                <w:rFonts w:hint="default" w:ascii="Times New Roman" w:hAnsi="Times New Roman" w:cs="Times New Roman"/>
                <w:color w:val="auto"/>
                <w:sz w:val="24"/>
                <w:highlight w:val="none"/>
              </w:rPr>
              <w:t>本项目选</w:t>
            </w:r>
            <w:r>
              <w:rPr>
                <w:rFonts w:hint="default" w:ascii="Times New Roman" w:hAnsi="Times New Roman" w:cs="Times New Roman"/>
                <w:color w:val="auto"/>
                <w:kern w:val="0"/>
                <w:sz w:val="24"/>
                <w:highlight w:val="none"/>
              </w:rPr>
              <w:t>址基本合理可行</w:t>
            </w:r>
            <w:r>
              <w:rPr>
                <w:rFonts w:hint="eastAsia" w:ascii="Times New Roman" w:hAnsi="Times New Roman" w:cs="Times New Roman"/>
                <w:color w:val="auto"/>
                <w:kern w:val="0"/>
                <w:sz w:val="24"/>
                <w:highlight w:val="none"/>
                <w:lang w:eastAsia="zh-CN"/>
              </w:rPr>
              <w:t>。</w:t>
            </w:r>
          </w:p>
          <w:p w14:paraId="26AF10DE">
            <w:pPr>
              <w:numPr>
                <w:ilvl w:val="0"/>
                <w:numId w:val="0"/>
              </w:numPr>
              <w:bidi w:val="0"/>
              <w:ind w:leftChars="200"/>
              <w:rPr>
                <w:rFonts w:hint="eastAsia" w:ascii="Times New Roman" w:hAnsi="Times New Roman" w:eastAsia="宋体" w:cs="Times New Roman"/>
                <w:b/>
                <w:bCs/>
                <w:color w:val="auto"/>
                <w:sz w:val="24"/>
                <w:szCs w:val="22"/>
                <w:lang w:val="en-US" w:eastAsia="zh-CN"/>
              </w:rPr>
            </w:pPr>
            <w:r>
              <w:rPr>
                <w:rFonts w:hint="eastAsia" w:cs="Times New Roman"/>
                <w:b/>
                <w:bCs/>
                <w:color w:val="auto"/>
                <w:sz w:val="24"/>
                <w:szCs w:val="22"/>
                <w:lang w:val="en-US" w:eastAsia="zh-CN"/>
              </w:rPr>
              <w:t>3、“</w:t>
            </w:r>
            <w:r>
              <w:rPr>
                <w:rFonts w:hint="eastAsia" w:ascii="Times New Roman" w:hAnsi="Times New Roman" w:eastAsia="宋体" w:cs="Times New Roman"/>
                <w:b/>
                <w:bCs/>
                <w:color w:val="auto"/>
                <w:sz w:val="24"/>
                <w:szCs w:val="22"/>
                <w:lang w:val="en-US" w:eastAsia="zh-CN"/>
              </w:rPr>
              <w:t>三线一单</w:t>
            </w:r>
            <w:r>
              <w:rPr>
                <w:rFonts w:hint="eastAsia" w:cs="Times New Roman"/>
                <w:b/>
                <w:bCs/>
                <w:color w:val="auto"/>
                <w:sz w:val="24"/>
                <w:szCs w:val="22"/>
                <w:lang w:val="en-US" w:eastAsia="zh-CN"/>
              </w:rPr>
              <w:t>”</w:t>
            </w:r>
            <w:r>
              <w:rPr>
                <w:rFonts w:hint="eastAsia" w:ascii="Times New Roman" w:hAnsi="Times New Roman" w:eastAsia="宋体" w:cs="Times New Roman"/>
                <w:b/>
                <w:bCs/>
                <w:color w:val="auto"/>
                <w:sz w:val="24"/>
                <w:szCs w:val="22"/>
                <w:lang w:val="en-US" w:eastAsia="zh-CN"/>
              </w:rPr>
              <w:t>符合性分析</w:t>
            </w:r>
          </w:p>
          <w:p w14:paraId="4A92BED7">
            <w:pPr>
              <w:keepNext w:val="0"/>
              <w:keepLines w:val="0"/>
              <w:pageBreakBefore w:val="0"/>
              <w:widowControl w:val="0"/>
              <w:numPr>
                <w:ilvl w:val="0"/>
                <w:numId w:val="4"/>
              </w:numPr>
              <w:kinsoku/>
              <w:wordWrap/>
              <w:overflowPunct/>
              <w:topLinePunct w:val="0"/>
              <w:autoSpaceDE/>
              <w:autoSpaceDN/>
              <w:bidi w:val="0"/>
              <w:adjustRightInd/>
              <w:snapToGrid/>
              <w:ind w:left="240" w:leftChars="0" w:firstLine="480" w:firstLineChars="0"/>
              <w:textAlignment w:val="auto"/>
              <w:rPr>
                <w:rFonts w:hint="eastAsia"/>
                <w:color w:val="auto"/>
                <w:lang w:val="en-US" w:eastAsia="zh-CN"/>
              </w:rPr>
            </w:pPr>
            <w:r>
              <w:rPr>
                <w:rFonts w:hint="eastAsia"/>
                <w:color w:val="auto"/>
                <w:lang w:val="en-US" w:eastAsia="zh-CN"/>
              </w:rPr>
              <w:t>生态保护红线</w:t>
            </w:r>
          </w:p>
          <w:p w14:paraId="7A56935D">
            <w:pPr>
              <w:adjustRightInd w:val="0"/>
              <w:spacing w:line="360" w:lineRule="auto"/>
              <w:ind w:firstLine="480" w:firstLineChars="200"/>
              <w:rPr>
                <w:color w:val="auto"/>
                <w:kern w:val="0"/>
                <w:sz w:val="24"/>
                <w:highlight w:val="none"/>
              </w:rPr>
            </w:pPr>
            <w:r>
              <w:rPr>
                <w:rFonts w:hint="eastAsia"/>
                <w:color w:val="auto"/>
                <w:kern w:val="0"/>
                <w:sz w:val="24"/>
                <w:highlight w:val="none"/>
              </w:rPr>
              <w:t>根据《嘉祥县国土空间总体规划（2021-2035年）》（鲁政字[2024]23号，2024年2月5日批复）中的&lt;县域国土空间控制线规划图&gt;</w:t>
            </w:r>
            <w:r>
              <w:rPr>
                <w:color w:val="auto"/>
                <w:kern w:val="0"/>
                <w:sz w:val="24"/>
                <w:highlight w:val="none"/>
              </w:rPr>
              <w:t>，本项目</w:t>
            </w:r>
            <w:r>
              <w:rPr>
                <w:rFonts w:hint="eastAsia"/>
                <w:color w:val="auto"/>
                <w:kern w:val="0"/>
                <w:sz w:val="24"/>
                <w:highlight w:val="none"/>
                <w:lang w:val="en-US" w:eastAsia="zh-CN"/>
              </w:rPr>
              <w:t>所在</w:t>
            </w:r>
            <w:r>
              <w:rPr>
                <w:rFonts w:hint="eastAsia"/>
                <w:color w:val="auto"/>
                <w:kern w:val="0"/>
                <w:sz w:val="24"/>
                <w:highlight w:val="none"/>
              </w:rPr>
              <w:t>厂区</w:t>
            </w:r>
            <w:r>
              <w:rPr>
                <w:rFonts w:hint="eastAsia"/>
                <w:color w:val="auto"/>
                <w:kern w:val="0"/>
                <w:sz w:val="24"/>
                <w:highlight w:val="none"/>
                <w:lang w:eastAsia="zh-CN"/>
              </w:rPr>
              <w:t>位于城镇开发边界内，</w:t>
            </w:r>
            <w:r>
              <w:rPr>
                <w:rFonts w:hint="eastAsia"/>
                <w:b w:val="0"/>
                <w:bCs w:val="0"/>
                <w:color w:val="auto"/>
                <w:kern w:val="0"/>
                <w:sz w:val="24"/>
                <w:highlight w:val="none"/>
              </w:rPr>
              <w:t>不涉及生态保护红线</w:t>
            </w:r>
            <w:r>
              <w:rPr>
                <w:rFonts w:hint="eastAsia"/>
                <w:b w:val="0"/>
                <w:bCs w:val="0"/>
                <w:color w:val="auto"/>
                <w:kern w:val="0"/>
                <w:sz w:val="24"/>
                <w:highlight w:val="none"/>
                <w:lang w:eastAsia="zh-CN"/>
              </w:rPr>
              <w:t>，</w:t>
            </w:r>
            <w:r>
              <w:rPr>
                <w:rFonts w:hint="eastAsia" w:ascii="Times New Roman" w:hAnsi="Times New Roman" w:eastAsia="宋体" w:cs="Times New Roman"/>
                <w:color w:val="auto"/>
                <w:lang w:val="en-US" w:eastAsia="zh-CN"/>
              </w:rPr>
              <w:t>不占用永久基本农田</w:t>
            </w:r>
            <w:r>
              <w:rPr>
                <w:rFonts w:hint="eastAsia"/>
                <w:b w:val="0"/>
                <w:bCs w:val="0"/>
                <w:color w:val="auto"/>
                <w:kern w:val="0"/>
                <w:sz w:val="24"/>
                <w:highlight w:val="none"/>
                <w:lang w:eastAsia="zh-CN"/>
              </w:rPr>
              <w:t>（</w:t>
            </w:r>
            <w:r>
              <w:rPr>
                <w:rFonts w:hint="eastAsia"/>
                <w:b w:val="0"/>
                <w:bCs w:val="0"/>
                <w:color w:val="auto"/>
                <w:kern w:val="0"/>
                <w:sz w:val="24"/>
                <w:highlight w:val="none"/>
                <w:lang w:val="en-US" w:eastAsia="zh-CN"/>
              </w:rPr>
              <w:t>详见附图5</w:t>
            </w:r>
            <w:r>
              <w:rPr>
                <w:rFonts w:hint="eastAsia"/>
                <w:b w:val="0"/>
                <w:bCs w:val="0"/>
                <w:color w:val="auto"/>
                <w:kern w:val="0"/>
                <w:sz w:val="24"/>
                <w:highlight w:val="none"/>
                <w:lang w:eastAsia="zh-CN"/>
              </w:rPr>
              <w:t>）</w:t>
            </w:r>
            <w:r>
              <w:rPr>
                <w:rFonts w:hint="eastAsia"/>
                <w:color w:val="auto"/>
                <w:kern w:val="0"/>
                <w:sz w:val="24"/>
                <w:highlight w:val="none"/>
              </w:rPr>
              <w:t>。</w:t>
            </w:r>
          </w:p>
          <w:p w14:paraId="03EBD482">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color w:val="0000FF"/>
              </w:rPr>
            </w:pPr>
            <w:r>
              <w:rPr>
                <w:rFonts w:hint="default" w:ascii="Times New Roman" w:hAnsi="Times New Roman" w:cs="Times New Roman"/>
                <w:color w:val="0000FF"/>
                <w:lang w:val="en-US" w:eastAsia="zh-CN"/>
              </w:rPr>
              <w:t>（2）环境质量底线</w:t>
            </w:r>
          </w:p>
          <w:p w14:paraId="026F0BCF">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color w:val="0000FF"/>
                <w:sz w:val="24"/>
                <w:szCs w:val="24"/>
                <w:highlight w:val="none"/>
              </w:rPr>
              <w:t>大气环境质量持续改善，全市PM</w:t>
            </w:r>
            <w:r>
              <w:rPr>
                <w:rFonts w:hint="default" w:ascii="Times New Roman" w:hAnsi="Times New Roman" w:eastAsia="宋体" w:cs="Times New Roman"/>
                <w:color w:val="0000FF"/>
                <w:sz w:val="24"/>
                <w:szCs w:val="24"/>
                <w:highlight w:val="none"/>
                <w:vertAlign w:val="subscript"/>
              </w:rPr>
              <w:t>2.5</w:t>
            </w:r>
            <w:r>
              <w:rPr>
                <w:rFonts w:hint="default" w:ascii="Times New Roman" w:hAnsi="Times New Roman" w:eastAsia="宋体" w:cs="Times New Roman"/>
                <w:color w:val="0000FF"/>
                <w:sz w:val="24"/>
                <w:szCs w:val="24"/>
                <w:highlight w:val="none"/>
              </w:rPr>
              <w:t>平均浓度为44μg/m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rPr>
              <w:t>，空气质量优良天数比率均达到70%以上。南水北调输水干线及重点河流市控以上断面全部达到或优于地表水Ⅲ类标准，水质优良率达到100%，建成区内劣五类水体全面消除，水环境质量不断改善。土壤环境质量总体保持稳定，受污染耕地和污染地块安全利用得到进一步巩固提升，全市受污染耕地安全利用率达到92%左右，污染地块安全利用率达到92%以上。</w:t>
            </w:r>
          </w:p>
          <w:p w14:paraId="33807B65">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本项目运营期</w:t>
            </w:r>
            <w:r>
              <w:rPr>
                <w:rFonts w:hint="default" w:ascii="Times New Roman" w:hAnsi="Times New Roman" w:eastAsia="宋体" w:cs="Times New Roman"/>
                <w:color w:val="auto"/>
                <w:kern w:val="0"/>
                <w:sz w:val="24"/>
                <w:szCs w:val="24"/>
                <w:lang w:val="en-US" w:eastAsia="zh-CN" w:bidi="ar"/>
              </w:rPr>
              <w:t>产生的废气通过有效治理后可实现达标排放；生活污水经化粪池处理后</w:t>
            </w:r>
            <w:r>
              <w:rPr>
                <w:rFonts w:hint="eastAsia" w:cs="Times New Roman"/>
                <w:color w:val="auto"/>
                <w:kern w:val="0"/>
                <w:sz w:val="24"/>
                <w:szCs w:val="24"/>
                <w:lang w:val="en-US" w:eastAsia="zh-CN" w:bidi="ar"/>
              </w:rPr>
              <w:t>定期委托环卫部门清运</w:t>
            </w:r>
            <w:r>
              <w:rPr>
                <w:rFonts w:hint="eastAsia" w:ascii="Times New Roman" w:hAnsi="Times New Roman" w:eastAsia="宋体" w:cs="Times New Roman"/>
                <w:color w:val="auto"/>
                <w:kern w:val="0"/>
                <w:sz w:val="24"/>
                <w:szCs w:val="24"/>
                <w:lang w:val="en-US" w:eastAsia="zh-CN" w:bidi="ar"/>
              </w:rPr>
              <w:t>，对周围水环境影响较小</w:t>
            </w:r>
            <w:r>
              <w:rPr>
                <w:rFonts w:hint="default" w:ascii="Times New Roman" w:hAnsi="Times New Roman" w:eastAsia="宋体" w:cs="Times New Roman"/>
                <w:color w:val="auto"/>
                <w:kern w:val="0"/>
                <w:sz w:val="24"/>
                <w:szCs w:val="24"/>
                <w:lang w:val="en-US" w:eastAsia="zh-CN" w:bidi="ar"/>
              </w:rPr>
              <w:t>；经</w:t>
            </w:r>
            <w:r>
              <w:rPr>
                <w:rFonts w:hint="eastAsia" w:cs="Times New Roman"/>
                <w:color w:val="auto"/>
                <w:kern w:val="0"/>
                <w:sz w:val="24"/>
                <w:szCs w:val="24"/>
                <w:lang w:val="en-US" w:eastAsia="zh-CN" w:bidi="ar"/>
              </w:rPr>
              <w:t>分析</w:t>
            </w:r>
            <w:r>
              <w:rPr>
                <w:rFonts w:hint="default" w:ascii="Times New Roman" w:hAnsi="Times New Roman" w:eastAsia="宋体" w:cs="Times New Roman"/>
                <w:color w:val="auto"/>
                <w:kern w:val="0"/>
                <w:sz w:val="24"/>
                <w:szCs w:val="24"/>
                <w:lang w:val="en-US" w:eastAsia="zh-CN" w:bidi="ar"/>
              </w:rPr>
              <w:t>预测厂界噪声达标；固体废物全部合理处置</w:t>
            </w:r>
            <w:r>
              <w:rPr>
                <w:rFonts w:hint="eastAsia" w:ascii="Times New Roman" w:hAnsi="Times New Roman" w:eastAsia="宋体" w:cs="Times New Roman"/>
                <w:color w:val="auto"/>
                <w:kern w:val="0"/>
                <w:sz w:val="24"/>
                <w:szCs w:val="24"/>
                <w:lang w:val="en-US" w:eastAsia="zh-CN" w:bidi="ar"/>
              </w:rPr>
              <w:t>，不会对周边环境产生不良影响</w:t>
            </w:r>
            <w:r>
              <w:rPr>
                <w:rFonts w:hint="default" w:ascii="Times New Roman" w:hAnsi="Times New Roman" w:eastAsia="宋体" w:cs="Times New Roman"/>
                <w:color w:val="auto"/>
                <w:kern w:val="0"/>
                <w:sz w:val="24"/>
                <w:szCs w:val="24"/>
                <w:lang w:val="en-US" w:eastAsia="zh-CN" w:bidi="ar"/>
              </w:rPr>
              <w:t>。</w:t>
            </w:r>
          </w:p>
          <w:p w14:paraId="225FF9ED">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因此，本项目</w:t>
            </w:r>
            <w:r>
              <w:rPr>
                <w:rFonts w:hint="eastAsia" w:cs="Times New Roman"/>
                <w:color w:val="auto"/>
                <w:kern w:val="0"/>
                <w:sz w:val="24"/>
                <w:szCs w:val="24"/>
                <w:lang w:val="en-US" w:eastAsia="zh-CN" w:bidi="ar"/>
              </w:rPr>
              <w:t>建设</w:t>
            </w:r>
            <w:r>
              <w:rPr>
                <w:rFonts w:hint="default" w:ascii="Times New Roman" w:hAnsi="Times New Roman" w:eastAsia="宋体" w:cs="Times New Roman"/>
                <w:color w:val="auto"/>
                <w:kern w:val="0"/>
                <w:sz w:val="24"/>
                <w:szCs w:val="24"/>
                <w:lang w:val="en-US" w:eastAsia="zh-CN" w:bidi="ar"/>
              </w:rPr>
              <w:t>不会对区域环境质量造成影响</w:t>
            </w:r>
            <w:r>
              <w:rPr>
                <w:rFonts w:hint="default" w:ascii="Times New Roman" w:hAnsi="Times New Roman" w:eastAsia="宋体" w:cs="Times New Roman"/>
                <w:b/>
                <w:bCs/>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符合环境质量底线约束要求。</w:t>
            </w:r>
          </w:p>
          <w:p w14:paraId="0B5F5215">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资源利用上线</w:t>
            </w:r>
          </w:p>
          <w:p w14:paraId="427103D8">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强化节约集约利用，持续提升资源能源利用效率，水资源、土地资源、能源消耗等达到省下达的总量和强度控制目标。强化水资源刚性约束，建立最严格的水资源管理制度，严格实行用水总量、用水强度双控。全市用水总量控制在27.69亿立方米以下，优化配置水资源，有效促进水资源可持续利用；推进水资源集约利用，加强各领域节约用水，农田灌溉水有效利用系数逐年提高，万元GDP用水量、万元工业增加值用水量等用水效率指标持续下降。全市PM</w:t>
            </w:r>
            <w:r>
              <w:rPr>
                <w:rFonts w:hint="default" w:ascii="Times New Roman" w:hAnsi="Times New Roman" w:eastAsia="宋体" w:cs="Times New Roman"/>
                <w:color w:val="auto"/>
                <w:kern w:val="0"/>
                <w:sz w:val="24"/>
                <w:szCs w:val="24"/>
                <w:vertAlign w:val="subscript"/>
                <w:lang w:val="en-US" w:eastAsia="zh-CN" w:bidi="ar"/>
              </w:rPr>
              <w:t>2.5</w:t>
            </w:r>
            <w:r>
              <w:rPr>
                <w:rFonts w:hint="default" w:ascii="Times New Roman" w:hAnsi="Times New Roman" w:eastAsia="宋体" w:cs="Times New Roman"/>
                <w:color w:val="auto"/>
                <w:kern w:val="0"/>
                <w:sz w:val="24"/>
                <w:szCs w:val="24"/>
                <w:lang w:val="en-US" w:eastAsia="zh-CN" w:bidi="ar"/>
              </w:rPr>
              <w:t>平均浓度为35μg/m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，水环境质量根本改善，水环境生态系统基本恢复。土壤环境质量稳中向好，农用地和建设用地土壤环境安全得到有效保障，土壤环境风险得到全面管控。</w:t>
            </w:r>
          </w:p>
          <w:p w14:paraId="29A1D037">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本项目租赁</w:t>
            </w:r>
            <w:r>
              <w:rPr>
                <w:rFonts w:hint="eastAsia"/>
                <w:sz w:val="24"/>
                <w:lang w:val="en-US" w:eastAsia="zh-CN"/>
              </w:rPr>
              <w:t>现有闲置厂房建设</w:t>
            </w:r>
            <w:r>
              <w:rPr>
                <w:rFonts w:hint="default" w:ascii="Times New Roman" w:hAnsi="Times New Roman" w:eastAsia="宋体" w:cs="Times New Roman"/>
                <w:color w:val="auto"/>
                <w:kern w:val="0"/>
                <w:sz w:val="24"/>
                <w:szCs w:val="24"/>
                <w:lang w:val="en-US" w:eastAsia="zh-CN" w:bidi="ar"/>
              </w:rPr>
              <w:t>，运营过程中不使用高能耗设备，不消耗煤、石油等常规能源，项目水、电分别由</w:t>
            </w:r>
            <w:r>
              <w:rPr>
                <w:rFonts w:hint="eastAsia" w:cs="Times New Roman"/>
                <w:color w:val="auto"/>
                <w:kern w:val="0"/>
                <w:sz w:val="24"/>
                <w:szCs w:val="24"/>
                <w:lang w:val="en-US" w:eastAsia="zh-CN" w:bidi="ar"/>
              </w:rPr>
              <w:t>当地</w:t>
            </w:r>
            <w:r>
              <w:rPr>
                <w:rFonts w:hint="default" w:ascii="Times New Roman" w:hAnsi="Times New Roman" w:eastAsia="宋体" w:cs="Times New Roman"/>
                <w:color w:val="auto"/>
                <w:kern w:val="0"/>
                <w:sz w:val="24"/>
                <w:szCs w:val="24"/>
                <w:lang w:val="en-US" w:eastAsia="zh-CN" w:bidi="ar"/>
              </w:rPr>
              <w:t>自来水管网、供电系统提供，在当地资源承载范围内，不会给当地水电资源利用造成负担；项目不涉及基本农田；生产过程中所用的原辅材料均为外购，建成运行后通过内部管理、设备选择、原辅材料的选用管理和污染治理等多方面采取合理可行的防治措施，以“节能、降耗、减污”为目标，有效的控制污染。</w:t>
            </w:r>
          </w:p>
          <w:p w14:paraId="3EC260C4">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（4）生态环境准入清单</w:t>
            </w:r>
          </w:p>
          <w:p w14:paraId="04E8354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济宁市“三线一单”生态环境分区管控方案》，全市建立“1+196”生态环境准入清单管控体系。其中，“1”为市级清单，体现全市的基础性、普适性要求；“196”为环境管控单元清单，体现管控单元的差异性、落地性要求。济宁市共划定196个环境管控单元，分为优先保护单元、重点管控单元和一般管控单元，实施分类管控。</w:t>
            </w:r>
          </w:p>
          <w:p w14:paraId="090387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pacing w:val="-6"/>
                <w:kern w:val="0"/>
                <w:sz w:val="24"/>
                <w:szCs w:val="24"/>
                <w:lang w:val="en-US" w:eastAsia="zh-CN" w:bidi="ar"/>
              </w:rPr>
            </w:pPr>
            <w:r>
              <w:rPr>
                <w:rFonts w:hint="default" w:ascii="Times New Roman" w:hAnsi="Times New Roman" w:eastAsia="宋体" w:cs="Times New Roman"/>
                <w:color w:val="auto"/>
                <w:spacing w:val="-6"/>
                <w:kern w:val="0"/>
                <w:sz w:val="24"/>
                <w:szCs w:val="24"/>
                <w:lang w:val="en-US" w:eastAsia="zh-CN" w:bidi="ar"/>
              </w:rPr>
              <w:t>项目</w:t>
            </w:r>
            <w:r>
              <w:rPr>
                <w:rFonts w:hint="eastAsia" w:cs="Times New Roman"/>
                <w:color w:val="auto"/>
                <w:spacing w:val="-6"/>
                <w:kern w:val="0"/>
                <w:sz w:val="24"/>
                <w:szCs w:val="24"/>
                <w:lang w:val="en-US" w:eastAsia="zh-CN" w:bidi="ar"/>
              </w:rPr>
              <w:t>选址位于嘉祥县万张街道</w:t>
            </w:r>
            <w:r>
              <w:rPr>
                <w:rFonts w:hint="default" w:ascii="Times New Roman" w:hAnsi="Times New Roman" w:eastAsia="宋体" w:cs="Times New Roman"/>
                <w:color w:val="auto"/>
                <w:spacing w:val="-6"/>
                <w:kern w:val="0"/>
                <w:sz w:val="24"/>
                <w:szCs w:val="24"/>
                <w:lang w:val="en-US" w:eastAsia="zh-CN" w:bidi="ar"/>
              </w:rPr>
              <w:t>，</w:t>
            </w:r>
            <w:r>
              <w:rPr>
                <w:rFonts w:hint="default" w:ascii="Times New Roman" w:hAnsi="Times New Roman" w:eastAsia="宋体" w:cs="Times New Roman"/>
                <w:color w:val="0000FF"/>
                <w:spacing w:val="-6"/>
                <w:kern w:val="0"/>
                <w:sz w:val="24"/>
                <w:szCs w:val="24"/>
                <w:lang w:val="en-US" w:eastAsia="zh-CN" w:bidi="ar"/>
              </w:rPr>
              <w:t>根据《济宁市“三线一单”生态环境分区管控方案》（济政字【2021】27号）</w:t>
            </w:r>
            <w:r>
              <w:rPr>
                <w:rFonts w:hint="eastAsia" w:cs="Times New Roman"/>
                <w:color w:val="0000FF"/>
                <w:spacing w:val="-6"/>
                <w:kern w:val="0"/>
                <w:sz w:val="24"/>
                <w:szCs w:val="24"/>
                <w:lang w:val="en-US" w:eastAsia="zh-CN" w:bidi="ar"/>
              </w:rPr>
              <w:t>、</w:t>
            </w:r>
            <w:r>
              <w:rPr>
                <w:rFonts w:hint="eastAsia"/>
                <w:b w:val="0"/>
                <w:bCs w:val="0"/>
                <w:color w:val="0000FF"/>
                <w:sz w:val="24"/>
                <w:szCs w:val="24"/>
                <w:highlight w:val="none"/>
                <w:lang w:val="en-US" w:eastAsia="zh-CN"/>
              </w:rPr>
              <w:t>《关于印发《济宁市“三线一单”生态环境分区管控更新方案(2022年动态更新)》的通知》（济环委办[2023]7号）</w:t>
            </w:r>
            <w:r>
              <w:rPr>
                <w:rFonts w:hint="default" w:ascii="Times New Roman" w:hAnsi="Times New Roman" w:eastAsia="宋体" w:cs="Times New Roman"/>
                <w:color w:val="auto"/>
                <w:spacing w:val="-6"/>
                <w:kern w:val="0"/>
                <w:sz w:val="24"/>
                <w:szCs w:val="24"/>
                <w:lang w:val="en-US" w:eastAsia="zh-CN" w:bidi="ar"/>
              </w:rPr>
              <w:t>，</w:t>
            </w:r>
            <w:r>
              <w:rPr>
                <w:rFonts w:hint="eastAsia" w:cs="Times New Roman"/>
                <w:color w:val="auto"/>
                <w:spacing w:val="-6"/>
                <w:kern w:val="0"/>
                <w:sz w:val="24"/>
                <w:szCs w:val="24"/>
                <w:lang w:val="en-US" w:eastAsia="zh-CN" w:bidi="ar"/>
              </w:rPr>
              <w:t>万张街道</w:t>
            </w:r>
            <w:r>
              <w:rPr>
                <w:rFonts w:hint="default" w:ascii="Times New Roman" w:hAnsi="Times New Roman" w:eastAsia="宋体" w:cs="Times New Roman"/>
                <w:color w:val="auto"/>
                <w:spacing w:val="-6"/>
                <w:kern w:val="0"/>
                <w:sz w:val="24"/>
                <w:szCs w:val="24"/>
                <w:lang w:val="en-US" w:eastAsia="zh-CN" w:bidi="ar"/>
              </w:rPr>
              <w:t>属于</w:t>
            </w:r>
            <w:r>
              <w:rPr>
                <w:rFonts w:hint="eastAsia" w:cs="Times New Roman"/>
                <w:color w:val="auto"/>
                <w:spacing w:val="-6"/>
                <w:kern w:val="0"/>
                <w:sz w:val="24"/>
                <w:szCs w:val="24"/>
                <w:lang w:val="en-US" w:eastAsia="zh-CN" w:bidi="ar"/>
              </w:rPr>
              <w:t>一般管控</w:t>
            </w:r>
            <w:r>
              <w:rPr>
                <w:rFonts w:hint="default" w:ascii="Times New Roman" w:hAnsi="Times New Roman" w:eastAsia="宋体" w:cs="Times New Roman"/>
                <w:color w:val="auto"/>
                <w:spacing w:val="-6"/>
                <w:kern w:val="0"/>
                <w:sz w:val="24"/>
                <w:szCs w:val="24"/>
                <w:lang w:val="en-US" w:eastAsia="zh-CN" w:bidi="ar"/>
              </w:rPr>
              <w:t>单元，环境管控单元编码为ZH37082930001。</w:t>
            </w:r>
          </w:p>
          <w:p w14:paraId="317DF6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highlight w:val="none"/>
              </w:rPr>
              <w:t>表1-</w:t>
            </w:r>
            <w:r>
              <w:rPr>
                <w:rFonts w:hint="eastAsia" w:cs="Times New Roman"/>
                <w:b/>
                <w:bCs/>
                <w:color w:val="auto"/>
                <w:sz w:val="24"/>
                <w:highlight w:val="none"/>
                <w:lang w:val="en-US" w:eastAsia="zh-CN"/>
              </w:rPr>
              <w:t>1 项目</w:t>
            </w:r>
            <w:r>
              <w:rPr>
                <w:rFonts w:hint="default" w:ascii="Times New Roman" w:hAnsi="Times New Roman" w:eastAsia="宋体" w:cs="Times New Roman"/>
                <w:b/>
                <w:bCs/>
                <w:color w:val="auto"/>
                <w:sz w:val="24"/>
                <w:highlight w:val="none"/>
              </w:rPr>
              <w:t>与</w:t>
            </w:r>
            <w:r>
              <w:rPr>
                <w:rFonts w:hint="eastAsia" w:cs="Times New Roman"/>
                <w:b/>
                <w:bCs/>
                <w:color w:val="auto"/>
                <w:sz w:val="24"/>
                <w:highlight w:val="none"/>
                <w:lang w:val="en-US" w:eastAsia="zh-CN"/>
              </w:rPr>
              <w:t>嘉祥县万张街道</w:t>
            </w:r>
            <w:r>
              <w:rPr>
                <w:rFonts w:hint="default" w:ascii="Times New Roman" w:hAnsi="Times New Roman" w:eastAsia="宋体" w:cs="Times New Roman"/>
                <w:b/>
                <w:bCs/>
                <w:color w:val="auto"/>
                <w:sz w:val="24"/>
                <w:highlight w:val="none"/>
              </w:rPr>
              <w:t>生态环境准</w:t>
            </w:r>
            <w:r>
              <w:rPr>
                <w:rFonts w:hint="default" w:ascii="Times New Roman" w:hAnsi="Times New Roman" w:eastAsia="宋体" w:cs="Times New Roman"/>
                <w:b/>
                <w:bCs/>
                <w:color w:val="auto"/>
                <w:sz w:val="24"/>
              </w:rPr>
              <w:t>入清单要求符合性</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418"/>
              <w:gridCol w:w="856"/>
              <w:gridCol w:w="999"/>
              <w:gridCol w:w="1357"/>
              <w:gridCol w:w="1388"/>
              <w:gridCol w:w="857"/>
            </w:tblGrid>
            <w:tr w14:paraId="47A03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9" w:type="pct"/>
                  <w:vMerge w:val="restart"/>
                  <w:tcBorders>
                    <w:tl2br w:val="nil"/>
                    <w:tr2bl w:val="nil"/>
                  </w:tcBorders>
                  <w:noWrap w:val="0"/>
                  <w:vAlign w:val="center"/>
                </w:tcPr>
                <w:p w14:paraId="35B98B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环境管控单元编码</w:t>
                  </w:r>
                </w:p>
              </w:tc>
              <w:tc>
                <w:tcPr>
                  <w:tcW w:w="775" w:type="pct"/>
                  <w:vMerge w:val="restart"/>
                  <w:tcBorders>
                    <w:tl2br w:val="nil"/>
                    <w:tr2bl w:val="nil"/>
                  </w:tcBorders>
                  <w:noWrap w:val="0"/>
                  <w:vAlign w:val="center"/>
                </w:tcPr>
                <w:p w14:paraId="3990DA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环境管控</w:t>
                  </w:r>
                </w:p>
                <w:p w14:paraId="00BF6E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单元名称</w:t>
                  </w:r>
                </w:p>
              </w:tc>
              <w:tc>
                <w:tcPr>
                  <w:tcW w:w="1756" w:type="pct"/>
                  <w:gridSpan w:val="3"/>
                  <w:tcBorders>
                    <w:tl2br w:val="nil"/>
                    <w:tr2bl w:val="nil"/>
                  </w:tcBorders>
                  <w:noWrap w:val="0"/>
                  <w:vAlign w:val="center"/>
                </w:tcPr>
                <w:p w14:paraId="02D01A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行政区划</w:t>
                  </w:r>
                </w:p>
              </w:tc>
              <w:tc>
                <w:tcPr>
                  <w:tcW w:w="1227" w:type="pct"/>
                  <w:gridSpan w:val="2"/>
                  <w:vMerge w:val="restart"/>
                  <w:tcBorders>
                    <w:tl2br w:val="nil"/>
                    <w:tr2bl w:val="nil"/>
                  </w:tcBorders>
                  <w:noWrap w:val="0"/>
                  <w:vAlign w:val="center"/>
                </w:tcPr>
                <w:p w14:paraId="3550D5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6"/>
                      <w:sz w:val="21"/>
                      <w:szCs w:val="21"/>
                      <w:highlight w:val="none"/>
                    </w:rPr>
                  </w:pPr>
                  <w:r>
                    <w:rPr>
                      <w:b/>
                      <w:bCs/>
                      <w:color w:val="auto"/>
                      <w:spacing w:val="-6"/>
                      <w:sz w:val="21"/>
                      <w:szCs w:val="21"/>
                      <w:highlight w:val="none"/>
                    </w:rPr>
                    <w:t>管控单元分类</w:t>
                  </w:r>
                </w:p>
              </w:tc>
            </w:tr>
            <w:tr w14:paraId="6C865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9" w:type="pct"/>
                  <w:vMerge w:val="continue"/>
                  <w:tcBorders>
                    <w:tl2br w:val="nil"/>
                    <w:tr2bl w:val="nil"/>
                  </w:tcBorders>
                  <w:noWrap w:val="0"/>
                  <w:vAlign w:val="center"/>
                </w:tcPr>
                <w:p w14:paraId="7917BE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p>
              </w:tc>
              <w:tc>
                <w:tcPr>
                  <w:tcW w:w="775" w:type="pct"/>
                  <w:vMerge w:val="continue"/>
                  <w:tcBorders>
                    <w:tl2br w:val="nil"/>
                    <w:tr2bl w:val="nil"/>
                  </w:tcBorders>
                  <w:noWrap w:val="0"/>
                  <w:vAlign w:val="center"/>
                </w:tcPr>
                <w:p w14:paraId="163FF5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p>
              </w:tc>
              <w:tc>
                <w:tcPr>
                  <w:tcW w:w="468" w:type="pct"/>
                  <w:tcBorders>
                    <w:tl2br w:val="nil"/>
                    <w:tr2bl w:val="nil"/>
                  </w:tcBorders>
                  <w:noWrap w:val="0"/>
                  <w:vAlign w:val="center"/>
                </w:tcPr>
                <w:p w14:paraId="2D44C7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省</w:t>
                  </w:r>
                </w:p>
              </w:tc>
              <w:tc>
                <w:tcPr>
                  <w:tcW w:w="546" w:type="pct"/>
                  <w:tcBorders>
                    <w:tl2br w:val="nil"/>
                    <w:tr2bl w:val="nil"/>
                  </w:tcBorders>
                  <w:noWrap w:val="0"/>
                  <w:vAlign w:val="center"/>
                </w:tcPr>
                <w:p w14:paraId="519992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市</w:t>
                  </w:r>
                </w:p>
              </w:tc>
              <w:tc>
                <w:tcPr>
                  <w:tcW w:w="742" w:type="pct"/>
                  <w:tcBorders>
                    <w:tl2br w:val="nil"/>
                    <w:tr2bl w:val="nil"/>
                  </w:tcBorders>
                  <w:noWrap w:val="0"/>
                  <w:vAlign w:val="center"/>
                </w:tcPr>
                <w:p w14:paraId="10E528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县</w:t>
                  </w:r>
                </w:p>
              </w:tc>
              <w:tc>
                <w:tcPr>
                  <w:tcW w:w="1227" w:type="pct"/>
                  <w:gridSpan w:val="2"/>
                  <w:vMerge w:val="continue"/>
                  <w:tcBorders>
                    <w:tl2br w:val="nil"/>
                    <w:tr2bl w:val="nil"/>
                  </w:tcBorders>
                  <w:noWrap w:val="0"/>
                  <w:vAlign w:val="center"/>
                </w:tcPr>
                <w:p w14:paraId="5313FD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p>
              </w:tc>
            </w:tr>
            <w:tr w14:paraId="63C34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9" w:type="pct"/>
                  <w:tcBorders>
                    <w:tl2br w:val="nil"/>
                    <w:tr2bl w:val="nil"/>
                  </w:tcBorders>
                  <w:noWrap w:val="0"/>
                  <w:vAlign w:val="center"/>
                </w:tcPr>
                <w:p w14:paraId="14398D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bCs/>
                      <w:color w:val="auto"/>
                      <w:spacing w:val="-6"/>
                      <w:sz w:val="21"/>
                      <w:szCs w:val="21"/>
                      <w:highlight w:val="none"/>
                      <w:lang w:eastAsia="zh-CN"/>
                    </w:rPr>
                  </w:pPr>
                  <w:r>
                    <w:rPr>
                      <w:rFonts w:hint="eastAsia" w:eastAsia="宋体"/>
                      <w:bCs/>
                      <w:color w:val="auto"/>
                      <w:spacing w:val="-6"/>
                      <w:sz w:val="21"/>
                      <w:szCs w:val="21"/>
                      <w:highlight w:val="none"/>
                      <w:lang w:eastAsia="zh-CN"/>
                    </w:rPr>
                    <w:t>ZH37082930001</w:t>
                  </w:r>
                </w:p>
              </w:tc>
              <w:tc>
                <w:tcPr>
                  <w:tcW w:w="775" w:type="pct"/>
                  <w:tcBorders>
                    <w:tl2br w:val="nil"/>
                    <w:tr2bl w:val="nil"/>
                  </w:tcBorders>
                  <w:noWrap w:val="0"/>
                  <w:vAlign w:val="center"/>
                </w:tcPr>
                <w:p w14:paraId="42EF9C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bCs/>
                      <w:color w:val="auto"/>
                      <w:spacing w:val="-6"/>
                      <w:sz w:val="21"/>
                      <w:szCs w:val="21"/>
                      <w:highlight w:val="none"/>
                      <w:lang w:val="en-US" w:eastAsia="zh-CN"/>
                    </w:rPr>
                  </w:pPr>
                  <w:r>
                    <w:rPr>
                      <w:rFonts w:hint="eastAsia"/>
                      <w:bCs/>
                      <w:color w:val="auto"/>
                      <w:spacing w:val="-6"/>
                      <w:sz w:val="21"/>
                      <w:szCs w:val="21"/>
                      <w:highlight w:val="none"/>
                      <w:lang w:val="en-US" w:eastAsia="zh-CN"/>
                    </w:rPr>
                    <w:t>万张街道</w:t>
                  </w:r>
                </w:p>
              </w:tc>
              <w:tc>
                <w:tcPr>
                  <w:tcW w:w="468" w:type="pct"/>
                  <w:tcBorders>
                    <w:tl2br w:val="nil"/>
                    <w:tr2bl w:val="nil"/>
                  </w:tcBorders>
                  <w:noWrap w:val="0"/>
                  <w:vAlign w:val="center"/>
                </w:tcPr>
                <w:p w14:paraId="566211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r>
                    <w:rPr>
                      <w:bCs/>
                      <w:color w:val="auto"/>
                      <w:spacing w:val="-6"/>
                      <w:sz w:val="21"/>
                      <w:szCs w:val="21"/>
                      <w:highlight w:val="none"/>
                    </w:rPr>
                    <w:t>山东省</w:t>
                  </w:r>
                </w:p>
              </w:tc>
              <w:tc>
                <w:tcPr>
                  <w:tcW w:w="546" w:type="pct"/>
                  <w:tcBorders>
                    <w:tl2br w:val="nil"/>
                    <w:tr2bl w:val="nil"/>
                  </w:tcBorders>
                  <w:noWrap w:val="0"/>
                  <w:vAlign w:val="center"/>
                </w:tcPr>
                <w:p w14:paraId="450DD7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r>
                    <w:rPr>
                      <w:bCs/>
                      <w:color w:val="auto"/>
                      <w:spacing w:val="-6"/>
                      <w:sz w:val="21"/>
                      <w:szCs w:val="21"/>
                      <w:highlight w:val="none"/>
                    </w:rPr>
                    <w:t>济宁市</w:t>
                  </w:r>
                </w:p>
              </w:tc>
              <w:tc>
                <w:tcPr>
                  <w:tcW w:w="742" w:type="pct"/>
                  <w:tcBorders>
                    <w:tl2br w:val="nil"/>
                    <w:tr2bl w:val="nil"/>
                  </w:tcBorders>
                  <w:noWrap w:val="0"/>
                  <w:vAlign w:val="center"/>
                </w:tcPr>
                <w:p w14:paraId="256EC1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r>
                    <w:rPr>
                      <w:rFonts w:hint="eastAsia"/>
                      <w:color w:val="auto"/>
                      <w:sz w:val="21"/>
                      <w:szCs w:val="21"/>
                      <w:highlight w:val="none"/>
                      <w:lang w:val="en-US" w:eastAsia="zh-CN"/>
                    </w:rPr>
                    <w:t>嘉祥</w:t>
                  </w:r>
                  <w:r>
                    <w:rPr>
                      <w:color w:val="auto"/>
                      <w:sz w:val="21"/>
                      <w:szCs w:val="21"/>
                      <w:highlight w:val="none"/>
                    </w:rPr>
                    <w:t>县</w:t>
                  </w:r>
                </w:p>
              </w:tc>
              <w:tc>
                <w:tcPr>
                  <w:tcW w:w="1227" w:type="pct"/>
                  <w:gridSpan w:val="2"/>
                  <w:tcBorders>
                    <w:tl2br w:val="nil"/>
                    <w:tr2bl w:val="nil"/>
                  </w:tcBorders>
                  <w:noWrap w:val="0"/>
                  <w:vAlign w:val="center"/>
                </w:tcPr>
                <w:p w14:paraId="7DAF6B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r>
                    <w:rPr>
                      <w:rFonts w:hint="eastAsia"/>
                      <w:bCs/>
                      <w:color w:val="auto"/>
                      <w:spacing w:val="-6"/>
                      <w:sz w:val="21"/>
                      <w:szCs w:val="21"/>
                      <w:highlight w:val="none"/>
                      <w:lang w:val="en-US" w:eastAsia="zh-CN"/>
                    </w:rPr>
                    <w:t>一般管控</w:t>
                  </w:r>
                  <w:r>
                    <w:rPr>
                      <w:bCs/>
                      <w:color w:val="auto"/>
                      <w:spacing w:val="-6"/>
                      <w:sz w:val="21"/>
                      <w:szCs w:val="21"/>
                      <w:highlight w:val="none"/>
                    </w:rPr>
                    <w:t>单元</w:t>
                  </w:r>
                </w:p>
              </w:tc>
            </w:tr>
            <w:tr w14:paraId="37E62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tcBorders>
                    <w:tl2br w:val="nil"/>
                    <w:tr2bl w:val="nil"/>
                  </w:tcBorders>
                  <w:noWrap w:val="0"/>
                  <w:vAlign w:val="center"/>
                </w:tcPr>
                <w:p w14:paraId="1DF38F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r>
                    <w:rPr>
                      <w:bCs/>
                      <w:color w:val="auto"/>
                      <w:spacing w:val="-6"/>
                      <w:sz w:val="21"/>
                      <w:szCs w:val="21"/>
                      <w:highlight w:val="none"/>
                    </w:rPr>
                    <w:t>文件具体要求</w:t>
                  </w:r>
                </w:p>
              </w:tc>
            </w:tr>
            <w:tr w14:paraId="48F05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9" w:type="pct"/>
                  <w:gridSpan w:val="4"/>
                  <w:tcBorders>
                    <w:tl2br w:val="nil"/>
                    <w:tr2bl w:val="nil"/>
                  </w:tcBorders>
                  <w:noWrap w:val="0"/>
                  <w:vAlign w:val="center"/>
                </w:tcPr>
                <w:p w14:paraId="1AFC05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color w:val="auto"/>
                      <w:spacing w:val="-6"/>
                      <w:sz w:val="21"/>
                      <w:szCs w:val="21"/>
                      <w:highlight w:val="none"/>
                    </w:rPr>
                  </w:pPr>
                  <w:r>
                    <w:rPr>
                      <w:b/>
                      <w:color w:val="auto"/>
                      <w:spacing w:val="-6"/>
                      <w:sz w:val="21"/>
                      <w:szCs w:val="21"/>
                      <w:highlight w:val="none"/>
                    </w:rPr>
                    <w:t>空间布局约束</w:t>
                  </w:r>
                </w:p>
              </w:tc>
              <w:tc>
                <w:tcPr>
                  <w:tcW w:w="1501" w:type="pct"/>
                  <w:gridSpan w:val="2"/>
                  <w:tcBorders>
                    <w:tl2br w:val="nil"/>
                    <w:tr2bl w:val="nil"/>
                  </w:tcBorders>
                  <w:noWrap w:val="0"/>
                  <w:vAlign w:val="center"/>
                </w:tcPr>
                <w:p w14:paraId="5D7286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color w:val="auto"/>
                      <w:spacing w:val="-6"/>
                      <w:sz w:val="21"/>
                      <w:szCs w:val="21"/>
                      <w:highlight w:val="none"/>
                    </w:rPr>
                  </w:pPr>
                  <w:r>
                    <w:rPr>
                      <w:b/>
                      <w:color w:val="auto"/>
                      <w:spacing w:val="-6"/>
                      <w:sz w:val="21"/>
                      <w:szCs w:val="21"/>
                      <w:highlight w:val="none"/>
                    </w:rPr>
                    <w:t>本项目情况</w:t>
                  </w:r>
                </w:p>
              </w:tc>
              <w:tc>
                <w:tcPr>
                  <w:tcW w:w="468" w:type="pct"/>
                  <w:tcBorders>
                    <w:tl2br w:val="nil"/>
                    <w:tr2bl w:val="nil"/>
                  </w:tcBorders>
                  <w:noWrap w:val="0"/>
                  <w:vAlign w:val="center"/>
                </w:tcPr>
                <w:p w14:paraId="1CDCC9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color w:val="auto"/>
                      <w:spacing w:val="-6"/>
                      <w:sz w:val="21"/>
                      <w:szCs w:val="21"/>
                      <w:highlight w:val="none"/>
                    </w:rPr>
                  </w:pPr>
                  <w:r>
                    <w:rPr>
                      <w:b/>
                      <w:color w:val="auto"/>
                      <w:spacing w:val="-6"/>
                      <w:sz w:val="21"/>
                      <w:szCs w:val="21"/>
                      <w:highlight w:val="none"/>
                    </w:rPr>
                    <w:t>符合性</w:t>
                  </w:r>
                </w:p>
              </w:tc>
            </w:tr>
            <w:tr w14:paraId="1DF83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9" w:type="pct"/>
                  <w:gridSpan w:val="4"/>
                  <w:tcBorders>
                    <w:tl2br w:val="nil"/>
                    <w:tr2bl w:val="nil"/>
                  </w:tcBorders>
                  <w:noWrap w:val="0"/>
                  <w:vAlign w:val="center"/>
                </w:tcPr>
                <w:p w14:paraId="1AB57F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 xml:space="preserve">1.水环境工业污染重点管控区内禁止新建不符合国家产业政策的小型造纸、制革、印染、染料、炼焦、炼硫、炼砷、炼汞、炼油、电镀、农药、石棉、水泥、玻璃、钢铁、火电以及其他严重污染水环境的生产项目。 </w:t>
                  </w:r>
                </w:p>
                <w:p w14:paraId="12C38D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 xml:space="preserve">2.禁止城市及近郊新建、扩建有色金属、石化、化工等重污染企业。 </w:t>
                  </w:r>
                </w:p>
                <w:p w14:paraId="354CC1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 xml:space="preserve">3.大气环境高排放重点管控区推进各类园区循环化改造、规范发展和提质增效；完善园区集中供热设施，积极推广集中供热。 </w:t>
                  </w:r>
                </w:p>
                <w:p w14:paraId="6FE8C9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 xml:space="preserve">4.新建、改建、扩建涉气工业项目，在满足产业准入、总量控制、排放标准等管理制度要求的前提下，应大力推进项目进园、集约高效发展。 </w:t>
                  </w:r>
                </w:p>
                <w:p w14:paraId="55B3DD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 xml:space="preserve">5.一般生态空间原则上按限制开发区域的要求进行管理。 </w:t>
                  </w:r>
                </w:p>
              </w:tc>
              <w:tc>
                <w:tcPr>
                  <w:tcW w:w="1501" w:type="pct"/>
                  <w:gridSpan w:val="2"/>
                  <w:tcBorders>
                    <w:tl2br w:val="nil"/>
                    <w:tr2bl w:val="nil"/>
                  </w:tcBorders>
                  <w:noWrap w:val="0"/>
                  <w:vAlign w:val="center"/>
                </w:tcPr>
                <w:p w14:paraId="1D75A7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1.根据国家发展和改革委员会《产业结构调整指导目录（2024年本）》，本项目属于允许建设类项目，符合产业政策的要求。</w:t>
                  </w:r>
                </w:p>
                <w:p w14:paraId="0B109D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2.</w:t>
                  </w:r>
                  <w:r>
                    <w:rPr>
                      <w:rFonts w:hint="eastAsia" w:cs="Times New Roman"/>
                      <w:color w:val="auto"/>
                      <w:kern w:val="2"/>
                      <w:sz w:val="21"/>
                      <w:szCs w:val="21"/>
                      <w:highlight w:val="none"/>
                      <w:vertAlign w:val="baseline"/>
                      <w:lang w:val="en-US" w:eastAsia="zh-CN" w:bidi="ar-SA"/>
                    </w:rPr>
                    <w:t>项目建设单位不属于有色金属、石化、化工等重污染企业。</w:t>
                  </w:r>
                </w:p>
                <w:p w14:paraId="204CAE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3.本项目选址位于嘉祥县万张街道工业聚集区，</w:t>
                  </w:r>
                  <w:r>
                    <w:rPr>
                      <w:rFonts w:hint="eastAsia" w:ascii="Times New Roman" w:hAnsi="Times New Roman" w:eastAsia="宋体" w:cs="Times New Roman"/>
                      <w:color w:val="auto"/>
                      <w:kern w:val="2"/>
                      <w:sz w:val="21"/>
                      <w:szCs w:val="21"/>
                      <w:highlight w:val="none"/>
                      <w:vertAlign w:val="baseline"/>
                      <w:lang w:val="en-US" w:eastAsia="zh-CN" w:bidi="ar-SA"/>
                    </w:rPr>
                    <w:t>项目用地类型为工业用地，符合嘉祥县总体规划，不属于一般生态空间</w:t>
                  </w:r>
                  <w:r>
                    <w:rPr>
                      <w:rFonts w:hint="eastAsia" w:cs="Times New Roman"/>
                      <w:color w:val="auto"/>
                      <w:kern w:val="2"/>
                      <w:sz w:val="21"/>
                      <w:szCs w:val="21"/>
                      <w:highlight w:val="none"/>
                      <w:vertAlign w:val="baseline"/>
                      <w:lang w:val="en-US" w:eastAsia="zh-CN" w:bidi="ar-SA"/>
                    </w:rPr>
                    <w:t>（见附图4）</w:t>
                  </w: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468" w:type="pct"/>
                  <w:tcBorders>
                    <w:tl2br w:val="nil"/>
                    <w:tr2bl w:val="nil"/>
                  </w:tcBorders>
                  <w:noWrap w:val="0"/>
                  <w:vAlign w:val="center"/>
                </w:tcPr>
                <w:p w14:paraId="73AE8E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r>
                    <w:rPr>
                      <w:bCs/>
                      <w:color w:val="auto"/>
                      <w:spacing w:val="-6"/>
                      <w:sz w:val="21"/>
                      <w:szCs w:val="21"/>
                      <w:highlight w:val="none"/>
                    </w:rPr>
                    <w:t>符合</w:t>
                  </w:r>
                </w:p>
              </w:tc>
            </w:tr>
            <w:tr w14:paraId="1C06D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9" w:type="pct"/>
                  <w:gridSpan w:val="4"/>
                  <w:tcBorders>
                    <w:tl2br w:val="nil"/>
                    <w:tr2bl w:val="nil"/>
                  </w:tcBorders>
                  <w:noWrap w:val="0"/>
                  <w:vAlign w:val="center"/>
                </w:tcPr>
                <w:p w14:paraId="10BFAE63">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污染物排放管控</w:t>
                  </w:r>
                </w:p>
              </w:tc>
              <w:tc>
                <w:tcPr>
                  <w:tcW w:w="1501" w:type="pct"/>
                  <w:gridSpan w:val="2"/>
                  <w:tcBorders>
                    <w:tl2br w:val="nil"/>
                    <w:tr2bl w:val="nil"/>
                  </w:tcBorders>
                  <w:noWrap w:val="0"/>
                  <w:vAlign w:val="center"/>
                </w:tcPr>
                <w:p w14:paraId="194263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本项目情况</w:t>
                  </w:r>
                </w:p>
              </w:tc>
              <w:tc>
                <w:tcPr>
                  <w:tcW w:w="468" w:type="pct"/>
                  <w:tcBorders>
                    <w:tl2br w:val="nil"/>
                    <w:tr2bl w:val="nil"/>
                  </w:tcBorders>
                  <w:noWrap w:val="0"/>
                  <w:vAlign w:val="center"/>
                </w:tcPr>
                <w:p w14:paraId="6C46E5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符合性</w:t>
                  </w:r>
                </w:p>
              </w:tc>
            </w:tr>
            <w:tr w14:paraId="0809E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9" w:type="pct"/>
                  <w:gridSpan w:val="4"/>
                  <w:tcBorders>
                    <w:tl2br w:val="nil"/>
                    <w:tr2bl w:val="nil"/>
                  </w:tcBorders>
                  <w:noWrap w:val="0"/>
                  <w:vAlign w:val="center"/>
                </w:tcPr>
                <w:p w14:paraId="4093791B">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 xml:space="preserve">1.落实水环境保护的普适性要求。推进城乡生活污染和农业面源污染治理，加强污染物排放管控，推动水环境质量不断改善。 </w:t>
                  </w:r>
                </w:p>
                <w:p w14:paraId="36DCE9C1">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 xml:space="preserve">2.水环境工业污染重点管控区内工业废水须经预处理达到集中处理要求，方可进入污水集中处理设施。新建、升级工业聚集区应同步规划、建设污水集中处理等污染治理设施。除农村生活污水处理设施和医疗机构之外的现有排污单位水污染物的排放管理按照《流域水污染物综合排放标准 第 1 部分：南四湖东平湖流域》执行。实施产能规模和污染物排放总量控制，对造纸、原料药制造、有机化工、煤化工等重点行业，实行新（改、扩）建项目主要污染物排放等量或减量置换。 </w:t>
                  </w:r>
                </w:p>
                <w:p w14:paraId="54E180CF">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3.严格执行山东省《区域性大气污染物综合排放标准》（DB37/2376-2019）排放要求，SO</w:t>
                  </w:r>
                  <w:r>
                    <w:rPr>
                      <w:rFonts w:hint="eastAsia" w:ascii="Times New Roman" w:hAnsi="Times New Roman" w:eastAsia="宋体" w:cs="Times New Roman"/>
                      <w:color w:val="auto"/>
                      <w:kern w:val="2"/>
                      <w:sz w:val="21"/>
                      <w:szCs w:val="21"/>
                      <w:highlight w:val="none"/>
                      <w:vertAlign w:val="subscript"/>
                      <w:lang w:val="en-US" w:eastAsia="zh-CN" w:bidi="ar-SA"/>
                    </w:rPr>
                    <w:t>2</w:t>
                  </w:r>
                  <w:r>
                    <w:rPr>
                      <w:rFonts w:hint="eastAsia" w:ascii="Times New Roman" w:hAnsi="Times New Roman" w:eastAsia="宋体" w:cs="Times New Roman"/>
                      <w:color w:val="auto"/>
                      <w:kern w:val="2"/>
                      <w:sz w:val="21"/>
                      <w:szCs w:val="21"/>
                      <w:highlight w:val="none"/>
                      <w:vertAlign w:val="baseline"/>
                      <w:lang w:val="en-US" w:eastAsia="zh-CN" w:bidi="ar-SA"/>
                    </w:rPr>
                    <w:t xml:space="preserve">、NOx、烟粉尘、VOCs 排放量不得超过区域允许排放量。全面加强 VOCs污染管控。加大秸秆禁烧管控力度。 </w:t>
                  </w:r>
                </w:p>
                <w:p w14:paraId="7A56A440">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4.石化、化工和涉及涂装的各重点行业加强对 VOCs 的收集和治理，确保废气收集率、治理设施同步运行率和去除率达到国家和省有关要求，加大汽油、石脑油、煤油以及原油等油品储运销全过程 VOCs 排放控制。加强移动源污染防治，逐步淘汰高排放的老旧车、船，严格控制柴油货车污染排放；严格落实扬尘污染防治各项措施。</w:t>
                  </w:r>
                </w:p>
              </w:tc>
              <w:tc>
                <w:tcPr>
                  <w:tcW w:w="1501" w:type="pct"/>
                  <w:gridSpan w:val="2"/>
                  <w:tcBorders>
                    <w:tl2br w:val="nil"/>
                    <w:tr2bl w:val="nil"/>
                  </w:tcBorders>
                  <w:noWrap w:val="0"/>
                  <w:vAlign w:val="center"/>
                </w:tcPr>
                <w:p w14:paraId="6760B8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1.项目运营期间无生产废水排放，少量生活污水经厂区化粪池处理后定期委托环卫部门清运，对周边水环境无影响</w:t>
                  </w:r>
                  <w:r>
                    <w:rPr>
                      <w:rFonts w:hint="eastAsia" w:ascii="Times New Roman" w:hAnsi="Times New Roman" w:eastAsia="宋体" w:cs="Times New Roman"/>
                      <w:color w:val="auto"/>
                      <w:kern w:val="2"/>
                      <w:sz w:val="21"/>
                      <w:szCs w:val="21"/>
                      <w:highlight w:val="none"/>
                      <w:lang w:val="en-US" w:eastAsia="zh-CN"/>
                    </w:rPr>
                    <w:t>。</w:t>
                  </w:r>
                </w:p>
                <w:p w14:paraId="7DC65C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color w:val="auto"/>
                      <w:sz w:val="21"/>
                      <w:szCs w:val="21"/>
                      <w:highlight w:val="none"/>
                      <w:lang w:val="en-US" w:eastAsia="zh-CN"/>
                    </w:rPr>
                  </w:pPr>
                  <w:r>
                    <w:rPr>
                      <w:rFonts w:hint="eastAsia"/>
                      <w:color w:val="auto"/>
                      <w:sz w:val="21"/>
                      <w:szCs w:val="21"/>
                      <w:highlight w:val="none"/>
                      <w:lang w:val="en-US" w:eastAsia="zh-CN"/>
                    </w:rPr>
                    <w:t>2.本项目运营期废气主要为粉尘颗粒物，经采取有效治理措施后能够达标排放，废气排放严格</w:t>
                  </w:r>
                  <w:r>
                    <w:rPr>
                      <w:rFonts w:hint="eastAsia" w:ascii="Times New Roman" w:hAnsi="Times New Roman" w:eastAsia="宋体" w:cs="Times New Roman"/>
                      <w:color w:val="auto"/>
                      <w:spacing w:val="6"/>
                      <w:sz w:val="21"/>
                      <w:szCs w:val="21"/>
                      <w:lang w:val="en-US" w:eastAsia="zh-CN"/>
                    </w:rPr>
                    <w:t>实行区域总量控制要求</w:t>
                  </w:r>
                  <w:r>
                    <w:rPr>
                      <w:rFonts w:hint="default" w:ascii="Times New Roman" w:hAnsi="Times New Roman" w:eastAsia="宋体" w:cs="Times New Roman"/>
                      <w:color w:val="auto"/>
                      <w:sz w:val="21"/>
                      <w:szCs w:val="21"/>
                      <w:highlight w:val="none"/>
                      <w:lang w:val="en-US" w:eastAsia="zh-CN"/>
                    </w:rPr>
                    <w:t>。</w:t>
                  </w:r>
                </w:p>
                <w:p w14:paraId="523EFB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color w:val="auto"/>
                      <w:highlight w:val="none"/>
                      <w:lang w:val="en-US" w:eastAsia="zh-CN"/>
                    </w:rPr>
                  </w:pPr>
                </w:p>
              </w:tc>
              <w:tc>
                <w:tcPr>
                  <w:tcW w:w="468" w:type="pct"/>
                  <w:tcBorders>
                    <w:tl2br w:val="nil"/>
                    <w:tr2bl w:val="nil"/>
                  </w:tcBorders>
                  <w:noWrap w:val="0"/>
                  <w:vAlign w:val="center"/>
                </w:tcPr>
                <w:p w14:paraId="77CB68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符合</w:t>
                  </w:r>
                </w:p>
              </w:tc>
            </w:tr>
            <w:tr w14:paraId="53AD2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9" w:type="pct"/>
                  <w:gridSpan w:val="4"/>
                  <w:tcBorders>
                    <w:tl2br w:val="nil"/>
                    <w:tr2bl w:val="nil"/>
                  </w:tcBorders>
                  <w:noWrap w:val="0"/>
                  <w:vAlign w:val="center"/>
                </w:tcPr>
                <w:p w14:paraId="38765BCD">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cs="Times New Roman"/>
                      <w:color w:val="auto"/>
                      <w:spacing w:val="-6"/>
                      <w:sz w:val="21"/>
                      <w:szCs w:val="21"/>
                      <w:highlight w:val="none"/>
                    </w:rPr>
                  </w:pPr>
                  <w:r>
                    <w:rPr>
                      <w:rFonts w:ascii="Times New Roman" w:hAnsi="Times New Roman" w:cs="Times New Roman"/>
                      <w:b/>
                      <w:bCs/>
                      <w:color w:val="auto"/>
                      <w:spacing w:val="-6"/>
                      <w:sz w:val="21"/>
                      <w:szCs w:val="21"/>
                      <w:highlight w:val="none"/>
                    </w:rPr>
                    <w:t>环境风险防控</w:t>
                  </w:r>
                </w:p>
              </w:tc>
              <w:tc>
                <w:tcPr>
                  <w:tcW w:w="1501" w:type="pct"/>
                  <w:gridSpan w:val="2"/>
                  <w:tcBorders>
                    <w:tl2br w:val="nil"/>
                    <w:tr2bl w:val="nil"/>
                  </w:tcBorders>
                  <w:noWrap w:val="0"/>
                  <w:vAlign w:val="center"/>
                </w:tcPr>
                <w:p w14:paraId="6BF4F2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6"/>
                      <w:sz w:val="21"/>
                      <w:szCs w:val="21"/>
                      <w:highlight w:val="none"/>
                    </w:rPr>
                  </w:pPr>
                  <w:r>
                    <w:rPr>
                      <w:b/>
                      <w:bCs/>
                      <w:color w:val="auto"/>
                      <w:spacing w:val="-6"/>
                      <w:sz w:val="21"/>
                      <w:szCs w:val="21"/>
                      <w:highlight w:val="none"/>
                    </w:rPr>
                    <w:t>本项目情况</w:t>
                  </w:r>
                </w:p>
              </w:tc>
              <w:tc>
                <w:tcPr>
                  <w:tcW w:w="468" w:type="pct"/>
                  <w:tcBorders>
                    <w:tl2br w:val="nil"/>
                    <w:tr2bl w:val="nil"/>
                  </w:tcBorders>
                  <w:noWrap w:val="0"/>
                  <w:vAlign w:val="center"/>
                </w:tcPr>
                <w:p w14:paraId="6F21E9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6"/>
                      <w:sz w:val="21"/>
                      <w:szCs w:val="21"/>
                      <w:highlight w:val="none"/>
                    </w:rPr>
                  </w:pPr>
                  <w:r>
                    <w:rPr>
                      <w:b/>
                      <w:bCs/>
                      <w:color w:val="auto"/>
                      <w:spacing w:val="-6"/>
                      <w:sz w:val="21"/>
                      <w:szCs w:val="21"/>
                      <w:highlight w:val="none"/>
                    </w:rPr>
                    <w:t>符合性</w:t>
                  </w:r>
                </w:p>
              </w:tc>
            </w:tr>
            <w:tr w14:paraId="25114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9" w:type="pct"/>
                  <w:gridSpan w:val="4"/>
                  <w:tcBorders>
                    <w:tl2br w:val="nil"/>
                    <w:tr2bl w:val="nil"/>
                  </w:tcBorders>
                  <w:noWrap w:val="0"/>
                  <w:vAlign w:val="center"/>
                </w:tcPr>
                <w:p w14:paraId="72313A70">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 xml:space="preserve">1.水环境工业污染重点管控区内增强应急处置能力，深化企业、污水厂、园区、县界、入湖口五级拦截防控系统，采取监测、断源、控污、治理等多项应急措施，全力保障水质安全。 </w:t>
                  </w:r>
                </w:p>
                <w:p w14:paraId="785ECB50">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 xml:space="preserve">2.加强对烧结、工业炉窑、医疗垃圾和危险废物焚烧有毒有害大气污染物排放企业的监管。 </w:t>
                  </w:r>
                </w:p>
                <w:p w14:paraId="41D6BA8F">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 xml:space="preserve">3.当预测到区域将出现重污染天气时，根据预警发布，按级别启动应急响应，落实各项应急减排措施。 </w:t>
                  </w:r>
                </w:p>
              </w:tc>
              <w:tc>
                <w:tcPr>
                  <w:tcW w:w="1501" w:type="pct"/>
                  <w:gridSpan w:val="2"/>
                  <w:tcBorders>
                    <w:tl2br w:val="nil"/>
                    <w:tr2bl w:val="nil"/>
                  </w:tcBorders>
                  <w:noWrap w:val="0"/>
                  <w:vAlign w:val="center"/>
                </w:tcPr>
                <w:p w14:paraId="33A103AA">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1.本企业不属于水环境工业污染重点监管单位。</w:t>
                  </w:r>
                </w:p>
                <w:p w14:paraId="220021A3">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eastAsia"/>
                      <w:color w:val="auto"/>
                      <w:sz w:val="21"/>
                      <w:szCs w:val="21"/>
                      <w:highlight w:val="none"/>
                      <w:lang w:val="en-US" w:eastAsia="zh-CN"/>
                    </w:rPr>
                    <w:t>本企业不属于有毒有害大气污染物排放企业。</w:t>
                  </w:r>
                </w:p>
                <w:p w14:paraId="0D65B33B">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r>
                    <w:rPr>
                      <w:rFonts w:hint="eastAsia"/>
                      <w:color w:val="auto"/>
                      <w:sz w:val="21"/>
                      <w:szCs w:val="21"/>
                      <w:highlight w:val="none"/>
                      <w:lang w:val="en-US" w:eastAsia="zh-CN"/>
                    </w:rPr>
                    <w:t>本项目根</w:t>
                  </w:r>
                  <w:r>
                    <w:rPr>
                      <w:color w:val="auto"/>
                      <w:sz w:val="21"/>
                      <w:szCs w:val="21"/>
                      <w:highlight w:val="none"/>
                      <w:lang w:val="en-US" w:eastAsia="zh-CN"/>
                    </w:rPr>
                    <w:t>据预警发布，按级别启动应急响应，</w:t>
                  </w:r>
                  <w:r>
                    <w:rPr>
                      <w:rFonts w:hint="eastAsia"/>
                      <w:color w:val="auto"/>
                      <w:sz w:val="21"/>
                      <w:szCs w:val="21"/>
                      <w:highlight w:val="none"/>
                      <w:lang w:val="en-US" w:eastAsia="zh-CN"/>
                    </w:rPr>
                    <w:t>严格落实重污染天气应急减排措施。</w:t>
                  </w:r>
                </w:p>
              </w:tc>
              <w:tc>
                <w:tcPr>
                  <w:tcW w:w="468" w:type="pct"/>
                  <w:tcBorders>
                    <w:tl2br w:val="nil"/>
                    <w:tr2bl w:val="nil"/>
                  </w:tcBorders>
                  <w:noWrap w:val="0"/>
                  <w:vAlign w:val="center"/>
                </w:tcPr>
                <w:p w14:paraId="35500F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符合</w:t>
                  </w:r>
                </w:p>
              </w:tc>
            </w:tr>
            <w:tr w14:paraId="666F4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9" w:type="pct"/>
                  <w:gridSpan w:val="4"/>
                  <w:tcBorders>
                    <w:tl2br w:val="nil"/>
                    <w:tr2bl w:val="nil"/>
                  </w:tcBorders>
                  <w:noWrap w:val="0"/>
                  <w:vAlign w:val="center"/>
                </w:tcPr>
                <w:p w14:paraId="2A2D64FB">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资源开发效率要求</w:t>
                  </w:r>
                </w:p>
              </w:tc>
              <w:tc>
                <w:tcPr>
                  <w:tcW w:w="1501" w:type="pct"/>
                  <w:gridSpan w:val="2"/>
                  <w:tcBorders>
                    <w:tl2br w:val="nil"/>
                    <w:tr2bl w:val="nil"/>
                  </w:tcBorders>
                  <w:noWrap w:val="0"/>
                  <w:vAlign w:val="center"/>
                </w:tcPr>
                <w:p w14:paraId="6FF6FCC3">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本项目情况</w:t>
                  </w:r>
                </w:p>
              </w:tc>
              <w:tc>
                <w:tcPr>
                  <w:tcW w:w="468" w:type="pct"/>
                  <w:tcBorders>
                    <w:tl2br w:val="nil"/>
                    <w:tr2bl w:val="nil"/>
                  </w:tcBorders>
                  <w:noWrap w:val="0"/>
                  <w:vAlign w:val="center"/>
                </w:tcPr>
                <w:p w14:paraId="3896E220">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cs="Times New Roman"/>
                      <w:b/>
                      <w:bCs/>
                      <w:color w:val="auto"/>
                      <w:spacing w:val="-6"/>
                      <w:sz w:val="21"/>
                      <w:szCs w:val="21"/>
                      <w:highlight w:val="none"/>
                    </w:rPr>
                  </w:pPr>
                  <w:r>
                    <w:rPr>
                      <w:rFonts w:hint="eastAsia" w:ascii="Times New Roman" w:hAnsi="Times New Roman" w:cs="Times New Roman"/>
                      <w:b/>
                      <w:bCs/>
                      <w:color w:val="auto"/>
                      <w:spacing w:val="-6"/>
                      <w:sz w:val="21"/>
                      <w:szCs w:val="21"/>
                      <w:highlight w:val="none"/>
                    </w:rPr>
                    <w:t>符合性</w:t>
                  </w:r>
                </w:p>
              </w:tc>
            </w:tr>
            <w:tr w14:paraId="0CAE1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9" w:type="pct"/>
                  <w:gridSpan w:val="4"/>
                  <w:tcBorders>
                    <w:tl2br w:val="nil"/>
                    <w:tr2bl w:val="nil"/>
                  </w:tcBorders>
                  <w:noWrap w:val="0"/>
                  <w:vAlign w:val="center"/>
                </w:tcPr>
                <w:p w14:paraId="72C330F9">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 xml:space="preserve">1.严控高耗水项目。水资源开发应当优先利用地表水，严格控制开采地下水。严格落实区域用水总量限批制度。 </w:t>
                  </w:r>
                </w:p>
                <w:p w14:paraId="7A305B50">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 xml:space="preserve">2.新建高耗能项目能耗要达到相关要求。产生大气污染物的工业企业应持续开展节能降耗，持续降低单位GDP 能耗及煤耗水平。 </w:t>
                  </w:r>
                </w:p>
                <w:p w14:paraId="7AC26601">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 xml:space="preserve">3.推进冬季清洁取暖，实现清洁能源逐步替代散煤。严防散煤复烧，对暂未实施清洁取暖的地区，确保使用的散煤质量符合标准要求。 </w:t>
                  </w:r>
                </w:p>
              </w:tc>
              <w:tc>
                <w:tcPr>
                  <w:tcW w:w="1501" w:type="pct"/>
                  <w:gridSpan w:val="2"/>
                  <w:tcBorders>
                    <w:tl2br w:val="nil"/>
                    <w:tr2bl w:val="nil"/>
                  </w:tcBorders>
                  <w:noWrap w:val="0"/>
                  <w:vAlign w:val="center"/>
                </w:tcPr>
                <w:p w14:paraId="56985F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本项目用水由</w:t>
                  </w:r>
                  <w:r>
                    <w:rPr>
                      <w:rFonts w:hint="eastAsia" w:cs="Times New Roman"/>
                      <w:color w:val="auto"/>
                      <w:kern w:val="2"/>
                      <w:sz w:val="21"/>
                      <w:szCs w:val="21"/>
                      <w:highlight w:val="none"/>
                      <w:vertAlign w:val="baseline"/>
                      <w:lang w:val="en-US" w:eastAsia="zh-CN" w:bidi="ar-SA"/>
                    </w:rPr>
                    <w:t>当地自来水管网</w:t>
                  </w:r>
                  <w:r>
                    <w:rPr>
                      <w:rFonts w:hint="eastAsia" w:ascii="Times New Roman" w:hAnsi="Times New Roman" w:eastAsia="宋体" w:cs="Times New Roman"/>
                      <w:color w:val="auto"/>
                      <w:kern w:val="2"/>
                      <w:sz w:val="21"/>
                      <w:szCs w:val="21"/>
                      <w:highlight w:val="none"/>
                      <w:vertAlign w:val="baseline"/>
                      <w:lang w:val="en-US" w:eastAsia="zh-CN" w:bidi="ar-SA"/>
                    </w:rPr>
                    <w:t>提供，项目不属于高耗水、高耗能项目，不涉及散煤燃烧。</w:t>
                  </w:r>
                </w:p>
              </w:tc>
              <w:tc>
                <w:tcPr>
                  <w:tcW w:w="468" w:type="pct"/>
                  <w:tcBorders>
                    <w:tl2br w:val="nil"/>
                    <w:tr2bl w:val="nil"/>
                  </w:tcBorders>
                  <w:noWrap w:val="0"/>
                  <w:vAlign w:val="center"/>
                </w:tcPr>
                <w:p w14:paraId="479D72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符合</w:t>
                  </w:r>
                </w:p>
              </w:tc>
            </w:tr>
          </w:tbl>
          <w:p w14:paraId="4165F77B">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Times New Roman" w:hAnsi="Times New Roman" w:cs="Times New Roman"/>
                <w:b w:val="0"/>
                <w:bCs w:val="0"/>
                <w:color w:val="auto"/>
                <w:sz w:val="24"/>
                <w:szCs w:val="24"/>
                <w:lang w:val="de-DE" w:eastAsia="zh-CN"/>
              </w:rPr>
            </w:pPr>
            <w:r>
              <w:rPr>
                <w:rFonts w:hint="eastAsia" w:ascii="Times New Roman" w:hAnsi="Times New Roman" w:cs="Times New Roman"/>
                <w:b/>
                <w:bCs/>
                <w:color w:val="auto"/>
                <w:sz w:val="24"/>
                <w:szCs w:val="24"/>
                <w:lang w:val="en-US" w:eastAsia="zh-CN"/>
              </w:rPr>
              <w:t>4、与</w:t>
            </w:r>
            <w:r>
              <w:rPr>
                <w:rFonts w:hint="eastAsia" w:cs="Times New Roman"/>
                <w:b/>
                <w:bCs/>
                <w:color w:val="auto"/>
                <w:sz w:val="24"/>
                <w:szCs w:val="24"/>
                <w:lang w:val="en-US" w:eastAsia="zh-CN"/>
              </w:rPr>
              <w:t>《</w:t>
            </w:r>
            <w:r>
              <w:rPr>
                <w:rFonts w:hint="eastAsia" w:ascii="Times New Roman" w:hAnsi="Times New Roman" w:cs="Times New Roman"/>
                <w:b/>
                <w:bCs/>
                <w:color w:val="auto"/>
                <w:sz w:val="24"/>
                <w:szCs w:val="24"/>
                <w:lang w:val="en-US" w:eastAsia="zh-CN"/>
              </w:rPr>
              <w:t>关于严格项目审批工作坚决防止新上“散乱污”项目的通知</w:t>
            </w:r>
            <w:r>
              <w:rPr>
                <w:rFonts w:hint="eastAsia" w:cs="Times New Roman"/>
                <w:b/>
                <w:bCs/>
                <w:color w:val="auto"/>
                <w:sz w:val="24"/>
                <w:szCs w:val="24"/>
                <w:lang w:val="en-US" w:eastAsia="zh-CN"/>
              </w:rPr>
              <w:t>》</w:t>
            </w:r>
            <w:r>
              <w:rPr>
                <w:rFonts w:hint="eastAsia" w:ascii="Times New Roman" w:hAnsi="Times New Roman" w:cs="Times New Roman"/>
                <w:b/>
                <w:bCs/>
                <w:color w:val="auto"/>
                <w:sz w:val="24"/>
                <w:szCs w:val="24"/>
                <w:lang w:val="en-US" w:eastAsia="zh-CN"/>
              </w:rPr>
              <w:t>（鲁环字〔2021〕58号）</w:t>
            </w:r>
            <w:r>
              <w:rPr>
                <w:rFonts w:hint="eastAsia" w:ascii="Times New Roman" w:hAnsi="Times New Roman" w:cs="Times New Roman"/>
                <w:b/>
                <w:bCs/>
                <w:color w:val="auto"/>
                <w:sz w:val="24"/>
                <w:szCs w:val="24"/>
                <w:lang w:val="de-DE" w:eastAsia="zh-CN"/>
              </w:rPr>
              <w:t>符合性分析</w:t>
            </w:r>
          </w:p>
          <w:p w14:paraId="541EA1C0">
            <w:pPr>
              <w:adjustRightInd w:val="0"/>
              <w:snapToGrid w:val="0"/>
              <w:spacing w:line="240" w:lineRule="auto"/>
              <w:jc w:val="center"/>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表1-2   项目与鲁环字〔2021〕58号符合性分析</w:t>
            </w:r>
          </w:p>
          <w:tbl>
            <w:tblPr>
              <w:tblStyle w:val="34"/>
              <w:tblW w:w="91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8"/>
              <w:gridCol w:w="2535"/>
              <w:gridCol w:w="870"/>
            </w:tblGrid>
            <w:tr w14:paraId="277A1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8" w:type="dxa"/>
                  <w:tcBorders>
                    <w:tl2br w:val="nil"/>
                    <w:tr2bl w:val="nil"/>
                  </w:tcBorders>
                  <w:noWrap w:val="0"/>
                  <w:vAlign w:val="center"/>
                </w:tcPr>
                <w:p w14:paraId="3832E2ED">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具体要求</w:t>
                  </w:r>
                </w:p>
              </w:tc>
              <w:tc>
                <w:tcPr>
                  <w:tcW w:w="2535" w:type="dxa"/>
                  <w:tcBorders>
                    <w:tl2br w:val="nil"/>
                    <w:tr2bl w:val="nil"/>
                  </w:tcBorders>
                  <w:noWrap w:val="0"/>
                  <w:vAlign w:val="center"/>
                </w:tcPr>
                <w:p w14:paraId="7E6DBEFA">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项目情况</w:t>
                  </w:r>
                </w:p>
              </w:tc>
              <w:tc>
                <w:tcPr>
                  <w:tcW w:w="870" w:type="dxa"/>
                  <w:tcBorders>
                    <w:tl2br w:val="nil"/>
                    <w:tr2bl w:val="nil"/>
                  </w:tcBorders>
                  <w:noWrap w:val="0"/>
                  <w:vAlign w:val="center"/>
                </w:tcPr>
                <w:p w14:paraId="20E167EC">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符合性</w:t>
                  </w:r>
                </w:p>
              </w:tc>
            </w:tr>
            <w:tr w14:paraId="10EA6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8" w:type="dxa"/>
                  <w:tcBorders>
                    <w:tl2br w:val="nil"/>
                    <w:tr2bl w:val="nil"/>
                  </w:tcBorders>
                  <w:noWrap w:val="0"/>
                  <w:vAlign w:val="center"/>
                </w:tcPr>
                <w:p w14:paraId="5A55217B">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rPr>
                  </w:pPr>
                  <w:r>
                    <w:rPr>
                      <w:rFonts w:hint="default" w:ascii="Times New Roman" w:hAnsi="Times New Roman" w:eastAsia="宋体" w:cs="Times New Roman"/>
                      <w:color w:val="auto"/>
                      <w:sz w:val="21"/>
                      <w:szCs w:val="21"/>
                      <w:highlight w:val="none"/>
                      <w:vertAlign w:val="baseline"/>
                      <w:lang w:val="en-US"/>
                    </w:rPr>
                    <w:t>新上项目必须符合国家产业政策要求，禁止采用国家公布的淘汰工艺和落后设备，不得引进耗能高、污染大、生产粗放、不符合国家产业政策的项目。各级立项部门在为企业办理手续时，要认真对照《产业结构调整指导目录（2019年本）》（如有更新，以更新后文件为准），对鼓励类项目，按照有关规定审批、核准或备案；对限制类项目，禁止新建，现有生产能力允许在一定期限内改造升级；对淘汰类项目，市场主体不得进入，行政机关不予审批。</w:t>
                  </w:r>
                </w:p>
              </w:tc>
              <w:tc>
                <w:tcPr>
                  <w:tcW w:w="2535" w:type="dxa"/>
                  <w:tcBorders>
                    <w:tl2br w:val="nil"/>
                    <w:tr2bl w:val="nil"/>
                  </w:tcBorders>
                  <w:noWrap w:val="0"/>
                  <w:vAlign w:val="center"/>
                </w:tcPr>
                <w:p w14:paraId="1DFD080C">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rPr>
                    <w:t>对照《产业结构调整指导目录（</w:t>
                  </w:r>
                  <w:r>
                    <w:rPr>
                      <w:rFonts w:hint="eastAsia" w:ascii="Times New Roman" w:hAnsi="Times New Roman" w:eastAsia="宋体" w:cs="Times New Roman"/>
                      <w:color w:val="auto"/>
                      <w:sz w:val="21"/>
                      <w:szCs w:val="21"/>
                      <w:highlight w:val="none"/>
                      <w:vertAlign w:val="baseline"/>
                      <w:lang w:val="en-US" w:eastAsia="zh-CN"/>
                    </w:rPr>
                    <w:t>2024</w:t>
                  </w:r>
                  <w:r>
                    <w:rPr>
                      <w:rFonts w:hint="default" w:ascii="Times New Roman" w:hAnsi="Times New Roman" w:eastAsia="宋体" w:cs="Times New Roman"/>
                      <w:color w:val="auto"/>
                      <w:sz w:val="21"/>
                      <w:szCs w:val="21"/>
                      <w:highlight w:val="none"/>
                      <w:vertAlign w:val="baseline"/>
                      <w:lang w:val="en-US"/>
                    </w:rPr>
                    <w:t>年本）》，</w:t>
                  </w:r>
                  <w:r>
                    <w:rPr>
                      <w:rFonts w:hint="eastAsia" w:ascii="Times New Roman" w:hAnsi="Times New Roman" w:eastAsia="宋体" w:cs="Times New Roman"/>
                      <w:color w:val="auto"/>
                      <w:sz w:val="21"/>
                      <w:szCs w:val="21"/>
                      <w:highlight w:val="none"/>
                      <w:vertAlign w:val="baseline"/>
                      <w:lang w:val="en-US" w:eastAsia="zh-CN"/>
                    </w:rPr>
                    <w:t>本</w:t>
                  </w:r>
                  <w:r>
                    <w:rPr>
                      <w:rFonts w:hint="eastAsia" w:ascii="Times New Roman" w:hAnsi="Times New Roman"/>
                      <w:color w:val="auto"/>
                      <w:sz w:val="21"/>
                      <w:szCs w:val="21"/>
                      <w:lang w:val="en-US" w:eastAsia="zh-CN"/>
                    </w:rPr>
                    <w:t>项目不属于其中</w:t>
                  </w:r>
                  <w:r>
                    <w:rPr>
                      <w:rFonts w:hint="eastAsia"/>
                      <w:color w:val="auto"/>
                      <w:sz w:val="21"/>
                      <w:szCs w:val="21"/>
                      <w:lang w:val="en-US" w:eastAsia="zh-CN"/>
                    </w:rPr>
                    <w:t>鼓励类、</w:t>
                  </w:r>
                  <w:r>
                    <w:rPr>
                      <w:rFonts w:hint="eastAsia" w:ascii="Times New Roman" w:hAnsi="Times New Roman"/>
                      <w:color w:val="auto"/>
                      <w:sz w:val="21"/>
                      <w:szCs w:val="21"/>
                      <w:lang w:val="en-US" w:eastAsia="zh-CN"/>
                    </w:rPr>
                    <w:t>淘汰类和限制类，为允许建设项目，项目不使用</w:t>
                  </w:r>
                  <w:r>
                    <w:rPr>
                      <w:rFonts w:hint="eastAsia" w:ascii="Times New Roman" w:hAnsi="Times New Roman"/>
                      <w:color w:val="auto"/>
                      <w:sz w:val="21"/>
                      <w:szCs w:val="21"/>
                    </w:rPr>
                    <w:t>淘汰工艺和落后设备</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不属于</w:t>
                  </w:r>
                  <w:r>
                    <w:rPr>
                      <w:rFonts w:hint="eastAsia" w:ascii="Times New Roman" w:hAnsi="Times New Roman"/>
                      <w:color w:val="auto"/>
                      <w:sz w:val="21"/>
                      <w:szCs w:val="21"/>
                    </w:rPr>
                    <w:t>耗能高、污染大、生产粗放</w:t>
                  </w:r>
                  <w:r>
                    <w:rPr>
                      <w:rFonts w:hint="eastAsia" w:ascii="Times New Roman" w:hAnsi="Times New Roman"/>
                      <w:color w:val="auto"/>
                      <w:sz w:val="21"/>
                      <w:szCs w:val="21"/>
                      <w:lang w:val="en-US" w:eastAsia="zh-CN"/>
                    </w:rPr>
                    <w:t>项目。</w:t>
                  </w:r>
                </w:p>
              </w:tc>
              <w:tc>
                <w:tcPr>
                  <w:tcW w:w="870" w:type="dxa"/>
                  <w:tcBorders>
                    <w:tl2br w:val="nil"/>
                    <w:tr2bl w:val="nil"/>
                  </w:tcBorders>
                  <w:noWrap w:val="0"/>
                  <w:vAlign w:val="center"/>
                </w:tcPr>
                <w:p w14:paraId="7DAD66C1">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符合</w:t>
                  </w:r>
                </w:p>
              </w:tc>
            </w:tr>
            <w:tr w14:paraId="0CA37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8" w:type="dxa"/>
                  <w:tcBorders>
                    <w:tl2br w:val="nil"/>
                    <w:tr2bl w:val="nil"/>
                  </w:tcBorders>
                  <w:noWrap w:val="0"/>
                  <w:vAlign w:val="center"/>
                </w:tcPr>
                <w:p w14:paraId="77A53A65">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rPr>
                  </w:pPr>
                  <w:r>
                    <w:rPr>
                      <w:rFonts w:hint="default" w:ascii="Times New Roman" w:hAnsi="Times New Roman" w:eastAsia="宋体" w:cs="Times New Roman"/>
                      <w:b w:val="0"/>
                      <w:bCs w:val="0"/>
                      <w:i w:val="0"/>
                      <w:iCs w:val="0"/>
                      <w:caps w:val="0"/>
                      <w:color w:val="auto"/>
                      <w:spacing w:val="0"/>
                      <w:sz w:val="21"/>
                      <w:szCs w:val="21"/>
                      <w:highlight w:val="none"/>
                      <w:shd w:val="clear" w:color="auto" w:fill="auto"/>
                    </w:rPr>
                    <w:t>新上项目必须符合国土空间规划、产业发展规划等要求，积极引导产业园区外“散乱污”整治搬迁改造企业进入产业园区或工业集聚区，并鼓励租赁标准厂房。按照“布局集中、用地集约、产业集聚、空间优化”的原则，高标准制定产业发展规划，明确主导产业、布局和产业发展方向，引导企业规范化、规模化、集约化发展。</w:t>
                  </w:r>
                </w:p>
              </w:tc>
              <w:tc>
                <w:tcPr>
                  <w:tcW w:w="2535" w:type="dxa"/>
                  <w:tcBorders>
                    <w:tl2br w:val="nil"/>
                    <w:tr2bl w:val="nil"/>
                  </w:tcBorders>
                  <w:noWrap w:val="0"/>
                  <w:vAlign w:val="center"/>
                </w:tcPr>
                <w:p w14:paraId="493AB08C">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eastAsia="zh-CN"/>
                    </w:rPr>
                  </w:pPr>
                  <w:r>
                    <w:rPr>
                      <w:color w:val="auto"/>
                      <w:sz w:val="21"/>
                      <w:szCs w:val="21"/>
                      <w:lang w:val="en-US" w:eastAsia="zh-CN"/>
                    </w:rPr>
                    <w:t>本项目不属于“散乱污”项目</w:t>
                  </w:r>
                  <w:r>
                    <w:rPr>
                      <w:rFonts w:hint="eastAsia"/>
                      <w:color w:val="auto"/>
                      <w:sz w:val="21"/>
                      <w:szCs w:val="21"/>
                      <w:lang w:val="en-US" w:eastAsia="zh-CN"/>
                    </w:rPr>
                    <w:t>，</w:t>
                  </w:r>
                  <w:r>
                    <w:rPr>
                      <w:rFonts w:hint="eastAsia"/>
                      <w:color w:val="auto"/>
                      <w:sz w:val="21"/>
                      <w:szCs w:val="21"/>
                    </w:rPr>
                    <w:t>项目建设符合</w:t>
                  </w:r>
                  <w:r>
                    <w:rPr>
                      <w:rFonts w:hint="eastAsia"/>
                      <w:color w:val="auto"/>
                      <w:sz w:val="21"/>
                      <w:szCs w:val="21"/>
                      <w:lang w:val="en-US" w:eastAsia="zh-CN"/>
                    </w:rPr>
                    <w:t>嘉祥县万张街道总体规划。</w:t>
                  </w:r>
                </w:p>
              </w:tc>
              <w:tc>
                <w:tcPr>
                  <w:tcW w:w="870" w:type="dxa"/>
                  <w:tcBorders>
                    <w:tl2br w:val="nil"/>
                    <w:tr2bl w:val="nil"/>
                  </w:tcBorders>
                  <w:noWrap w:val="0"/>
                  <w:vAlign w:val="center"/>
                </w:tcPr>
                <w:p w14:paraId="7EA5945B">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符合</w:t>
                  </w:r>
                </w:p>
              </w:tc>
            </w:tr>
            <w:tr w14:paraId="369A8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8" w:type="dxa"/>
                  <w:tcBorders>
                    <w:tl2br w:val="nil"/>
                    <w:tr2bl w:val="nil"/>
                  </w:tcBorders>
                  <w:noWrap w:val="0"/>
                  <w:vAlign w:val="center"/>
                </w:tcPr>
                <w:p w14:paraId="6ED0C897">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rPr>
                  </w:pPr>
                  <w:r>
                    <w:rPr>
                      <w:rFonts w:hint="default" w:ascii="Times New Roman" w:hAnsi="Times New Roman" w:eastAsia="宋体" w:cs="Times New Roman"/>
                      <w:color w:val="auto"/>
                      <w:sz w:val="21"/>
                      <w:szCs w:val="21"/>
                      <w:highlight w:val="none"/>
                      <w:vertAlign w:val="baseline"/>
                      <w:lang w:val="en-US"/>
                    </w:rPr>
                    <w:t>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2535" w:type="dxa"/>
                  <w:tcBorders>
                    <w:tl2br w:val="nil"/>
                    <w:tr2bl w:val="nil"/>
                  </w:tcBorders>
                  <w:noWrap w:val="0"/>
                  <w:vAlign w:val="center"/>
                </w:tcPr>
                <w:p w14:paraId="09045326">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本项目</w:t>
                  </w:r>
                  <w:r>
                    <w:rPr>
                      <w:rFonts w:hint="eastAsia" w:ascii="Times New Roman" w:hAnsi="Times New Roman" w:eastAsia="宋体" w:cs="Times New Roman"/>
                      <w:color w:val="auto"/>
                      <w:sz w:val="21"/>
                      <w:szCs w:val="21"/>
                      <w:highlight w:val="none"/>
                      <w:vertAlign w:val="baseline"/>
                      <w:lang w:val="en-US" w:eastAsia="zh-CN"/>
                    </w:rPr>
                    <w:t>位于</w:t>
                  </w:r>
                  <w:r>
                    <w:rPr>
                      <w:rFonts w:hint="eastAsia" w:cs="Times New Roman"/>
                      <w:color w:val="auto"/>
                      <w:sz w:val="21"/>
                      <w:szCs w:val="21"/>
                      <w:highlight w:val="none"/>
                      <w:vertAlign w:val="baseline"/>
                      <w:lang w:val="en-US" w:eastAsia="zh-CN"/>
                    </w:rPr>
                    <w:t>万张街道</w:t>
                  </w:r>
                  <w:r>
                    <w:rPr>
                      <w:rFonts w:hint="eastAsia"/>
                      <w:color w:val="auto"/>
                      <w:sz w:val="21"/>
                      <w:szCs w:val="21"/>
                      <w:lang w:val="en-US" w:eastAsia="zh-CN"/>
                    </w:rPr>
                    <w:t>工业集聚区，</w:t>
                  </w:r>
                  <w:r>
                    <w:rPr>
                      <w:rFonts w:hint="eastAsia"/>
                      <w:color w:val="auto"/>
                      <w:sz w:val="21"/>
                      <w:szCs w:val="21"/>
                    </w:rPr>
                    <w:t>项目</w:t>
                  </w:r>
                  <w:r>
                    <w:rPr>
                      <w:rFonts w:hint="eastAsia"/>
                      <w:color w:val="auto"/>
                      <w:sz w:val="21"/>
                      <w:szCs w:val="21"/>
                      <w:lang w:val="en-US" w:eastAsia="zh-CN"/>
                    </w:rPr>
                    <w:t>租赁现有闲置厂房建设</w:t>
                  </w:r>
                  <w:r>
                    <w:rPr>
                      <w:rFonts w:hint="eastAsia"/>
                      <w:color w:val="auto"/>
                      <w:sz w:val="21"/>
                      <w:szCs w:val="21"/>
                    </w:rPr>
                    <w:t>，符合当地用地政策</w:t>
                  </w:r>
                  <w:r>
                    <w:rPr>
                      <w:rFonts w:hint="eastAsia"/>
                      <w:color w:val="auto"/>
                      <w:sz w:val="21"/>
                      <w:szCs w:val="21"/>
                      <w:lang w:eastAsia="zh-CN"/>
                    </w:rPr>
                    <w:t>。</w:t>
                  </w:r>
                </w:p>
              </w:tc>
              <w:tc>
                <w:tcPr>
                  <w:tcW w:w="870" w:type="dxa"/>
                  <w:tcBorders>
                    <w:tl2br w:val="nil"/>
                    <w:tr2bl w:val="nil"/>
                  </w:tcBorders>
                  <w:noWrap w:val="0"/>
                  <w:vAlign w:val="center"/>
                </w:tcPr>
                <w:p w14:paraId="5F86E1CA">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符合</w:t>
                  </w:r>
                </w:p>
              </w:tc>
            </w:tr>
            <w:tr w14:paraId="61892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8" w:type="dxa"/>
                  <w:tcBorders>
                    <w:tl2br w:val="nil"/>
                    <w:tr2bl w:val="nil"/>
                  </w:tcBorders>
                  <w:noWrap w:val="0"/>
                  <w:vAlign w:val="center"/>
                </w:tcPr>
                <w:p w14:paraId="6614ED5D">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rPr>
                    <w:t>新上项目必须严格执行环评审批</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三挂钩</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机制和</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五个不批</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要求，落实</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三线一单</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生态环境分区管控要求。强化替代约束，涉及主要污染物排放的，必须落实区域污染物排放替代，确保增产减污；涉及煤炭消耗的，必须落实煤炭消费减量替代，否则各级环评审批部门一律不予审批通过。</w:t>
                  </w:r>
                </w:p>
              </w:tc>
              <w:tc>
                <w:tcPr>
                  <w:tcW w:w="2535" w:type="dxa"/>
                  <w:tcBorders>
                    <w:tl2br w:val="nil"/>
                    <w:tr2bl w:val="nil"/>
                  </w:tcBorders>
                  <w:noWrap w:val="0"/>
                  <w:vAlign w:val="center"/>
                </w:tcPr>
                <w:p w14:paraId="2D6E4B85">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rPr>
                    <w:t>项目符合济宁市</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三线一单</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管控要求，</w:t>
                  </w:r>
                  <w:r>
                    <w:rPr>
                      <w:rFonts w:hint="eastAsia" w:ascii="Times New Roman" w:hAnsi="Times New Roman" w:eastAsia="宋体" w:cs="Times New Roman"/>
                      <w:color w:val="auto"/>
                      <w:sz w:val="21"/>
                      <w:szCs w:val="21"/>
                      <w:highlight w:val="none"/>
                      <w:vertAlign w:val="baseline"/>
                      <w:lang w:val="en-US" w:eastAsia="zh-CN"/>
                    </w:rPr>
                    <w:t>严格落实区域</w:t>
                  </w:r>
                  <w:r>
                    <w:rPr>
                      <w:rFonts w:hint="eastAsia" w:ascii="Times New Roman" w:hAnsi="Times New Roman" w:eastAsia="宋体" w:cs="Times New Roman"/>
                      <w:color w:val="auto"/>
                      <w:sz w:val="21"/>
                      <w:szCs w:val="21"/>
                      <w:highlight w:val="none"/>
                      <w:vertAlign w:val="baseline"/>
                      <w:lang w:val="en-US"/>
                    </w:rPr>
                    <w:t>污染物排放替代</w:t>
                  </w:r>
                  <w:r>
                    <w:rPr>
                      <w:rFonts w:hint="eastAsia" w:ascii="Times New Roman" w:hAnsi="Times New Roman" w:eastAsia="宋体" w:cs="Times New Roman"/>
                      <w:color w:val="auto"/>
                      <w:sz w:val="21"/>
                      <w:szCs w:val="21"/>
                      <w:highlight w:val="none"/>
                      <w:vertAlign w:val="baseline"/>
                      <w:lang w:val="en-US" w:eastAsia="zh-CN"/>
                    </w:rPr>
                    <w:t>要求</w:t>
                  </w:r>
                  <w:r>
                    <w:rPr>
                      <w:rFonts w:hint="eastAsia" w:ascii="Times New Roman" w:hAnsi="Times New Roman" w:eastAsia="宋体" w:cs="Times New Roman"/>
                      <w:color w:val="auto"/>
                      <w:sz w:val="21"/>
                      <w:szCs w:val="21"/>
                      <w:highlight w:val="none"/>
                      <w:vertAlign w:val="baseline"/>
                      <w:lang w:val="en-US"/>
                    </w:rPr>
                    <w:t>，不涉及煤炭消耗</w:t>
                  </w:r>
                  <w:r>
                    <w:rPr>
                      <w:rFonts w:hint="eastAsia" w:ascii="Times New Roman" w:hAnsi="Times New Roman" w:eastAsia="宋体" w:cs="Times New Roman"/>
                      <w:color w:val="auto"/>
                      <w:sz w:val="21"/>
                      <w:szCs w:val="21"/>
                      <w:highlight w:val="none"/>
                      <w:vertAlign w:val="baseline"/>
                      <w:lang w:val="en-US" w:eastAsia="zh-CN"/>
                    </w:rPr>
                    <w:t>。</w:t>
                  </w:r>
                </w:p>
              </w:tc>
              <w:tc>
                <w:tcPr>
                  <w:tcW w:w="870" w:type="dxa"/>
                  <w:tcBorders>
                    <w:tl2br w:val="nil"/>
                    <w:tr2bl w:val="nil"/>
                  </w:tcBorders>
                  <w:noWrap w:val="0"/>
                  <w:vAlign w:val="center"/>
                </w:tcPr>
                <w:p w14:paraId="69EF1BBF">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rPr>
                    <w:t>符合</w:t>
                  </w:r>
                </w:p>
              </w:tc>
            </w:tr>
          </w:tbl>
          <w:p w14:paraId="0F8E2A24">
            <w:pPr>
              <w:pStyle w:val="2"/>
              <w:spacing w:after="0" w:line="360" w:lineRule="auto"/>
              <w:ind w:left="0" w:leftChars="0" w:firstLine="482" w:firstLineChars="200"/>
              <w:rPr>
                <w:b/>
                <w:bCs/>
                <w:color w:val="auto"/>
                <w:kern w:val="0"/>
                <w:sz w:val="24"/>
                <w:lang w:val="en-US" w:eastAsia="zh-CN"/>
              </w:rPr>
            </w:pPr>
            <w:r>
              <w:rPr>
                <w:rFonts w:hint="eastAsia"/>
                <w:b/>
                <w:color w:val="auto"/>
                <w:sz w:val="24"/>
                <w:lang w:val="en-US" w:eastAsia="zh-CN"/>
              </w:rPr>
              <w:t>5</w:t>
            </w:r>
            <w:r>
              <w:rPr>
                <w:rFonts w:hint="eastAsia"/>
                <w:b/>
                <w:color w:val="auto"/>
                <w:sz w:val="24"/>
              </w:rPr>
              <w:t>、与《山东省深入打好蓝天、碧水、净土保卫战行动计划（2021-2025）》（鲁环委办[2021]30号）符合性分析</w:t>
            </w:r>
          </w:p>
          <w:p w14:paraId="77116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4"/>
                <w:szCs w:val="32"/>
              </w:rPr>
            </w:pPr>
            <w:r>
              <w:rPr>
                <w:b/>
                <w:bCs/>
                <w:color w:val="auto"/>
                <w:sz w:val="24"/>
              </w:rPr>
              <w:t>表1-</w:t>
            </w:r>
            <w:r>
              <w:rPr>
                <w:rFonts w:hint="eastAsia"/>
                <w:b/>
                <w:bCs/>
                <w:color w:val="auto"/>
                <w:sz w:val="24"/>
                <w:lang w:val="en-US" w:eastAsia="zh-CN"/>
              </w:rPr>
              <w:t xml:space="preserve">3 </w:t>
            </w:r>
            <w:r>
              <w:rPr>
                <w:b/>
                <w:bCs/>
                <w:color w:val="auto"/>
                <w:sz w:val="24"/>
              </w:rPr>
              <w:t>与</w:t>
            </w:r>
            <w:r>
              <w:rPr>
                <w:rFonts w:hint="eastAsia"/>
                <w:b/>
                <w:bCs/>
                <w:color w:val="auto"/>
                <w:sz w:val="24"/>
                <w:lang w:val="en-US" w:eastAsia="zh-CN"/>
              </w:rPr>
              <w:t>鲁环委办[2021]30号</w:t>
            </w:r>
            <w:r>
              <w:rPr>
                <w:b/>
                <w:bCs/>
                <w:color w:val="auto"/>
                <w:sz w:val="24"/>
              </w:rPr>
              <w:t>的符合性</w:t>
            </w:r>
          </w:p>
          <w:tbl>
            <w:tblPr>
              <w:tblStyle w:val="33"/>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4790"/>
              <w:gridCol w:w="2663"/>
              <w:gridCol w:w="889"/>
            </w:tblGrid>
            <w:tr w14:paraId="077A5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19" w:type="dxa"/>
                  <w:gridSpan w:val="2"/>
                  <w:tcBorders>
                    <w:tl2br w:val="nil"/>
                    <w:tr2bl w:val="nil"/>
                  </w:tcBorders>
                  <w:noWrap w:val="0"/>
                  <w:vAlign w:val="center"/>
                </w:tcPr>
                <w:p w14:paraId="6E682E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计划要求</w:t>
                  </w:r>
                </w:p>
              </w:tc>
              <w:tc>
                <w:tcPr>
                  <w:tcW w:w="2663" w:type="dxa"/>
                  <w:tcBorders>
                    <w:tl2br w:val="nil"/>
                    <w:tr2bl w:val="nil"/>
                  </w:tcBorders>
                  <w:noWrap w:val="0"/>
                  <w:vAlign w:val="center"/>
                </w:tcPr>
                <w:p w14:paraId="5C4D11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本项目情况</w:t>
                  </w:r>
                </w:p>
              </w:tc>
              <w:tc>
                <w:tcPr>
                  <w:tcW w:w="889" w:type="dxa"/>
                  <w:tcBorders>
                    <w:tl2br w:val="nil"/>
                    <w:tr2bl w:val="nil"/>
                  </w:tcBorders>
                  <w:noWrap w:val="0"/>
                  <w:vAlign w:val="center"/>
                </w:tcPr>
                <w:p w14:paraId="1109FF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符合性</w:t>
                  </w:r>
                </w:p>
              </w:tc>
            </w:tr>
            <w:tr w14:paraId="5A6A4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restart"/>
                  <w:tcBorders>
                    <w:tl2br w:val="nil"/>
                    <w:tr2bl w:val="nil"/>
                  </w:tcBorders>
                  <w:noWrap w:val="0"/>
                  <w:vAlign w:val="center"/>
                </w:tcPr>
                <w:p w14:paraId="469FF8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b/>
                      <w:bCs/>
                      <w:color w:val="auto"/>
                      <w:sz w:val="21"/>
                      <w:szCs w:val="21"/>
                      <w:highlight w:val="none"/>
                    </w:rPr>
                    <w:t>蓝天保卫战行动计划</w:t>
                  </w:r>
                </w:p>
              </w:tc>
              <w:tc>
                <w:tcPr>
                  <w:tcW w:w="4790" w:type="dxa"/>
                  <w:tcBorders>
                    <w:tl2br w:val="nil"/>
                    <w:tr2bl w:val="nil"/>
                  </w:tcBorders>
                  <w:noWrap w:val="0"/>
                  <w:vAlign w:val="center"/>
                </w:tcPr>
                <w:p w14:paraId="56A6AC9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淘汰低效落后产能。聚焦钢铁、地炼、焦化、煤电、水泥、轮胎、煤炭、化工8个重点行业，加快淘汰低效落后产能。</w:t>
                  </w:r>
                </w:p>
              </w:tc>
              <w:tc>
                <w:tcPr>
                  <w:tcW w:w="2663" w:type="dxa"/>
                  <w:tcBorders>
                    <w:tl2br w:val="nil"/>
                    <w:tr2bl w:val="nil"/>
                  </w:tcBorders>
                  <w:noWrap w:val="0"/>
                  <w:vAlign w:val="center"/>
                </w:tcPr>
                <w:p w14:paraId="3685F25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宋体"/>
                      <w:color w:val="auto"/>
                      <w:sz w:val="21"/>
                      <w:szCs w:val="21"/>
                      <w:highlight w:val="none"/>
                      <w:lang w:val="en-US" w:eastAsia="zh-CN"/>
                    </w:rPr>
                  </w:pPr>
                  <w:r>
                    <w:rPr>
                      <w:color w:val="auto"/>
                      <w:sz w:val="21"/>
                      <w:szCs w:val="21"/>
                      <w:highlight w:val="none"/>
                    </w:rPr>
                    <w:t>项目不属于低效落后产能</w:t>
                  </w:r>
                  <w:r>
                    <w:rPr>
                      <w:rFonts w:hint="eastAsia"/>
                      <w:color w:val="auto"/>
                      <w:sz w:val="21"/>
                      <w:szCs w:val="21"/>
                      <w:highlight w:val="none"/>
                      <w:lang w:val="en-US" w:eastAsia="zh-CN"/>
                    </w:rPr>
                    <w:t>。</w:t>
                  </w:r>
                </w:p>
              </w:tc>
              <w:tc>
                <w:tcPr>
                  <w:tcW w:w="889" w:type="dxa"/>
                  <w:tcBorders>
                    <w:tl2br w:val="nil"/>
                    <w:tr2bl w:val="nil"/>
                  </w:tcBorders>
                  <w:noWrap w:val="0"/>
                  <w:vAlign w:val="center"/>
                </w:tcPr>
                <w:p w14:paraId="68F227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color w:val="auto"/>
                      <w:sz w:val="21"/>
                      <w:szCs w:val="21"/>
                      <w:highlight w:val="none"/>
                    </w:rPr>
                    <w:t>符合</w:t>
                  </w:r>
                </w:p>
              </w:tc>
            </w:tr>
            <w:tr w14:paraId="26C9A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l2br w:val="nil"/>
                    <w:tr2bl w:val="nil"/>
                  </w:tcBorders>
                  <w:noWrap w:val="0"/>
                  <w:vAlign w:val="center"/>
                </w:tcPr>
                <w:p w14:paraId="58D1D1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4790" w:type="dxa"/>
                  <w:tcBorders>
                    <w:tl2br w:val="nil"/>
                    <w:tr2bl w:val="nil"/>
                  </w:tcBorders>
                  <w:noWrap w:val="0"/>
                  <w:vAlign w:val="center"/>
                </w:tcPr>
                <w:p w14:paraId="768DDF6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压减煤炭消费量。持续压减煤炭消费总量，“十四五”期间，全省煤炭消费总量下降10%，控制在3.5亿吨左右。非石化能源消费比重提高到13%左右。</w:t>
                  </w:r>
                </w:p>
              </w:tc>
              <w:tc>
                <w:tcPr>
                  <w:tcW w:w="2663" w:type="dxa"/>
                  <w:tcBorders>
                    <w:tl2br w:val="nil"/>
                    <w:tr2bl w:val="nil"/>
                  </w:tcBorders>
                  <w:noWrap w:val="0"/>
                  <w:vAlign w:val="center"/>
                </w:tcPr>
                <w:p w14:paraId="38363F2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宋体"/>
                      <w:color w:val="auto"/>
                      <w:sz w:val="21"/>
                      <w:szCs w:val="21"/>
                      <w:highlight w:val="none"/>
                      <w:lang w:eastAsia="zh-CN"/>
                    </w:rPr>
                  </w:pPr>
                  <w:r>
                    <w:rPr>
                      <w:color w:val="auto"/>
                      <w:sz w:val="21"/>
                      <w:szCs w:val="21"/>
                      <w:highlight w:val="none"/>
                    </w:rPr>
                    <w:t>项目生产及生活不消耗煤炭</w:t>
                  </w:r>
                  <w:r>
                    <w:rPr>
                      <w:rFonts w:hint="eastAsia"/>
                      <w:color w:val="auto"/>
                      <w:sz w:val="21"/>
                      <w:szCs w:val="21"/>
                      <w:highlight w:val="none"/>
                      <w:lang w:eastAsia="zh-CN"/>
                    </w:rPr>
                    <w:t>。</w:t>
                  </w:r>
                </w:p>
              </w:tc>
              <w:tc>
                <w:tcPr>
                  <w:tcW w:w="889" w:type="dxa"/>
                  <w:tcBorders>
                    <w:tl2br w:val="nil"/>
                    <w:tr2bl w:val="nil"/>
                  </w:tcBorders>
                  <w:noWrap w:val="0"/>
                  <w:vAlign w:val="center"/>
                </w:tcPr>
                <w:p w14:paraId="7FD297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color w:val="auto"/>
                      <w:sz w:val="21"/>
                      <w:szCs w:val="21"/>
                      <w:highlight w:val="none"/>
                    </w:rPr>
                    <w:t>符合</w:t>
                  </w:r>
                </w:p>
              </w:tc>
            </w:tr>
            <w:tr w14:paraId="6D7C9D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l2br w:val="nil"/>
                    <w:tr2bl w:val="nil"/>
                  </w:tcBorders>
                  <w:noWrap w:val="0"/>
                  <w:vAlign w:val="center"/>
                </w:tcPr>
                <w:p w14:paraId="5C7406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4790" w:type="dxa"/>
                  <w:tcBorders>
                    <w:tl2br w:val="nil"/>
                    <w:tr2bl w:val="nil"/>
                  </w:tcBorders>
                  <w:noWrap w:val="0"/>
                  <w:vAlign w:val="center"/>
                </w:tcPr>
                <w:p w14:paraId="66B0F39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优化货物运输方式。优化交通运输结构，大力发展铁港联运，基本形成大宗货物和集装箱中长距离运输以铁路、水路或管道为主的格局。</w:t>
                  </w:r>
                </w:p>
              </w:tc>
              <w:tc>
                <w:tcPr>
                  <w:tcW w:w="2663" w:type="dxa"/>
                  <w:tcBorders>
                    <w:tl2br w:val="nil"/>
                    <w:tr2bl w:val="nil"/>
                  </w:tcBorders>
                  <w:noWrap w:val="0"/>
                  <w:vAlign w:val="center"/>
                </w:tcPr>
                <w:p w14:paraId="44D631B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宋体"/>
                      <w:color w:val="auto"/>
                      <w:sz w:val="21"/>
                      <w:szCs w:val="21"/>
                      <w:highlight w:val="none"/>
                      <w:lang w:eastAsia="zh-CN"/>
                    </w:rPr>
                  </w:pPr>
                  <w:r>
                    <w:rPr>
                      <w:color w:val="auto"/>
                      <w:sz w:val="21"/>
                      <w:szCs w:val="21"/>
                      <w:highlight w:val="none"/>
                    </w:rPr>
                    <w:t>项目所用原辅材料用量较少，不属于大宗物料，</w:t>
                  </w:r>
                  <w:r>
                    <w:rPr>
                      <w:rFonts w:hint="eastAsia"/>
                      <w:color w:val="auto"/>
                      <w:sz w:val="21"/>
                      <w:szCs w:val="21"/>
                      <w:highlight w:val="none"/>
                      <w:lang w:eastAsia="zh-CN"/>
                    </w:rPr>
                    <w:t>采用汽运方式，</w:t>
                  </w:r>
                  <w:r>
                    <w:rPr>
                      <w:color w:val="auto"/>
                      <w:sz w:val="21"/>
                      <w:szCs w:val="21"/>
                      <w:highlight w:val="none"/>
                    </w:rPr>
                    <w:t>货物运输方式简单、运输距离较短，符合要求</w:t>
                  </w:r>
                  <w:r>
                    <w:rPr>
                      <w:rFonts w:hint="eastAsia"/>
                      <w:color w:val="auto"/>
                      <w:sz w:val="21"/>
                      <w:szCs w:val="21"/>
                      <w:highlight w:val="none"/>
                      <w:lang w:eastAsia="zh-CN"/>
                    </w:rPr>
                    <w:t>。</w:t>
                  </w:r>
                </w:p>
              </w:tc>
              <w:tc>
                <w:tcPr>
                  <w:tcW w:w="889" w:type="dxa"/>
                  <w:tcBorders>
                    <w:tl2br w:val="nil"/>
                    <w:tr2bl w:val="nil"/>
                  </w:tcBorders>
                  <w:noWrap w:val="0"/>
                  <w:vAlign w:val="center"/>
                </w:tcPr>
                <w:p w14:paraId="4ED2E0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color w:val="auto"/>
                      <w:sz w:val="21"/>
                      <w:szCs w:val="21"/>
                      <w:highlight w:val="none"/>
                    </w:rPr>
                    <w:t>符合</w:t>
                  </w:r>
                </w:p>
              </w:tc>
            </w:tr>
            <w:tr w14:paraId="3E1BD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l2br w:val="nil"/>
                    <w:tr2bl w:val="nil"/>
                  </w:tcBorders>
                  <w:noWrap w:val="0"/>
                  <w:vAlign w:val="center"/>
                </w:tcPr>
                <w:p w14:paraId="52B92A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4790" w:type="dxa"/>
                  <w:tcBorders>
                    <w:tl2br w:val="nil"/>
                    <w:tr2bl w:val="nil"/>
                  </w:tcBorders>
                  <w:noWrap w:val="0"/>
                  <w:vAlign w:val="center"/>
                </w:tcPr>
                <w:p w14:paraId="2C0DBF1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实施VOCs全过程污染防治。实施低VOCs含量工业涂料、油墨、胶粘剂、清洗剂等原辅料使用替代。新、改、扩建工业涂装、包装印刷等含VOCs原辅材料使用的项目，原则上使用低（无）VOCs含量产品。2021年年底前，完成现有VOCs废气收集率、治理设施同步运行率和去除率排查工作，对达不到要求的收集、治理设施进行更换或升级改造。</w:t>
                  </w:r>
                </w:p>
              </w:tc>
              <w:tc>
                <w:tcPr>
                  <w:tcW w:w="2663" w:type="dxa"/>
                  <w:tcBorders>
                    <w:tl2br w:val="nil"/>
                    <w:tr2bl w:val="nil"/>
                  </w:tcBorders>
                  <w:noWrap w:val="0"/>
                  <w:vAlign w:val="center"/>
                </w:tcPr>
                <w:p w14:paraId="1946F7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rPr>
                  </w:pPr>
                  <w:r>
                    <w:rPr>
                      <w:rFonts w:hint="eastAsia"/>
                      <w:color w:val="auto"/>
                      <w:sz w:val="21"/>
                      <w:szCs w:val="21"/>
                      <w:highlight w:val="none"/>
                      <w:lang w:val="en-US" w:eastAsia="zh-CN"/>
                    </w:rPr>
                    <w:t>本项目不涉及VOC</w:t>
                  </w:r>
                  <w:r>
                    <w:rPr>
                      <w:rFonts w:hint="eastAsia"/>
                      <w:color w:val="auto"/>
                      <w:sz w:val="21"/>
                      <w:szCs w:val="21"/>
                      <w:highlight w:val="none"/>
                      <w:vertAlign w:val="subscript"/>
                      <w:lang w:val="en-US" w:eastAsia="zh-CN"/>
                    </w:rPr>
                    <w:t>S</w:t>
                  </w:r>
                  <w:r>
                    <w:rPr>
                      <w:rFonts w:hint="eastAsia"/>
                      <w:color w:val="auto"/>
                      <w:sz w:val="21"/>
                      <w:szCs w:val="21"/>
                      <w:highlight w:val="none"/>
                      <w:vertAlign w:val="baseline"/>
                      <w:lang w:val="en-US" w:eastAsia="zh-CN"/>
                    </w:rPr>
                    <w:t>排放。</w:t>
                  </w:r>
                </w:p>
              </w:tc>
              <w:tc>
                <w:tcPr>
                  <w:tcW w:w="889" w:type="dxa"/>
                  <w:tcBorders>
                    <w:tl2br w:val="nil"/>
                    <w:tr2bl w:val="nil"/>
                  </w:tcBorders>
                  <w:noWrap w:val="0"/>
                  <w:vAlign w:val="center"/>
                </w:tcPr>
                <w:p w14:paraId="5DC9DE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color w:val="auto"/>
                      <w:sz w:val="21"/>
                      <w:szCs w:val="21"/>
                      <w:highlight w:val="none"/>
                    </w:rPr>
                    <w:t>符合</w:t>
                  </w:r>
                </w:p>
              </w:tc>
            </w:tr>
            <w:tr w14:paraId="62121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l2br w:val="nil"/>
                    <w:tr2bl w:val="nil"/>
                  </w:tcBorders>
                  <w:noWrap w:val="0"/>
                  <w:vAlign w:val="center"/>
                </w:tcPr>
                <w:p w14:paraId="1FB0C6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4790" w:type="dxa"/>
                  <w:tcBorders>
                    <w:tl2br w:val="nil"/>
                    <w:tr2bl w:val="nil"/>
                  </w:tcBorders>
                  <w:noWrap w:val="0"/>
                  <w:vAlign w:val="center"/>
                </w:tcPr>
                <w:p w14:paraId="29798FB3">
                  <w:pPr>
                    <w:spacing w:line="240" w:lineRule="auto"/>
                    <w:ind w:left="0" w:leftChars="0" w:firstLine="0" w:firstLineChars="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强化工业源NO</w:t>
                  </w:r>
                  <w:r>
                    <w:rPr>
                      <w:rFonts w:hint="default" w:ascii="Times New Roman" w:hAnsi="Times New Roman" w:eastAsia="宋体" w:cs="Times New Roman"/>
                      <w:color w:val="auto"/>
                      <w:sz w:val="21"/>
                      <w:szCs w:val="21"/>
                      <w:highlight w:val="none"/>
                      <w:vertAlign w:val="subscript"/>
                      <w:lang w:val="en-US" w:eastAsia="zh-CN"/>
                    </w:rPr>
                    <w:t>X</w:t>
                  </w:r>
                  <w:r>
                    <w:rPr>
                      <w:rFonts w:hint="default" w:ascii="Times New Roman" w:hAnsi="Times New Roman" w:eastAsia="宋体" w:cs="Times New Roman"/>
                      <w:color w:val="auto"/>
                      <w:sz w:val="21"/>
                      <w:szCs w:val="21"/>
                      <w:highlight w:val="none"/>
                      <w:lang w:val="en-US" w:eastAsia="zh-CN"/>
                    </w:rPr>
                    <w:t>深度治理。严格治理设施运行监管，燃煤机组、锅炉、钢铁企业污染物排放稳定达到超低排放要求。</w:t>
                  </w:r>
                </w:p>
              </w:tc>
              <w:tc>
                <w:tcPr>
                  <w:tcW w:w="2663" w:type="dxa"/>
                  <w:tcBorders>
                    <w:tl2br w:val="nil"/>
                    <w:tr2bl w:val="nil"/>
                  </w:tcBorders>
                  <w:noWrap w:val="0"/>
                  <w:vAlign w:val="center"/>
                </w:tcPr>
                <w:p w14:paraId="51ED94E5">
                  <w:pPr>
                    <w:spacing w:line="240" w:lineRule="auto"/>
                    <w:ind w:left="0" w:leftChars="0" w:firstLine="0" w:firstLineChars="0"/>
                    <w:jc w:val="both"/>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项目不涉及燃煤机组、锅炉，不产生NO</w:t>
                  </w:r>
                  <w:r>
                    <w:rPr>
                      <w:rFonts w:hint="default" w:ascii="Times New Roman" w:hAnsi="Times New Roman" w:eastAsia="宋体" w:cs="Times New Roman"/>
                      <w:color w:val="auto"/>
                      <w:sz w:val="21"/>
                      <w:szCs w:val="21"/>
                      <w:highlight w:val="none"/>
                      <w:vertAlign w:val="subscript"/>
                      <w:lang w:val="en-US" w:eastAsia="zh-CN"/>
                    </w:rPr>
                    <w:t>X</w:t>
                  </w:r>
                  <w:r>
                    <w:rPr>
                      <w:rFonts w:hint="default" w:ascii="Times New Roman" w:hAnsi="Times New Roman" w:eastAsia="宋体" w:cs="Times New Roman"/>
                      <w:color w:val="auto"/>
                      <w:sz w:val="21"/>
                      <w:szCs w:val="21"/>
                      <w:highlight w:val="none"/>
                      <w:lang w:val="en-US" w:eastAsia="zh-CN"/>
                    </w:rPr>
                    <w:t>。</w:t>
                  </w:r>
                </w:p>
              </w:tc>
              <w:tc>
                <w:tcPr>
                  <w:tcW w:w="889" w:type="dxa"/>
                  <w:tcBorders>
                    <w:tl2br w:val="nil"/>
                    <w:tr2bl w:val="nil"/>
                  </w:tcBorders>
                  <w:noWrap w:val="0"/>
                  <w:vAlign w:val="center"/>
                </w:tcPr>
                <w:p w14:paraId="70F534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34BD3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restart"/>
                  <w:tcBorders>
                    <w:tl2br w:val="nil"/>
                    <w:tr2bl w:val="nil"/>
                  </w:tcBorders>
                  <w:noWrap w:val="0"/>
                  <w:vAlign w:val="center"/>
                </w:tcPr>
                <w:p w14:paraId="4CE373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b/>
                      <w:bCs/>
                      <w:color w:val="auto"/>
                      <w:sz w:val="21"/>
                      <w:szCs w:val="21"/>
                      <w:highlight w:val="none"/>
                    </w:rPr>
                    <w:t>碧水保卫战行动计划</w:t>
                  </w:r>
                </w:p>
              </w:tc>
              <w:tc>
                <w:tcPr>
                  <w:tcW w:w="4790" w:type="dxa"/>
                  <w:tcBorders>
                    <w:tl2br w:val="nil"/>
                    <w:tr2bl w:val="nil"/>
                  </w:tcBorders>
                  <w:noWrap w:val="0"/>
                  <w:vAlign w:val="center"/>
                </w:tcPr>
                <w:p w14:paraId="531C21D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精准治理工业企业污染。继续推进化工、有色金属、农副食品加工、印染、制革、原料药制造、电镀、冶金等行业退城入园，提高工业园区集聚水平。指导工业园区对污水实施科学收集、分类处理，梯级循环利用工业废水。</w:t>
                  </w:r>
                </w:p>
              </w:tc>
              <w:tc>
                <w:tcPr>
                  <w:tcW w:w="2663" w:type="dxa"/>
                  <w:vMerge w:val="restart"/>
                  <w:tcBorders>
                    <w:tl2br w:val="nil"/>
                    <w:tr2bl w:val="nil"/>
                  </w:tcBorders>
                  <w:noWrap w:val="0"/>
                  <w:vAlign w:val="center"/>
                </w:tcPr>
                <w:p w14:paraId="4FAFB41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宋体"/>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本项目运营期间无废水外排，不会对周边水环境产生影响</w:t>
                  </w:r>
                  <w:r>
                    <w:rPr>
                      <w:rFonts w:hint="default" w:ascii="Times New Roman" w:hAnsi="Times New Roman" w:eastAsia="宋体" w:cs="Times New Roman"/>
                      <w:color w:val="auto"/>
                      <w:sz w:val="21"/>
                      <w:szCs w:val="21"/>
                      <w:highlight w:val="none"/>
                      <w:lang w:val="en-US" w:eastAsia="zh-CN"/>
                    </w:rPr>
                    <w:t>。</w:t>
                  </w:r>
                </w:p>
              </w:tc>
              <w:tc>
                <w:tcPr>
                  <w:tcW w:w="889" w:type="dxa"/>
                  <w:vMerge w:val="restart"/>
                  <w:tcBorders>
                    <w:tl2br w:val="nil"/>
                    <w:tr2bl w:val="nil"/>
                  </w:tcBorders>
                  <w:noWrap w:val="0"/>
                  <w:vAlign w:val="center"/>
                </w:tcPr>
                <w:p w14:paraId="7C6E01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color w:val="auto"/>
                      <w:sz w:val="21"/>
                      <w:szCs w:val="21"/>
                      <w:highlight w:val="none"/>
                    </w:rPr>
                    <w:t>符合</w:t>
                  </w:r>
                </w:p>
              </w:tc>
            </w:tr>
            <w:tr w14:paraId="5AE07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l2br w:val="nil"/>
                    <w:tr2bl w:val="nil"/>
                  </w:tcBorders>
                  <w:noWrap w:val="0"/>
                  <w:vAlign w:val="center"/>
                </w:tcPr>
                <w:p w14:paraId="1F29F1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4790" w:type="dxa"/>
                  <w:tcBorders>
                    <w:tl2br w:val="nil"/>
                    <w:tr2bl w:val="nil"/>
                  </w:tcBorders>
                  <w:noWrap w:val="0"/>
                  <w:vAlign w:val="center"/>
                </w:tcPr>
                <w:p w14:paraId="3360B33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开展区域再生水循环利用。加强工业节水，2025年年底前，全省高耗水工业企业节水型企业达标率达到50%，全省创建50家节水标杆企业和10家节水标杆园区。</w:t>
                  </w:r>
                </w:p>
              </w:tc>
              <w:tc>
                <w:tcPr>
                  <w:tcW w:w="2663" w:type="dxa"/>
                  <w:vMerge w:val="continue"/>
                  <w:tcBorders>
                    <w:tl2br w:val="nil"/>
                    <w:tr2bl w:val="nil"/>
                  </w:tcBorders>
                  <w:noWrap w:val="0"/>
                  <w:vAlign w:val="center"/>
                </w:tcPr>
                <w:p w14:paraId="7473EA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889" w:type="dxa"/>
                  <w:vMerge w:val="continue"/>
                  <w:tcBorders>
                    <w:tl2br w:val="nil"/>
                    <w:tr2bl w:val="nil"/>
                  </w:tcBorders>
                  <w:noWrap w:val="0"/>
                  <w:vAlign w:val="center"/>
                </w:tcPr>
                <w:p w14:paraId="68011C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r>
            <w:tr w14:paraId="3E0A2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restart"/>
                  <w:tcBorders>
                    <w:tl2br w:val="nil"/>
                    <w:tr2bl w:val="nil"/>
                  </w:tcBorders>
                  <w:noWrap w:val="0"/>
                  <w:vAlign w:val="center"/>
                </w:tcPr>
                <w:p w14:paraId="7B3104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b/>
                      <w:bCs/>
                      <w:color w:val="auto"/>
                      <w:sz w:val="21"/>
                      <w:szCs w:val="21"/>
                      <w:highlight w:val="none"/>
                    </w:rPr>
                    <w:t>净土保卫战行动计划</w:t>
                  </w:r>
                </w:p>
              </w:tc>
              <w:tc>
                <w:tcPr>
                  <w:tcW w:w="4790" w:type="dxa"/>
                  <w:tcBorders>
                    <w:tl2br w:val="nil"/>
                    <w:tr2bl w:val="nil"/>
                  </w:tcBorders>
                  <w:noWrap w:val="0"/>
                  <w:vAlign w:val="center"/>
                </w:tcPr>
                <w:p w14:paraId="20DC661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提升重金属污染防控水平。完善全口径涉重金属行业企业清单，依法依规纳入重点排污单位名录。推动实施一批重金属减排工程，持续减少重金属污染物排放。</w:t>
                  </w:r>
                </w:p>
              </w:tc>
              <w:tc>
                <w:tcPr>
                  <w:tcW w:w="2663" w:type="dxa"/>
                  <w:tcBorders>
                    <w:tl2br w:val="nil"/>
                    <w:tr2bl w:val="nil"/>
                  </w:tcBorders>
                  <w:noWrap w:val="0"/>
                  <w:vAlign w:val="center"/>
                </w:tcPr>
                <w:p w14:paraId="512941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highlight w:val="none"/>
                      <w:lang w:eastAsia="zh-CN"/>
                    </w:rPr>
                  </w:pPr>
                  <w:r>
                    <w:rPr>
                      <w:color w:val="auto"/>
                      <w:sz w:val="21"/>
                      <w:szCs w:val="21"/>
                      <w:highlight w:val="none"/>
                    </w:rPr>
                    <w:t>本项目不涉重金属排放</w:t>
                  </w:r>
                  <w:r>
                    <w:rPr>
                      <w:rFonts w:hint="eastAsia"/>
                      <w:color w:val="auto"/>
                      <w:sz w:val="21"/>
                      <w:szCs w:val="21"/>
                      <w:highlight w:val="none"/>
                      <w:lang w:eastAsia="zh-CN"/>
                    </w:rPr>
                    <w:t>。</w:t>
                  </w:r>
                </w:p>
              </w:tc>
              <w:tc>
                <w:tcPr>
                  <w:tcW w:w="889" w:type="dxa"/>
                  <w:tcBorders>
                    <w:tl2br w:val="nil"/>
                    <w:tr2bl w:val="nil"/>
                  </w:tcBorders>
                  <w:noWrap w:val="0"/>
                  <w:vAlign w:val="center"/>
                </w:tcPr>
                <w:p w14:paraId="37CD94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color w:val="auto"/>
                      <w:sz w:val="21"/>
                      <w:szCs w:val="21"/>
                      <w:highlight w:val="none"/>
                    </w:rPr>
                    <w:t>符合</w:t>
                  </w:r>
                </w:p>
              </w:tc>
            </w:tr>
            <w:tr w14:paraId="54A6A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l2br w:val="nil"/>
                    <w:tr2bl w:val="nil"/>
                  </w:tcBorders>
                  <w:noWrap w:val="0"/>
                  <w:vAlign w:val="center"/>
                </w:tcPr>
                <w:p w14:paraId="151DD0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4790" w:type="dxa"/>
                  <w:tcBorders>
                    <w:tl2br w:val="nil"/>
                    <w:tr2bl w:val="nil"/>
                  </w:tcBorders>
                  <w:noWrap w:val="0"/>
                  <w:vAlign w:val="center"/>
                </w:tcPr>
                <w:p w14:paraId="1AAD98D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加强固体废物环境管理。开展非正规固体废物堆存场所排查整治。构建</w:t>
                  </w:r>
                  <w:r>
                    <w:rPr>
                      <w:rFonts w:hint="eastAsia"/>
                      <w:color w:val="auto"/>
                      <w:sz w:val="21"/>
                      <w:szCs w:val="21"/>
                      <w:highlight w:val="none"/>
                      <w:lang w:eastAsia="zh-CN"/>
                    </w:rPr>
                    <w:t>集</w:t>
                  </w:r>
                  <w:r>
                    <w:rPr>
                      <w:color w:val="auto"/>
                      <w:sz w:val="21"/>
                      <w:szCs w:val="21"/>
                      <w:highlight w:val="none"/>
                    </w:rPr>
                    <w:t>污水、垃圾、固废、危废、医废处理处置设施和坚持监管能力于一体的环境基础设施体系，形成由城市向建制镇和乡村延伸覆盖的环境基础设施网络。</w:t>
                  </w:r>
                </w:p>
              </w:tc>
              <w:tc>
                <w:tcPr>
                  <w:tcW w:w="2663" w:type="dxa"/>
                  <w:tcBorders>
                    <w:tl2br w:val="nil"/>
                    <w:tr2bl w:val="nil"/>
                  </w:tcBorders>
                  <w:noWrap w:val="0"/>
                  <w:vAlign w:val="center"/>
                </w:tcPr>
                <w:p w14:paraId="6855046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color w:val="auto"/>
                      <w:sz w:val="21"/>
                      <w:szCs w:val="21"/>
                      <w:highlight w:val="none"/>
                    </w:rPr>
                  </w:pPr>
                  <w:r>
                    <w:rPr>
                      <w:color w:val="auto"/>
                      <w:sz w:val="21"/>
                      <w:szCs w:val="21"/>
                      <w:highlight w:val="none"/>
                    </w:rPr>
                    <w:t>项目一般固体废物收集后外售</w:t>
                  </w:r>
                  <w:r>
                    <w:rPr>
                      <w:rFonts w:hint="eastAsia"/>
                      <w:color w:val="auto"/>
                      <w:sz w:val="21"/>
                      <w:szCs w:val="21"/>
                      <w:highlight w:val="none"/>
                      <w:lang w:eastAsia="zh-CN"/>
                    </w:rPr>
                    <w:t>综合利用</w:t>
                  </w:r>
                  <w:r>
                    <w:rPr>
                      <w:color w:val="auto"/>
                      <w:sz w:val="21"/>
                      <w:szCs w:val="21"/>
                      <w:highlight w:val="none"/>
                    </w:rPr>
                    <w:t>，</w:t>
                  </w:r>
                  <w:r>
                    <w:rPr>
                      <w:rFonts w:hint="eastAsia"/>
                      <w:color w:val="auto"/>
                      <w:sz w:val="21"/>
                      <w:szCs w:val="21"/>
                      <w:highlight w:val="none"/>
                      <w:lang w:eastAsia="zh-CN"/>
                    </w:rPr>
                    <w:t>项目</w:t>
                  </w:r>
                  <w:r>
                    <w:rPr>
                      <w:color w:val="auto"/>
                      <w:sz w:val="21"/>
                      <w:szCs w:val="21"/>
                      <w:highlight w:val="none"/>
                    </w:rPr>
                    <w:t>固废均能妥善处置。</w:t>
                  </w:r>
                </w:p>
              </w:tc>
              <w:tc>
                <w:tcPr>
                  <w:tcW w:w="889" w:type="dxa"/>
                  <w:tcBorders>
                    <w:tl2br w:val="nil"/>
                    <w:tr2bl w:val="nil"/>
                  </w:tcBorders>
                  <w:noWrap w:val="0"/>
                  <w:vAlign w:val="center"/>
                </w:tcPr>
                <w:p w14:paraId="5966C1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color w:val="auto"/>
                      <w:sz w:val="21"/>
                      <w:szCs w:val="21"/>
                      <w:highlight w:val="none"/>
                    </w:rPr>
                    <w:t>符合</w:t>
                  </w:r>
                </w:p>
              </w:tc>
            </w:tr>
          </w:tbl>
          <w:p w14:paraId="562081D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color w:val="auto"/>
                <w:sz w:val="24"/>
                <w:highlight w:val="none"/>
              </w:rPr>
            </w:pPr>
            <w:r>
              <w:rPr>
                <w:rFonts w:hint="eastAsia"/>
                <w:b/>
                <w:bCs/>
                <w:color w:val="auto"/>
                <w:kern w:val="0"/>
                <w:sz w:val="24"/>
                <w:lang w:val="en-US" w:eastAsia="zh-CN"/>
              </w:rPr>
              <w:t>6、</w:t>
            </w:r>
            <w:r>
              <w:rPr>
                <w:rFonts w:hint="default" w:ascii="Times New Roman" w:hAnsi="Times New Roman" w:cs="Times New Roman"/>
                <w:b/>
                <w:bCs/>
                <w:color w:val="auto"/>
                <w:sz w:val="24"/>
                <w:highlight w:val="none"/>
              </w:rPr>
              <w:t>与《</w:t>
            </w:r>
            <w:r>
              <w:rPr>
                <w:rFonts w:hint="default" w:ascii="Times New Roman" w:hAnsi="Times New Roman" w:cs="Times New Roman"/>
                <w:b/>
                <w:bCs/>
                <w:color w:val="auto"/>
                <w:sz w:val="24"/>
                <w:highlight w:val="none"/>
                <w:lang w:val="en-US" w:eastAsia="zh-CN"/>
              </w:rPr>
              <w:t>济宁市</w:t>
            </w:r>
            <w:r>
              <w:rPr>
                <w:rFonts w:hint="default" w:ascii="Times New Roman" w:hAnsi="Times New Roman" w:cs="Times New Roman"/>
                <w:b/>
                <w:bCs/>
                <w:color w:val="auto"/>
                <w:sz w:val="24"/>
                <w:highlight w:val="none"/>
              </w:rPr>
              <w:t>“十四五”生态环境保护规划》的符合性分析</w:t>
            </w:r>
          </w:p>
          <w:p w14:paraId="5BC667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 w:val="24"/>
                <w:highlight w:val="none"/>
              </w:rPr>
              <w:t>表</w:t>
            </w:r>
            <w:r>
              <w:rPr>
                <w:rFonts w:hint="default" w:ascii="Times New Roman" w:hAnsi="Times New Roman" w:cs="Times New Roman"/>
                <w:b/>
                <w:bCs/>
                <w:color w:val="auto"/>
                <w:sz w:val="24"/>
                <w:highlight w:val="none"/>
                <w:lang w:val="en-US" w:eastAsia="zh-CN"/>
              </w:rPr>
              <w:t>1-</w:t>
            </w:r>
            <w:r>
              <w:rPr>
                <w:rFonts w:hint="eastAsia" w:cs="Times New Roman"/>
                <w:b/>
                <w:bCs/>
                <w:color w:val="auto"/>
                <w:sz w:val="24"/>
                <w:highlight w:val="none"/>
                <w:lang w:val="en-US" w:eastAsia="zh-CN"/>
              </w:rPr>
              <w:t xml:space="preserve">4 </w:t>
            </w:r>
            <w:r>
              <w:rPr>
                <w:rFonts w:hint="default" w:ascii="Times New Roman" w:hAnsi="Times New Roman" w:cs="Times New Roman"/>
                <w:b/>
                <w:bCs/>
                <w:color w:val="auto"/>
                <w:sz w:val="24"/>
                <w:highlight w:val="none"/>
              </w:rPr>
              <w:t>与《</w:t>
            </w:r>
            <w:r>
              <w:rPr>
                <w:rFonts w:hint="default" w:ascii="Times New Roman" w:hAnsi="Times New Roman" w:cs="Times New Roman"/>
                <w:b/>
                <w:bCs/>
                <w:color w:val="auto"/>
                <w:sz w:val="24"/>
                <w:highlight w:val="none"/>
                <w:lang w:val="en-US" w:eastAsia="zh-CN"/>
              </w:rPr>
              <w:t>济宁市</w:t>
            </w:r>
            <w:r>
              <w:rPr>
                <w:rFonts w:hint="default" w:ascii="Times New Roman" w:hAnsi="Times New Roman" w:cs="Times New Roman"/>
                <w:b/>
                <w:bCs/>
                <w:color w:val="auto"/>
                <w:sz w:val="24"/>
                <w:highlight w:val="none"/>
              </w:rPr>
              <w:t>“十四五”生态环境保护规划》符合情况</w:t>
            </w:r>
          </w:p>
          <w:tbl>
            <w:tblPr>
              <w:tblStyle w:val="33"/>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5001"/>
              <w:gridCol w:w="2428"/>
              <w:gridCol w:w="938"/>
            </w:tblGrid>
            <w:tr w14:paraId="4D6DE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4" w:type="dxa"/>
                  <w:tcBorders>
                    <w:tl2br w:val="nil"/>
                    <w:tr2bl w:val="nil"/>
                  </w:tcBorders>
                  <w:noWrap w:val="0"/>
                  <w:vAlign w:val="center"/>
                </w:tcPr>
                <w:p w14:paraId="6FD542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i w:val="0"/>
                      <w:iCs w:val="0"/>
                      <w:color w:val="auto"/>
                      <w:sz w:val="22"/>
                      <w:szCs w:val="22"/>
                      <w:highlight w:val="none"/>
                    </w:rPr>
                  </w:pPr>
                  <w:r>
                    <w:rPr>
                      <w:b/>
                      <w:bCs w:val="0"/>
                      <w:i w:val="0"/>
                      <w:iCs w:val="0"/>
                      <w:color w:val="auto"/>
                      <w:sz w:val="22"/>
                      <w:szCs w:val="22"/>
                      <w:highlight w:val="none"/>
                    </w:rPr>
                    <w:t>序号</w:t>
                  </w:r>
                </w:p>
              </w:tc>
              <w:tc>
                <w:tcPr>
                  <w:tcW w:w="5001" w:type="dxa"/>
                  <w:tcBorders>
                    <w:tl2br w:val="nil"/>
                    <w:tr2bl w:val="nil"/>
                  </w:tcBorders>
                  <w:noWrap w:val="0"/>
                  <w:vAlign w:val="center"/>
                </w:tcPr>
                <w:p w14:paraId="08254B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i w:val="0"/>
                      <w:iCs w:val="0"/>
                      <w:color w:val="auto"/>
                      <w:sz w:val="22"/>
                      <w:szCs w:val="22"/>
                      <w:highlight w:val="none"/>
                    </w:rPr>
                  </w:pPr>
                  <w:r>
                    <w:rPr>
                      <w:b/>
                      <w:bCs w:val="0"/>
                      <w:i w:val="0"/>
                      <w:iCs w:val="0"/>
                      <w:color w:val="auto"/>
                      <w:sz w:val="22"/>
                      <w:szCs w:val="22"/>
                      <w:highlight w:val="none"/>
                    </w:rPr>
                    <w:t>具体要求</w:t>
                  </w:r>
                </w:p>
              </w:tc>
              <w:tc>
                <w:tcPr>
                  <w:tcW w:w="2428" w:type="dxa"/>
                  <w:tcBorders>
                    <w:tl2br w:val="nil"/>
                    <w:tr2bl w:val="nil"/>
                  </w:tcBorders>
                  <w:noWrap w:val="0"/>
                  <w:vAlign w:val="center"/>
                </w:tcPr>
                <w:p w14:paraId="25C4C1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i w:val="0"/>
                      <w:iCs w:val="0"/>
                      <w:color w:val="auto"/>
                      <w:sz w:val="22"/>
                      <w:szCs w:val="22"/>
                      <w:highlight w:val="none"/>
                    </w:rPr>
                  </w:pPr>
                  <w:r>
                    <w:rPr>
                      <w:b/>
                      <w:bCs w:val="0"/>
                      <w:i w:val="0"/>
                      <w:iCs w:val="0"/>
                      <w:color w:val="auto"/>
                      <w:sz w:val="22"/>
                      <w:szCs w:val="22"/>
                      <w:highlight w:val="none"/>
                    </w:rPr>
                    <w:t>本项目情况</w:t>
                  </w:r>
                </w:p>
              </w:tc>
              <w:tc>
                <w:tcPr>
                  <w:tcW w:w="938" w:type="dxa"/>
                  <w:tcBorders>
                    <w:tl2br w:val="nil"/>
                    <w:tr2bl w:val="nil"/>
                  </w:tcBorders>
                  <w:noWrap w:val="0"/>
                  <w:vAlign w:val="center"/>
                </w:tcPr>
                <w:p w14:paraId="7B9A95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i w:val="0"/>
                      <w:iCs w:val="0"/>
                      <w:color w:val="auto"/>
                      <w:sz w:val="22"/>
                      <w:szCs w:val="22"/>
                      <w:highlight w:val="none"/>
                    </w:rPr>
                  </w:pPr>
                  <w:r>
                    <w:rPr>
                      <w:b/>
                      <w:bCs w:val="0"/>
                      <w:i w:val="0"/>
                      <w:iCs w:val="0"/>
                      <w:color w:val="auto"/>
                      <w:sz w:val="22"/>
                      <w:szCs w:val="22"/>
                      <w:highlight w:val="none"/>
                    </w:rPr>
                    <w:t>符合性</w:t>
                  </w:r>
                </w:p>
              </w:tc>
            </w:tr>
            <w:tr w14:paraId="461B8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704" w:type="dxa"/>
                  <w:tcBorders>
                    <w:tl2br w:val="nil"/>
                    <w:tr2bl w:val="nil"/>
                  </w:tcBorders>
                  <w:noWrap w:val="0"/>
                  <w:vAlign w:val="center"/>
                </w:tcPr>
                <w:p w14:paraId="11752F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2"/>
                      <w:szCs w:val="22"/>
                      <w:highlight w:val="none"/>
                    </w:rPr>
                  </w:pPr>
                  <w:r>
                    <w:rPr>
                      <w:bCs/>
                      <w:color w:val="auto"/>
                      <w:sz w:val="22"/>
                      <w:szCs w:val="22"/>
                      <w:highlight w:val="none"/>
                    </w:rPr>
                    <w:t>1</w:t>
                  </w:r>
                </w:p>
              </w:tc>
              <w:tc>
                <w:tcPr>
                  <w:tcW w:w="5001" w:type="dxa"/>
                  <w:tcBorders>
                    <w:tl2br w:val="nil"/>
                    <w:tr2bl w:val="nil"/>
                  </w:tcBorders>
                  <w:noWrap w:val="0"/>
                  <w:vAlign w:val="center"/>
                </w:tcPr>
                <w:p w14:paraId="4EC93F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2"/>
                      <w:szCs w:val="22"/>
                      <w:highlight w:val="none"/>
                    </w:rPr>
                  </w:pPr>
                  <w:r>
                    <w:rPr>
                      <w:rFonts w:hint="eastAsia"/>
                      <w:bCs/>
                      <w:color w:val="auto"/>
                      <w:sz w:val="22"/>
                      <w:szCs w:val="22"/>
                      <w:highlight w:val="none"/>
                    </w:rPr>
                    <w:t>优化国土空间开发与保护格局。落实主体功能区战略，构建以生态保护红线、环境质量底线、资源利用上线和生态环境准入清单为核心的“三线一单”生态环境分区管控体系，建立更新调整和跟踪评估长效机制，推动“三线一单”数据的信息化和共建共享，加强“三线一单”在政策制定、环境准入、园区管理、执法监管等方面的应用。依据资源环境承载能力，将“三线一单”作为区域资源开发、布局优化、结构调整、城镇建设、重大项目选址和审批的重要依据，统筹安排城市建设、产业发展、生态涵养、基础设施和公共服务，优化国土空间开发布局和强度，规范国土空间开发行为，减少人类活动对自然生态空间的占用，推动形成合理有序的城市化地区、农产品主产区、生态功能区格局</w:t>
                  </w:r>
                  <w:r>
                    <w:rPr>
                      <w:bCs/>
                      <w:color w:val="auto"/>
                      <w:sz w:val="22"/>
                      <w:szCs w:val="22"/>
                      <w:highlight w:val="none"/>
                    </w:rPr>
                    <w:t>。</w:t>
                  </w:r>
                </w:p>
              </w:tc>
              <w:tc>
                <w:tcPr>
                  <w:tcW w:w="2428" w:type="dxa"/>
                  <w:tcBorders>
                    <w:tl2br w:val="nil"/>
                    <w:tr2bl w:val="nil"/>
                  </w:tcBorders>
                  <w:noWrap w:val="0"/>
                  <w:vAlign w:val="center"/>
                </w:tcPr>
                <w:p w14:paraId="5B1F5D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Cs/>
                      <w:color w:val="auto"/>
                      <w:sz w:val="22"/>
                      <w:szCs w:val="22"/>
                      <w:highlight w:val="none"/>
                      <w:lang w:val="en-US" w:eastAsia="zh-CN"/>
                    </w:rPr>
                  </w:pPr>
                  <w:r>
                    <w:rPr>
                      <w:bCs/>
                      <w:color w:val="auto"/>
                      <w:sz w:val="22"/>
                      <w:szCs w:val="22"/>
                      <w:highlight w:val="none"/>
                    </w:rPr>
                    <w:t>本项目</w:t>
                  </w:r>
                  <w:r>
                    <w:rPr>
                      <w:rFonts w:hint="eastAsia"/>
                      <w:bCs/>
                      <w:color w:val="auto"/>
                      <w:sz w:val="22"/>
                      <w:szCs w:val="22"/>
                      <w:highlight w:val="none"/>
                      <w:lang w:val="en-US" w:eastAsia="zh-CN"/>
                    </w:rPr>
                    <w:t>建设符合“三线一单”分区管控要求。</w:t>
                  </w:r>
                </w:p>
              </w:tc>
              <w:tc>
                <w:tcPr>
                  <w:tcW w:w="938" w:type="dxa"/>
                  <w:tcBorders>
                    <w:tl2br w:val="nil"/>
                    <w:tr2bl w:val="nil"/>
                  </w:tcBorders>
                  <w:noWrap w:val="0"/>
                  <w:vAlign w:val="center"/>
                </w:tcPr>
                <w:p w14:paraId="13B3BD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2"/>
                      <w:szCs w:val="22"/>
                      <w:highlight w:val="none"/>
                    </w:rPr>
                  </w:pPr>
                  <w:r>
                    <w:rPr>
                      <w:bCs/>
                      <w:color w:val="auto"/>
                      <w:sz w:val="22"/>
                      <w:szCs w:val="22"/>
                      <w:highlight w:val="none"/>
                    </w:rPr>
                    <w:t>符合</w:t>
                  </w:r>
                </w:p>
              </w:tc>
            </w:tr>
            <w:tr w14:paraId="180A9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704" w:type="dxa"/>
                  <w:tcBorders>
                    <w:tl2br w:val="nil"/>
                    <w:tr2bl w:val="nil"/>
                  </w:tcBorders>
                  <w:noWrap w:val="0"/>
                  <w:vAlign w:val="center"/>
                </w:tcPr>
                <w:p w14:paraId="5972CC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2"/>
                      <w:szCs w:val="22"/>
                      <w:highlight w:val="none"/>
                    </w:rPr>
                  </w:pPr>
                  <w:r>
                    <w:rPr>
                      <w:bCs/>
                      <w:color w:val="auto"/>
                      <w:sz w:val="22"/>
                      <w:szCs w:val="22"/>
                      <w:highlight w:val="none"/>
                    </w:rPr>
                    <w:t>2</w:t>
                  </w:r>
                </w:p>
              </w:tc>
              <w:tc>
                <w:tcPr>
                  <w:tcW w:w="5001" w:type="dxa"/>
                  <w:tcBorders>
                    <w:tl2br w:val="nil"/>
                    <w:tr2bl w:val="nil"/>
                  </w:tcBorders>
                  <w:noWrap w:val="0"/>
                  <w:vAlign w:val="center"/>
                </w:tcPr>
                <w:p w14:paraId="73A0E1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Cs/>
                      <w:color w:val="auto"/>
                      <w:sz w:val="22"/>
                      <w:szCs w:val="22"/>
                      <w:highlight w:val="none"/>
                      <w:lang w:eastAsia="zh-CN"/>
                    </w:rPr>
                  </w:pPr>
                  <w:r>
                    <w:rPr>
                      <w:rFonts w:hint="eastAsia" w:eastAsia="宋体"/>
                      <w:bCs/>
                      <w:color w:val="auto"/>
                      <w:sz w:val="22"/>
                      <w:szCs w:val="22"/>
                      <w:highlight w:val="none"/>
                      <w:lang w:eastAsia="zh-CN"/>
                    </w:rPr>
                    <w:t>坚决遏制“两高”项目盲目发展。坚持环境质量“只能更好，不能变坏”的底线，严格落实污染物排放总量和产能总量控制刚性要求。实施“四上四压”，坚持“上新压旧”“上大压小”“上高压低”“上整压散”。“两高”项目确有必要建设的，须严格落实产能、煤耗、能耗、碳排放和污染物排放“五个减量替代”要求，新（改、扩）建项目要减量替代，已建项目要减量运行。依据国家相关产业政策，对焦化、煤电、水泥、轮胎、平板玻璃、煤化工、铁合金等重点行业严格执行产能置换要求，确保产能总量只减不增。原则上不再审批新建煤矿项目。严禁新增水泥熟料、粉磨产能。</w:t>
                  </w:r>
                </w:p>
              </w:tc>
              <w:tc>
                <w:tcPr>
                  <w:tcW w:w="2428" w:type="dxa"/>
                  <w:tcBorders>
                    <w:tl2br w:val="nil"/>
                    <w:tr2bl w:val="nil"/>
                  </w:tcBorders>
                  <w:noWrap w:val="0"/>
                  <w:vAlign w:val="center"/>
                </w:tcPr>
                <w:p w14:paraId="1201B5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Cs/>
                      <w:color w:val="auto"/>
                      <w:sz w:val="22"/>
                      <w:szCs w:val="22"/>
                      <w:highlight w:val="none"/>
                      <w:lang w:val="en-US" w:eastAsia="zh-CN"/>
                    </w:rPr>
                  </w:pPr>
                  <w:r>
                    <w:rPr>
                      <w:rFonts w:hint="eastAsia"/>
                      <w:color w:val="auto"/>
                      <w:sz w:val="22"/>
                      <w:szCs w:val="22"/>
                      <w:highlight w:val="none"/>
                      <w:lang w:val="en-US" w:eastAsia="zh-CN"/>
                    </w:rPr>
                    <w:t>本项目不属于“两高”行业范围。</w:t>
                  </w:r>
                </w:p>
              </w:tc>
              <w:tc>
                <w:tcPr>
                  <w:tcW w:w="938" w:type="dxa"/>
                  <w:tcBorders>
                    <w:tl2br w:val="nil"/>
                    <w:tr2bl w:val="nil"/>
                  </w:tcBorders>
                  <w:noWrap w:val="0"/>
                  <w:vAlign w:val="center"/>
                </w:tcPr>
                <w:p w14:paraId="0CC946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2"/>
                      <w:szCs w:val="22"/>
                      <w:highlight w:val="none"/>
                    </w:rPr>
                  </w:pPr>
                  <w:r>
                    <w:rPr>
                      <w:bCs/>
                      <w:color w:val="auto"/>
                      <w:sz w:val="22"/>
                      <w:szCs w:val="22"/>
                      <w:highlight w:val="none"/>
                    </w:rPr>
                    <w:t>符合</w:t>
                  </w:r>
                </w:p>
              </w:tc>
            </w:tr>
            <w:tr w14:paraId="22257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704" w:type="dxa"/>
                  <w:tcBorders>
                    <w:tl2br w:val="nil"/>
                    <w:tr2bl w:val="nil"/>
                  </w:tcBorders>
                  <w:noWrap w:val="0"/>
                  <w:vAlign w:val="center"/>
                </w:tcPr>
                <w:p w14:paraId="3AC6D6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Cs/>
                      <w:color w:val="auto"/>
                      <w:kern w:val="2"/>
                      <w:sz w:val="22"/>
                      <w:szCs w:val="22"/>
                      <w:highlight w:val="none"/>
                      <w:lang w:val="en-US" w:eastAsia="zh-CN" w:bidi="ar-SA"/>
                    </w:rPr>
                  </w:pPr>
                  <w:r>
                    <w:rPr>
                      <w:rFonts w:hint="eastAsia"/>
                      <w:bCs/>
                      <w:color w:val="auto"/>
                      <w:sz w:val="22"/>
                      <w:szCs w:val="22"/>
                      <w:highlight w:val="none"/>
                      <w:lang w:val="en-US" w:eastAsia="zh-CN"/>
                    </w:rPr>
                    <w:t>3</w:t>
                  </w:r>
                </w:p>
              </w:tc>
              <w:tc>
                <w:tcPr>
                  <w:tcW w:w="5001" w:type="dxa"/>
                  <w:tcBorders>
                    <w:tl2br w:val="nil"/>
                    <w:tr2bl w:val="nil"/>
                  </w:tcBorders>
                  <w:noWrap w:val="0"/>
                  <w:vAlign w:val="center"/>
                </w:tcPr>
                <w:p w14:paraId="424271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kern w:val="2"/>
                      <w:sz w:val="22"/>
                      <w:szCs w:val="22"/>
                      <w:highlight w:val="none"/>
                      <w:lang w:val="en-US" w:eastAsia="zh-CN" w:bidi="ar-SA"/>
                    </w:rPr>
                  </w:pPr>
                  <w:r>
                    <w:rPr>
                      <w:rFonts w:hint="eastAsia"/>
                      <w:color w:val="auto"/>
                      <w:sz w:val="22"/>
                      <w:szCs w:val="22"/>
                    </w:rPr>
                    <w:t>狠抓工业污染防治。严格控制缺水地区、水污染严重地区和敏感区域高耗水、高污染行业发展。严格执行南四湖流域水污染物综合排放标准，加强全盐量、硫酸盐、氟化物等特征污染物治理。推进化工等工业园区雨污分流改造和初期雨水收集处理。加大现有工业园区整治力度，全面推进工业园区污水处理设施建设和污水管网排查整治。鼓励有条件的园区实施化工企业废水“一企一管、明管输送、实时监测、统一调度”，实现园区集中污水处理设施第一时间锁定超标来水源头，及时有效处理处置。鼓励有条件的园区引进“环保管家”服务，提供定制化、全产业链的第三方环保服务，实现园区污水精细化、专业化管理。推动开展有毒有害以及难降解废水治理试点</w:t>
                  </w:r>
                  <w:r>
                    <w:rPr>
                      <w:rFonts w:hint="eastAsia"/>
                      <w:color w:val="auto"/>
                      <w:sz w:val="22"/>
                      <w:szCs w:val="22"/>
                      <w:lang w:eastAsia="zh-CN"/>
                    </w:rPr>
                    <w:t>。</w:t>
                  </w:r>
                </w:p>
              </w:tc>
              <w:tc>
                <w:tcPr>
                  <w:tcW w:w="2428" w:type="dxa"/>
                  <w:tcBorders>
                    <w:tl2br w:val="nil"/>
                    <w:tr2bl w:val="nil"/>
                  </w:tcBorders>
                  <w:noWrap w:val="0"/>
                  <w:vAlign w:val="center"/>
                </w:tcPr>
                <w:p w14:paraId="46401B6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宋体"/>
                      <w:color w:val="auto"/>
                      <w:kern w:val="2"/>
                      <w:sz w:val="22"/>
                      <w:szCs w:val="22"/>
                      <w:highlight w:val="none"/>
                      <w:lang w:val="en-US" w:eastAsia="zh-CN" w:bidi="ar-SA"/>
                    </w:rPr>
                  </w:pPr>
                  <w:r>
                    <w:rPr>
                      <w:rFonts w:hint="eastAsia"/>
                      <w:color w:val="auto"/>
                      <w:sz w:val="22"/>
                      <w:szCs w:val="22"/>
                      <w:highlight w:val="none"/>
                      <w:lang w:val="en-US" w:eastAsia="zh-CN"/>
                    </w:rPr>
                    <w:t>本项目不位于缺水、水污染严重地区，不属于高耗水、高污染项目，项目无生产废水排放，生活污水经化粪池处理后定期委托环卫部门清运。</w:t>
                  </w:r>
                </w:p>
              </w:tc>
              <w:tc>
                <w:tcPr>
                  <w:tcW w:w="938" w:type="dxa"/>
                  <w:tcBorders>
                    <w:tl2br w:val="nil"/>
                    <w:tr2bl w:val="nil"/>
                  </w:tcBorders>
                  <w:noWrap w:val="0"/>
                  <w:vAlign w:val="center"/>
                </w:tcPr>
                <w:p w14:paraId="330259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2"/>
                      <w:szCs w:val="22"/>
                      <w:highlight w:val="none"/>
                    </w:rPr>
                  </w:pPr>
                  <w:r>
                    <w:rPr>
                      <w:bCs/>
                      <w:color w:val="auto"/>
                      <w:sz w:val="22"/>
                      <w:szCs w:val="22"/>
                      <w:highlight w:val="none"/>
                    </w:rPr>
                    <w:t>符合</w:t>
                  </w:r>
                </w:p>
              </w:tc>
            </w:tr>
            <w:tr w14:paraId="2047B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704" w:type="dxa"/>
                  <w:tcBorders>
                    <w:tl2br w:val="nil"/>
                    <w:tr2bl w:val="nil"/>
                  </w:tcBorders>
                  <w:noWrap w:val="0"/>
                  <w:vAlign w:val="center"/>
                </w:tcPr>
                <w:p w14:paraId="0D255C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Cs/>
                      <w:color w:val="auto"/>
                      <w:kern w:val="2"/>
                      <w:sz w:val="22"/>
                      <w:szCs w:val="22"/>
                      <w:highlight w:val="none"/>
                      <w:lang w:val="en-US" w:eastAsia="zh-CN" w:bidi="ar-SA"/>
                    </w:rPr>
                  </w:pPr>
                  <w:r>
                    <w:rPr>
                      <w:rFonts w:hint="eastAsia"/>
                      <w:bCs/>
                      <w:color w:val="auto"/>
                      <w:sz w:val="22"/>
                      <w:szCs w:val="22"/>
                      <w:highlight w:val="none"/>
                      <w:lang w:val="en-US" w:eastAsia="zh-CN"/>
                    </w:rPr>
                    <w:t>4</w:t>
                  </w:r>
                </w:p>
              </w:tc>
              <w:tc>
                <w:tcPr>
                  <w:tcW w:w="5001" w:type="dxa"/>
                  <w:tcBorders>
                    <w:tl2br w:val="nil"/>
                    <w:tr2bl w:val="nil"/>
                  </w:tcBorders>
                  <w:noWrap w:val="0"/>
                  <w:vAlign w:val="center"/>
                </w:tcPr>
                <w:p w14:paraId="2510D5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2"/>
                      <w:szCs w:val="22"/>
                      <w:highlight w:val="none"/>
                    </w:rPr>
                  </w:pPr>
                  <w:r>
                    <w:rPr>
                      <w:rFonts w:hint="eastAsia"/>
                      <w:color w:val="auto"/>
                      <w:sz w:val="22"/>
                      <w:szCs w:val="22"/>
                      <w:highlight w:val="none"/>
                    </w:rPr>
                    <w:t>落实污染物排放总量控制制度。围绕生态环境质量改善目标，实施排污总量控制。严格按照国家、省确定污染物减排框架体系，确定各县(市、区)重点减排工程，高质量完成“十四五”总量减排目标任务。落实国家建立非固定污染源减排管理体系的要求，实施非固定污染源全过程调度管理，强化统计、监管、评估。统筹推进多污染物协同减排，减污降碳协同增效，实施一批重点领域、重点行业协同减排工程。健全污染减排激励约束机制。</w:t>
                  </w:r>
                </w:p>
              </w:tc>
              <w:tc>
                <w:tcPr>
                  <w:tcW w:w="2428" w:type="dxa"/>
                  <w:tcBorders>
                    <w:tl2br w:val="nil"/>
                    <w:tr2bl w:val="nil"/>
                  </w:tcBorders>
                  <w:noWrap w:val="0"/>
                  <w:vAlign w:val="center"/>
                </w:tcPr>
                <w:p w14:paraId="1868B5E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本项目废气排放严格执行排放标准，落实污染物排放总量控制制度。</w:t>
                  </w:r>
                </w:p>
              </w:tc>
              <w:tc>
                <w:tcPr>
                  <w:tcW w:w="938" w:type="dxa"/>
                  <w:tcBorders>
                    <w:tl2br w:val="nil"/>
                    <w:tr2bl w:val="nil"/>
                  </w:tcBorders>
                  <w:noWrap w:val="0"/>
                  <w:vAlign w:val="center"/>
                </w:tcPr>
                <w:p w14:paraId="66A663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Cs/>
                      <w:color w:val="auto"/>
                      <w:sz w:val="22"/>
                      <w:szCs w:val="22"/>
                      <w:highlight w:val="none"/>
                      <w:lang w:val="en-US" w:eastAsia="zh-CN"/>
                    </w:rPr>
                  </w:pPr>
                  <w:r>
                    <w:rPr>
                      <w:bCs/>
                      <w:color w:val="auto"/>
                      <w:sz w:val="22"/>
                      <w:szCs w:val="22"/>
                      <w:highlight w:val="none"/>
                    </w:rPr>
                    <w:t>符合</w:t>
                  </w:r>
                </w:p>
              </w:tc>
            </w:tr>
          </w:tbl>
          <w:p w14:paraId="411234B3">
            <w:pPr>
              <w:spacing w:line="360" w:lineRule="auto"/>
              <w:ind w:firstLine="482" w:firstLineChars="200"/>
              <w:rPr>
                <w:rFonts w:hint="eastAsia"/>
                <w:b/>
                <w:bCs/>
                <w:color w:val="auto"/>
                <w:sz w:val="24"/>
                <w:szCs w:val="24"/>
                <w:highlight w:val="none"/>
              </w:rPr>
            </w:pPr>
            <w:r>
              <w:rPr>
                <w:rFonts w:hint="eastAsia"/>
                <w:b/>
                <w:bCs/>
                <w:color w:val="auto"/>
                <w:lang w:val="en-US" w:eastAsia="zh-CN"/>
              </w:rPr>
              <w:t>7</w:t>
            </w:r>
            <w:r>
              <w:rPr>
                <w:rFonts w:hint="eastAsia" w:ascii="Times New Roman" w:hAnsi="Times New Roman"/>
                <w:b/>
                <w:bCs/>
                <w:color w:val="auto"/>
                <w:lang w:val="en-US" w:eastAsia="zh-CN"/>
              </w:rPr>
              <w:t>、</w:t>
            </w:r>
            <w:r>
              <w:rPr>
                <w:rFonts w:hint="eastAsia"/>
                <w:b/>
                <w:bCs/>
                <w:color w:val="auto"/>
                <w:sz w:val="24"/>
                <w:szCs w:val="24"/>
                <w:highlight w:val="none"/>
              </w:rPr>
              <w:t>与关于“两高”项目管理有关事项的补充通知（鲁发改工业[2023]34号）符合性分析</w:t>
            </w:r>
          </w:p>
          <w:p w14:paraId="03AC451B">
            <w:pPr>
              <w:spacing w:line="360" w:lineRule="auto"/>
              <w:ind w:firstLine="480" w:firstLineChars="200"/>
              <w:rPr>
                <w:rFonts w:hint="eastAsia"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根据</w:t>
            </w:r>
            <w:r>
              <w:rPr>
                <w:rFonts w:hint="eastAsia" w:ascii="Times New Roman" w:hAnsi="Times New Roman" w:eastAsia="宋体" w:cs="Times New Roman"/>
                <w:b w:val="0"/>
                <w:bCs w:val="0"/>
                <w:color w:val="auto"/>
                <w:sz w:val="24"/>
                <w:highlight w:val="none"/>
                <w:lang w:val="en-US" w:eastAsia="zh-CN"/>
              </w:rPr>
              <w:t>《关于“两高”项目管理有关事项的补充通知》（鲁发改工业〔2023〕34号）中附件1</w:t>
            </w:r>
            <w:r>
              <w:rPr>
                <w:rFonts w:hint="eastAsia" w:ascii="Times New Roman" w:hAnsi="Times New Roman" w:eastAsia="宋体" w:cs="Times New Roman"/>
                <w:b w:val="0"/>
                <w:bCs w:val="0"/>
                <w:color w:val="auto"/>
                <w:sz w:val="24"/>
                <w:highlight w:val="none"/>
              </w:rPr>
              <w:t>山东省“两高”项目管理目录（2023年版）</w:t>
            </w:r>
            <w:r>
              <w:rPr>
                <w:rFonts w:hint="eastAsia" w:ascii="Times New Roman" w:hAnsi="Times New Roman" w:eastAsia="宋体" w:cs="Times New Roman"/>
                <w:b w:val="0"/>
                <w:bCs w:val="0"/>
                <w:color w:val="auto"/>
                <w:sz w:val="24"/>
                <w:highlight w:val="none"/>
                <w:lang w:eastAsia="zh-CN"/>
              </w:rPr>
              <w:t>，</w:t>
            </w:r>
            <w:r>
              <w:rPr>
                <w:rFonts w:hint="eastAsia" w:ascii="Times New Roman" w:hAnsi="Times New Roman" w:eastAsia="宋体" w:cs="Times New Roman"/>
                <w:b w:val="0"/>
                <w:bCs w:val="0"/>
                <w:color w:val="auto"/>
                <w:sz w:val="24"/>
                <w:highlight w:val="none"/>
                <w:lang w:val="en-US" w:eastAsia="zh-CN"/>
              </w:rPr>
              <w:t>“两高”行业主要包括炼化、焦化、煤制液体燃料、基础化学原料、化肥、轮胎、水泥、石灰、平板玻璃、陶瓷、钢铁、铁合金、铸造用生铁、有色、铸造、煤电等16个行业。</w:t>
            </w:r>
          </w:p>
          <w:p w14:paraId="13D629C0">
            <w:pPr>
              <w:spacing w:line="360" w:lineRule="auto"/>
              <w:ind w:firstLine="480" w:firstLineChars="200"/>
              <w:rPr>
                <w:color w:val="auto"/>
                <w:kern w:val="0"/>
                <w:sz w:val="24"/>
              </w:rPr>
            </w:pPr>
            <w:r>
              <w:rPr>
                <w:rFonts w:hint="default" w:ascii="宋体" w:hAnsi="Times New Roman" w:eastAsia="新宋体" w:cs="Times New Roman"/>
                <w:color w:val="auto"/>
                <w:kern w:val="2"/>
                <w:sz w:val="24"/>
                <w:szCs w:val="24"/>
                <w:lang w:val="en-US" w:eastAsia="zh-CN" w:bidi="ar-SA"/>
              </w:rPr>
              <w:t>对照通知要求及山东省“两高”项目管理名录</w:t>
            </w:r>
            <w:r>
              <w:rPr>
                <w:rFonts w:hint="eastAsia" w:ascii="Times New Roman" w:hAnsi="Times New Roman" w:eastAsia="宋体" w:cs="Times New Roman"/>
                <w:b w:val="0"/>
                <w:bCs w:val="0"/>
                <w:color w:val="auto"/>
                <w:sz w:val="24"/>
                <w:highlight w:val="none"/>
              </w:rPr>
              <w:t>（2023年版）</w:t>
            </w:r>
            <w:r>
              <w:rPr>
                <w:rFonts w:hint="eastAsia" w:ascii="宋体" w:hAnsi="Times New Roman" w:eastAsia="新宋体" w:cs="Times New Roman"/>
                <w:color w:val="auto"/>
                <w:kern w:val="2"/>
                <w:sz w:val="24"/>
                <w:szCs w:val="24"/>
                <w:lang w:val="en-US" w:eastAsia="zh-CN" w:bidi="ar-SA"/>
              </w:rPr>
              <w:t>，</w:t>
            </w:r>
            <w:r>
              <w:rPr>
                <w:rFonts w:hint="eastAsia" w:ascii="Times New Roman" w:hAnsi="Times New Roman" w:eastAsia="新宋体" w:cs="Times New Roman"/>
                <w:color w:val="auto"/>
                <w:sz w:val="24"/>
                <w:szCs w:val="24"/>
                <w:lang w:val="en-US" w:eastAsia="zh-CN"/>
              </w:rPr>
              <w:t>本项目不属于文件中“两高”行业</w:t>
            </w:r>
            <w:r>
              <w:rPr>
                <w:rFonts w:hint="eastAsia" w:eastAsia="新宋体" w:cs="Times New Roman"/>
                <w:color w:val="auto"/>
                <w:sz w:val="24"/>
                <w:szCs w:val="24"/>
                <w:lang w:val="en-US" w:eastAsia="zh-CN"/>
              </w:rPr>
              <w:t>类别</w:t>
            </w:r>
            <w:r>
              <w:rPr>
                <w:color w:val="auto"/>
                <w:kern w:val="0"/>
                <w:sz w:val="24"/>
              </w:rPr>
              <w:t>。</w:t>
            </w:r>
          </w:p>
          <w:p w14:paraId="52E51D06">
            <w:pPr>
              <w:snapToGrid w:val="0"/>
              <w:spacing w:line="360" w:lineRule="auto"/>
              <w:ind w:firstLine="482" w:firstLineChars="200"/>
              <w:rPr>
                <w:b/>
                <w:bCs/>
                <w:color w:val="auto"/>
                <w:sz w:val="24"/>
                <w:szCs w:val="24"/>
                <w:highlight w:val="none"/>
              </w:rPr>
            </w:pPr>
            <w:r>
              <w:rPr>
                <w:rFonts w:hint="eastAsia"/>
                <w:b/>
                <w:bCs/>
                <w:color w:val="auto"/>
                <w:sz w:val="24"/>
                <w:szCs w:val="24"/>
                <w:highlight w:val="none"/>
                <w:lang w:val="en-US" w:eastAsia="zh-CN"/>
              </w:rPr>
              <w:t>8、</w:t>
            </w:r>
            <w:r>
              <w:rPr>
                <w:b/>
                <w:bCs/>
                <w:color w:val="auto"/>
                <w:sz w:val="24"/>
                <w:szCs w:val="24"/>
                <w:highlight w:val="none"/>
              </w:rPr>
              <w:t>与《关于进一步加强环保设备设施安全生产工作的通知》（安委办明电[2022]17号）符合性</w:t>
            </w:r>
            <w:r>
              <w:rPr>
                <w:rFonts w:hint="eastAsia"/>
                <w:b/>
                <w:bCs/>
                <w:color w:val="auto"/>
                <w:sz w:val="24"/>
                <w:szCs w:val="24"/>
                <w:highlight w:val="none"/>
              </w:rPr>
              <w:t>分析</w:t>
            </w:r>
          </w:p>
          <w:p w14:paraId="23AE408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b/>
                <w:bCs/>
                <w:color w:val="auto"/>
                <w:sz w:val="24"/>
                <w:szCs w:val="24"/>
                <w:highlight w:val="none"/>
              </w:rPr>
            </w:pPr>
            <w:r>
              <w:rPr>
                <w:b/>
                <w:bCs/>
                <w:color w:val="auto"/>
                <w:sz w:val="24"/>
                <w:szCs w:val="24"/>
                <w:highlight w:val="none"/>
              </w:rPr>
              <w:t>表1-</w:t>
            </w:r>
            <w:r>
              <w:rPr>
                <w:rFonts w:hint="eastAsia"/>
                <w:b/>
                <w:bCs/>
                <w:color w:val="auto"/>
                <w:sz w:val="24"/>
                <w:szCs w:val="24"/>
                <w:highlight w:val="none"/>
                <w:lang w:val="en-US" w:eastAsia="zh-CN"/>
              </w:rPr>
              <w:t xml:space="preserve">5 </w:t>
            </w:r>
            <w:r>
              <w:rPr>
                <w:b/>
                <w:bCs/>
                <w:color w:val="auto"/>
                <w:sz w:val="24"/>
                <w:szCs w:val="24"/>
                <w:highlight w:val="none"/>
              </w:rPr>
              <w:t>与安委办明电[2022]17号的</w:t>
            </w:r>
            <w:r>
              <w:rPr>
                <w:rFonts w:hint="eastAsia"/>
                <w:b/>
                <w:bCs/>
                <w:color w:val="auto"/>
                <w:sz w:val="24"/>
                <w:szCs w:val="24"/>
                <w:highlight w:val="none"/>
                <w:lang w:eastAsia="zh-CN"/>
              </w:rPr>
              <w:t>符</w:t>
            </w:r>
            <w:r>
              <w:rPr>
                <w:b/>
                <w:bCs/>
                <w:color w:val="auto"/>
                <w:sz w:val="24"/>
                <w:szCs w:val="24"/>
                <w:highlight w:val="none"/>
              </w:rPr>
              <w:t>合性分析</w:t>
            </w:r>
          </w:p>
          <w:tbl>
            <w:tblPr>
              <w:tblStyle w:val="33"/>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058"/>
              <w:gridCol w:w="3097"/>
              <w:gridCol w:w="916"/>
            </w:tblGrid>
            <w:tr w14:paraId="3AAEA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5" w:hRule="atLeast"/>
                <w:jc w:val="center"/>
              </w:trPr>
              <w:tc>
                <w:tcPr>
                  <w:tcW w:w="5004" w:type="dxa"/>
                  <w:tcBorders>
                    <w:tl2br w:val="nil"/>
                    <w:tr2bl w:val="nil"/>
                  </w:tcBorders>
                  <w:noWrap w:val="0"/>
                  <w:vAlign w:val="center"/>
                </w:tcPr>
                <w:p w14:paraId="34CD4A99">
                  <w:pPr>
                    <w:pStyle w:val="51"/>
                    <w:bidi w:val="0"/>
                    <w:rPr>
                      <w:b/>
                      <w:bCs/>
                      <w:color w:val="auto"/>
                    </w:rPr>
                  </w:pPr>
                  <w:r>
                    <w:rPr>
                      <w:b/>
                      <w:bCs/>
                      <w:color w:val="auto"/>
                    </w:rPr>
                    <w:t>要求</w:t>
                  </w:r>
                </w:p>
              </w:tc>
              <w:tc>
                <w:tcPr>
                  <w:tcW w:w="3064" w:type="dxa"/>
                  <w:tcBorders>
                    <w:tl2br w:val="nil"/>
                    <w:tr2bl w:val="nil"/>
                  </w:tcBorders>
                  <w:noWrap w:val="0"/>
                  <w:vAlign w:val="center"/>
                </w:tcPr>
                <w:p w14:paraId="0132D874">
                  <w:pPr>
                    <w:pStyle w:val="51"/>
                    <w:bidi w:val="0"/>
                    <w:rPr>
                      <w:b/>
                      <w:bCs/>
                      <w:color w:val="auto"/>
                    </w:rPr>
                  </w:pPr>
                  <w:r>
                    <w:rPr>
                      <w:b/>
                      <w:bCs/>
                      <w:color w:val="auto"/>
                    </w:rPr>
                    <w:t>项目情况</w:t>
                  </w:r>
                </w:p>
              </w:tc>
              <w:tc>
                <w:tcPr>
                  <w:tcW w:w="906" w:type="dxa"/>
                  <w:tcBorders>
                    <w:tl2br w:val="nil"/>
                    <w:tr2bl w:val="nil"/>
                  </w:tcBorders>
                  <w:noWrap w:val="0"/>
                  <w:vAlign w:val="center"/>
                </w:tcPr>
                <w:p w14:paraId="2F0E23C6">
                  <w:pPr>
                    <w:pStyle w:val="51"/>
                    <w:bidi w:val="0"/>
                    <w:rPr>
                      <w:b/>
                      <w:bCs/>
                      <w:color w:val="auto"/>
                    </w:rPr>
                  </w:pPr>
                  <w:r>
                    <w:rPr>
                      <w:b/>
                      <w:bCs/>
                      <w:color w:val="auto"/>
                    </w:rPr>
                    <w:t>符合性</w:t>
                  </w:r>
                </w:p>
              </w:tc>
            </w:tr>
            <w:tr w14:paraId="3770C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5004" w:type="dxa"/>
                  <w:tcBorders>
                    <w:tl2br w:val="nil"/>
                    <w:tr2bl w:val="nil"/>
                  </w:tcBorders>
                  <w:noWrap w:val="0"/>
                  <w:vAlign w:val="center"/>
                </w:tcPr>
                <w:p w14:paraId="115E840B">
                  <w:pPr>
                    <w:pStyle w:val="51"/>
                    <w:bidi w:val="0"/>
                    <w:jc w:val="both"/>
                    <w:rPr>
                      <w:color w:val="auto"/>
                    </w:rPr>
                  </w:pPr>
                  <w:r>
                    <w:rPr>
                      <w:color w:val="auto"/>
                    </w:rPr>
                    <w:t>进一步落实部门监管指导责任。要高度关注新增环保设备设施带来的安全问题，提出推广环保新工艺、新技术、新产品的同时要充分考虑安全因素。要紧盯具有脱硫脱硝、挥发性有机物回收、污水处理、粉尘治理、蓄热式焚烧炉5类重点环保设备设施的企业，指导督促企业按照相关法律法规和技术标准规范要求，开展环保设备设施安全</w:t>
                  </w:r>
                  <w:r>
                    <w:rPr>
                      <w:rFonts w:hint="eastAsia"/>
                      <w:color w:val="auto"/>
                    </w:rPr>
                    <w:t>风</w:t>
                  </w:r>
                  <w:r>
                    <w:rPr>
                      <w:color w:val="auto"/>
                    </w:rPr>
                    <w:t>险辨识评估和隐患排查治理，落实安全生产各项责任措施。</w:t>
                  </w:r>
                </w:p>
              </w:tc>
              <w:tc>
                <w:tcPr>
                  <w:tcW w:w="3064" w:type="dxa"/>
                  <w:tcBorders>
                    <w:tl2br w:val="nil"/>
                    <w:tr2bl w:val="nil"/>
                  </w:tcBorders>
                  <w:noWrap w:val="0"/>
                  <w:vAlign w:val="center"/>
                </w:tcPr>
                <w:p w14:paraId="105319A9">
                  <w:pPr>
                    <w:pStyle w:val="51"/>
                    <w:bidi w:val="0"/>
                    <w:jc w:val="both"/>
                    <w:rPr>
                      <w:color w:val="auto"/>
                    </w:rPr>
                  </w:pPr>
                  <w:r>
                    <w:rPr>
                      <w:rFonts w:hint="eastAsia"/>
                      <w:color w:val="auto"/>
                    </w:rPr>
                    <w:t>项目</w:t>
                  </w:r>
                  <w:r>
                    <w:rPr>
                      <w:rFonts w:hint="eastAsia"/>
                      <w:color w:val="auto"/>
                      <w:lang w:eastAsia="zh-CN"/>
                    </w:rPr>
                    <w:t>设置</w:t>
                  </w:r>
                  <w:r>
                    <w:rPr>
                      <w:rFonts w:hint="eastAsia"/>
                      <w:color w:val="auto"/>
                      <w:lang w:val="en-US" w:eastAsia="zh-CN"/>
                    </w:rPr>
                    <w:t>1台脉冲布袋除尘器</w:t>
                  </w:r>
                  <w:r>
                    <w:rPr>
                      <w:color w:val="auto"/>
                    </w:rPr>
                    <w:t>，</w:t>
                  </w:r>
                  <w:r>
                    <w:rPr>
                      <w:rFonts w:hint="eastAsia"/>
                      <w:color w:val="auto"/>
                      <w:lang w:eastAsia="zh-CN"/>
                    </w:rPr>
                    <w:t>运行过程</w:t>
                  </w:r>
                  <w:r>
                    <w:rPr>
                      <w:color w:val="auto"/>
                    </w:rPr>
                    <w:t>企业按照相关法律法规和技术标准规范要求，开展环保设备设施安全</w:t>
                  </w:r>
                  <w:r>
                    <w:rPr>
                      <w:rFonts w:hint="eastAsia"/>
                      <w:color w:val="auto"/>
                    </w:rPr>
                    <w:t>风</w:t>
                  </w:r>
                  <w:r>
                    <w:rPr>
                      <w:color w:val="auto"/>
                    </w:rPr>
                    <w:t>险辨识评估和隐患排查治理，</w:t>
                  </w:r>
                  <w:r>
                    <w:rPr>
                      <w:rFonts w:hint="eastAsia"/>
                      <w:color w:val="auto"/>
                      <w:lang w:eastAsia="zh-CN"/>
                    </w:rPr>
                    <w:t>严格</w:t>
                  </w:r>
                  <w:r>
                    <w:rPr>
                      <w:color w:val="auto"/>
                    </w:rPr>
                    <w:t>落实安全生产各项责任措施。</w:t>
                  </w:r>
                </w:p>
              </w:tc>
              <w:tc>
                <w:tcPr>
                  <w:tcW w:w="906" w:type="dxa"/>
                  <w:tcBorders>
                    <w:tl2br w:val="nil"/>
                    <w:tr2bl w:val="nil"/>
                  </w:tcBorders>
                  <w:noWrap w:val="0"/>
                  <w:vAlign w:val="center"/>
                </w:tcPr>
                <w:p w14:paraId="2F6E69CD">
                  <w:pPr>
                    <w:pStyle w:val="51"/>
                    <w:bidi w:val="0"/>
                    <w:rPr>
                      <w:color w:val="auto"/>
                    </w:rPr>
                  </w:pPr>
                  <w:r>
                    <w:rPr>
                      <w:color w:val="auto"/>
                    </w:rPr>
                    <w:t>符合</w:t>
                  </w:r>
                </w:p>
              </w:tc>
            </w:tr>
            <w:tr w14:paraId="622E1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5004" w:type="dxa"/>
                  <w:tcBorders>
                    <w:tl2br w:val="nil"/>
                    <w:tr2bl w:val="nil"/>
                  </w:tcBorders>
                  <w:noWrap w:val="0"/>
                  <w:vAlign w:val="center"/>
                </w:tcPr>
                <w:p w14:paraId="5F1790E7">
                  <w:pPr>
                    <w:pStyle w:val="51"/>
                    <w:bidi w:val="0"/>
                    <w:jc w:val="both"/>
                    <w:rPr>
                      <w:color w:val="auto"/>
                    </w:rPr>
                  </w:pPr>
                  <w:r>
                    <w:rPr>
                      <w:color w:val="auto"/>
                    </w:rPr>
                    <w:t>进一步落实企业主体责任。推动企业主要负责人严格履行第一责任人责任，将环保设备设施安全作为企业安全管理的重要组成部分，全面负责落实本单位的环保设备设施安全生产工作。严格落实涉环保设备设施新、改、扩建项目环保和安全</w:t>
                  </w:r>
                  <w:r>
                    <w:rPr>
                      <w:rFonts w:hint="eastAsia"/>
                      <w:color w:val="auto"/>
                      <w:lang w:eastAsia="zh-CN"/>
                    </w:rPr>
                    <w:t>“</w:t>
                  </w:r>
                  <w:r>
                    <w:rPr>
                      <w:color w:val="auto"/>
                    </w:rPr>
                    <w:t>三同时</w:t>
                  </w:r>
                  <w:r>
                    <w:rPr>
                      <w:rFonts w:hint="eastAsia"/>
                      <w:color w:val="auto"/>
                      <w:lang w:eastAsia="zh-CN"/>
                    </w:rPr>
                    <w:t>”</w:t>
                  </w:r>
                  <w:r>
                    <w:rPr>
                      <w:color w:val="auto"/>
                    </w:rPr>
                    <w:t>有关要求，委托有资质的设计单位进行正规设计，在选用污染防治技术时要充分考虑安全因素；在环保设备设施改造中必须依法开展安全风险评估，按要求设置安全监测监控系统和联锁保护装置，做好安全防范。对涉环保设备设施相关岗位人员进行操作规程、风险管控、应急处置、典型事故警示等专项安全培训教育。开展环保设备设施安全风险辨识评估，系统排查隐患，依法建立隐患整改台账，明确整改责任人、措施、资金、时限和应急救援预案，及时消除隐患。</w:t>
                  </w:r>
                </w:p>
              </w:tc>
              <w:tc>
                <w:tcPr>
                  <w:tcW w:w="3064" w:type="dxa"/>
                  <w:tcBorders>
                    <w:tl2br w:val="nil"/>
                    <w:tr2bl w:val="nil"/>
                  </w:tcBorders>
                  <w:noWrap w:val="0"/>
                  <w:vAlign w:val="center"/>
                </w:tcPr>
                <w:p w14:paraId="059AC05D">
                  <w:pPr>
                    <w:pStyle w:val="51"/>
                    <w:bidi w:val="0"/>
                    <w:jc w:val="both"/>
                    <w:rPr>
                      <w:rFonts w:hint="eastAsia"/>
                      <w:color w:val="auto"/>
                      <w:lang w:eastAsia="zh-CN"/>
                    </w:rPr>
                  </w:pPr>
                  <w:r>
                    <w:rPr>
                      <w:rFonts w:hint="eastAsia"/>
                      <w:color w:val="auto"/>
                      <w:lang w:eastAsia="zh-CN"/>
                    </w:rPr>
                    <w:t>建设单位设置专人管理环保工作，全面负责落实本单位的环保设备设施安全生产工作；</w:t>
                  </w:r>
                </w:p>
                <w:p w14:paraId="5C551A8F">
                  <w:pPr>
                    <w:pStyle w:val="51"/>
                    <w:bidi w:val="0"/>
                    <w:rPr>
                      <w:color w:val="auto"/>
                    </w:rPr>
                  </w:pPr>
                  <w:r>
                    <w:rPr>
                      <w:color w:val="auto"/>
                    </w:rPr>
                    <w:t>项目依法开展安全风险评估，严格落实安全“三同时”要求，</w:t>
                  </w:r>
                  <w:r>
                    <w:rPr>
                      <w:rFonts w:hint="eastAsia"/>
                      <w:color w:val="auto"/>
                      <w:lang w:eastAsia="zh-CN"/>
                    </w:rPr>
                    <w:t>本项目</w:t>
                  </w:r>
                  <w:r>
                    <w:rPr>
                      <w:color w:val="auto"/>
                    </w:rPr>
                    <w:t>环保设施委托有资质的</w:t>
                  </w:r>
                  <w:r>
                    <w:rPr>
                      <w:rFonts w:hint="eastAsia"/>
                      <w:color w:val="auto"/>
                      <w:lang w:eastAsia="zh-CN"/>
                    </w:rPr>
                    <w:t>单位进行设计、生产、安装、维护、检修</w:t>
                  </w:r>
                  <w:r>
                    <w:rPr>
                      <w:color w:val="auto"/>
                    </w:rPr>
                    <w:t>，</w:t>
                  </w:r>
                  <w:r>
                    <w:rPr>
                      <w:rFonts w:hint="eastAsia"/>
                      <w:color w:val="auto"/>
                      <w:lang w:eastAsia="zh-CN"/>
                    </w:rPr>
                    <w:t>制定定期安全检查制度；建设单位</w:t>
                  </w:r>
                  <w:r>
                    <w:rPr>
                      <w:color w:val="auto"/>
                    </w:rPr>
                    <w:t>按要求做好安全防范，</w:t>
                  </w:r>
                  <w:r>
                    <w:rPr>
                      <w:rFonts w:hint="eastAsia"/>
                      <w:color w:val="auto"/>
                      <w:lang w:eastAsia="zh-CN"/>
                    </w:rPr>
                    <w:t>定期对环保设备相关</w:t>
                  </w:r>
                  <w:r>
                    <w:rPr>
                      <w:color w:val="auto"/>
                    </w:rPr>
                    <w:t>岗位人员进行专项安全培训教育，做好应急救援预案，及时消除隐患。</w:t>
                  </w:r>
                </w:p>
              </w:tc>
              <w:tc>
                <w:tcPr>
                  <w:tcW w:w="906" w:type="dxa"/>
                  <w:tcBorders>
                    <w:tl2br w:val="nil"/>
                    <w:tr2bl w:val="nil"/>
                  </w:tcBorders>
                  <w:noWrap w:val="0"/>
                  <w:vAlign w:val="center"/>
                </w:tcPr>
                <w:p w14:paraId="2E9BBF3C">
                  <w:pPr>
                    <w:pStyle w:val="51"/>
                    <w:bidi w:val="0"/>
                    <w:rPr>
                      <w:color w:val="auto"/>
                    </w:rPr>
                  </w:pPr>
                  <w:r>
                    <w:rPr>
                      <w:color w:val="auto"/>
                    </w:rPr>
                    <w:t>符合</w:t>
                  </w:r>
                </w:p>
              </w:tc>
            </w:tr>
          </w:tbl>
          <w:p w14:paraId="109E3A92">
            <w:pPr>
              <w:spacing w:line="360" w:lineRule="auto"/>
              <w:ind w:firstLine="482" w:firstLineChars="200"/>
              <w:rPr>
                <w:b/>
                <w:bCs/>
                <w:color w:val="auto"/>
                <w:sz w:val="24"/>
                <w:szCs w:val="24"/>
                <w:highlight w:val="none"/>
              </w:rPr>
            </w:pPr>
            <w:r>
              <w:rPr>
                <w:rFonts w:hint="eastAsia"/>
                <w:b/>
                <w:bCs/>
                <w:color w:val="auto"/>
                <w:sz w:val="24"/>
                <w:szCs w:val="24"/>
                <w:highlight w:val="none"/>
                <w:lang w:val="en-US" w:eastAsia="zh-CN"/>
              </w:rPr>
              <w:t>9</w:t>
            </w:r>
            <w:r>
              <w:rPr>
                <w:rFonts w:hint="eastAsia"/>
                <w:b/>
                <w:bCs/>
                <w:color w:val="auto"/>
                <w:sz w:val="24"/>
                <w:szCs w:val="24"/>
                <w:highlight w:val="none"/>
              </w:rPr>
              <w:t>、</w:t>
            </w:r>
            <w:r>
              <w:rPr>
                <w:b/>
                <w:bCs/>
                <w:color w:val="auto"/>
                <w:sz w:val="24"/>
                <w:szCs w:val="24"/>
                <w:highlight w:val="none"/>
              </w:rPr>
              <w:t>与环发[2012]77号文符合性分析</w:t>
            </w:r>
          </w:p>
          <w:p w14:paraId="016F0FC9">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eastAsia="新宋体"/>
                <w:color w:val="auto"/>
                <w:sz w:val="24"/>
                <w:szCs w:val="24"/>
                <w:highlight w:val="none"/>
              </w:rPr>
            </w:pPr>
            <w:r>
              <w:rPr>
                <w:rFonts w:hint="eastAsia" w:eastAsia="新宋体"/>
                <w:color w:val="auto"/>
                <w:sz w:val="24"/>
                <w:szCs w:val="24"/>
                <w:highlight w:val="none"/>
                <w:lang w:val="en-US" w:eastAsia="zh-CN"/>
              </w:rPr>
              <w:t>根据</w:t>
            </w:r>
            <w:r>
              <w:rPr>
                <w:rFonts w:eastAsia="新宋体"/>
                <w:color w:val="auto"/>
                <w:sz w:val="24"/>
                <w:szCs w:val="24"/>
                <w:highlight w:val="none"/>
              </w:rPr>
              <w:t>《建设项目环境风险评价技术导则》（HJ169-2018）和《关于进一步加强环境影响评价管理防范环境风险的通知》（环发[2012]77号）的规定，对本项目的环境风险源识别、环境风险预测、选址及敏感目标、防范措施等做出评价，本项目在生产过程、原</w:t>
            </w:r>
            <w:r>
              <w:rPr>
                <w:rFonts w:hint="eastAsia" w:eastAsia="新宋体"/>
                <w:color w:val="auto"/>
                <w:sz w:val="24"/>
                <w:szCs w:val="24"/>
                <w:highlight w:val="none"/>
              </w:rPr>
              <w:t>辅</w:t>
            </w:r>
            <w:r>
              <w:rPr>
                <w:rFonts w:eastAsia="新宋体"/>
                <w:color w:val="auto"/>
                <w:sz w:val="24"/>
                <w:szCs w:val="24"/>
                <w:highlight w:val="none"/>
              </w:rPr>
              <w:t>料和产品储运等过程中，不存在重大的环境风险</w:t>
            </w:r>
            <w:r>
              <w:rPr>
                <w:rFonts w:hint="eastAsia" w:eastAsia="新宋体"/>
                <w:color w:val="auto"/>
                <w:sz w:val="24"/>
                <w:szCs w:val="24"/>
                <w:highlight w:val="none"/>
              </w:rPr>
              <w:t>，在严格落实本环评提出的各项环境风险防范措施，配备必要的应急物资，对员工进行定期培训，对生产设备、环保设施等进行定期检查、维护的前提下，本项目环境风险可防可控</w:t>
            </w:r>
            <w:r>
              <w:rPr>
                <w:rFonts w:eastAsia="新宋体"/>
                <w:color w:val="auto"/>
                <w:sz w:val="24"/>
                <w:szCs w:val="24"/>
                <w:highlight w:val="none"/>
              </w:rPr>
              <w:t>。项目建设满足环发[2012]77号关于环境风险评价的要求。</w:t>
            </w:r>
          </w:p>
          <w:p w14:paraId="7D3404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outlineLvl w:val="9"/>
              <w:rPr>
                <w:color w:val="auto"/>
              </w:rPr>
            </w:pPr>
          </w:p>
        </w:tc>
      </w:tr>
    </w:tbl>
    <w:p w14:paraId="04D3DB9C">
      <w:pPr>
        <w:spacing w:line="360" w:lineRule="auto"/>
        <w:outlineLvl w:val="9"/>
        <w:rPr>
          <w:rFonts w:eastAsia="黑体"/>
          <w:color w:val="auto"/>
          <w:sz w:val="30"/>
        </w:rPr>
        <w:sectPr>
          <w:footerReference r:id="rId7" w:type="default"/>
          <w:pgSz w:w="11906" w:h="16838"/>
          <w:pgMar w:top="1440" w:right="1531" w:bottom="1440"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4DC189E5">
      <w:pPr>
        <w:pStyle w:val="30"/>
        <w:spacing w:before="0" w:beforeAutospacing="0" w:after="0" w:afterAutospacing="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二、建设项目工程分析</w:t>
      </w:r>
    </w:p>
    <w:tbl>
      <w:tblPr>
        <w:tblStyle w:val="33"/>
        <w:tblW w:w="10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9522"/>
      </w:tblGrid>
      <w:tr w14:paraId="68121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561" w:type="dxa"/>
            <w:tcBorders>
              <w:tl2br w:val="nil"/>
              <w:tr2bl w:val="nil"/>
            </w:tcBorders>
            <w:vAlign w:val="center"/>
          </w:tcPr>
          <w:p w14:paraId="30D87E3C">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leftChars="0" w:firstLine="0" w:firstLineChars="0"/>
              <w:jc w:val="center"/>
              <w:textAlignment w:val="auto"/>
              <w:rPr>
                <w:rFonts w:ascii="Times New Roman" w:hAnsi="Times New Roman"/>
                <w:color w:val="auto"/>
                <w:sz w:val="21"/>
                <w:szCs w:val="21"/>
              </w:rPr>
            </w:pPr>
            <w:r>
              <w:rPr>
                <w:rFonts w:ascii="Times New Roman" w:hAnsi="Times New Roman"/>
                <w:color w:val="auto"/>
                <w:sz w:val="24"/>
                <w:szCs w:val="24"/>
              </w:rPr>
              <w:t>建设内容</w:t>
            </w:r>
          </w:p>
        </w:tc>
        <w:tc>
          <w:tcPr>
            <w:tcW w:w="9393" w:type="dxa"/>
            <w:tcBorders>
              <w:tl2br w:val="nil"/>
              <w:tr2bl w:val="nil"/>
            </w:tcBorders>
          </w:tcPr>
          <w:p w14:paraId="1CE54C53">
            <w:pPr>
              <w:snapToGrid w:val="0"/>
              <w:spacing w:line="360" w:lineRule="auto"/>
              <w:ind w:firstLine="468"/>
              <w:jc w:val="left"/>
              <w:rPr>
                <w:b/>
                <w:color w:val="auto"/>
                <w:sz w:val="24"/>
              </w:rPr>
            </w:pPr>
            <w:r>
              <w:rPr>
                <w:rFonts w:hint="eastAsia"/>
                <w:b/>
                <w:color w:val="auto"/>
                <w:sz w:val="24"/>
                <w:lang w:val="en-US" w:eastAsia="zh-CN"/>
              </w:rPr>
              <w:t>1</w:t>
            </w:r>
            <w:r>
              <w:rPr>
                <w:b/>
                <w:color w:val="auto"/>
                <w:sz w:val="24"/>
              </w:rPr>
              <w:t>、项目组成</w:t>
            </w:r>
          </w:p>
          <w:p w14:paraId="190483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auto"/>
                <w:sz w:val="24"/>
                <w:szCs w:val="24"/>
              </w:rPr>
            </w:pPr>
            <w:r>
              <w:rPr>
                <w:rFonts w:hint="eastAsia"/>
                <w:b w:val="0"/>
                <w:bCs w:val="0"/>
                <w:color w:val="auto"/>
                <w:sz w:val="24"/>
              </w:rPr>
              <w:t>项目建设内容包括主体工程、辅助工程、公用工程和环保工程，具体组成详见表2-1</w:t>
            </w:r>
            <w:r>
              <w:rPr>
                <w:rFonts w:ascii="宋体" w:hAnsi="宋体" w:eastAsia="宋体" w:cs="宋体"/>
                <w:color w:val="auto"/>
                <w:sz w:val="24"/>
                <w:szCs w:val="24"/>
              </w:rPr>
              <w:t>。</w:t>
            </w:r>
          </w:p>
          <w:p w14:paraId="2D26CFB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b/>
                <w:bCs/>
                <w:color w:val="auto"/>
                <w:sz w:val="24"/>
              </w:rPr>
            </w:pPr>
            <w:r>
              <w:rPr>
                <w:b/>
                <w:bCs/>
                <w:color w:val="auto"/>
                <w:sz w:val="24"/>
              </w:rPr>
              <w:t>表2-1</w:t>
            </w:r>
            <w:r>
              <w:rPr>
                <w:rFonts w:hint="eastAsia"/>
                <w:b/>
                <w:bCs/>
                <w:color w:val="auto"/>
                <w:sz w:val="24"/>
                <w:lang w:val="en-US" w:eastAsia="zh-CN"/>
              </w:rPr>
              <w:t xml:space="preserve"> </w:t>
            </w:r>
            <w:r>
              <w:rPr>
                <w:b/>
                <w:bCs/>
                <w:color w:val="auto"/>
                <w:sz w:val="24"/>
              </w:rPr>
              <w:t>项目组成</w:t>
            </w:r>
            <w:r>
              <w:rPr>
                <w:rFonts w:hint="eastAsia"/>
                <w:b/>
                <w:bCs/>
                <w:color w:val="auto"/>
                <w:sz w:val="24"/>
                <w:lang w:eastAsia="zh-CN"/>
              </w:rPr>
              <w:t>一览</w:t>
            </w:r>
            <w:r>
              <w:rPr>
                <w:b/>
                <w:bCs/>
                <w:color w:val="auto"/>
                <w:sz w:val="24"/>
              </w:rPr>
              <w:t>表</w:t>
            </w:r>
          </w:p>
          <w:tbl>
            <w:tblPr>
              <w:tblStyle w:val="33"/>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73"/>
              <w:gridCol w:w="5759"/>
              <w:gridCol w:w="777"/>
            </w:tblGrid>
            <w:tr w14:paraId="47CE2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tcBorders>
                    <w:top w:val="single" w:color="auto" w:sz="12" w:space="0"/>
                    <w:left w:val="single" w:color="auto" w:sz="12" w:space="0"/>
                    <w:bottom w:val="single" w:color="auto" w:sz="4" w:space="0"/>
                    <w:right w:val="single" w:color="auto" w:sz="4" w:space="0"/>
                  </w:tcBorders>
                  <w:noWrap/>
                  <w:vAlign w:val="center"/>
                </w:tcPr>
                <w:p w14:paraId="0E78534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2"/>
                      <w:szCs w:val="22"/>
                    </w:rPr>
                  </w:pPr>
                  <w:r>
                    <w:rPr>
                      <w:b/>
                      <w:color w:val="auto"/>
                      <w:sz w:val="22"/>
                      <w:szCs w:val="22"/>
                    </w:rPr>
                    <w:t>类别</w:t>
                  </w:r>
                </w:p>
              </w:tc>
              <w:tc>
                <w:tcPr>
                  <w:tcW w:w="1273" w:type="dxa"/>
                  <w:tcBorders>
                    <w:top w:val="single" w:color="auto" w:sz="12" w:space="0"/>
                    <w:left w:val="single" w:color="auto" w:sz="4" w:space="0"/>
                    <w:bottom w:val="single" w:color="auto" w:sz="4" w:space="0"/>
                    <w:right w:val="single" w:color="auto" w:sz="4" w:space="0"/>
                  </w:tcBorders>
                  <w:noWrap/>
                  <w:vAlign w:val="center"/>
                </w:tcPr>
                <w:p w14:paraId="63B3E7C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2"/>
                      <w:szCs w:val="22"/>
                    </w:rPr>
                  </w:pPr>
                  <w:r>
                    <w:rPr>
                      <w:b/>
                      <w:color w:val="auto"/>
                      <w:sz w:val="22"/>
                      <w:szCs w:val="22"/>
                    </w:rPr>
                    <w:t>建设内容</w:t>
                  </w:r>
                </w:p>
              </w:tc>
              <w:tc>
                <w:tcPr>
                  <w:tcW w:w="5759" w:type="dxa"/>
                  <w:tcBorders>
                    <w:top w:val="single" w:color="auto" w:sz="12" w:space="0"/>
                    <w:left w:val="single" w:color="auto" w:sz="4" w:space="0"/>
                    <w:bottom w:val="single" w:color="auto" w:sz="4" w:space="0"/>
                    <w:right w:val="single" w:color="auto" w:sz="4" w:space="0"/>
                  </w:tcBorders>
                  <w:noWrap/>
                  <w:vAlign w:val="center"/>
                </w:tcPr>
                <w:p w14:paraId="30E7318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2"/>
                      <w:szCs w:val="22"/>
                    </w:rPr>
                  </w:pPr>
                  <w:r>
                    <w:rPr>
                      <w:b/>
                      <w:color w:val="auto"/>
                      <w:sz w:val="22"/>
                      <w:szCs w:val="22"/>
                    </w:rPr>
                    <w:t>建设规模</w:t>
                  </w:r>
                </w:p>
              </w:tc>
              <w:tc>
                <w:tcPr>
                  <w:tcW w:w="777" w:type="dxa"/>
                  <w:tcBorders>
                    <w:top w:val="single" w:color="auto" w:sz="12" w:space="0"/>
                    <w:left w:val="single" w:color="auto" w:sz="4" w:space="0"/>
                    <w:bottom w:val="single" w:color="auto" w:sz="4" w:space="0"/>
                    <w:right w:val="single" w:color="auto" w:sz="12" w:space="0"/>
                  </w:tcBorders>
                  <w:noWrap/>
                  <w:vAlign w:val="center"/>
                </w:tcPr>
                <w:p w14:paraId="5D6A960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2"/>
                      <w:szCs w:val="22"/>
                    </w:rPr>
                  </w:pPr>
                  <w:r>
                    <w:rPr>
                      <w:b/>
                      <w:color w:val="auto"/>
                      <w:sz w:val="22"/>
                      <w:szCs w:val="22"/>
                    </w:rPr>
                    <w:t>备注</w:t>
                  </w:r>
                </w:p>
              </w:tc>
            </w:tr>
            <w:tr w14:paraId="10E09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tcBorders>
                    <w:top w:val="single" w:color="auto" w:sz="4" w:space="0"/>
                    <w:left w:val="single" w:color="auto" w:sz="12" w:space="0"/>
                    <w:right w:val="single" w:color="auto" w:sz="4" w:space="0"/>
                  </w:tcBorders>
                  <w:noWrap/>
                  <w:vAlign w:val="center"/>
                </w:tcPr>
                <w:p w14:paraId="4BD411D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2"/>
                      <w:szCs w:val="22"/>
                    </w:rPr>
                  </w:pPr>
                  <w:r>
                    <w:rPr>
                      <w:color w:val="auto"/>
                      <w:sz w:val="22"/>
                      <w:szCs w:val="22"/>
                    </w:rPr>
                    <w:t>主体工程</w:t>
                  </w:r>
                </w:p>
              </w:tc>
              <w:tc>
                <w:tcPr>
                  <w:tcW w:w="1273" w:type="dxa"/>
                  <w:tcBorders>
                    <w:top w:val="single" w:color="auto" w:sz="4" w:space="0"/>
                    <w:left w:val="single" w:color="auto" w:sz="4" w:space="0"/>
                    <w:bottom w:val="single" w:color="auto" w:sz="4" w:space="0"/>
                    <w:right w:val="single" w:color="auto" w:sz="4" w:space="0"/>
                  </w:tcBorders>
                  <w:noWrap/>
                  <w:vAlign w:val="center"/>
                </w:tcPr>
                <w:p w14:paraId="3AECB662">
                  <w:pPr>
                    <w:keepNext w:val="0"/>
                    <w:keepLines w:val="0"/>
                    <w:pageBreakBefore w:val="0"/>
                    <w:kinsoku/>
                    <w:wordWrap/>
                    <w:overflowPunct/>
                    <w:topLinePunct w:val="0"/>
                    <w:autoSpaceDE/>
                    <w:autoSpaceDN/>
                    <w:bidi w:val="0"/>
                    <w:spacing w:line="240" w:lineRule="auto"/>
                    <w:ind w:firstLine="0" w:firstLineChars="0"/>
                    <w:jc w:val="center"/>
                    <w:textAlignment w:val="auto"/>
                    <w:rPr>
                      <w:color w:val="auto"/>
                      <w:sz w:val="22"/>
                      <w:szCs w:val="22"/>
                    </w:rPr>
                  </w:pPr>
                  <w:r>
                    <w:rPr>
                      <w:rFonts w:hint="eastAsia"/>
                      <w:bCs/>
                      <w:color w:val="auto"/>
                      <w:sz w:val="22"/>
                      <w:szCs w:val="22"/>
                    </w:rPr>
                    <w:t>生产车间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220B2F4B">
                  <w:pPr>
                    <w:keepNext w:val="0"/>
                    <w:keepLines w:val="0"/>
                    <w:pageBreakBefore w:val="0"/>
                    <w:kinsoku/>
                    <w:wordWrap/>
                    <w:overflowPunct/>
                    <w:topLinePunct w:val="0"/>
                    <w:autoSpaceDE/>
                    <w:autoSpaceDN/>
                    <w:bidi w:val="0"/>
                    <w:spacing w:line="240" w:lineRule="auto"/>
                    <w:ind w:firstLine="0" w:firstLineChars="0"/>
                    <w:jc w:val="both"/>
                    <w:textAlignment w:val="auto"/>
                    <w:rPr>
                      <w:rFonts w:hint="default" w:eastAsia="宋体"/>
                      <w:color w:val="auto"/>
                      <w:sz w:val="22"/>
                      <w:szCs w:val="22"/>
                      <w:lang w:val="en-US" w:eastAsia="zh-CN"/>
                    </w:rPr>
                  </w:pPr>
                  <w:r>
                    <w:rPr>
                      <w:rFonts w:hint="eastAsia"/>
                      <w:color w:val="auto"/>
                      <w:sz w:val="22"/>
                      <w:szCs w:val="22"/>
                      <w:lang w:val="en-US" w:eastAsia="zh-CN"/>
                    </w:rPr>
                    <w:t>1座，1层，</w:t>
                  </w:r>
                  <w:r>
                    <w:rPr>
                      <w:color w:val="auto"/>
                      <w:sz w:val="22"/>
                      <w:szCs w:val="22"/>
                    </w:rPr>
                    <w:t>钢结构厂房</w:t>
                  </w:r>
                  <w:r>
                    <w:rPr>
                      <w:rFonts w:hint="eastAsia"/>
                      <w:color w:val="auto"/>
                      <w:sz w:val="22"/>
                      <w:szCs w:val="22"/>
                      <w:lang w:eastAsia="zh-CN"/>
                    </w:rPr>
                    <w:t>，</w:t>
                  </w:r>
                  <w:r>
                    <w:rPr>
                      <w:rFonts w:hint="eastAsia"/>
                      <w:color w:val="auto"/>
                      <w:sz w:val="22"/>
                      <w:szCs w:val="22"/>
                      <w:lang w:val="en-US" w:eastAsia="zh-CN"/>
                    </w:rPr>
                    <w:t>建筑面积1200</w:t>
                  </w:r>
                  <w:r>
                    <w:rPr>
                      <w:color w:val="auto"/>
                      <w:sz w:val="22"/>
                      <w:szCs w:val="22"/>
                    </w:rPr>
                    <w:t>m</w:t>
                  </w:r>
                  <w:r>
                    <w:rPr>
                      <w:color w:val="auto"/>
                      <w:sz w:val="22"/>
                      <w:szCs w:val="22"/>
                      <w:vertAlign w:val="superscript"/>
                    </w:rPr>
                    <w:t>2</w:t>
                  </w:r>
                  <w:r>
                    <w:rPr>
                      <w:rFonts w:hint="eastAsia"/>
                      <w:color w:val="auto"/>
                      <w:sz w:val="22"/>
                      <w:szCs w:val="22"/>
                      <w:vertAlign w:val="baseline"/>
                      <w:lang w:eastAsia="zh-CN"/>
                    </w:rPr>
                    <w:t>，</w:t>
                  </w:r>
                  <w:r>
                    <w:rPr>
                      <w:rFonts w:hint="eastAsia" w:ascii="Times New Roman" w:hAnsi="Times New Roman" w:cs="Times New Roman"/>
                      <w:color w:val="auto"/>
                      <w:sz w:val="22"/>
                      <w:szCs w:val="22"/>
                      <w:lang w:val="en-US" w:eastAsia="zh-CN"/>
                    </w:rPr>
                    <w:t>车间内</w:t>
                  </w:r>
                  <w:r>
                    <w:rPr>
                      <w:rFonts w:hint="eastAsia" w:cs="Times New Roman"/>
                      <w:color w:val="auto"/>
                      <w:sz w:val="22"/>
                      <w:szCs w:val="22"/>
                      <w:lang w:val="en-US" w:eastAsia="zh-CN"/>
                    </w:rPr>
                    <w:t>布置生产区、原料区、成品区，生产区安装提升机、输送机、搅拌罐、包装机等设备，共4套生产机组，设计年产新型建筑材料20万吨。</w:t>
                  </w:r>
                </w:p>
              </w:tc>
              <w:tc>
                <w:tcPr>
                  <w:tcW w:w="777" w:type="dxa"/>
                  <w:vMerge w:val="restart"/>
                  <w:tcBorders>
                    <w:top w:val="single" w:color="auto" w:sz="4" w:space="0"/>
                    <w:left w:val="single" w:color="auto" w:sz="4" w:space="0"/>
                    <w:right w:val="single" w:color="auto" w:sz="12" w:space="0"/>
                  </w:tcBorders>
                  <w:noWrap/>
                  <w:vAlign w:val="center"/>
                </w:tcPr>
                <w:p w14:paraId="57276136">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highlight w:val="none"/>
                      <w:lang w:val="en-US" w:eastAsia="zh-CN" w:bidi="ar-SA"/>
                    </w:rPr>
                  </w:pPr>
                  <w:r>
                    <w:rPr>
                      <w:rFonts w:hint="eastAsia" w:ascii="Times New Roman" w:hAnsi="Times New Roman" w:cs="Times New Roman"/>
                      <w:color w:val="auto"/>
                      <w:sz w:val="22"/>
                      <w:szCs w:val="22"/>
                      <w:highlight w:val="none"/>
                      <w:lang w:val="en-US" w:eastAsia="zh-CN"/>
                    </w:rPr>
                    <w:t>租赁现有闲置厂房，内部分区设置</w:t>
                  </w:r>
                </w:p>
              </w:tc>
            </w:tr>
            <w:tr w14:paraId="341C0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tcBorders>
                    <w:top w:val="single" w:color="auto" w:sz="4" w:space="0"/>
                    <w:left w:val="single" w:color="auto" w:sz="12" w:space="0"/>
                    <w:right w:val="single" w:color="auto" w:sz="4" w:space="0"/>
                  </w:tcBorders>
                  <w:noWrap/>
                  <w:vAlign w:val="center"/>
                </w:tcPr>
                <w:p w14:paraId="229048F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2"/>
                      <w:szCs w:val="22"/>
                    </w:rPr>
                  </w:pPr>
                  <w:r>
                    <w:rPr>
                      <w:color w:val="auto"/>
                      <w:sz w:val="22"/>
                      <w:szCs w:val="22"/>
                    </w:rPr>
                    <w:t>辅助工程</w:t>
                  </w:r>
                </w:p>
              </w:tc>
              <w:tc>
                <w:tcPr>
                  <w:tcW w:w="1273" w:type="dxa"/>
                  <w:tcBorders>
                    <w:top w:val="single" w:color="auto" w:sz="4" w:space="0"/>
                    <w:left w:val="single" w:color="auto" w:sz="4" w:space="0"/>
                    <w:bottom w:val="single" w:color="auto" w:sz="4" w:space="0"/>
                    <w:right w:val="single" w:color="auto" w:sz="4" w:space="0"/>
                  </w:tcBorders>
                  <w:noWrap/>
                  <w:vAlign w:val="center"/>
                </w:tcPr>
                <w:p w14:paraId="2ABD7FA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2"/>
                      <w:szCs w:val="22"/>
                      <w:lang w:bidi="zh-CN"/>
                    </w:rPr>
                  </w:pPr>
                  <w:r>
                    <w:rPr>
                      <w:color w:val="auto"/>
                      <w:sz w:val="22"/>
                      <w:szCs w:val="22"/>
                      <w:lang w:bidi="zh-CN"/>
                    </w:rPr>
                    <w:t>办公</w:t>
                  </w:r>
                  <w:r>
                    <w:rPr>
                      <w:rFonts w:hint="eastAsia"/>
                      <w:color w:val="auto"/>
                      <w:sz w:val="22"/>
                      <w:szCs w:val="22"/>
                      <w:lang w:bidi="zh-CN"/>
                    </w:rPr>
                    <w:t>区</w:t>
                  </w:r>
                </w:p>
              </w:tc>
              <w:tc>
                <w:tcPr>
                  <w:tcW w:w="5759" w:type="dxa"/>
                  <w:tcBorders>
                    <w:top w:val="single" w:color="auto" w:sz="4" w:space="0"/>
                    <w:left w:val="single" w:color="auto" w:sz="4" w:space="0"/>
                    <w:bottom w:val="single" w:color="auto" w:sz="4" w:space="0"/>
                    <w:right w:val="single" w:color="auto" w:sz="4" w:space="0"/>
                  </w:tcBorders>
                  <w:noWrap/>
                  <w:vAlign w:val="center"/>
                </w:tcPr>
                <w:p w14:paraId="56C7B1B7">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eastAsia="宋体"/>
                      <w:color w:val="auto"/>
                      <w:sz w:val="22"/>
                      <w:szCs w:val="22"/>
                      <w:lang w:val="en-US" w:eastAsia="zh-CN"/>
                    </w:rPr>
                  </w:pPr>
                  <w:r>
                    <w:rPr>
                      <w:rFonts w:hint="eastAsia"/>
                      <w:color w:val="auto"/>
                      <w:sz w:val="22"/>
                      <w:szCs w:val="22"/>
                      <w:lang w:val="en-US" w:eastAsia="zh-CN"/>
                    </w:rPr>
                    <w:t>1</w:t>
                  </w:r>
                  <w:r>
                    <w:rPr>
                      <w:color w:val="auto"/>
                      <w:sz w:val="22"/>
                      <w:szCs w:val="22"/>
                    </w:rPr>
                    <w:t>层，</w:t>
                  </w:r>
                  <w:r>
                    <w:rPr>
                      <w:rFonts w:hint="eastAsia"/>
                      <w:color w:val="auto"/>
                      <w:sz w:val="22"/>
                      <w:szCs w:val="22"/>
                      <w:lang w:eastAsia="zh-CN"/>
                    </w:rPr>
                    <w:t>位于</w:t>
                  </w:r>
                  <w:r>
                    <w:rPr>
                      <w:rFonts w:hint="eastAsia"/>
                      <w:color w:val="auto"/>
                      <w:sz w:val="22"/>
                      <w:szCs w:val="22"/>
                      <w:lang w:val="en-US" w:eastAsia="zh-CN"/>
                    </w:rPr>
                    <w:t>生产车间内</w:t>
                  </w:r>
                  <w:r>
                    <w:rPr>
                      <w:rFonts w:hint="eastAsia"/>
                      <w:color w:val="auto"/>
                      <w:sz w:val="22"/>
                      <w:szCs w:val="22"/>
                      <w:lang w:eastAsia="zh-CN"/>
                    </w:rPr>
                    <w:t>，</w:t>
                  </w:r>
                  <w:r>
                    <w:rPr>
                      <w:color w:val="auto"/>
                      <w:sz w:val="22"/>
                      <w:szCs w:val="22"/>
                    </w:rPr>
                    <w:t>建筑面积</w:t>
                  </w:r>
                  <w:r>
                    <w:rPr>
                      <w:rFonts w:hint="eastAsia"/>
                      <w:color w:val="auto"/>
                      <w:sz w:val="22"/>
                      <w:szCs w:val="22"/>
                      <w:lang w:eastAsia="zh-CN"/>
                    </w:rPr>
                    <w:t>约</w:t>
                  </w:r>
                  <w:r>
                    <w:rPr>
                      <w:rFonts w:hint="eastAsia"/>
                      <w:color w:val="auto"/>
                      <w:sz w:val="22"/>
                      <w:szCs w:val="22"/>
                      <w:lang w:val="en-US" w:eastAsia="zh-CN"/>
                    </w:rPr>
                    <w:t>100</w:t>
                  </w:r>
                  <w:r>
                    <w:rPr>
                      <w:color w:val="auto"/>
                      <w:sz w:val="22"/>
                      <w:szCs w:val="22"/>
                    </w:rPr>
                    <w:t>m</w:t>
                  </w:r>
                  <w:r>
                    <w:rPr>
                      <w:color w:val="auto"/>
                      <w:sz w:val="22"/>
                      <w:szCs w:val="22"/>
                      <w:vertAlign w:val="superscript"/>
                    </w:rPr>
                    <w:t>2</w:t>
                  </w:r>
                  <w:r>
                    <w:rPr>
                      <w:rFonts w:hint="eastAsia"/>
                      <w:color w:val="auto"/>
                      <w:sz w:val="22"/>
                      <w:szCs w:val="22"/>
                      <w:vertAlign w:val="baseline"/>
                      <w:lang w:eastAsia="zh-CN"/>
                    </w:rPr>
                    <w:t>，</w:t>
                  </w:r>
                  <w:r>
                    <w:rPr>
                      <w:rFonts w:hint="eastAsia"/>
                      <w:color w:val="auto"/>
                      <w:sz w:val="22"/>
                      <w:szCs w:val="22"/>
                      <w:vertAlign w:val="baseline"/>
                      <w:lang w:val="en-US" w:eastAsia="zh-CN"/>
                    </w:rPr>
                    <w:t>用于日常行政办公。</w:t>
                  </w:r>
                </w:p>
              </w:tc>
              <w:tc>
                <w:tcPr>
                  <w:tcW w:w="777" w:type="dxa"/>
                  <w:vMerge w:val="continue"/>
                  <w:tcBorders>
                    <w:left w:val="single" w:color="auto" w:sz="4" w:space="0"/>
                    <w:right w:val="single" w:color="auto" w:sz="12" w:space="0"/>
                  </w:tcBorders>
                  <w:vAlign w:val="center"/>
                </w:tcPr>
                <w:p w14:paraId="4B2A7DDB">
                  <w:pPr>
                    <w:keepNext w:val="0"/>
                    <w:keepLines w:val="0"/>
                    <w:pageBreakBefore w:val="0"/>
                    <w:widowControl/>
                    <w:kinsoku/>
                    <w:wordWrap/>
                    <w:overflowPunct/>
                    <w:topLinePunct w:val="0"/>
                    <w:autoSpaceDE/>
                    <w:autoSpaceDN/>
                    <w:bidi w:val="0"/>
                    <w:spacing w:line="240" w:lineRule="auto"/>
                    <w:ind w:firstLine="0" w:firstLineChars="0"/>
                    <w:jc w:val="center"/>
                    <w:textAlignment w:val="auto"/>
                    <w:rPr>
                      <w:b/>
                      <w:color w:val="auto"/>
                      <w:sz w:val="22"/>
                      <w:szCs w:val="22"/>
                    </w:rPr>
                  </w:pPr>
                </w:p>
              </w:tc>
            </w:tr>
            <w:tr w14:paraId="73669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vMerge w:val="restart"/>
                  <w:tcBorders>
                    <w:top w:val="single" w:color="auto" w:sz="4" w:space="0"/>
                    <w:left w:val="single" w:color="auto" w:sz="12" w:space="0"/>
                    <w:right w:val="single" w:color="auto" w:sz="4" w:space="0"/>
                  </w:tcBorders>
                  <w:noWrap/>
                  <w:vAlign w:val="center"/>
                </w:tcPr>
                <w:p w14:paraId="1DD4984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2"/>
                      <w:szCs w:val="22"/>
                    </w:rPr>
                  </w:pPr>
                  <w:r>
                    <w:rPr>
                      <w:rFonts w:hint="eastAsia"/>
                      <w:bCs/>
                      <w:color w:val="auto"/>
                      <w:sz w:val="22"/>
                      <w:szCs w:val="22"/>
                    </w:rPr>
                    <w:t>储运工程</w:t>
                  </w:r>
                </w:p>
              </w:tc>
              <w:tc>
                <w:tcPr>
                  <w:tcW w:w="1273" w:type="dxa"/>
                  <w:tcBorders>
                    <w:top w:val="single" w:color="auto" w:sz="4" w:space="0"/>
                    <w:left w:val="single" w:color="auto" w:sz="4" w:space="0"/>
                    <w:bottom w:val="single" w:color="auto" w:sz="4" w:space="0"/>
                    <w:right w:val="single" w:color="auto" w:sz="4" w:space="0"/>
                  </w:tcBorders>
                  <w:noWrap/>
                  <w:vAlign w:val="center"/>
                </w:tcPr>
                <w:p w14:paraId="32C03C5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2"/>
                      <w:szCs w:val="22"/>
                      <w:lang w:bidi="zh-CN"/>
                    </w:rPr>
                  </w:pPr>
                  <w:r>
                    <w:rPr>
                      <w:rFonts w:hint="eastAsia"/>
                      <w:color w:val="auto"/>
                      <w:sz w:val="22"/>
                      <w:szCs w:val="22"/>
                    </w:rPr>
                    <w:t>原料区</w:t>
                  </w:r>
                </w:p>
              </w:tc>
              <w:tc>
                <w:tcPr>
                  <w:tcW w:w="5759" w:type="dxa"/>
                  <w:tcBorders>
                    <w:top w:val="single" w:color="auto" w:sz="4" w:space="0"/>
                    <w:left w:val="single" w:color="auto" w:sz="4" w:space="0"/>
                    <w:bottom w:val="single" w:color="auto" w:sz="4" w:space="0"/>
                    <w:right w:val="single" w:color="auto" w:sz="4" w:space="0"/>
                  </w:tcBorders>
                  <w:noWrap/>
                  <w:vAlign w:val="center"/>
                </w:tcPr>
                <w:p w14:paraId="39D8CE98">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eastAsia="宋体"/>
                      <w:color w:val="auto"/>
                      <w:sz w:val="22"/>
                      <w:szCs w:val="22"/>
                      <w:lang w:val="en-US" w:eastAsia="zh-CN"/>
                    </w:rPr>
                  </w:pPr>
                  <w:r>
                    <w:rPr>
                      <w:rFonts w:hint="eastAsia"/>
                      <w:color w:val="auto"/>
                      <w:sz w:val="22"/>
                      <w:szCs w:val="22"/>
                      <w:lang w:val="en-US" w:eastAsia="zh-CN"/>
                    </w:rPr>
                    <w:t>位于生产车间内东部，占地面积约500</w:t>
                  </w:r>
                  <w:r>
                    <w:rPr>
                      <w:color w:val="auto"/>
                      <w:sz w:val="22"/>
                      <w:szCs w:val="22"/>
                    </w:rPr>
                    <w:t>m</w:t>
                  </w:r>
                  <w:r>
                    <w:rPr>
                      <w:color w:val="auto"/>
                      <w:sz w:val="22"/>
                      <w:szCs w:val="22"/>
                      <w:vertAlign w:val="superscript"/>
                    </w:rPr>
                    <w:t>2</w:t>
                  </w:r>
                  <w:r>
                    <w:rPr>
                      <w:rFonts w:hint="eastAsia"/>
                      <w:color w:val="auto"/>
                      <w:sz w:val="22"/>
                      <w:szCs w:val="22"/>
                      <w:vertAlign w:val="baseline"/>
                      <w:lang w:eastAsia="zh-CN"/>
                    </w:rPr>
                    <w:t>，用于原辅料</w:t>
                  </w:r>
                  <w:r>
                    <w:rPr>
                      <w:rFonts w:hint="eastAsia"/>
                      <w:color w:val="auto"/>
                      <w:sz w:val="22"/>
                      <w:szCs w:val="22"/>
                      <w:vertAlign w:val="baseline"/>
                      <w:lang w:val="en-US" w:eastAsia="zh-CN"/>
                    </w:rPr>
                    <w:t>进厂后的</w:t>
                  </w:r>
                  <w:r>
                    <w:rPr>
                      <w:rFonts w:hint="eastAsia"/>
                      <w:color w:val="auto"/>
                      <w:sz w:val="22"/>
                      <w:szCs w:val="22"/>
                      <w:vertAlign w:val="baseline"/>
                      <w:lang w:eastAsia="zh-CN"/>
                    </w:rPr>
                    <w:t>暂存。</w:t>
                  </w:r>
                </w:p>
              </w:tc>
              <w:tc>
                <w:tcPr>
                  <w:tcW w:w="777" w:type="dxa"/>
                  <w:vMerge w:val="continue"/>
                  <w:tcBorders>
                    <w:left w:val="single" w:color="auto" w:sz="4" w:space="0"/>
                    <w:right w:val="single" w:color="auto" w:sz="12" w:space="0"/>
                  </w:tcBorders>
                  <w:vAlign w:val="center"/>
                </w:tcPr>
                <w:p w14:paraId="0F4E090F">
                  <w:pPr>
                    <w:keepNext w:val="0"/>
                    <w:keepLines w:val="0"/>
                    <w:pageBreakBefore w:val="0"/>
                    <w:widowControl/>
                    <w:kinsoku/>
                    <w:wordWrap/>
                    <w:overflowPunct/>
                    <w:topLinePunct w:val="0"/>
                    <w:autoSpaceDE/>
                    <w:autoSpaceDN/>
                    <w:bidi w:val="0"/>
                    <w:spacing w:line="240" w:lineRule="auto"/>
                    <w:ind w:firstLine="0" w:firstLineChars="0"/>
                    <w:jc w:val="center"/>
                    <w:textAlignment w:val="auto"/>
                    <w:rPr>
                      <w:b/>
                      <w:color w:val="auto"/>
                      <w:sz w:val="22"/>
                      <w:szCs w:val="22"/>
                    </w:rPr>
                  </w:pPr>
                </w:p>
              </w:tc>
            </w:tr>
            <w:tr w14:paraId="103AD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62" w:type="dxa"/>
                  <w:vMerge w:val="continue"/>
                  <w:tcBorders>
                    <w:left w:val="single" w:color="auto" w:sz="12" w:space="0"/>
                    <w:right w:val="single" w:color="auto" w:sz="4" w:space="0"/>
                  </w:tcBorders>
                  <w:noWrap/>
                  <w:vAlign w:val="center"/>
                </w:tcPr>
                <w:p w14:paraId="41E7382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2"/>
                      <w:szCs w:val="22"/>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2CE95D1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2"/>
                      <w:szCs w:val="22"/>
                      <w:lang w:bidi="zh-CN"/>
                    </w:rPr>
                  </w:pPr>
                  <w:r>
                    <w:rPr>
                      <w:rFonts w:hint="eastAsia"/>
                      <w:color w:val="auto"/>
                      <w:sz w:val="22"/>
                      <w:szCs w:val="22"/>
                    </w:rPr>
                    <w:t>成品区</w:t>
                  </w:r>
                </w:p>
              </w:tc>
              <w:tc>
                <w:tcPr>
                  <w:tcW w:w="5759" w:type="dxa"/>
                  <w:tcBorders>
                    <w:top w:val="single" w:color="auto" w:sz="4" w:space="0"/>
                    <w:left w:val="single" w:color="auto" w:sz="4" w:space="0"/>
                    <w:bottom w:val="single" w:color="auto" w:sz="4" w:space="0"/>
                    <w:right w:val="single" w:color="auto" w:sz="4" w:space="0"/>
                  </w:tcBorders>
                  <w:noWrap/>
                  <w:vAlign w:val="center"/>
                </w:tcPr>
                <w:p w14:paraId="16EDF913">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eastAsia="宋体"/>
                      <w:color w:val="auto"/>
                      <w:sz w:val="22"/>
                      <w:szCs w:val="22"/>
                      <w:lang w:val="en-US" w:eastAsia="zh-CN"/>
                    </w:rPr>
                  </w:pPr>
                  <w:r>
                    <w:rPr>
                      <w:rFonts w:hint="eastAsia"/>
                      <w:color w:val="auto"/>
                      <w:sz w:val="22"/>
                      <w:szCs w:val="22"/>
                      <w:lang w:val="en-US" w:eastAsia="zh-CN"/>
                    </w:rPr>
                    <w:t>位于生产车间内西南部，占地面积300</w:t>
                  </w:r>
                  <w:r>
                    <w:rPr>
                      <w:color w:val="auto"/>
                      <w:sz w:val="22"/>
                      <w:szCs w:val="22"/>
                    </w:rPr>
                    <w:t>m</w:t>
                  </w:r>
                  <w:r>
                    <w:rPr>
                      <w:color w:val="auto"/>
                      <w:sz w:val="22"/>
                      <w:szCs w:val="22"/>
                      <w:vertAlign w:val="superscript"/>
                    </w:rPr>
                    <w:t>2</w:t>
                  </w:r>
                  <w:r>
                    <w:rPr>
                      <w:rFonts w:hint="eastAsia"/>
                      <w:color w:val="auto"/>
                      <w:sz w:val="22"/>
                      <w:szCs w:val="22"/>
                      <w:vertAlign w:val="baseline"/>
                      <w:lang w:eastAsia="zh-CN"/>
                    </w:rPr>
                    <w:t>，用于成品</w:t>
                  </w:r>
                  <w:r>
                    <w:rPr>
                      <w:rFonts w:hint="eastAsia"/>
                      <w:color w:val="auto"/>
                      <w:sz w:val="22"/>
                      <w:szCs w:val="22"/>
                      <w:vertAlign w:val="baseline"/>
                      <w:lang w:val="en-US" w:eastAsia="zh-CN"/>
                    </w:rPr>
                    <w:t>外售前的暂存。</w:t>
                  </w:r>
                </w:p>
              </w:tc>
              <w:tc>
                <w:tcPr>
                  <w:tcW w:w="777" w:type="dxa"/>
                  <w:vMerge w:val="continue"/>
                  <w:tcBorders>
                    <w:left w:val="single" w:color="auto" w:sz="4" w:space="0"/>
                    <w:right w:val="single" w:color="auto" w:sz="12" w:space="0"/>
                  </w:tcBorders>
                  <w:vAlign w:val="center"/>
                </w:tcPr>
                <w:p w14:paraId="38B30BB6">
                  <w:pPr>
                    <w:keepNext w:val="0"/>
                    <w:keepLines w:val="0"/>
                    <w:pageBreakBefore w:val="0"/>
                    <w:widowControl/>
                    <w:kinsoku/>
                    <w:wordWrap/>
                    <w:overflowPunct/>
                    <w:topLinePunct w:val="0"/>
                    <w:autoSpaceDE/>
                    <w:autoSpaceDN/>
                    <w:bidi w:val="0"/>
                    <w:spacing w:line="240" w:lineRule="auto"/>
                    <w:ind w:firstLine="0" w:firstLineChars="0"/>
                    <w:jc w:val="center"/>
                    <w:textAlignment w:val="auto"/>
                    <w:rPr>
                      <w:b/>
                      <w:color w:val="auto"/>
                      <w:sz w:val="22"/>
                      <w:szCs w:val="22"/>
                    </w:rPr>
                  </w:pPr>
                </w:p>
              </w:tc>
            </w:tr>
            <w:tr w14:paraId="45EBD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vMerge w:val="restart"/>
                  <w:tcBorders>
                    <w:top w:val="single" w:color="auto" w:sz="4" w:space="0"/>
                    <w:left w:val="single" w:color="auto" w:sz="12" w:space="0"/>
                    <w:bottom w:val="single" w:color="auto" w:sz="4" w:space="0"/>
                    <w:right w:val="single" w:color="auto" w:sz="4" w:space="0"/>
                  </w:tcBorders>
                  <w:noWrap/>
                  <w:vAlign w:val="center"/>
                </w:tcPr>
                <w:p w14:paraId="383BE71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2"/>
                      <w:szCs w:val="22"/>
                    </w:rPr>
                  </w:pPr>
                  <w:r>
                    <w:rPr>
                      <w:color w:val="auto"/>
                      <w:sz w:val="22"/>
                      <w:szCs w:val="22"/>
                    </w:rPr>
                    <w:t>公用工程</w:t>
                  </w:r>
                </w:p>
              </w:tc>
              <w:tc>
                <w:tcPr>
                  <w:tcW w:w="1273" w:type="dxa"/>
                  <w:tcBorders>
                    <w:top w:val="single" w:color="auto" w:sz="4" w:space="0"/>
                    <w:left w:val="single" w:color="auto" w:sz="4" w:space="0"/>
                    <w:bottom w:val="single" w:color="auto" w:sz="4" w:space="0"/>
                    <w:right w:val="single" w:color="auto" w:sz="4" w:space="0"/>
                  </w:tcBorders>
                  <w:noWrap/>
                  <w:vAlign w:val="center"/>
                </w:tcPr>
                <w:p w14:paraId="76AF67A9">
                  <w:pPr>
                    <w:keepNext w:val="0"/>
                    <w:keepLines w:val="0"/>
                    <w:pageBreakBefore w:val="0"/>
                    <w:kinsoku/>
                    <w:wordWrap/>
                    <w:overflowPunct/>
                    <w:topLinePunct w:val="0"/>
                    <w:autoSpaceDE/>
                    <w:autoSpaceDN/>
                    <w:bidi w:val="0"/>
                    <w:spacing w:line="240" w:lineRule="auto"/>
                    <w:ind w:firstLine="0" w:firstLineChars="0"/>
                    <w:jc w:val="center"/>
                    <w:textAlignment w:val="auto"/>
                    <w:rPr>
                      <w:color w:val="auto"/>
                      <w:sz w:val="22"/>
                      <w:szCs w:val="22"/>
                    </w:rPr>
                  </w:pPr>
                  <w:r>
                    <w:rPr>
                      <w:color w:val="auto"/>
                      <w:sz w:val="22"/>
                      <w:szCs w:val="22"/>
                    </w:rPr>
                    <w:t>给排水</w:t>
                  </w:r>
                </w:p>
              </w:tc>
              <w:tc>
                <w:tcPr>
                  <w:tcW w:w="5759" w:type="dxa"/>
                  <w:tcBorders>
                    <w:top w:val="single" w:color="auto" w:sz="4" w:space="0"/>
                    <w:left w:val="single" w:color="auto" w:sz="4" w:space="0"/>
                    <w:bottom w:val="single" w:color="auto" w:sz="4" w:space="0"/>
                    <w:right w:val="single" w:color="auto" w:sz="4" w:space="0"/>
                  </w:tcBorders>
                  <w:noWrap/>
                  <w:vAlign w:val="center"/>
                </w:tcPr>
                <w:p w14:paraId="4ADCBC9D">
                  <w:pPr>
                    <w:keepNext w:val="0"/>
                    <w:keepLines w:val="0"/>
                    <w:pageBreakBefore w:val="0"/>
                    <w:kinsoku/>
                    <w:wordWrap/>
                    <w:overflowPunct/>
                    <w:topLinePunct w:val="0"/>
                    <w:autoSpaceDE/>
                    <w:autoSpaceDN/>
                    <w:bidi w:val="0"/>
                    <w:spacing w:line="240" w:lineRule="auto"/>
                    <w:ind w:firstLine="0" w:firstLineChars="0"/>
                    <w:jc w:val="both"/>
                    <w:textAlignment w:val="auto"/>
                    <w:rPr>
                      <w:rFonts w:hint="default" w:eastAsia="宋体"/>
                      <w:color w:val="auto"/>
                      <w:sz w:val="22"/>
                      <w:szCs w:val="22"/>
                      <w:lang w:val="en-US" w:eastAsia="zh-CN"/>
                    </w:rPr>
                  </w:pPr>
                  <w:r>
                    <w:rPr>
                      <w:rFonts w:hint="eastAsia"/>
                      <w:color w:val="auto"/>
                      <w:sz w:val="22"/>
                      <w:szCs w:val="22"/>
                      <w:lang w:val="en-US" w:eastAsia="zh-CN"/>
                    </w:rPr>
                    <w:t>项目</w:t>
                  </w:r>
                  <w:r>
                    <w:rPr>
                      <w:rFonts w:hint="eastAsia"/>
                      <w:color w:val="auto"/>
                      <w:sz w:val="22"/>
                      <w:szCs w:val="22"/>
                      <w:lang w:eastAsia="zh-CN"/>
                    </w:rPr>
                    <w:t>用</w:t>
                  </w:r>
                  <w:r>
                    <w:rPr>
                      <w:color w:val="auto"/>
                      <w:sz w:val="22"/>
                      <w:szCs w:val="22"/>
                    </w:rPr>
                    <w:t>水由</w:t>
                  </w:r>
                  <w:r>
                    <w:rPr>
                      <w:rFonts w:hint="eastAsia"/>
                      <w:color w:val="auto"/>
                      <w:sz w:val="22"/>
                      <w:szCs w:val="22"/>
                      <w:lang w:val="en-US" w:eastAsia="zh-CN"/>
                    </w:rPr>
                    <w:t>当地自来水管网</w:t>
                  </w:r>
                  <w:r>
                    <w:rPr>
                      <w:color w:val="auto"/>
                      <w:sz w:val="22"/>
                      <w:szCs w:val="22"/>
                    </w:rPr>
                    <w:t>供给</w:t>
                  </w:r>
                  <w:r>
                    <w:rPr>
                      <w:rFonts w:hint="eastAsia"/>
                      <w:color w:val="auto"/>
                      <w:sz w:val="22"/>
                      <w:szCs w:val="22"/>
                      <w:lang w:eastAsia="zh-CN"/>
                    </w:rPr>
                    <w:t>，</w:t>
                  </w:r>
                  <w:r>
                    <w:rPr>
                      <w:color w:val="auto"/>
                      <w:sz w:val="22"/>
                      <w:szCs w:val="22"/>
                    </w:rPr>
                    <w:t>排水采取雨污分流制</w:t>
                  </w:r>
                  <w:r>
                    <w:rPr>
                      <w:rFonts w:hint="eastAsia"/>
                      <w:color w:val="auto"/>
                      <w:sz w:val="22"/>
                      <w:szCs w:val="22"/>
                      <w:lang w:eastAsia="zh-CN"/>
                    </w:rPr>
                    <w:t>。</w:t>
                  </w:r>
                  <w:r>
                    <w:rPr>
                      <w:rFonts w:hint="eastAsia"/>
                      <w:color w:val="auto"/>
                      <w:sz w:val="22"/>
                      <w:szCs w:val="22"/>
                      <w:lang w:val="en-US" w:eastAsia="zh-CN"/>
                    </w:rPr>
                    <w:t>运营期</w:t>
                  </w:r>
                  <w:r>
                    <w:rPr>
                      <w:rFonts w:hint="eastAsia"/>
                      <w:color w:val="auto"/>
                      <w:sz w:val="22"/>
                      <w:szCs w:val="22"/>
                      <w:lang w:eastAsia="zh-CN"/>
                    </w:rPr>
                    <w:t>无生产废水排放，生活污水</w:t>
                  </w:r>
                  <w:r>
                    <w:rPr>
                      <w:rFonts w:hint="eastAsia"/>
                      <w:color w:val="auto"/>
                      <w:sz w:val="22"/>
                      <w:szCs w:val="22"/>
                      <w:lang w:val="en-US" w:eastAsia="zh-CN"/>
                    </w:rPr>
                    <w:t>经</w:t>
                  </w:r>
                  <w:r>
                    <w:rPr>
                      <w:rFonts w:hint="eastAsia"/>
                      <w:color w:val="auto"/>
                      <w:sz w:val="22"/>
                      <w:szCs w:val="22"/>
                      <w:lang w:eastAsia="zh-CN"/>
                    </w:rPr>
                    <w:t>厂区化粪池处理后</w:t>
                  </w:r>
                  <w:r>
                    <w:rPr>
                      <w:rFonts w:hint="eastAsia"/>
                      <w:color w:val="auto"/>
                      <w:sz w:val="22"/>
                      <w:szCs w:val="22"/>
                      <w:lang w:val="en-US" w:eastAsia="zh-CN"/>
                    </w:rPr>
                    <w:t>定期委托环卫部门清运。</w:t>
                  </w:r>
                </w:p>
              </w:tc>
              <w:tc>
                <w:tcPr>
                  <w:tcW w:w="777" w:type="dxa"/>
                  <w:tcBorders>
                    <w:left w:val="single" w:color="auto" w:sz="4" w:space="0"/>
                    <w:right w:val="single" w:color="auto" w:sz="12" w:space="0"/>
                  </w:tcBorders>
                  <w:noWrap/>
                  <w:vAlign w:val="center"/>
                </w:tcPr>
                <w:p w14:paraId="114004B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2"/>
                      <w:szCs w:val="22"/>
                      <w:lang w:val="en-US" w:eastAsia="zh-CN"/>
                    </w:rPr>
                  </w:pPr>
                  <w:r>
                    <w:rPr>
                      <w:rFonts w:hint="eastAsia"/>
                      <w:color w:val="auto"/>
                      <w:sz w:val="22"/>
                      <w:szCs w:val="22"/>
                      <w:lang w:val="en-US" w:eastAsia="zh-CN"/>
                    </w:rPr>
                    <w:t>新建</w:t>
                  </w:r>
                </w:p>
              </w:tc>
            </w:tr>
            <w:tr w14:paraId="3485B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vMerge w:val="continue"/>
                  <w:tcBorders>
                    <w:top w:val="single" w:color="auto" w:sz="4" w:space="0"/>
                    <w:left w:val="single" w:color="auto" w:sz="12" w:space="0"/>
                    <w:bottom w:val="single" w:color="auto" w:sz="4" w:space="0"/>
                    <w:right w:val="single" w:color="auto" w:sz="4" w:space="0"/>
                  </w:tcBorders>
                  <w:vAlign w:val="center"/>
                </w:tcPr>
                <w:p w14:paraId="2EB06E21">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2"/>
                      <w:szCs w:val="22"/>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0937407B">
                  <w:pPr>
                    <w:keepNext w:val="0"/>
                    <w:keepLines w:val="0"/>
                    <w:pageBreakBefore w:val="0"/>
                    <w:kinsoku/>
                    <w:wordWrap/>
                    <w:overflowPunct/>
                    <w:topLinePunct w:val="0"/>
                    <w:autoSpaceDE/>
                    <w:autoSpaceDN/>
                    <w:bidi w:val="0"/>
                    <w:spacing w:line="240" w:lineRule="auto"/>
                    <w:ind w:firstLine="0" w:firstLineChars="0"/>
                    <w:jc w:val="center"/>
                    <w:textAlignment w:val="auto"/>
                    <w:rPr>
                      <w:color w:val="auto"/>
                      <w:sz w:val="22"/>
                      <w:szCs w:val="22"/>
                    </w:rPr>
                  </w:pPr>
                  <w:r>
                    <w:rPr>
                      <w:color w:val="auto"/>
                      <w:sz w:val="22"/>
                      <w:szCs w:val="22"/>
                    </w:rPr>
                    <w:t>供暖</w:t>
                  </w:r>
                </w:p>
              </w:tc>
              <w:tc>
                <w:tcPr>
                  <w:tcW w:w="5759" w:type="dxa"/>
                  <w:tcBorders>
                    <w:top w:val="single" w:color="auto" w:sz="4" w:space="0"/>
                    <w:left w:val="single" w:color="auto" w:sz="4" w:space="0"/>
                    <w:bottom w:val="single" w:color="auto" w:sz="4" w:space="0"/>
                    <w:right w:val="single" w:color="auto" w:sz="4" w:space="0"/>
                  </w:tcBorders>
                  <w:noWrap/>
                  <w:vAlign w:val="center"/>
                </w:tcPr>
                <w:p w14:paraId="47878996">
                  <w:pPr>
                    <w:keepNext w:val="0"/>
                    <w:keepLines w:val="0"/>
                    <w:pageBreakBefore w:val="0"/>
                    <w:kinsoku/>
                    <w:wordWrap/>
                    <w:overflowPunct/>
                    <w:topLinePunct w:val="0"/>
                    <w:autoSpaceDE/>
                    <w:autoSpaceDN/>
                    <w:bidi w:val="0"/>
                    <w:spacing w:line="240" w:lineRule="auto"/>
                    <w:ind w:firstLine="0" w:firstLineChars="0"/>
                    <w:jc w:val="both"/>
                    <w:textAlignment w:val="auto"/>
                    <w:rPr>
                      <w:rFonts w:hint="eastAsia" w:eastAsia="宋体"/>
                      <w:color w:val="auto"/>
                      <w:sz w:val="22"/>
                      <w:szCs w:val="22"/>
                      <w:lang w:eastAsia="zh-CN"/>
                    </w:rPr>
                  </w:pPr>
                  <w:r>
                    <w:rPr>
                      <w:rFonts w:hint="eastAsia" w:cs="Times New Roman"/>
                      <w:color w:val="auto"/>
                      <w:sz w:val="22"/>
                      <w:szCs w:val="22"/>
                      <w:lang w:val="en-US" w:eastAsia="zh-CN"/>
                    </w:rPr>
                    <w:t>项目生产不用热</w:t>
                  </w:r>
                  <w:r>
                    <w:rPr>
                      <w:color w:val="auto"/>
                      <w:sz w:val="22"/>
                      <w:szCs w:val="22"/>
                    </w:rPr>
                    <w:t>，</w:t>
                  </w:r>
                  <w:r>
                    <w:rPr>
                      <w:rFonts w:hint="eastAsia"/>
                      <w:color w:val="auto"/>
                      <w:sz w:val="22"/>
                      <w:szCs w:val="22"/>
                      <w:lang w:val="en-US" w:eastAsia="zh-CN"/>
                    </w:rPr>
                    <w:t>办公区</w:t>
                  </w:r>
                  <w:r>
                    <w:rPr>
                      <w:color w:val="auto"/>
                      <w:sz w:val="22"/>
                      <w:szCs w:val="22"/>
                    </w:rPr>
                    <w:t>冬季取暖采用空调</w:t>
                  </w:r>
                  <w:r>
                    <w:rPr>
                      <w:rFonts w:hint="eastAsia"/>
                      <w:color w:val="auto"/>
                      <w:sz w:val="22"/>
                      <w:szCs w:val="22"/>
                      <w:lang w:eastAsia="zh-CN"/>
                    </w:rPr>
                    <w:t>。</w:t>
                  </w:r>
                </w:p>
              </w:tc>
              <w:tc>
                <w:tcPr>
                  <w:tcW w:w="777" w:type="dxa"/>
                  <w:tcBorders>
                    <w:left w:val="single" w:color="auto" w:sz="4" w:space="0"/>
                    <w:right w:val="single" w:color="auto" w:sz="12" w:space="0"/>
                  </w:tcBorders>
                  <w:vAlign w:val="center"/>
                </w:tcPr>
                <w:p w14:paraId="1473A29C">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2"/>
                      <w:szCs w:val="22"/>
                    </w:rPr>
                  </w:pPr>
                  <w:r>
                    <w:rPr>
                      <w:rFonts w:hint="eastAsia"/>
                      <w:color w:val="auto"/>
                      <w:sz w:val="22"/>
                      <w:szCs w:val="22"/>
                      <w:lang w:val="en-US" w:eastAsia="zh-CN"/>
                    </w:rPr>
                    <w:t>新建</w:t>
                  </w:r>
                </w:p>
              </w:tc>
            </w:tr>
            <w:tr w14:paraId="3C5BE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62" w:type="dxa"/>
                  <w:vMerge w:val="continue"/>
                  <w:tcBorders>
                    <w:top w:val="single" w:color="auto" w:sz="4" w:space="0"/>
                    <w:left w:val="single" w:color="auto" w:sz="12" w:space="0"/>
                    <w:bottom w:val="single" w:color="auto" w:sz="4" w:space="0"/>
                    <w:right w:val="single" w:color="auto" w:sz="4" w:space="0"/>
                  </w:tcBorders>
                  <w:vAlign w:val="center"/>
                </w:tcPr>
                <w:p w14:paraId="7E8C9764">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2"/>
                      <w:szCs w:val="22"/>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72D191A1">
                  <w:pPr>
                    <w:keepNext w:val="0"/>
                    <w:keepLines w:val="0"/>
                    <w:pageBreakBefore w:val="0"/>
                    <w:kinsoku/>
                    <w:wordWrap/>
                    <w:overflowPunct/>
                    <w:topLinePunct w:val="0"/>
                    <w:autoSpaceDE/>
                    <w:autoSpaceDN/>
                    <w:bidi w:val="0"/>
                    <w:spacing w:line="240" w:lineRule="auto"/>
                    <w:ind w:firstLine="0" w:firstLineChars="0"/>
                    <w:jc w:val="center"/>
                    <w:textAlignment w:val="auto"/>
                    <w:rPr>
                      <w:color w:val="auto"/>
                      <w:sz w:val="22"/>
                      <w:szCs w:val="22"/>
                    </w:rPr>
                  </w:pPr>
                  <w:r>
                    <w:rPr>
                      <w:color w:val="auto"/>
                      <w:sz w:val="22"/>
                      <w:szCs w:val="22"/>
                    </w:rPr>
                    <w:t>供电</w:t>
                  </w:r>
                </w:p>
              </w:tc>
              <w:tc>
                <w:tcPr>
                  <w:tcW w:w="5759" w:type="dxa"/>
                  <w:tcBorders>
                    <w:top w:val="single" w:color="auto" w:sz="4" w:space="0"/>
                    <w:left w:val="single" w:color="auto" w:sz="4" w:space="0"/>
                    <w:bottom w:val="single" w:color="auto" w:sz="4" w:space="0"/>
                    <w:right w:val="single" w:color="auto" w:sz="4" w:space="0"/>
                  </w:tcBorders>
                  <w:noWrap/>
                  <w:vAlign w:val="center"/>
                </w:tcPr>
                <w:p w14:paraId="1CA95536">
                  <w:pPr>
                    <w:keepNext w:val="0"/>
                    <w:keepLines w:val="0"/>
                    <w:pageBreakBefore w:val="0"/>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sz w:val="22"/>
                      <w:szCs w:val="22"/>
                      <w:lang w:val="en-US" w:eastAsia="zh-CN"/>
                    </w:rPr>
                    <w:t>由</w:t>
                  </w:r>
                  <w:r>
                    <w:rPr>
                      <w:rFonts w:hint="eastAsia" w:cs="Times New Roman"/>
                      <w:color w:val="auto"/>
                      <w:sz w:val="22"/>
                      <w:szCs w:val="22"/>
                      <w:lang w:val="en-US" w:eastAsia="zh-CN"/>
                    </w:rPr>
                    <w:t>当地</w:t>
                  </w:r>
                  <w:r>
                    <w:rPr>
                      <w:rFonts w:hint="eastAsia" w:ascii="Times New Roman" w:hAnsi="Times New Roman" w:eastAsia="宋体" w:cs="Times New Roman"/>
                      <w:color w:val="auto"/>
                      <w:sz w:val="22"/>
                      <w:szCs w:val="22"/>
                      <w:lang w:val="en-US" w:eastAsia="zh-CN"/>
                    </w:rPr>
                    <w:t>供电系统供给，年用电量</w:t>
                  </w:r>
                  <w:r>
                    <w:rPr>
                      <w:rFonts w:hint="eastAsia" w:cs="Times New Roman"/>
                      <w:color w:val="auto"/>
                      <w:sz w:val="22"/>
                      <w:szCs w:val="22"/>
                      <w:lang w:val="en-US" w:eastAsia="zh-CN"/>
                    </w:rPr>
                    <w:t>约50</w:t>
                  </w:r>
                  <w:r>
                    <w:rPr>
                      <w:rFonts w:hint="eastAsia" w:ascii="Times New Roman" w:hAnsi="Times New Roman" w:eastAsia="宋体" w:cs="Times New Roman"/>
                      <w:color w:val="auto"/>
                      <w:sz w:val="22"/>
                      <w:szCs w:val="22"/>
                      <w:lang w:val="en-US" w:eastAsia="zh-CN"/>
                    </w:rPr>
                    <w:t>万kWh</w:t>
                  </w:r>
                  <w:r>
                    <w:rPr>
                      <w:rFonts w:hint="eastAsia" w:cs="Times New Roman"/>
                      <w:color w:val="auto"/>
                      <w:sz w:val="22"/>
                      <w:szCs w:val="22"/>
                      <w:lang w:val="en-US" w:eastAsia="zh-CN"/>
                    </w:rPr>
                    <w:t>。</w:t>
                  </w:r>
                </w:p>
              </w:tc>
              <w:tc>
                <w:tcPr>
                  <w:tcW w:w="777" w:type="dxa"/>
                  <w:tcBorders>
                    <w:left w:val="single" w:color="auto" w:sz="4" w:space="0"/>
                    <w:bottom w:val="single" w:color="auto" w:sz="4" w:space="0"/>
                    <w:right w:val="single" w:color="auto" w:sz="12" w:space="0"/>
                  </w:tcBorders>
                  <w:vAlign w:val="center"/>
                </w:tcPr>
                <w:p w14:paraId="3C9CE8E1">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2"/>
                      <w:szCs w:val="22"/>
                    </w:rPr>
                  </w:pPr>
                  <w:r>
                    <w:rPr>
                      <w:rFonts w:hint="eastAsia"/>
                      <w:color w:val="auto"/>
                      <w:sz w:val="22"/>
                      <w:szCs w:val="22"/>
                      <w:lang w:val="en-US" w:eastAsia="zh-CN"/>
                    </w:rPr>
                    <w:t>新建</w:t>
                  </w:r>
                </w:p>
              </w:tc>
            </w:tr>
            <w:tr w14:paraId="1E6C8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vMerge w:val="restart"/>
                  <w:tcBorders>
                    <w:top w:val="single" w:color="auto" w:sz="4" w:space="0"/>
                    <w:left w:val="single" w:color="auto" w:sz="12" w:space="0"/>
                    <w:bottom w:val="single" w:color="auto" w:sz="12" w:space="0"/>
                    <w:right w:val="single" w:color="auto" w:sz="4" w:space="0"/>
                  </w:tcBorders>
                  <w:noWrap/>
                  <w:vAlign w:val="center"/>
                </w:tcPr>
                <w:p w14:paraId="79C9F57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2"/>
                      <w:szCs w:val="22"/>
                    </w:rPr>
                  </w:pPr>
                  <w:r>
                    <w:rPr>
                      <w:color w:val="auto"/>
                      <w:sz w:val="22"/>
                      <w:szCs w:val="22"/>
                    </w:rPr>
                    <w:t>环保工程</w:t>
                  </w:r>
                </w:p>
              </w:tc>
              <w:tc>
                <w:tcPr>
                  <w:tcW w:w="1273" w:type="dxa"/>
                  <w:tcBorders>
                    <w:top w:val="single" w:color="auto" w:sz="4" w:space="0"/>
                    <w:left w:val="single" w:color="auto" w:sz="4" w:space="0"/>
                    <w:bottom w:val="single" w:color="auto" w:sz="4" w:space="0"/>
                    <w:right w:val="single" w:color="auto" w:sz="4" w:space="0"/>
                  </w:tcBorders>
                  <w:noWrap/>
                  <w:vAlign w:val="center"/>
                </w:tcPr>
                <w:p w14:paraId="0E8384F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2"/>
                      <w:szCs w:val="22"/>
                      <w:highlight w:val="none"/>
                    </w:rPr>
                  </w:pPr>
                  <w:r>
                    <w:rPr>
                      <w:color w:val="auto"/>
                      <w:sz w:val="22"/>
                      <w:szCs w:val="22"/>
                      <w:highlight w:val="none"/>
                    </w:rPr>
                    <w:t>废气处理</w:t>
                  </w:r>
                </w:p>
              </w:tc>
              <w:tc>
                <w:tcPr>
                  <w:tcW w:w="5759" w:type="dxa"/>
                  <w:tcBorders>
                    <w:top w:val="single" w:color="auto" w:sz="4" w:space="0"/>
                    <w:left w:val="single" w:color="auto" w:sz="4" w:space="0"/>
                    <w:bottom w:val="single" w:color="auto" w:sz="4" w:space="0"/>
                    <w:right w:val="single" w:color="auto" w:sz="4" w:space="0"/>
                  </w:tcBorders>
                  <w:noWrap/>
                  <w:vAlign w:val="top"/>
                </w:tcPr>
                <w:p w14:paraId="3E9EE9D2">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color w:val="auto"/>
                      <w:highlight w:val="none"/>
                      <w:lang w:val="en-US" w:eastAsia="zh-CN"/>
                    </w:rPr>
                  </w:pPr>
                  <w:r>
                    <w:rPr>
                      <w:rFonts w:hint="eastAsia"/>
                      <w:color w:val="0000FF"/>
                      <w:sz w:val="22"/>
                      <w:szCs w:val="22"/>
                      <w:highlight w:val="none"/>
                      <w:lang w:val="en-US" w:eastAsia="zh-CN"/>
                    </w:rPr>
                    <w:t>项目采用下吸风、密闭投料方式，并分别在各包装机出料口上方设置半封闭集气罩，搅拌罐加盖密闭运行，在呼吸口上方连接集气管道对运营期产生的粉尘进行收集，收集的粉尘经引风管道汇合后集中通入一套脉冲布袋除尘器进行处理，尾气由1根15m高排气筒DA001高空排放。集气装置未收集到的颗粒物车间内无组织排放</w:t>
                  </w:r>
                  <w:r>
                    <w:rPr>
                      <w:rFonts w:hint="eastAsia"/>
                      <w:color w:val="auto"/>
                      <w:sz w:val="22"/>
                      <w:szCs w:val="22"/>
                      <w:highlight w:val="none"/>
                      <w:lang w:val="en-US" w:eastAsia="zh-CN"/>
                    </w:rPr>
                    <w:t>。</w:t>
                  </w:r>
                </w:p>
              </w:tc>
              <w:tc>
                <w:tcPr>
                  <w:tcW w:w="777" w:type="dxa"/>
                  <w:vMerge w:val="restart"/>
                  <w:tcBorders>
                    <w:top w:val="single" w:color="auto" w:sz="4" w:space="0"/>
                    <w:left w:val="single" w:color="auto" w:sz="4" w:space="0"/>
                    <w:bottom w:val="single" w:color="auto" w:sz="12" w:space="0"/>
                    <w:right w:val="single" w:color="auto" w:sz="12" w:space="0"/>
                  </w:tcBorders>
                  <w:noWrap/>
                  <w:vAlign w:val="center"/>
                </w:tcPr>
                <w:p w14:paraId="4570DBC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2"/>
                      <w:szCs w:val="22"/>
                    </w:rPr>
                  </w:pPr>
                  <w:r>
                    <w:rPr>
                      <w:color w:val="auto"/>
                      <w:sz w:val="22"/>
                      <w:szCs w:val="22"/>
                    </w:rPr>
                    <w:t>严格执行“三同时”制度</w:t>
                  </w:r>
                </w:p>
              </w:tc>
            </w:tr>
            <w:tr w14:paraId="6F2CC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vMerge w:val="continue"/>
                  <w:tcBorders>
                    <w:top w:val="single" w:color="auto" w:sz="4" w:space="0"/>
                    <w:left w:val="single" w:color="auto" w:sz="12" w:space="0"/>
                    <w:bottom w:val="single" w:color="auto" w:sz="12" w:space="0"/>
                    <w:right w:val="single" w:color="auto" w:sz="4" w:space="0"/>
                  </w:tcBorders>
                  <w:vAlign w:val="center"/>
                </w:tcPr>
                <w:p w14:paraId="6BA9A5C7">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2"/>
                      <w:szCs w:val="22"/>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462B0DF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2"/>
                      <w:szCs w:val="22"/>
                      <w:highlight w:val="none"/>
                    </w:rPr>
                  </w:pPr>
                  <w:r>
                    <w:rPr>
                      <w:color w:val="auto"/>
                      <w:sz w:val="22"/>
                      <w:szCs w:val="22"/>
                      <w:highlight w:val="none"/>
                    </w:rPr>
                    <w:t>废水处理</w:t>
                  </w:r>
                </w:p>
              </w:tc>
              <w:tc>
                <w:tcPr>
                  <w:tcW w:w="5759" w:type="dxa"/>
                  <w:tcBorders>
                    <w:top w:val="single" w:color="auto" w:sz="4" w:space="0"/>
                    <w:left w:val="single" w:color="auto" w:sz="4" w:space="0"/>
                    <w:bottom w:val="single" w:color="auto" w:sz="4" w:space="0"/>
                    <w:right w:val="single" w:color="auto" w:sz="4" w:space="0"/>
                  </w:tcBorders>
                  <w:noWrap/>
                  <w:vAlign w:val="center"/>
                </w:tcPr>
                <w:p w14:paraId="400CEF8A">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项目厂区抑尘用水全部蒸发损耗，洗车台用水循环使用，定期补充损耗，无生产废水排放。生活污水经化粪池处理后定期委托环卫部门清运。</w:t>
                  </w:r>
                </w:p>
              </w:tc>
              <w:tc>
                <w:tcPr>
                  <w:tcW w:w="777" w:type="dxa"/>
                  <w:vMerge w:val="continue"/>
                  <w:tcBorders>
                    <w:top w:val="single" w:color="auto" w:sz="4" w:space="0"/>
                    <w:left w:val="single" w:color="auto" w:sz="4" w:space="0"/>
                    <w:bottom w:val="single" w:color="auto" w:sz="12" w:space="0"/>
                    <w:right w:val="single" w:color="auto" w:sz="12" w:space="0"/>
                  </w:tcBorders>
                  <w:vAlign w:val="center"/>
                </w:tcPr>
                <w:p w14:paraId="28B9B656">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2"/>
                      <w:szCs w:val="22"/>
                    </w:rPr>
                  </w:pPr>
                </w:p>
              </w:tc>
            </w:tr>
            <w:tr w14:paraId="379B4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vMerge w:val="continue"/>
                  <w:tcBorders>
                    <w:top w:val="single" w:color="auto" w:sz="4" w:space="0"/>
                    <w:left w:val="single" w:color="auto" w:sz="12" w:space="0"/>
                    <w:bottom w:val="single" w:color="auto" w:sz="12" w:space="0"/>
                    <w:right w:val="single" w:color="auto" w:sz="4" w:space="0"/>
                  </w:tcBorders>
                  <w:vAlign w:val="center"/>
                </w:tcPr>
                <w:p w14:paraId="660EFE32">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2"/>
                      <w:szCs w:val="22"/>
                    </w:rPr>
                  </w:pPr>
                </w:p>
              </w:tc>
              <w:tc>
                <w:tcPr>
                  <w:tcW w:w="1273" w:type="dxa"/>
                  <w:tcBorders>
                    <w:top w:val="single" w:color="auto" w:sz="4" w:space="0"/>
                    <w:left w:val="single" w:color="auto" w:sz="4" w:space="0"/>
                    <w:bottom w:val="single" w:color="auto" w:sz="4" w:space="0"/>
                    <w:right w:val="single" w:color="auto" w:sz="4" w:space="0"/>
                  </w:tcBorders>
                  <w:noWrap/>
                  <w:vAlign w:val="center"/>
                </w:tcPr>
                <w:p w14:paraId="207ED71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2"/>
                      <w:szCs w:val="22"/>
                      <w:highlight w:val="none"/>
                    </w:rPr>
                  </w:pPr>
                  <w:r>
                    <w:rPr>
                      <w:color w:val="auto"/>
                      <w:sz w:val="22"/>
                      <w:szCs w:val="22"/>
                      <w:highlight w:val="none"/>
                    </w:rPr>
                    <w:t>噪声处理</w:t>
                  </w:r>
                </w:p>
              </w:tc>
              <w:tc>
                <w:tcPr>
                  <w:tcW w:w="5759" w:type="dxa"/>
                  <w:tcBorders>
                    <w:top w:val="single" w:color="auto" w:sz="4" w:space="0"/>
                    <w:left w:val="single" w:color="auto" w:sz="4" w:space="0"/>
                    <w:bottom w:val="single" w:color="auto" w:sz="4" w:space="0"/>
                    <w:right w:val="single" w:color="auto" w:sz="4" w:space="0"/>
                  </w:tcBorders>
                  <w:noWrap/>
                  <w:vAlign w:val="center"/>
                </w:tcPr>
                <w:p w14:paraId="78EAF3A3">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Times New Roman" w:hAnsi="Times New Roman" w:eastAsia="宋体" w:cs="Times New Roman"/>
                      <w:color w:val="auto"/>
                      <w:kern w:val="2"/>
                      <w:sz w:val="22"/>
                      <w:szCs w:val="22"/>
                      <w:highlight w:val="none"/>
                      <w:lang w:val="en-US" w:eastAsia="zh-CN" w:bidi="ar-SA"/>
                    </w:rPr>
                  </w:pPr>
                  <w:r>
                    <w:rPr>
                      <w:color w:val="auto"/>
                      <w:sz w:val="22"/>
                      <w:szCs w:val="22"/>
                      <w:highlight w:val="none"/>
                    </w:rPr>
                    <w:t>各机械设备安装时采用加大减震基础，安装减震装置</w:t>
                  </w:r>
                  <w:r>
                    <w:rPr>
                      <w:rFonts w:hint="eastAsia"/>
                      <w:color w:val="auto"/>
                      <w:sz w:val="22"/>
                      <w:szCs w:val="22"/>
                      <w:highlight w:val="none"/>
                      <w:lang w:eastAsia="zh-CN"/>
                    </w:rPr>
                    <w:t>；</w:t>
                  </w:r>
                  <w:r>
                    <w:rPr>
                      <w:color w:val="auto"/>
                      <w:sz w:val="22"/>
                      <w:szCs w:val="22"/>
                      <w:highlight w:val="none"/>
                    </w:rPr>
                    <w:t>采用隔声门、窗，加强厂房门窗密闭性</w:t>
                  </w:r>
                  <w:r>
                    <w:rPr>
                      <w:rFonts w:hint="eastAsia"/>
                      <w:color w:val="auto"/>
                      <w:sz w:val="22"/>
                      <w:szCs w:val="22"/>
                      <w:highlight w:val="none"/>
                      <w:lang w:eastAsia="zh-CN"/>
                    </w:rPr>
                    <w:t>；</w:t>
                  </w:r>
                  <w:r>
                    <w:rPr>
                      <w:color w:val="auto"/>
                      <w:sz w:val="22"/>
                      <w:szCs w:val="22"/>
                      <w:highlight w:val="none"/>
                    </w:rPr>
                    <w:t>加强管理，经常保养和维护生产设备，避免设备在不良状态下运行</w:t>
                  </w:r>
                  <w:r>
                    <w:rPr>
                      <w:rFonts w:hint="eastAsia"/>
                      <w:color w:val="auto"/>
                      <w:sz w:val="22"/>
                      <w:szCs w:val="22"/>
                      <w:highlight w:val="none"/>
                      <w:lang w:eastAsia="zh-CN"/>
                    </w:rPr>
                    <w:t>。</w:t>
                  </w:r>
                </w:p>
              </w:tc>
              <w:tc>
                <w:tcPr>
                  <w:tcW w:w="777" w:type="dxa"/>
                  <w:vMerge w:val="continue"/>
                  <w:tcBorders>
                    <w:top w:val="single" w:color="auto" w:sz="4" w:space="0"/>
                    <w:left w:val="single" w:color="auto" w:sz="4" w:space="0"/>
                    <w:bottom w:val="single" w:color="auto" w:sz="12" w:space="0"/>
                    <w:right w:val="single" w:color="auto" w:sz="12" w:space="0"/>
                  </w:tcBorders>
                  <w:vAlign w:val="center"/>
                </w:tcPr>
                <w:p w14:paraId="59230AFA">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2"/>
                      <w:szCs w:val="22"/>
                    </w:rPr>
                  </w:pPr>
                </w:p>
              </w:tc>
            </w:tr>
            <w:tr w14:paraId="02C1D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vMerge w:val="continue"/>
                  <w:tcBorders>
                    <w:top w:val="single" w:color="auto" w:sz="4" w:space="0"/>
                    <w:left w:val="single" w:color="auto" w:sz="12" w:space="0"/>
                    <w:bottom w:val="single" w:color="auto" w:sz="12" w:space="0"/>
                    <w:right w:val="single" w:color="auto" w:sz="4" w:space="0"/>
                  </w:tcBorders>
                  <w:vAlign w:val="center"/>
                </w:tcPr>
                <w:p w14:paraId="56DD80A0">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2"/>
                      <w:szCs w:val="22"/>
                    </w:rPr>
                  </w:pPr>
                </w:p>
              </w:tc>
              <w:tc>
                <w:tcPr>
                  <w:tcW w:w="1273" w:type="dxa"/>
                  <w:tcBorders>
                    <w:top w:val="single" w:color="auto" w:sz="4" w:space="0"/>
                    <w:left w:val="single" w:color="auto" w:sz="4" w:space="0"/>
                    <w:bottom w:val="single" w:color="auto" w:sz="12" w:space="0"/>
                    <w:right w:val="single" w:color="auto" w:sz="4" w:space="0"/>
                  </w:tcBorders>
                  <w:noWrap/>
                  <w:vAlign w:val="center"/>
                </w:tcPr>
                <w:p w14:paraId="76AFCE3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2"/>
                      <w:szCs w:val="22"/>
                      <w:highlight w:val="none"/>
                    </w:rPr>
                  </w:pPr>
                  <w:r>
                    <w:rPr>
                      <w:color w:val="auto"/>
                      <w:sz w:val="22"/>
                      <w:szCs w:val="22"/>
                      <w:highlight w:val="none"/>
                    </w:rPr>
                    <w:t>固废处理</w:t>
                  </w:r>
                </w:p>
              </w:tc>
              <w:tc>
                <w:tcPr>
                  <w:tcW w:w="5759" w:type="dxa"/>
                  <w:tcBorders>
                    <w:top w:val="single" w:color="auto" w:sz="4" w:space="0"/>
                    <w:left w:val="single" w:color="auto" w:sz="4" w:space="0"/>
                    <w:bottom w:val="single" w:color="auto" w:sz="12" w:space="0"/>
                    <w:right w:val="single" w:color="auto" w:sz="4" w:space="0"/>
                  </w:tcBorders>
                  <w:noWrap/>
                  <w:vAlign w:val="center"/>
                </w:tcPr>
                <w:p w14:paraId="4069085B">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Times New Roman" w:hAnsi="Times New Roman" w:eastAsia="宋体" w:cs="Times New Roman"/>
                      <w:color w:val="auto"/>
                      <w:kern w:val="2"/>
                      <w:sz w:val="22"/>
                      <w:szCs w:val="22"/>
                      <w:highlight w:val="none"/>
                      <w:lang w:val="en-GB" w:eastAsia="zh-CN" w:bidi="ar-SA"/>
                    </w:rPr>
                  </w:pPr>
                  <w:r>
                    <w:rPr>
                      <w:rFonts w:hint="eastAsia"/>
                      <w:color w:val="auto"/>
                      <w:sz w:val="22"/>
                      <w:szCs w:val="22"/>
                      <w:highlight w:val="none"/>
                      <w:lang w:val="en-US" w:eastAsia="zh-CN"/>
                    </w:rPr>
                    <w:t>原料拆包产生废包装袋、沉淀池沉渣、废布袋外售综合利用；除尘器、地面清扫</w:t>
                  </w:r>
                  <w:r>
                    <w:rPr>
                      <w:rFonts w:hint="default"/>
                      <w:color w:val="auto"/>
                      <w:sz w:val="22"/>
                      <w:szCs w:val="22"/>
                      <w:highlight w:val="none"/>
                      <w:lang w:val="en-US" w:eastAsia="zh-CN"/>
                    </w:rPr>
                    <w:t>收集</w:t>
                  </w:r>
                  <w:r>
                    <w:rPr>
                      <w:rFonts w:hint="eastAsia"/>
                      <w:color w:val="auto"/>
                      <w:sz w:val="22"/>
                      <w:szCs w:val="22"/>
                      <w:highlight w:val="none"/>
                      <w:lang w:val="en-US" w:eastAsia="zh-CN"/>
                    </w:rPr>
                    <w:t>的粉</w:t>
                  </w:r>
                  <w:r>
                    <w:rPr>
                      <w:rFonts w:hint="default"/>
                      <w:color w:val="auto"/>
                      <w:sz w:val="22"/>
                      <w:szCs w:val="22"/>
                      <w:highlight w:val="none"/>
                      <w:lang w:val="en-US" w:eastAsia="zh-CN"/>
                    </w:rPr>
                    <w:t>尘</w:t>
                  </w:r>
                  <w:r>
                    <w:rPr>
                      <w:rFonts w:hint="default"/>
                      <w:color w:val="auto"/>
                      <w:sz w:val="22"/>
                      <w:szCs w:val="22"/>
                      <w:highlight w:val="none"/>
                    </w:rPr>
                    <w:t>收集后回用于生产；</w:t>
                  </w:r>
                  <w:r>
                    <w:rPr>
                      <w:color w:val="auto"/>
                      <w:sz w:val="22"/>
                      <w:szCs w:val="22"/>
                      <w:highlight w:val="none"/>
                    </w:rPr>
                    <w:t>生活垃圾由环卫部门</w:t>
                  </w:r>
                  <w:r>
                    <w:rPr>
                      <w:rFonts w:hint="eastAsia"/>
                      <w:color w:val="auto"/>
                      <w:sz w:val="22"/>
                      <w:szCs w:val="22"/>
                      <w:highlight w:val="none"/>
                      <w:lang w:eastAsia="zh-CN"/>
                    </w:rPr>
                    <w:t>定期</w:t>
                  </w:r>
                  <w:r>
                    <w:rPr>
                      <w:color w:val="auto"/>
                      <w:sz w:val="22"/>
                      <w:szCs w:val="22"/>
                      <w:highlight w:val="none"/>
                    </w:rPr>
                    <w:t>清运</w:t>
                  </w:r>
                  <w:r>
                    <w:rPr>
                      <w:rFonts w:hint="eastAsia"/>
                      <w:color w:val="auto"/>
                      <w:sz w:val="22"/>
                      <w:szCs w:val="22"/>
                      <w:highlight w:val="none"/>
                      <w:lang w:eastAsia="zh-CN"/>
                    </w:rPr>
                    <w:t>。</w:t>
                  </w:r>
                </w:p>
              </w:tc>
              <w:tc>
                <w:tcPr>
                  <w:tcW w:w="777" w:type="dxa"/>
                  <w:vMerge w:val="continue"/>
                  <w:tcBorders>
                    <w:top w:val="single" w:color="auto" w:sz="4" w:space="0"/>
                    <w:left w:val="single" w:color="auto" w:sz="4" w:space="0"/>
                    <w:bottom w:val="single" w:color="auto" w:sz="12" w:space="0"/>
                    <w:right w:val="single" w:color="auto" w:sz="12" w:space="0"/>
                  </w:tcBorders>
                  <w:vAlign w:val="center"/>
                </w:tcPr>
                <w:p w14:paraId="25B1726E">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2"/>
                      <w:szCs w:val="22"/>
                    </w:rPr>
                  </w:pPr>
                </w:p>
              </w:tc>
            </w:tr>
          </w:tbl>
          <w:p w14:paraId="22EBA7E7">
            <w:pPr>
              <w:spacing w:line="360" w:lineRule="auto"/>
              <w:ind w:firstLine="480"/>
              <w:rPr>
                <w:b/>
                <w:color w:val="auto"/>
                <w:sz w:val="24"/>
              </w:rPr>
            </w:pPr>
            <w:r>
              <w:rPr>
                <w:rFonts w:hint="eastAsia"/>
                <w:b/>
                <w:color w:val="auto"/>
                <w:sz w:val="24"/>
                <w:lang w:val="en-US" w:eastAsia="zh-CN"/>
              </w:rPr>
              <w:t>2</w:t>
            </w:r>
            <w:r>
              <w:rPr>
                <w:b/>
                <w:color w:val="auto"/>
                <w:sz w:val="24"/>
              </w:rPr>
              <w:t>、产品方案</w:t>
            </w:r>
          </w:p>
          <w:p w14:paraId="5733C5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b/>
                <w:bCs/>
                <w:color w:val="auto"/>
                <w:sz w:val="24"/>
              </w:rPr>
            </w:pPr>
            <w:r>
              <w:rPr>
                <w:b/>
                <w:bCs/>
                <w:color w:val="auto"/>
                <w:sz w:val="24"/>
              </w:rPr>
              <w:t>表2-2</w:t>
            </w:r>
            <w:r>
              <w:rPr>
                <w:rFonts w:hint="eastAsia"/>
                <w:b/>
                <w:bCs/>
                <w:color w:val="auto"/>
                <w:sz w:val="24"/>
                <w:lang w:val="en-US" w:eastAsia="zh-CN"/>
              </w:rPr>
              <w:t xml:space="preserve"> </w:t>
            </w:r>
            <w:r>
              <w:rPr>
                <w:rFonts w:hint="eastAsia"/>
                <w:b/>
                <w:bCs/>
                <w:color w:val="auto"/>
                <w:sz w:val="24"/>
                <w:szCs w:val="24"/>
                <w:lang w:eastAsia="zh-CN"/>
              </w:rPr>
              <w:t>项目</w:t>
            </w:r>
            <w:r>
              <w:rPr>
                <w:b/>
                <w:bCs/>
                <w:color w:val="auto"/>
                <w:sz w:val="24"/>
                <w:szCs w:val="24"/>
              </w:rPr>
              <w:t>产品方案一览表</w:t>
            </w:r>
          </w:p>
          <w:tbl>
            <w:tblPr>
              <w:tblStyle w:val="33"/>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250"/>
              <w:gridCol w:w="2040"/>
              <w:gridCol w:w="2318"/>
            </w:tblGrid>
            <w:tr w14:paraId="5E8D2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2463" w:type="dxa"/>
                  <w:noWrap w:val="0"/>
                  <w:vAlign w:val="center"/>
                </w:tcPr>
                <w:p w14:paraId="11B0382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b/>
                      <w:bCs/>
                      <w:color w:val="auto"/>
                      <w:sz w:val="22"/>
                      <w:szCs w:val="22"/>
                    </w:rPr>
                  </w:pPr>
                  <w:bookmarkStart w:id="1" w:name="bookmark246"/>
                  <w:bookmarkStart w:id="2" w:name="bookmark247"/>
                  <w:bookmarkStart w:id="3" w:name="bookmark248"/>
                  <w:r>
                    <w:rPr>
                      <w:b/>
                      <w:bCs/>
                      <w:color w:val="auto"/>
                      <w:sz w:val="22"/>
                      <w:szCs w:val="22"/>
                    </w:rPr>
                    <w:t>名称</w:t>
                  </w:r>
                </w:p>
              </w:tc>
              <w:tc>
                <w:tcPr>
                  <w:tcW w:w="2250" w:type="dxa"/>
                  <w:noWrap w:val="0"/>
                  <w:vAlign w:val="center"/>
                </w:tcPr>
                <w:p w14:paraId="0C9EFA3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b/>
                      <w:bCs/>
                      <w:color w:val="auto"/>
                      <w:sz w:val="22"/>
                      <w:szCs w:val="22"/>
                    </w:rPr>
                  </w:pPr>
                  <w:r>
                    <w:rPr>
                      <w:b/>
                      <w:bCs/>
                      <w:color w:val="auto"/>
                      <w:sz w:val="22"/>
                      <w:szCs w:val="22"/>
                    </w:rPr>
                    <w:t>单位</w:t>
                  </w:r>
                </w:p>
              </w:tc>
              <w:tc>
                <w:tcPr>
                  <w:tcW w:w="2040" w:type="dxa"/>
                  <w:noWrap w:val="0"/>
                  <w:vAlign w:val="center"/>
                </w:tcPr>
                <w:p w14:paraId="37B4761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b/>
                      <w:bCs/>
                      <w:color w:val="auto"/>
                      <w:sz w:val="22"/>
                      <w:szCs w:val="22"/>
                    </w:rPr>
                  </w:pPr>
                  <w:r>
                    <w:rPr>
                      <w:b/>
                      <w:bCs/>
                      <w:color w:val="auto"/>
                      <w:sz w:val="22"/>
                      <w:szCs w:val="22"/>
                    </w:rPr>
                    <w:t>数量</w:t>
                  </w:r>
                </w:p>
              </w:tc>
              <w:tc>
                <w:tcPr>
                  <w:tcW w:w="2318" w:type="dxa"/>
                  <w:noWrap w:val="0"/>
                  <w:vAlign w:val="center"/>
                </w:tcPr>
                <w:p w14:paraId="6C62DE8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eastAsia="宋体"/>
                      <w:b/>
                      <w:bCs/>
                      <w:color w:val="auto"/>
                      <w:sz w:val="22"/>
                      <w:szCs w:val="22"/>
                      <w:lang w:val="en-US" w:eastAsia="zh-CN"/>
                    </w:rPr>
                  </w:pPr>
                  <w:r>
                    <w:rPr>
                      <w:rFonts w:hint="eastAsia"/>
                      <w:b/>
                      <w:bCs/>
                      <w:color w:val="auto"/>
                      <w:sz w:val="22"/>
                      <w:szCs w:val="22"/>
                      <w:lang w:val="en-US" w:eastAsia="zh-CN"/>
                    </w:rPr>
                    <w:t>包装规格</w:t>
                  </w:r>
                </w:p>
              </w:tc>
            </w:tr>
            <w:tr w14:paraId="6F661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463" w:type="dxa"/>
                  <w:noWrap w:val="0"/>
                  <w:vAlign w:val="center"/>
                </w:tcPr>
                <w:p w14:paraId="03CD57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新型建筑材料</w:t>
                  </w:r>
                </w:p>
              </w:tc>
              <w:tc>
                <w:tcPr>
                  <w:tcW w:w="2250" w:type="dxa"/>
                  <w:noWrap w:val="0"/>
                  <w:vAlign w:val="center"/>
                </w:tcPr>
                <w:p w14:paraId="63E971F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吨/年</w:t>
                  </w:r>
                </w:p>
              </w:tc>
              <w:tc>
                <w:tcPr>
                  <w:tcW w:w="2040" w:type="dxa"/>
                  <w:noWrap w:val="0"/>
                  <w:vAlign w:val="center"/>
                </w:tcPr>
                <w:p w14:paraId="05A8116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20万</w:t>
                  </w:r>
                </w:p>
              </w:tc>
              <w:tc>
                <w:tcPr>
                  <w:tcW w:w="2318" w:type="dxa"/>
                  <w:noWrap w:val="0"/>
                  <w:vAlign w:val="center"/>
                </w:tcPr>
                <w:p w14:paraId="09F5F4A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固态，</w:t>
                  </w:r>
                  <w:r>
                    <w:rPr>
                      <w:rFonts w:hint="eastAsia" w:ascii="Times New Roman" w:hAnsi="Times New Roman" w:eastAsia="宋体" w:cs="Times New Roman"/>
                      <w:color w:val="auto"/>
                      <w:kern w:val="0"/>
                      <w:sz w:val="22"/>
                      <w:szCs w:val="22"/>
                      <w:lang w:val="en-US" w:eastAsia="zh-CN" w:bidi="ar-SA"/>
                    </w:rPr>
                    <w:t>2</w:t>
                  </w:r>
                  <w:r>
                    <w:rPr>
                      <w:rFonts w:hint="eastAsia" w:cs="Times New Roman"/>
                      <w:color w:val="auto"/>
                      <w:kern w:val="0"/>
                      <w:sz w:val="22"/>
                      <w:szCs w:val="22"/>
                      <w:lang w:val="en-US" w:eastAsia="zh-CN" w:bidi="ar-SA"/>
                    </w:rPr>
                    <w:t>0</w:t>
                  </w:r>
                  <w:r>
                    <w:rPr>
                      <w:rFonts w:hint="eastAsia" w:ascii="Times New Roman" w:hAnsi="Times New Roman" w:eastAsia="宋体" w:cs="Times New Roman"/>
                      <w:color w:val="auto"/>
                      <w:kern w:val="0"/>
                      <w:sz w:val="22"/>
                      <w:szCs w:val="22"/>
                      <w:lang w:val="en-US" w:eastAsia="zh-CN" w:bidi="ar-SA"/>
                    </w:rPr>
                    <w:t>kg/袋</w:t>
                  </w:r>
                </w:p>
              </w:tc>
            </w:tr>
            <w:bookmarkEnd w:id="1"/>
            <w:bookmarkEnd w:id="2"/>
            <w:bookmarkEnd w:id="3"/>
          </w:tbl>
          <w:p w14:paraId="2E6ABE11">
            <w:pPr>
              <w:numPr>
                <w:ilvl w:val="0"/>
                <w:numId w:val="0"/>
              </w:numPr>
              <w:ind w:left="480" w:leftChars="0"/>
              <w:jc w:val="both"/>
              <w:rPr>
                <w:rFonts w:eastAsia="新宋体"/>
                <w:b/>
                <w:color w:val="auto"/>
                <w:sz w:val="24"/>
              </w:rPr>
            </w:pPr>
            <w:r>
              <w:rPr>
                <w:rFonts w:hint="eastAsia" w:eastAsia="新宋体"/>
                <w:b/>
                <w:color w:val="auto"/>
                <w:sz w:val="24"/>
                <w:lang w:val="en-US" w:eastAsia="zh-CN"/>
              </w:rPr>
              <w:t>3、</w:t>
            </w:r>
            <w:r>
              <w:rPr>
                <w:rFonts w:eastAsia="新宋体"/>
                <w:b/>
                <w:color w:val="auto"/>
                <w:sz w:val="24"/>
              </w:rPr>
              <w:t>主要设备</w:t>
            </w:r>
          </w:p>
          <w:p w14:paraId="78D9E1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eastAsia="新宋体"/>
                <w:b/>
                <w:color w:val="auto"/>
                <w:sz w:val="24"/>
              </w:rPr>
            </w:pPr>
            <w:r>
              <w:rPr>
                <w:rFonts w:eastAsia="新宋体"/>
                <w:b/>
                <w:color w:val="auto"/>
                <w:sz w:val="24"/>
              </w:rPr>
              <w:t>表2-3</w:t>
            </w:r>
            <w:r>
              <w:rPr>
                <w:rFonts w:hint="eastAsia" w:eastAsia="新宋体"/>
                <w:b/>
                <w:color w:val="auto"/>
                <w:sz w:val="24"/>
                <w:lang w:val="en-US" w:eastAsia="zh-CN"/>
              </w:rPr>
              <w:t xml:space="preserve"> </w:t>
            </w:r>
            <w:r>
              <w:rPr>
                <w:rFonts w:eastAsia="新宋体"/>
                <w:b/>
                <w:color w:val="auto"/>
                <w:sz w:val="24"/>
              </w:rPr>
              <w:t>本项目主要设备表</w:t>
            </w:r>
          </w:p>
          <w:tbl>
            <w:tblPr>
              <w:tblStyle w:val="33"/>
              <w:tblW w:w="9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2312"/>
              <w:gridCol w:w="2023"/>
              <w:gridCol w:w="1683"/>
              <w:gridCol w:w="1683"/>
            </w:tblGrid>
            <w:tr w14:paraId="4F1DC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98" w:type="dxa"/>
                  <w:tcBorders>
                    <w:tl2br w:val="nil"/>
                    <w:tr2bl w:val="nil"/>
                  </w:tcBorders>
                  <w:noWrap w:val="0"/>
                  <w:vAlign w:val="center"/>
                </w:tcPr>
                <w:p w14:paraId="4C65869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序号</w:t>
                  </w:r>
                </w:p>
              </w:tc>
              <w:tc>
                <w:tcPr>
                  <w:tcW w:w="2312" w:type="dxa"/>
                  <w:tcBorders>
                    <w:tl2br w:val="nil"/>
                    <w:tr2bl w:val="nil"/>
                  </w:tcBorders>
                  <w:noWrap w:val="0"/>
                  <w:vAlign w:val="center"/>
                </w:tcPr>
                <w:p w14:paraId="738BCD5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设备名称</w:t>
                  </w:r>
                </w:p>
              </w:tc>
              <w:tc>
                <w:tcPr>
                  <w:tcW w:w="2023" w:type="dxa"/>
                  <w:tcBorders>
                    <w:tl2br w:val="nil"/>
                    <w:tr2bl w:val="nil"/>
                  </w:tcBorders>
                  <w:noWrap w:val="0"/>
                  <w:vAlign w:val="center"/>
                </w:tcPr>
                <w:p w14:paraId="5078EDD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型号/规格</w:t>
                  </w:r>
                </w:p>
              </w:tc>
              <w:tc>
                <w:tcPr>
                  <w:tcW w:w="1683" w:type="dxa"/>
                  <w:tcBorders>
                    <w:tl2br w:val="nil"/>
                    <w:tr2bl w:val="nil"/>
                  </w:tcBorders>
                  <w:noWrap w:val="0"/>
                  <w:vAlign w:val="center"/>
                </w:tcPr>
                <w:p w14:paraId="0D92B6F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数量（台/套）</w:t>
                  </w:r>
                </w:p>
              </w:tc>
              <w:tc>
                <w:tcPr>
                  <w:tcW w:w="1683" w:type="dxa"/>
                  <w:tcBorders>
                    <w:tl2br w:val="nil"/>
                    <w:tr2bl w:val="nil"/>
                  </w:tcBorders>
                  <w:noWrap w:val="0"/>
                  <w:vAlign w:val="center"/>
                </w:tcPr>
                <w:p w14:paraId="4E46746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备注</w:t>
                  </w:r>
                </w:p>
              </w:tc>
            </w:tr>
            <w:tr w14:paraId="599C0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98" w:type="dxa"/>
                  <w:tcBorders>
                    <w:tl2br w:val="nil"/>
                    <w:tr2bl w:val="nil"/>
                  </w:tcBorders>
                  <w:noWrap w:val="0"/>
                  <w:vAlign w:val="center"/>
                </w:tcPr>
                <w:p w14:paraId="417BDD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1</w:t>
                  </w:r>
                </w:p>
              </w:tc>
              <w:tc>
                <w:tcPr>
                  <w:tcW w:w="2312" w:type="dxa"/>
                  <w:tcBorders>
                    <w:tl2br w:val="nil"/>
                    <w:tr2bl w:val="nil"/>
                  </w:tcBorders>
                  <w:noWrap w:val="0"/>
                  <w:vAlign w:val="center"/>
                </w:tcPr>
                <w:p w14:paraId="413175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计量称</w:t>
                  </w:r>
                </w:p>
              </w:tc>
              <w:tc>
                <w:tcPr>
                  <w:tcW w:w="2023" w:type="dxa"/>
                  <w:tcBorders>
                    <w:tl2br w:val="nil"/>
                    <w:tr2bl w:val="nil"/>
                  </w:tcBorders>
                  <w:noWrap w:val="0"/>
                  <w:vAlign w:val="center"/>
                </w:tcPr>
                <w:p w14:paraId="323184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vertAlign w:val="superscript"/>
                      <w:lang w:val="en-US" w:eastAsia="zh-CN" w:bidi="ar-SA"/>
                    </w:rPr>
                  </w:pPr>
                  <w:r>
                    <w:rPr>
                      <w:rFonts w:hint="eastAsia" w:eastAsia="宋体" w:cs="Times New Roman"/>
                      <w:color w:val="auto"/>
                      <w:kern w:val="0"/>
                      <w:sz w:val="21"/>
                      <w:szCs w:val="21"/>
                      <w:lang w:val="en-US" w:eastAsia="zh-CN" w:bidi="ar-SA"/>
                    </w:rPr>
                    <w:t>2m</w:t>
                  </w:r>
                  <w:r>
                    <w:rPr>
                      <w:rFonts w:hint="eastAsia" w:eastAsia="宋体" w:cs="Times New Roman"/>
                      <w:color w:val="auto"/>
                      <w:kern w:val="0"/>
                      <w:sz w:val="21"/>
                      <w:szCs w:val="21"/>
                      <w:vertAlign w:val="superscript"/>
                      <w:lang w:val="en-US" w:eastAsia="zh-CN" w:bidi="ar-SA"/>
                    </w:rPr>
                    <w:t>3</w:t>
                  </w:r>
                </w:p>
              </w:tc>
              <w:tc>
                <w:tcPr>
                  <w:tcW w:w="1683" w:type="dxa"/>
                  <w:tcBorders>
                    <w:tl2br w:val="nil"/>
                    <w:tr2bl w:val="nil"/>
                  </w:tcBorders>
                  <w:noWrap w:val="0"/>
                  <w:vAlign w:val="center"/>
                </w:tcPr>
                <w:p w14:paraId="1E497B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1683" w:type="dxa"/>
                  <w:tcBorders>
                    <w:tl2br w:val="nil"/>
                    <w:tr2bl w:val="nil"/>
                  </w:tcBorders>
                  <w:noWrap w:val="0"/>
                  <w:vAlign w:val="center"/>
                </w:tcPr>
                <w:p w14:paraId="00B3E4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外购</w:t>
                  </w:r>
                </w:p>
              </w:tc>
            </w:tr>
            <w:tr w14:paraId="4362C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98" w:type="dxa"/>
                  <w:tcBorders>
                    <w:tl2br w:val="nil"/>
                    <w:tr2bl w:val="nil"/>
                  </w:tcBorders>
                  <w:noWrap w:val="0"/>
                  <w:vAlign w:val="center"/>
                </w:tcPr>
                <w:p w14:paraId="351526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2</w:t>
                  </w:r>
                </w:p>
              </w:tc>
              <w:tc>
                <w:tcPr>
                  <w:tcW w:w="2312" w:type="dxa"/>
                  <w:tcBorders>
                    <w:tl2br w:val="nil"/>
                    <w:tr2bl w:val="nil"/>
                  </w:tcBorders>
                  <w:noWrap w:val="0"/>
                  <w:vAlign w:val="center"/>
                </w:tcPr>
                <w:p w14:paraId="5E5845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输送机</w:t>
                  </w:r>
                </w:p>
              </w:tc>
              <w:tc>
                <w:tcPr>
                  <w:tcW w:w="2023" w:type="dxa"/>
                  <w:tcBorders>
                    <w:tl2br w:val="nil"/>
                    <w:tr2bl w:val="nil"/>
                  </w:tcBorders>
                  <w:noWrap w:val="0"/>
                  <w:vAlign w:val="center"/>
                </w:tcPr>
                <w:p w14:paraId="4B1354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LSY219*4.5-6.5m</w:t>
                  </w:r>
                </w:p>
              </w:tc>
              <w:tc>
                <w:tcPr>
                  <w:tcW w:w="1683" w:type="dxa"/>
                  <w:tcBorders>
                    <w:tl2br w:val="nil"/>
                    <w:tr2bl w:val="nil"/>
                  </w:tcBorders>
                  <w:noWrap w:val="0"/>
                  <w:vAlign w:val="center"/>
                </w:tcPr>
                <w:p w14:paraId="093090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2</w:t>
                  </w:r>
                </w:p>
              </w:tc>
              <w:tc>
                <w:tcPr>
                  <w:tcW w:w="1683" w:type="dxa"/>
                  <w:tcBorders>
                    <w:tl2br w:val="nil"/>
                    <w:tr2bl w:val="nil"/>
                  </w:tcBorders>
                  <w:noWrap w:val="0"/>
                  <w:vAlign w:val="center"/>
                </w:tcPr>
                <w:p w14:paraId="16355D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外购</w:t>
                  </w:r>
                </w:p>
              </w:tc>
            </w:tr>
            <w:tr w14:paraId="688F5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98" w:type="dxa"/>
                  <w:tcBorders>
                    <w:tl2br w:val="nil"/>
                    <w:tr2bl w:val="nil"/>
                  </w:tcBorders>
                  <w:noWrap w:val="0"/>
                  <w:vAlign w:val="center"/>
                </w:tcPr>
                <w:p w14:paraId="053949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3</w:t>
                  </w:r>
                </w:p>
              </w:tc>
              <w:tc>
                <w:tcPr>
                  <w:tcW w:w="2312" w:type="dxa"/>
                  <w:tcBorders>
                    <w:tl2br w:val="nil"/>
                    <w:tr2bl w:val="nil"/>
                  </w:tcBorders>
                  <w:noWrap w:val="0"/>
                  <w:vAlign w:val="center"/>
                </w:tcPr>
                <w:p w14:paraId="7DE006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提升机</w:t>
                  </w:r>
                </w:p>
              </w:tc>
              <w:tc>
                <w:tcPr>
                  <w:tcW w:w="2023" w:type="dxa"/>
                  <w:tcBorders>
                    <w:tl2br w:val="nil"/>
                    <w:tr2bl w:val="nil"/>
                  </w:tcBorders>
                  <w:noWrap w:val="0"/>
                  <w:vAlign w:val="center"/>
                </w:tcPr>
                <w:p w14:paraId="52C5F0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TD250</w:t>
                  </w:r>
                </w:p>
              </w:tc>
              <w:tc>
                <w:tcPr>
                  <w:tcW w:w="1683" w:type="dxa"/>
                  <w:tcBorders>
                    <w:tl2br w:val="nil"/>
                    <w:tr2bl w:val="nil"/>
                  </w:tcBorders>
                  <w:noWrap w:val="0"/>
                  <w:vAlign w:val="center"/>
                </w:tcPr>
                <w:p w14:paraId="6A0D70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4</w:t>
                  </w:r>
                </w:p>
              </w:tc>
              <w:tc>
                <w:tcPr>
                  <w:tcW w:w="1683" w:type="dxa"/>
                  <w:tcBorders>
                    <w:tl2br w:val="nil"/>
                    <w:tr2bl w:val="nil"/>
                  </w:tcBorders>
                  <w:noWrap w:val="0"/>
                  <w:vAlign w:val="center"/>
                </w:tcPr>
                <w:p w14:paraId="390474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外购</w:t>
                  </w:r>
                </w:p>
              </w:tc>
            </w:tr>
            <w:tr w14:paraId="0AD63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98" w:type="dxa"/>
                  <w:tcBorders>
                    <w:tl2br w:val="nil"/>
                    <w:tr2bl w:val="nil"/>
                  </w:tcBorders>
                  <w:noWrap w:val="0"/>
                  <w:vAlign w:val="center"/>
                </w:tcPr>
                <w:p w14:paraId="5FD602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4</w:t>
                  </w:r>
                </w:p>
              </w:tc>
              <w:tc>
                <w:tcPr>
                  <w:tcW w:w="2312" w:type="dxa"/>
                  <w:tcBorders>
                    <w:tl2br w:val="nil"/>
                    <w:tr2bl w:val="nil"/>
                  </w:tcBorders>
                  <w:noWrap w:val="0"/>
                  <w:vAlign w:val="center"/>
                </w:tcPr>
                <w:p w14:paraId="3CA95D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搅拌罐</w:t>
                  </w:r>
                </w:p>
              </w:tc>
              <w:tc>
                <w:tcPr>
                  <w:tcW w:w="2023" w:type="dxa"/>
                  <w:tcBorders>
                    <w:tl2br w:val="nil"/>
                    <w:tr2bl w:val="nil"/>
                  </w:tcBorders>
                  <w:noWrap w:val="0"/>
                  <w:vAlign w:val="center"/>
                </w:tcPr>
                <w:p w14:paraId="1B1C36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YHJ-1050-11KW</w:t>
                  </w:r>
                </w:p>
              </w:tc>
              <w:tc>
                <w:tcPr>
                  <w:tcW w:w="1683" w:type="dxa"/>
                  <w:tcBorders>
                    <w:tl2br w:val="nil"/>
                    <w:tr2bl w:val="nil"/>
                  </w:tcBorders>
                  <w:noWrap w:val="0"/>
                  <w:vAlign w:val="center"/>
                </w:tcPr>
                <w:p w14:paraId="3246DC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4</w:t>
                  </w:r>
                </w:p>
              </w:tc>
              <w:tc>
                <w:tcPr>
                  <w:tcW w:w="1683" w:type="dxa"/>
                  <w:tcBorders>
                    <w:tl2br w:val="nil"/>
                    <w:tr2bl w:val="nil"/>
                  </w:tcBorders>
                  <w:noWrap w:val="0"/>
                  <w:vAlign w:val="center"/>
                </w:tcPr>
                <w:p w14:paraId="23C217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外购</w:t>
                  </w:r>
                </w:p>
              </w:tc>
            </w:tr>
            <w:tr w14:paraId="113D8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8" w:type="dxa"/>
                  <w:tcBorders>
                    <w:tl2br w:val="nil"/>
                    <w:tr2bl w:val="nil"/>
                  </w:tcBorders>
                  <w:noWrap w:val="0"/>
                  <w:vAlign w:val="center"/>
                </w:tcPr>
                <w:p w14:paraId="05E1D6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5</w:t>
                  </w:r>
                </w:p>
              </w:tc>
              <w:tc>
                <w:tcPr>
                  <w:tcW w:w="2312" w:type="dxa"/>
                  <w:tcBorders>
                    <w:tl2br w:val="nil"/>
                    <w:tr2bl w:val="nil"/>
                  </w:tcBorders>
                  <w:noWrap w:val="0"/>
                  <w:vAlign w:val="center"/>
                </w:tcPr>
                <w:p w14:paraId="129500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包装机</w:t>
                  </w:r>
                </w:p>
              </w:tc>
              <w:tc>
                <w:tcPr>
                  <w:tcW w:w="2023" w:type="dxa"/>
                  <w:tcBorders>
                    <w:tl2br w:val="nil"/>
                    <w:tr2bl w:val="nil"/>
                  </w:tcBorders>
                  <w:noWrap w:val="0"/>
                  <w:vAlign w:val="center"/>
                </w:tcPr>
                <w:p w14:paraId="2A64BB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YJQ-1</w:t>
                  </w:r>
                </w:p>
              </w:tc>
              <w:tc>
                <w:tcPr>
                  <w:tcW w:w="1683" w:type="dxa"/>
                  <w:tcBorders>
                    <w:tl2br w:val="nil"/>
                    <w:tr2bl w:val="nil"/>
                  </w:tcBorders>
                  <w:noWrap w:val="0"/>
                  <w:vAlign w:val="center"/>
                </w:tcPr>
                <w:p w14:paraId="535042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8</w:t>
                  </w:r>
                </w:p>
              </w:tc>
              <w:tc>
                <w:tcPr>
                  <w:tcW w:w="1683" w:type="dxa"/>
                  <w:tcBorders>
                    <w:tl2br w:val="nil"/>
                    <w:tr2bl w:val="nil"/>
                  </w:tcBorders>
                  <w:noWrap w:val="0"/>
                  <w:vAlign w:val="center"/>
                </w:tcPr>
                <w:p w14:paraId="3EF3B9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外购</w:t>
                  </w:r>
                </w:p>
              </w:tc>
            </w:tr>
          </w:tbl>
          <w:p w14:paraId="2BE9BF07">
            <w:pPr>
              <w:pStyle w:val="19"/>
              <w:ind w:left="0" w:leftChars="0" w:firstLine="442" w:firstLineChars="200"/>
              <w:textAlignment w:val="baseline"/>
              <w:rPr>
                <w:rFonts w:hint="eastAsia" w:ascii="Times New Roman" w:hAnsi="Times New Roman" w:cs="Times New Roman"/>
                <w:b/>
                <w:color w:val="auto"/>
                <w:sz w:val="22"/>
                <w:szCs w:val="20"/>
                <w:lang w:val="en-US" w:eastAsia="zh-CN"/>
              </w:rPr>
            </w:pPr>
            <w:r>
              <w:rPr>
                <w:rFonts w:ascii="Times New Roman" w:hAnsi="Times New Roman" w:cs="Times New Roman"/>
                <w:b/>
                <w:color w:val="auto"/>
                <w:sz w:val="22"/>
                <w:szCs w:val="20"/>
              </w:rPr>
              <w:t>备注：</w:t>
            </w:r>
            <w:r>
              <w:rPr>
                <w:rFonts w:hint="eastAsia" w:ascii="Times New Roman" w:hAnsi="Times New Roman" w:cs="Times New Roman"/>
                <w:b/>
                <w:color w:val="auto"/>
                <w:sz w:val="22"/>
                <w:szCs w:val="20"/>
                <w:lang w:val="en-US" w:eastAsia="zh-CN"/>
              </w:rPr>
              <w:t>禁止使用《产业结构调整指导目录(2024年本)》中规定的以及《部分工业行业淘汰落后生产工艺装备和产品指导目录(2010年本)》中规定的淘汰、限制类设备。</w:t>
            </w:r>
          </w:p>
          <w:p w14:paraId="74FA27CE">
            <w:pPr>
              <w:spacing w:line="360" w:lineRule="auto"/>
              <w:ind w:firstLine="482" w:firstLineChars="200"/>
              <w:rPr>
                <w:rFonts w:eastAsia="新宋体"/>
                <w:b/>
                <w:color w:val="auto"/>
                <w:sz w:val="24"/>
              </w:rPr>
            </w:pPr>
            <w:r>
              <w:rPr>
                <w:rFonts w:hint="eastAsia" w:eastAsia="新宋体"/>
                <w:b/>
                <w:color w:val="auto"/>
                <w:sz w:val="24"/>
                <w:lang w:val="en-US" w:eastAsia="zh-CN"/>
              </w:rPr>
              <w:t>4</w:t>
            </w:r>
            <w:r>
              <w:rPr>
                <w:rFonts w:eastAsia="新宋体"/>
                <w:b/>
                <w:color w:val="auto"/>
                <w:sz w:val="24"/>
              </w:rPr>
              <w:t>、主要原辅材料</w:t>
            </w:r>
          </w:p>
          <w:p w14:paraId="075AE04A">
            <w:pPr>
              <w:spacing w:line="360" w:lineRule="auto"/>
              <w:ind w:firstLine="480" w:firstLineChars="200"/>
              <w:rPr>
                <w:color w:val="auto"/>
                <w:sz w:val="24"/>
              </w:rPr>
            </w:pPr>
            <w:r>
              <w:rPr>
                <w:color w:val="auto"/>
                <w:sz w:val="24"/>
              </w:rPr>
              <w:t>本项目所用原辅材料见下表：</w:t>
            </w:r>
          </w:p>
          <w:p w14:paraId="2C245E26">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eastAsia="新宋体"/>
                <w:b/>
                <w:color w:val="auto"/>
                <w:sz w:val="24"/>
              </w:rPr>
            </w:pPr>
            <w:r>
              <w:rPr>
                <w:rFonts w:eastAsia="新宋体"/>
                <w:b/>
                <w:color w:val="auto"/>
                <w:sz w:val="24"/>
              </w:rPr>
              <w:t>表2-4</w:t>
            </w:r>
            <w:r>
              <w:rPr>
                <w:rFonts w:hint="eastAsia" w:eastAsia="新宋体"/>
                <w:b/>
                <w:color w:val="auto"/>
                <w:sz w:val="24"/>
                <w:lang w:val="en-US" w:eastAsia="zh-CN"/>
              </w:rPr>
              <w:t xml:space="preserve"> </w:t>
            </w:r>
            <w:r>
              <w:rPr>
                <w:rFonts w:eastAsia="新宋体"/>
                <w:b/>
                <w:color w:val="auto"/>
                <w:sz w:val="24"/>
              </w:rPr>
              <w:t>本项目主要原辅材料表</w:t>
            </w:r>
          </w:p>
          <w:tbl>
            <w:tblPr>
              <w:tblStyle w:val="33"/>
              <w:tblW w:w="92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5"/>
              <w:gridCol w:w="1640"/>
              <w:gridCol w:w="2865"/>
              <w:gridCol w:w="3948"/>
            </w:tblGrid>
            <w:tr w14:paraId="5AE4A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5" w:type="dxa"/>
                  <w:noWrap w:val="0"/>
                  <w:vAlign w:val="center"/>
                </w:tcPr>
                <w:p w14:paraId="134516A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bCs/>
                      <w:color w:val="auto"/>
                      <w:kern w:val="0"/>
                      <w:sz w:val="22"/>
                      <w:szCs w:val="22"/>
                      <w:lang w:val="en-US" w:eastAsia="zh-CN"/>
                    </w:rPr>
                  </w:pPr>
                  <w:r>
                    <w:rPr>
                      <w:rFonts w:hint="eastAsia" w:cs="Times New Roman"/>
                      <w:b/>
                      <w:bCs/>
                      <w:color w:val="auto"/>
                      <w:kern w:val="0"/>
                      <w:sz w:val="22"/>
                      <w:szCs w:val="22"/>
                      <w:lang w:val="en-US" w:eastAsia="zh-CN"/>
                    </w:rPr>
                    <w:t>序号</w:t>
                  </w:r>
                </w:p>
              </w:tc>
              <w:tc>
                <w:tcPr>
                  <w:tcW w:w="1640" w:type="dxa"/>
                  <w:noWrap w:val="0"/>
                  <w:vAlign w:val="center"/>
                </w:tcPr>
                <w:p w14:paraId="65061E1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2"/>
                      <w:szCs w:val="22"/>
                      <w:lang w:val="en-US" w:eastAsia="zh-CN"/>
                    </w:rPr>
                  </w:pPr>
                  <w:r>
                    <w:rPr>
                      <w:rFonts w:hint="eastAsia" w:ascii="Times New Roman" w:hAnsi="Times New Roman" w:eastAsia="宋体" w:cs="Times New Roman"/>
                      <w:b/>
                      <w:bCs/>
                      <w:color w:val="auto"/>
                      <w:kern w:val="0"/>
                      <w:sz w:val="22"/>
                      <w:szCs w:val="22"/>
                      <w:lang w:val="en-US" w:eastAsia="zh-CN"/>
                    </w:rPr>
                    <w:t>名称</w:t>
                  </w:r>
                </w:p>
              </w:tc>
              <w:tc>
                <w:tcPr>
                  <w:tcW w:w="2865" w:type="dxa"/>
                  <w:noWrap w:val="0"/>
                  <w:vAlign w:val="center"/>
                </w:tcPr>
                <w:p w14:paraId="09F6131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2"/>
                      <w:szCs w:val="22"/>
                      <w:lang w:val="en-US" w:eastAsia="zh-CN"/>
                    </w:rPr>
                  </w:pPr>
                  <w:r>
                    <w:rPr>
                      <w:rFonts w:hint="eastAsia" w:ascii="Times New Roman" w:hAnsi="Times New Roman" w:eastAsia="宋体" w:cs="Times New Roman"/>
                      <w:b/>
                      <w:bCs/>
                      <w:color w:val="auto"/>
                      <w:kern w:val="0"/>
                      <w:sz w:val="22"/>
                      <w:szCs w:val="22"/>
                      <w:lang w:val="en-US" w:eastAsia="zh-CN"/>
                    </w:rPr>
                    <w:t>用量</w:t>
                  </w:r>
                </w:p>
              </w:tc>
              <w:tc>
                <w:tcPr>
                  <w:tcW w:w="3948" w:type="dxa"/>
                  <w:noWrap w:val="0"/>
                  <w:vAlign w:val="center"/>
                </w:tcPr>
                <w:p w14:paraId="7D2C45C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2"/>
                      <w:szCs w:val="22"/>
                      <w:lang w:val="en-US" w:eastAsia="zh-CN"/>
                    </w:rPr>
                  </w:pPr>
                  <w:r>
                    <w:rPr>
                      <w:rFonts w:hint="eastAsia" w:ascii="Times New Roman" w:hAnsi="Times New Roman" w:eastAsia="宋体" w:cs="Times New Roman"/>
                      <w:b/>
                      <w:bCs/>
                      <w:color w:val="auto"/>
                      <w:kern w:val="0"/>
                      <w:sz w:val="22"/>
                      <w:szCs w:val="22"/>
                      <w:lang w:val="en-US" w:eastAsia="zh-CN"/>
                    </w:rPr>
                    <w:t>备注</w:t>
                  </w:r>
                </w:p>
              </w:tc>
            </w:tr>
            <w:tr w14:paraId="1B3F8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5" w:type="dxa"/>
                  <w:noWrap w:val="0"/>
                  <w:vAlign w:val="center"/>
                </w:tcPr>
                <w:p w14:paraId="59842A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1</w:t>
                  </w:r>
                </w:p>
              </w:tc>
              <w:tc>
                <w:tcPr>
                  <w:tcW w:w="1640" w:type="dxa"/>
                  <w:noWrap w:val="0"/>
                  <w:vAlign w:val="center"/>
                </w:tcPr>
                <w:p w14:paraId="7486CB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重钙</w:t>
                  </w:r>
                </w:p>
              </w:tc>
              <w:tc>
                <w:tcPr>
                  <w:tcW w:w="2865" w:type="dxa"/>
                  <w:noWrap w:val="0"/>
                  <w:vAlign w:val="center"/>
                </w:tcPr>
                <w:p w14:paraId="60C1CC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u w:val="none"/>
                      <w:lang w:val="en-US" w:eastAsia="zh-CN" w:bidi="ar-SA"/>
                    </w:rPr>
                    <w:t>10万</w:t>
                  </w:r>
                  <w:r>
                    <w:rPr>
                      <w:rFonts w:hint="eastAsia" w:ascii="Times New Roman" w:hAnsi="Times New Roman" w:eastAsia="宋体" w:cs="Times New Roman"/>
                      <w:color w:val="auto"/>
                      <w:kern w:val="2"/>
                      <w:sz w:val="22"/>
                      <w:szCs w:val="22"/>
                      <w:lang w:val="en-US" w:eastAsia="zh-CN" w:bidi="ar-SA"/>
                    </w:rPr>
                    <w:t>吨/年</w:t>
                  </w:r>
                </w:p>
              </w:tc>
              <w:tc>
                <w:tcPr>
                  <w:tcW w:w="3948" w:type="dxa"/>
                  <w:noWrap w:val="0"/>
                  <w:vAlign w:val="center"/>
                </w:tcPr>
                <w:p w14:paraId="66DCA07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粉末状，吨袋包装，</w:t>
                  </w:r>
                  <w:r>
                    <w:rPr>
                      <w:rFonts w:hint="eastAsia" w:ascii="Times New Roman" w:hAnsi="Times New Roman" w:eastAsia="宋体" w:cs="Times New Roman"/>
                      <w:color w:val="auto"/>
                      <w:kern w:val="0"/>
                      <w:sz w:val="22"/>
                      <w:szCs w:val="22"/>
                      <w:lang w:val="en-US" w:eastAsia="zh-CN"/>
                    </w:rPr>
                    <w:t>外购，汽运</w:t>
                  </w:r>
                  <w:r>
                    <w:rPr>
                      <w:rFonts w:hint="eastAsia" w:cs="Times New Roman"/>
                      <w:color w:val="auto"/>
                      <w:kern w:val="0"/>
                      <w:sz w:val="22"/>
                      <w:szCs w:val="22"/>
                      <w:lang w:val="en-US" w:eastAsia="zh-CN"/>
                    </w:rPr>
                    <w:t>进厂，暂存于车间原料区</w:t>
                  </w:r>
                </w:p>
              </w:tc>
            </w:tr>
            <w:tr w14:paraId="3CDC6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5" w:type="dxa"/>
                  <w:noWrap w:val="0"/>
                  <w:vAlign w:val="center"/>
                </w:tcPr>
                <w:p w14:paraId="6400ED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2</w:t>
                  </w:r>
                </w:p>
              </w:tc>
              <w:tc>
                <w:tcPr>
                  <w:tcW w:w="1640" w:type="dxa"/>
                  <w:noWrap w:val="0"/>
                  <w:vAlign w:val="center"/>
                </w:tcPr>
                <w:p w14:paraId="5BDD90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石膏粉</w:t>
                  </w:r>
                </w:p>
              </w:tc>
              <w:tc>
                <w:tcPr>
                  <w:tcW w:w="2865" w:type="dxa"/>
                  <w:noWrap w:val="0"/>
                  <w:vAlign w:val="center"/>
                </w:tcPr>
                <w:p w14:paraId="036BE3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u w:val="none"/>
                      <w:lang w:val="en-US" w:eastAsia="zh-CN" w:bidi="ar-SA"/>
                    </w:rPr>
                  </w:pPr>
                  <w:r>
                    <w:rPr>
                      <w:rFonts w:hint="eastAsia" w:cs="Times New Roman"/>
                      <w:color w:val="auto"/>
                      <w:kern w:val="2"/>
                      <w:sz w:val="22"/>
                      <w:szCs w:val="22"/>
                      <w:u w:val="none"/>
                      <w:lang w:val="en-US" w:eastAsia="zh-CN" w:bidi="ar-SA"/>
                    </w:rPr>
                    <w:t>10万</w:t>
                  </w:r>
                  <w:r>
                    <w:rPr>
                      <w:rFonts w:hint="eastAsia" w:ascii="Times New Roman" w:hAnsi="Times New Roman" w:eastAsia="宋体" w:cs="Times New Roman"/>
                      <w:color w:val="auto"/>
                      <w:kern w:val="2"/>
                      <w:sz w:val="22"/>
                      <w:szCs w:val="22"/>
                      <w:u w:val="none"/>
                      <w:lang w:val="en-US" w:eastAsia="zh-CN" w:bidi="ar-SA"/>
                    </w:rPr>
                    <w:t>吨/年</w:t>
                  </w:r>
                </w:p>
              </w:tc>
              <w:tc>
                <w:tcPr>
                  <w:tcW w:w="3948" w:type="dxa"/>
                  <w:noWrap w:val="0"/>
                  <w:vAlign w:val="center"/>
                </w:tcPr>
                <w:p w14:paraId="5999DC8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粉末状，吨袋包装，</w:t>
                  </w:r>
                  <w:r>
                    <w:rPr>
                      <w:rFonts w:hint="eastAsia" w:ascii="Times New Roman" w:hAnsi="Times New Roman" w:eastAsia="宋体" w:cs="Times New Roman"/>
                      <w:color w:val="auto"/>
                      <w:kern w:val="0"/>
                      <w:sz w:val="22"/>
                      <w:szCs w:val="22"/>
                      <w:lang w:val="en-US" w:eastAsia="zh-CN"/>
                    </w:rPr>
                    <w:t>外购，汽运</w:t>
                  </w:r>
                  <w:r>
                    <w:rPr>
                      <w:rFonts w:hint="eastAsia" w:cs="Times New Roman"/>
                      <w:color w:val="auto"/>
                      <w:kern w:val="0"/>
                      <w:sz w:val="22"/>
                      <w:szCs w:val="22"/>
                      <w:lang w:val="en-US" w:eastAsia="zh-CN"/>
                    </w:rPr>
                    <w:t>进厂，暂存于车间原料区</w:t>
                  </w:r>
                </w:p>
              </w:tc>
            </w:tr>
            <w:tr w14:paraId="0A491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5" w:type="dxa"/>
                  <w:noWrap w:val="0"/>
                  <w:vAlign w:val="center"/>
                </w:tcPr>
                <w:p w14:paraId="553B04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3</w:t>
                  </w:r>
                </w:p>
              </w:tc>
              <w:tc>
                <w:tcPr>
                  <w:tcW w:w="1640" w:type="dxa"/>
                  <w:noWrap w:val="0"/>
                  <w:vAlign w:val="center"/>
                </w:tcPr>
                <w:p w14:paraId="6A82C8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玉米淀粉</w:t>
                  </w:r>
                </w:p>
              </w:tc>
              <w:tc>
                <w:tcPr>
                  <w:tcW w:w="2865" w:type="dxa"/>
                  <w:noWrap w:val="0"/>
                  <w:vAlign w:val="center"/>
                </w:tcPr>
                <w:p w14:paraId="665A30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u w:val="none"/>
                      <w:lang w:val="en-US" w:eastAsia="zh-CN" w:bidi="ar-SA"/>
                    </w:rPr>
                  </w:pPr>
                  <w:r>
                    <w:rPr>
                      <w:rFonts w:hint="eastAsia" w:cs="Times New Roman"/>
                      <w:color w:val="auto"/>
                      <w:kern w:val="2"/>
                      <w:sz w:val="22"/>
                      <w:szCs w:val="22"/>
                      <w:u w:val="none"/>
                      <w:lang w:val="en-US" w:eastAsia="zh-CN" w:bidi="ar-SA"/>
                    </w:rPr>
                    <w:t>140</w:t>
                  </w:r>
                  <w:r>
                    <w:rPr>
                      <w:rFonts w:hint="eastAsia" w:ascii="Times New Roman" w:hAnsi="Times New Roman" w:eastAsia="宋体" w:cs="Times New Roman"/>
                      <w:color w:val="auto"/>
                      <w:kern w:val="2"/>
                      <w:sz w:val="22"/>
                      <w:szCs w:val="22"/>
                      <w:u w:val="none"/>
                      <w:lang w:val="en-US" w:eastAsia="zh-CN" w:bidi="ar-SA"/>
                    </w:rPr>
                    <w:t>吨/年</w:t>
                  </w:r>
                </w:p>
              </w:tc>
              <w:tc>
                <w:tcPr>
                  <w:tcW w:w="3948" w:type="dxa"/>
                  <w:noWrap w:val="0"/>
                  <w:vAlign w:val="center"/>
                </w:tcPr>
                <w:p w14:paraId="3FC9F5F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粉末状，25kg/袋，</w:t>
                  </w:r>
                  <w:r>
                    <w:rPr>
                      <w:rFonts w:hint="eastAsia" w:ascii="Times New Roman" w:hAnsi="Times New Roman" w:eastAsia="宋体" w:cs="Times New Roman"/>
                      <w:color w:val="auto"/>
                      <w:kern w:val="0"/>
                      <w:sz w:val="22"/>
                      <w:szCs w:val="22"/>
                      <w:lang w:val="en-US" w:eastAsia="zh-CN"/>
                    </w:rPr>
                    <w:t>外购，汽运</w:t>
                  </w:r>
                  <w:r>
                    <w:rPr>
                      <w:rFonts w:hint="eastAsia" w:cs="Times New Roman"/>
                      <w:color w:val="auto"/>
                      <w:kern w:val="0"/>
                      <w:sz w:val="22"/>
                      <w:szCs w:val="22"/>
                      <w:lang w:val="en-US" w:eastAsia="zh-CN"/>
                    </w:rPr>
                    <w:t>进厂，暂存于车间原料区</w:t>
                  </w:r>
                </w:p>
              </w:tc>
            </w:tr>
            <w:tr w14:paraId="6026C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5" w:type="dxa"/>
                  <w:noWrap w:val="0"/>
                  <w:vAlign w:val="center"/>
                </w:tcPr>
                <w:p w14:paraId="4B556F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4</w:t>
                  </w:r>
                </w:p>
              </w:tc>
              <w:tc>
                <w:tcPr>
                  <w:tcW w:w="1640" w:type="dxa"/>
                  <w:noWrap w:val="0"/>
                  <w:vAlign w:val="center"/>
                </w:tcPr>
                <w:p w14:paraId="122708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木质素</w:t>
                  </w:r>
                </w:p>
              </w:tc>
              <w:tc>
                <w:tcPr>
                  <w:tcW w:w="2865" w:type="dxa"/>
                  <w:noWrap w:val="0"/>
                  <w:vAlign w:val="center"/>
                </w:tcPr>
                <w:p w14:paraId="726522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u w:val="none"/>
                      <w:lang w:val="en-US" w:eastAsia="zh-CN" w:bidi="ar-SA"/>
                    </w:rPr>
                  </w:pPr>
                  <w:r>
                    <w:rPr>
                      <w:rFonts w:hint="eastAsia" w:cs="Times New Roman"/>
                      <w:color w:val="auto"/>
                      <w:kern w:val="2"/>
                      <w:sz w:val="22"/>
                      <w:szCs w:val="22"/>
                      <w:u w:val="none"/>
                      <w:lang w:val="en-US" w:eastAsia="zh-CN" w:bidi="ar-SA"/>
                    </w:rPr>
                    <w:t>60</w:t>
                  </w:r>
                  <w:r>
                    <w:rPr>
                      <w:rFonts w:hint="eastAsia" w:ascii="Times New Roman" w:hAnsi="Times New Roman" w:eastAsia="宋体" w:cs="Times New Roman"/>
                      <w:color w:val="auto"/>
                      <w:kern w:val="2"/>
                      <w:sz w:val="22"/>
                      <w:szCs w:val="22"/>
                      <w:u w:val="none"/>
                      <w:lang w:val="en-US" w:eastAsia="zh-CN" w:bidi="ar-SA"/>
                    </w:rPr>
                    <w:t>吨/年</w:t>
                  </w:r>
                </w:p>
              </w:tc>
              <w:tc>
                <w:tcPr>
                  <w:tcW w:w="3948" w:type="dxa"/>
                  <w:noWrap w:val="0"/>
                  <w:vAlign w:val="center"/>
                </w:tcPr>
                <w:p w14:paraId="6F705BE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粉末状，25kg/袋，</w:t>
                  </w:r>
                  <w:r>
                    <w:rPr>
                      <w:rFonts w:hint="eastAsia" w:ascii="Times New Roman" w:hAnsi="Times New Roman" w:eastAsia="宋体" w:cs="Times New Roman"/>
                      <w:color w:val="auto"/>
                      <w:kern w:val="0"/>
                      <w:sz w:val="22"/>
                      <w:szCs w:val="22"/>
                      <w:lang w:val="en-US" w:eastAsia="zh-CN"/>
                    </w:rPr>
                    <w:t>外购，汽运</w:t>
                  </w:r>
                  <w:r>
                    <w:rPr>
                      <w:rFonts w:hint="eastAsia" w:cs="Times New Roman"/>
                      <w:color w:val="auto"/>
                      <w:kern w:val="0"/>
                      <w:sz w:val="22"/>
                      <w:szCs w:val="22"/>
                      <w:lang w:val="en-US" w:eastAsia="zh-CN"/>
                    </w:rPr>
                    <w:t>进厂，暂存于车间原料区</w:t>
                  </w:r>
                </w:p>
              </w:tc>
            </w:tr>
            <w:tr w14:paraId="1817E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5" w:type="dxa"/>
                  <w:noWrap w:val="0"/>
                  <w:vAlign w:val="center"/>
                </w:tcPr>
                <w:p w14:paraId="1A51C7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5</w:t>
                  </w:r>
                </w:p>
              </w:tc>
              <w:tc>
                <w:tcPr>
                  <w:tcW w:w="1640" w:type="dxa"/>
                  <w:noWrap w:val="0"/>
                  <w:vAlign w:val="center"/>
                </w:tcPr>
                <w:p w14:paraId="7B59BA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kern w:val="2"/>
                      <w:sz w:val="22"/>
                      <w:szCs w:val="22"/>
                      <w:lang w:val="en-US" w:eastAsia="zh-CN" w:bidi="ar-SA"/>
                    </w:rPr>
                  </w:pPr>
                  <w:r>
                    <w:rPr>
                      <w:rFonts w:hint="eastAsia" w:cs="Times New Roman"/>
                      <w:color w:val="0000FF"/>
                      <w:kern w:val="2"/>
                      <w:sz w:val="22"/>
                      <w:szCs w:val="22"/>
                      <w:lang w:val="en-US" w:eastAsia="zh-CN" w:bidi="ar-SA"/>
                    </w:rPr>
                    <w:t>包装袋</w:t>
                  </w:r>
                </w:p>
              </w:tc>
              <w:tc>
                <w:tcPr>
                  <w:tcW w:w="2865" w:type="dxa"/>
                  <w:noWrap w:val="0"/>
                  <w:vAlign w:val="center"/>
                </w:tcPr>
                <w:p w14:paraId="04AA4B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kern w:val="2"/>
                      <w:sz w:val="22"/>
                      <w:szCs w:val="22"/>
                      <w:u w:val="none"/>
                      <w:lang w:val="en-US" w:eastAsia="zh-CN" w:bidi="ar-SA"/>
                    </w:rPr>
                  </w:pPr>
                  <w:r>
                    <w:rPr>
                      <w:rFonts w:hint="eastAsia" w:cs="Times New Roman"/>
                      <w:color w:val="0000FF"/>
                      <w:kern w:val="2"/>
                      <w:sz w:val="22"/>
                      <w:szCs w:val="22"/>
                      <w:u w:val="none"/>
                      <w:lang w:val="en-US" w:eastAsia="zh-CN" w:bidi="ar-SA"/>
                    </w:rPr>
                    <w:t>1000万条</w:t>
                  </w:r>
                  <w:r>
                    <w:rPr>
                      <w:rFonts w:hint="eastAsia" w:ascii="Times New Roman" w:hAnsi="Times New Roman" w:eastAsia="宋体" w:cs="Times New Roman"/>
                      <w:color w:val="0000FF"/>
                      <w:kern w:val="2"/>
                      <w:sz w:val="22"/>
                      <w:szCs w:val="22"/>
                      <w:u w:val="none"/>
                      <w:lang w:val="en-US" w:eastAsia="zh-CN" w:bidi="ar-SA"/>
                    </w:rPr>
                    <w:t>/年</w:t>
                  </w:r>
                </w:p>
              </w:tc>
              <w:tc>
                <w:tcPr>
                  <w:tcW w:w="3948" w:type="dxa"/>
                  <w:noWrap w:val="0"/>
                  <w:vAlign w:val="center"/>
                </w:tcPr>
                <w:p w14:paraId="60491DA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0000FF"/>
                      <w:kern w:val="0"/>
                      <w:sz w:val="22"/>
                      <w:szCs w:val="22"/>
                      <w:lang w:val="en-US" w:eastAsia="zh-CN"/>
                    </w:rPr>
                  </w:pPr>
                  <w:r>
                    <w:rPr>
                      <w:rFonts w:hint="eastAsia" w:ascii="Times New Roman" w:hAnsi="Times New Roman" w:eastAsia="宋体" w:cs="Times New Roman"/>
                      <w:color w:val="0000FF"/>
                      <w:kern w:val="0"/>
                      <w:sz w:val="22"/>
                      <w:szCs w:val="22"/>
                      <w:lang w:val="en-US" w:eastAsia="zh-CN"/>
                    </w:rPr>
                    <w:t>外购</w:t>
                  </w:r>
                </w:p>
              </w:tc>
            </w:tr>
          </w:tbl>
          <w:p w14:paraId="35C67DC8">
            <w:pPr>
              <w:spacing w:line="360" w:lineRule="auto"/>
              <w:ind w:firstLine="482" w:firstLineChars="200"/>
              <w:rPr>
                <w:rFonts w:hint="default"/>
                <w:b/>
                <w:color w:val="auto"/>
                <w:sz w:val="24"/>
                <w:lang w:val="en-US" w:eastAsia="zh-CN"/>
              </w:rPr>
            </w:pPr>
            <w:r>
              <w:rPr>
                <w:rFonts w:hint="eastAsia"/>
                <w:b/>
                <w:color w:val="auto"/>
                <w:sz w:val="24"/>
                <w:lang w:val="en-US" w:eastAsia="zh-CN"/>
              </w:rPr>
              <w:t>原辅料理化性质：</w:t>
            </w:r>
          </w:p>
          <w:p w14:paraId="63AA7804">
            <w:pPr>
              <w:spacing w:line="360" w:lineRule="auto"/>
              <w:ind w:left="0" w:leftChars="0" w:firstLine="480" w:firstLineChars="200"/>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1）重钙：又称重质碳酸钙粉，是由天然碳酸盐矿物如方解石、大理石、石灰石磨碎而成。是常用的粉状无机填料，具有化学纯度高、惰性大、不易化学反应、热稳定性好、在400℃以下不会分解、白度高、吸油率低、折光率低、质软、干燥、不含结晶水、硬度低磨耗值小、无毒、无味、无臭、分散性好等优点。</w:t>
            </w:r>
          </w:p>
          <w:p w14:paraId="6C3E1F72">
            <w:pPr>
              <w:spacing w:line="360" w:lineRule="auto"/>
              <w:ind w:firstLine="480" w:firstLineChars="200"/>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（2）石</w:t>
            </w:r>
            <w:r>
              <w:rPr>
                <w:rFonts w:hint="eastAsia" w:cs="Times New Roman"/>
                <w:b w:val="0"/>
                <w:bCs/>
                <w:color w:val="auto"/>
                <w:sz w:val="24"/>
                <w:lang w:val="en-US" w:eastAsia="zh-CN"/>
              </w:rPr>
              <w:t>膏</w:t>
            </w:r>
            <w:r>
              <w:rPr>
                <w:rFonts w:hint="default" w:ascii="Times New Roman" w:hAnsi="Times New Roman" w:eastAsia="宋体" w:cs="Times New Roman"/>
                <w:b w:val="0"/>
                <w:bCs/>
                <w:color w:val="auto"/>
                <w:sz w:val="24"/>
                <w:lang w:val="en-US" w:eastAsia="zh-CN"/>
              </w:rPr>
              <w:t>粉：主要用于混凝土、砂浆、石膏板等材料的制作中，作为一种重要的添加剂。它可以增加混凝土的稳定性，提高其强度和耐久性，同时还能改善砂浆的粘合性和耐水性。此外，</w:t>
            </w:r>
            <w:r>
              <w:rPr>
                <w:rFonts w:hint="eastAsia" w:cs="Times New Roman"/>
                <w:b w:val="0"/>
                <w:bCs/>
                <w:color w:val="auto"/>
                <w:sz w:val="24"/>
                <w:lang w:val="en-US" w:eastAsia="zh-CN"/>
              </w:rPr>
              <w:t>石膏粉</w:t>
            </w:r>
            <w:r>
              <w:rPr>
                <w:rFonts w:hint="default" w:ascii="Times New Roman" w:hAnsi="Times New Roman" w:eastAsia="宋体" w:cs="Times New Roman"/>
                <w:b w:val="0"/>
                <w:bCs/>
                <w:color w:val="auto"/>
                <w:sz w:val="24"/>
                <w:lang w:val="en-US" w:eastAsia="zh-CN"/>
              </w:rPr>
              <w:t>还可用于铺路和修建建筑物的基础层。</w:t>
            </w:r>
          </w:p>
          <w:p w14:paraId="215EF8F6">
            <w:pPr>
              <w:spacing w:line="360" w:lineRule="auto"/>
              <w:ind w:left="0" w:leftChars="0" w:firstLine="480" w:firstLineChars="200"/>
              <w:rPr>
                <w:rFonts w:hint="default"/>
                <w:lang w:val="en-US" w:eastAsia="zh-CN"/>
              </w:rPr>
            </w:pPr>
            <w:r>
              <w:rPr>
                <w:rFonts w:hint="default" w:ascii="Times New Roman" w:hAnsi="Times New Roman" w:eastAsia="宋体" w:cs="Times New Roman"/>
                <w:b w:val="0"/>
                <w:bCs/>
                <w:color w:val="auto"/>
                <w:sz w:val="24"/>
                <w:lang w:val="en-US" w:eastAsia="zh-CN"/>
              </w:rPr>
              <w:t>（3）木质素：主要成份为由葡萄糖组成的大分子多糖，常温下，既不溶于水，又不溶于一般的有机溶剂，如酒精、乙醚、丙酮、苯等，它也不溶于稀碱溶液中。因此，在常温下，它是比较稳定的，适用于干粉砂浆建材，内外墙耐水腻子粉(膏)，粘结剂，填缝剂，界面剂，水性涂料，自流平剂等新型建材。</w:t>
            </w:r>
          </w:p>
          <w:p w14:paraId="1C495A40">
            <w:pPr>
              <w:spacing w:line="360" w:lineRule="auto"/>
              <w:ind w:firstLine="482" w:firstLineChars="200"/>
              <w:rPr>
                <w:b/>
                <w:color w:val="auto"/>
                <w:sz w:val="24"/>
              </w:rPr>
            </w:pPr>
            <w:r>
              <w:rPr>
                <w:rFonts w:hint="eastAsia"/>
                <w:b/>
                <w:color w:val="auto"/>
                <w:sz w:val="24"/>
                <w:lang w:val="en-US" w:eastAsia="zh-CN"/>
              </w:rPr>
              <w:t>5</w:t>
            </w:r>
            <w:r>
              <w:rPr>
                <w:b/>
                <w:color w:val="auto"/>
                <w:sz w:val="24"/>
              </w:rPr>
              <w:t>、项目厂址及平面布置</w:t>
            </w:r>
          </w:p>
          <w:p w14:paraId="4BD92D5A">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cs="Times New Roman"/>
                <w:color w:val="auto"/>
                <w:sz w:val="24"/>
                <w:szCs w:val="24"/>
                <w:lang w:val="en-US" w:eastAsia="zh-CN"/>
              </w:rPr>
              <w:t>选址位于嘉祥县万张街道骆堂村西500米</w:t>
            </w:r>
            <w:r>
              <w:rPr>
                <w:rFonts w:hint="eastAsia" w:ascii="Times New Roman" w:hAnsi="Times New Roman" w:eastAsia="宋体" w:cs="Times New Roman"/>
                <w:color w:val="auto"/>
                <w:sz w:val="24"/>
                <w:szCs w:val="24"/>
              </w:rPr>
              <w:t>，项目</w:t>
            </w:r>
            <w:r>
              <w:rPr>
                <w:rFonts w:hint="eastAsia" w:cs="Times New Roman"/>
                <w:color w:val="auto"/>
                <w:sz w:val="24"/>
                <w:szCs w:val="24"/>
                <w:lang w:val="en-US" w:eastAsia="zh-CN"/>
              </w:rPr>
              <w:t>所在</w:t>
            </w:r>
            <w:r>
              <w:rPr>
                <w:rFonts w:hint="eastAsia" w:cs="Times New Roman"/>
                <w:color w:val="auto"/>
                <w:sz w:val="24"/>
                <w:szCs w:val="24"/>
                <w:lang w:eastAsia="zh-CN"/>
              </w:rPr>
              <w:t>厂区</w:t>
            </w:r>
            <w:r>
              <w:rPr>
                <w:rFonts w:hint="eastAsia" w:ascii="Times New Roman" w:hAnsi="Times New Roman" w:eastAsia="宋体" w:cs="Times New Roman"/>
                <w:color w:val="auto"/>
                <w:sz w:val="24"/>
                <w:szCs w:val="24"/>
                <w:lang w:val="en-US" w:eastAsia="zh-CN"/>
              </w:rPr>
              <w:t>北侧</w:t>
            </w:r>
            <w:r>
              <w:rPr>
                <w:rFonts w:hint="eastAsia" w:cs="Times New Roman"/>
                <w:color w:val="auto"/>
                <w:sz w:val="24"/>
                <w:szCs w:val="24"/>
                <w:lang w:val="en-US" w:eastAsia="zh-CN"/>
              </w:rPr>
              <w:t>为济宁盛隆水泥制品有限公司，</w:t>
            </w:r>
            <w:r>
              <w:rPr>
                <w:rFonts w:hint="eastAsia" w:cs="Times New Roman"/>
                <w:color w:val="auto"/>
                <w:sz w:val="24"/>
                <w:szCs w:val="24"/>
                <w:highlight w:val="none"/>
                <w:lang w:val="en-US" w:eastAsia="zh-CN"/>
              </w:rPr>
              <w:t>南侧为石材加工企业、</w:t>
            </w:r>
            <w:r>
              <w:rPr>
                <w:rFonts w:hint="eastAsia" w:cs="Times New Roman"/>
                <w:color w:val="auto"/>
                <w:sz w:val="24"/>
                <w:szCs w:val="24"/>
                <w:lang w:val="en-US" w:eastAsia="zh-CN"/>
              </w:rPr>
              <w:t>西侧为空地，东</w:t>
            </w:r>
            <w:r>
              <w:rPr>
                <w:rFonts w:hint="eastAsia" w:ascii="Times New Roman" w:hAnsi="Times New Roman" w:eastAsia="宋体" w:cs="Times New Roman"/>
                <w:color w:val="auto"/>
                <w:sz w:val="24"/>
                <w:szCs w:val="24"/>
                <w:lang w:val="en-US" w:eastAsia="zh-CN"/>
              </w:rPr>
              <w:t>侧为</w:t>
            </w:r>
            <w:r>
              <w:rPr>
                <w:rFonts w:hint="eastAsia" w:cs="Times New Roman"/>
                <w:color w:val="auto"/>
                <w:sz w:val="24"/>
                <w:szCs w:val="24"/>
                <w:lang w:val="en-US" w:eastAsia="zh-CN"/>
              </w:rPr>
              <w:t>道路</w:t>
            </w:r>
            <w:r>
              <w:rPr>
                <w:rFonts w:hint="default" w:ascii="Times New Roman" w:hAnsi="Times New Roman" w:eastAsia="宋体" w:cs="Times New Roman"/>
                <w:color w:val="auto"/>
                <w:sz w:val="24"/>
                <w:szCs w:val="24"/>
              </w:rPr>
              <w:t>。项目周边交通较便利，厂址附近无自然保护区、风景旅游区、集中式生活饮用水水源地与濒危珍稀野生动植物分布。</w:t>
            </w:r>
            <w:r>
              <w:rPr>
                <w:rFonts w:hint="default" w:ascii="Times New Roman" w:hAnsi="Times New Roman" w:eastAsia="宋体" w:cs="Times New Roman"/>
                <w:color w:val="auto"/>
                <w:sz w:val="24"/>
                <w:szCs w:val="24"/>
                <w:lang w:val="zh-CN"/>
              </w:rPr>
              <w:t>（项目地理位置图见附图1、</w:t>
            </w:r>
            <w:r>
              <w:rPr>
                <w:rFonts w:hint="eastAsia"/>
                <w:color w:val="auto"/>
                <w:sz w:val="24"/>
                <w:szCs w:val="18"/>
                <w:highlight w:val="none"/>
                <w:lang w:val="en-US" w:eastAsia="zh-CN"/>
              </w:rPr>
              <w:t>项目周边环境敏感目标分布图</w:t>
            </w:r>
            <w:r>
              <w:rPr>
                <w:rFonts w:hint="default" w:ascii="Times New Roman" w:hAnsi="Times New Roman" w:eastAsia="宋体" w:cs="Times New Roman"/>
                <w:color w:val="auto"/>
                <w:sz w:val="24"/>
                <w:szCs w:val="24"/>
                <w:lang w:val="zh-CN"/>
              </w:rPr>
              <w:t>见附图2）。</w:t>
            </w:r>
          </w:p>
          <w:p w14:paraId="3DEFA16A">
            <w:pPr>
              <w:spacing w:line="360" w:lineRule="auto"/>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本项目租赁现有闲置厂房建设，总占地面积约1500m</w:t>
            </w:r>
            <w:r>
              <w:rPr>
                <w:rFonts w:hint="eastAsia" w:cs="Times New Roman"/>
                <w:color w:val="auto"/>
                <w:sz w:val="24"/>
                <w:szCs w:val="24"/>
                <w:vertAlign w:val="superscript"/>
                <w:lang w:val="en-US" w:eastAsia="zh-CN"/>
              </w:rPr>
              <w:t>2</w:t>
            </w:r>
            <w:r>
              <w:rPr>
                <w:rFonts w:hint="eastAsia" w:cs="Times New Roman"/>
                <w:color w:val="auto"/>
                <w:sz w:val="24"/>
                <w:szCs w:val="24"/>
                <w:lang w:val="en-US" w:eastAsia="zh-CN"/>
              </w:rPr>
              <w:t>。项目生产车间位于厂区西部，车间出入口位于西侧，内设办公区、原料区、生产区和成品区，其中原料区位于车间内东部，中部为生产区，布置提升机、输送机、搅拌罐、包装机等，西南部为成品区，整个车间</w:t>
            </w:r>
            <w:r>
              <w:rPr>
                <w:rFonts w:hint="default" w:ascii="Times New Roman" w:hAnsi="Times New Roman" w:eastAsia="宋体" w:cs="Times New Roman"/>
                <w:color w:val="auto"/>
                <w:sz w:val="24"/>
                <w:szCs w:val="24"/>
                <w:lang w:val="en-US" w:eastAsia="zh-CN"/>
              </w:rPr>
              <w:t>依据生产工序进行布局。</w:t>
            </w:r>
            <w:r>
              <w:rPr>
                <w:rFonts w:hint="default" w:ascii="Times New Roman" w:hAnsi="Times New Roman" w:eastAsia="宋体" w:cs="Times New Roman"/>
                <w:color w:val="auto"/>
                <w:sz w:val="24"/>
                <w:szCs w:val="24"/>
              </w:rPr>
              <w:t>项目厂区平面布置详见附图3。</w:t>
            </w:r>
          </w:p>
          <w:p w14:paraId="00BB3113">
            <w:pPr>
              <w:spacing w:line="360" w:lineRule="auto"/>
              <w:ind w:firstLine="482" w:firstLineChars="200"/>
              <w:rPr>
                <w:b/>
                <w:color w:val="auto"/>
                <w:sz w:val="24"/>
              </w:rPr>
            </w:pPr>
            <w:r>
              <w:rPr>
                <w:rFonts w:hint="eastAsia"/>
                <w:b/>
                <w:color w:val="auto"/>
                <w:sz w:val="24"/>
                <w:lang w:val="en-US" w:eastAsia="zh-CN"/>
              </w:rPr>
              <w:t>6</w:t>
            </w:r>
            <w:r>
              <w:rPr>
                <w:b/>
                <w:color w:val="auto"/>
                <w:sz w:val="24"/>
              </w:rPr>
              <w:t>、公用工程</w:t>
            </w:r>
          </w:p>
          <w:p w14:paraId="29B600E3">
            <w:pPr>
              <w:spacing w:line="360" w:lineRule="auto"/>
              <w:ind w:firstLine="480" w:firstLineChars="200"/>
              <w:rPr>
                <w:rFonts w:hint="default" w:ascii="Times New Roman" w:hAnsi="Times New Roman" w:cs="Times New Roman" w:eastAsiaTheme="minorEastAsia"/>
                <w:color w:val="auto"/>
                <w:sz w:val="24"/>
                <w:szCs w:val="24"/>
              </w:rPr>
            </w:pPr>
            <w:r>
              <w:rPr>
                <w:rFonts w:hint="eastAsia" w:cs="Times New Roman" w:eastAsiaTheme="minorEastAsia"/>
                <w:color w:val="auto"/>
                <w:sz w:val="24"/>
                <w:szCs w:val="24"/>
                <w:lang w:val="en-US" w:eastAsia="zh-CN"/>
              </w:rPr>
              <w:t>6.1</w:t>
            </w:r>
            <w:r>
              <w:rPr>
                <w:rFonts w:hint="default" w:ascii="Times New Roman" w:hAnsi="Times New Roman" w:cs="Times New Roman" w:eastAsiaTheme="minorEastAsia"/>
                <w:color w:val="auto"/>
                <w:sz w:val="24"/>
                <w:szCs w:val="24"/>
              </w:rPr>
              <w:t>给排水</w:t>
            </w:r>
          </w:p>
          <w:p w14:paraId="5F849708">
            <w:pPr>
              <w:spacing w:line="360" w:lineRule="auto"/>
              <w:ind w:firstLine="480" w:firstLineChars="200"/>
              <w:rPr>
                <w:rFonts w:hint="eastAsia" w:ascii="Times New Roman" w:hAnsi="Times New Roman" w:cs="Times New Roman" w:eastAsiaTheme="minorEastAsia"/>
                <w:color w:val="auto"/>
                <w:sz w:val="24"/>
                <w:szCs w:val="24"/>
                <w:lang w:eastAsia="zh-CN"/>
              </w:rPr>
            </w:pPr>
            <w:r>
              <w:rPr>
                <w:rFonts w:hint="eastAsia" w:cs="Times New Roman" w:eastAsiaTheme="minorEastAsia"/>
                <w:color w:val="auto"/>
                <w:sz w:val="24"/>
                <w:szCs w:val="24"/>
                <w:lang w:eastAsia="zh-CN"/>
              </w:rPr>
              <w:t>（</w:t>
            </w:r>
            <w:r>
              <w:rPr>
                <w:rFonts w:hint="eastAsia" w:cs="Times New Roman" w:eastAsiaTheme="minorEastAsia"/>
                <w:color w:val="auto"/>
                <w:sz w:val="24"/>
                <w:szCs w:val="24"/>
                <w:lang w:val="en-US" w:eastAsia="zh-CN"/>
              </w:rPr>
              <w:t>1</w:t>
            </w:r>
            <w:r>
              <w:rPr>
                <w:rFonts w:hint="eastAsia"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给水</w:t>
            </w:r>
          </w:p>
          <w:p w14:paraId="4DC35F9B">
            <w:pPr>
              <w:spacing w:line="360" w:lineRule="auto"/>
              <w:ind w:firstLine="480" w:firstLineChars="200"/>
              <w:rPr>
                <w:rFonts w:hint="eastAsia" w:cs="Times New Roman"/>
                <w:color w:val="auto"/>
                <w:sz w:val="24"/>
                <w:szCs w:val="24"/>
                <w:lang w:eastAsia="zh-CN"/>
              </w:rPr>
            </w:pPr>
            <w:r>
              <w:rPr>
                <w:rFonts w:hint="default" w:ascii="Times New Roman" w:hAnsi="Times New Roman" w:cs="Times New Roman"/>
                <w:color w:val="auto"/>
                <w:sz w:val="24"/>
                <w:szCs w:val="24"/>
              </w:rPr>
              <w:t>本</w:t>
            </w:r>
            <w:r>
              <w:rPr>
                <w:rFonts w:hint="eastAsia" w:cs="Times New Roman"/>
                <w:color w:val="auto"/>
                <w:sz w:val="24"/>
                <w:szCs w:val="24"/>
                <w:lang w:eastAsia="zh-CN"/>
              </w:rPr>
              <w:t>项目用水</w:t>
            </w:r>
            <w:r>
              <w:rPr>
                <w:rFonts w:hint="default" w:ascii="Times New Roman" w:hAnsi="Times New Roman" w:cs="Times New Roman"/>
                <w:color w:val="auto"/>
                <w:sz w:val="24"/>
                <w:szCs w:val="24"/>
              </w:rPr>
              <w:t>由</w:t>
            </w:r>
            <w:r>
              <w:rPr>
                <w:rFonts w:hint="eastAsia" w:cs="Times New Roman"/>
                <w:color w:val="auto"/>
                <w:sz w:val="24"/>
                <w:szCs w:val="24"/>
                <w:lang w:val="en-US" w:eastAsia="zh-CN"/>
              </w:rPr>
              <w:t>当地</w:t>
            </w:r>
            <w:r>
              <w:rPr>
                <w:rFonts w:hint="default" w:ascii="Times New Roman" w:hAnsi="Times New Roman" w:cs="Times New Roman"/>
                <w:color w:val="auto"/>
                <w:sz w:val="24"/>
                <w:szCs w:val="24"/>
              </w:rPr>
              <w:t>供水</w:t>
            </w:r>
            <w:r>
              <w:rPr>
                <w:rFonts w:hint="eastAsia" w:cs="Times New Roman"/>
                <w:color w:val="auto"/>
                <w:sz w:val="24"/>
                <w:szCs w:val="24"/>
                <w:lang w:val="en-US" w:eastAsia="zh-CN"/>
              </w:rPr>
              <w:t>管网</w:t>
            </w:r>
            <w:r>
              <w:rPr>
                <w:rFonts w:hint="default" w:ascii="Times New Roman" w:hAnsi="Times New Roman" w:cs="Times New Roman"/>
                <w:color w:val="auto"/>
                <w:sz w:val="24"/>
                <w:szCs w:val="24"/>
              </w:rPr>
              <w:t>供给</w:t>
            </w:r>
            <w:r>
              <w:rPr>
                <w:rFonts w:hint="eastAsia" w:cs="Times New Roman"/>
                <w:color w:val="auto"/>
                <w:sz w:val="24"/>
                <w:szCs w:val="24"/>
                <w:lang w:eastAsia="zh-CN"/>
              </w:rPr>
              <w:t>，可以保证连续稳定正常供水。</w:t>
            </w:r>
            <w:r>
              <w:rPr>
                <w:rFonts w:hint="eastAsia" w:cs="Times New Roman"/>
                <w:color w:val="auto"/>
                <w:sz w:val="24"/>
                <w:szCs w:val="24"/>
                <w:lang w:val="en-US" w:eastAsia="zh-CN"/>
              </w:rPr>
              <w:t>项目</w:t>
            </w:r>
            <w:r>
              <w:rPr>
                <w:rFonts w:hint="default" w:ascii="Times New Roman" w:hAnsi="Times New Roman" w:cs="Times New Roman"/>
                <w:color w:val="auto"/>
                <w:sz w:val="24"/>
                <w:szCs w:val="24"/>
              </w:rPr>
              <w:t>用水包括生活用水</w:t>
            </w:r>
            <w:r>
              <w:rPr>
                <w:rFonts w:hint="eastAsia" w:cs="Times New Roman"/>
                <w:color w:val="auto"/>
                <w:sz w:val="24"/>
                <w:szCs w:val="24"/>
                <w:lang w:val="en-US" w:eastAsia="zh-CN"/>
              </w:rPr>
              <w:t>和</w:t>
            </w:r>
            <w:r>
              <w:rPr>
                <w:rFonts w:hint="eastAsia" w:cs="Times New Roman"/>
                <w:color w:val="auto"/>
                <w:sz w:val="24"/>
                <w:szCs w:val="24"/>
                <w:lang w:eastAsia="zh-CN"/>
              </w:rPr>
              <w:t>生产用水，生产用水</w:t>
            </w:r>
            <w:r>
              <w:rPr>
                <w:rFonts w:hint="eastAsia" w:cs="Times New Roman"/>
                <w:color w:val="auto"/>
                <w:sz w:val="24"/>
                <w:szCs w:val="24"/>
                <w:lang w:val="en-US" w:eastAsia="zh-CN"/>
              </w:rPr>
              <w:t>主要为厂区抑尘用水和洗车台补充用水。</w:t>
            </w:r>
          </w:p>
          <w:p w14:paraId="631B851E">
            <w:pPr>
              <w:spacing w:line="360" w:lineRule="auto"/>
              <w:ind w:firstLine="480" w:firstLineChars="200"/>
              <w:rPr>
                <w:rFonts w:hint="default" w:ascii="Times New Roman" w:hAnsi="Times New Roman" w:eastAsia="宋体" w:cs="Times New Roman"/>
                <w:color w:val="auto"/>
                <w:sz w:val="24"/>
                <w:szCs w:val="20"/>
              </w:rPr>
            </w:pPr>
            <w:r>
              <w:rPr>
                <w:rFonts w:hint="eastAsia" w:cs="Times New Roman"/>
                <w:color w:val="auto"/>
                <w:sz w:val="24"/>
                <w:szCs w:val="24"/>
                <w:lang w:val="en-US" w:eastAsia="zh-CN"/>
              </w:rPr>
              <w:t>①生活用水：</w:t>
            </w:r>
            <w:r>
              <w:rPr>
                <w:rFonts w:hint="default" w:ascii="Times New Roman" w:hAnsi="Times New Roman" w:cs="Times New Roman"/>
                <w:color w:val="auto"/>
                <w:sz w:val="24"/>
                <w:szCs w:val="24"/>
              </w:rPr>
              <w:t>项目</w:t>
            </w:r>
            <w:r>
              <w:rPr>
                <w:rFonts w:hint="default" w:ascii="Times New Roman" w:hAnsi="Times New Roman" w:eastAsia="宋体" w:cs="Times New Roman"/>
                <w:color w:val="auto"/>
                <w:sz w:val="24"/>
                <w:szCs w:val="20"/>
              </w:rPr>
              <w:t>职工定员</w:t>
            </w:r>
            <w:r>
              <w:rPr>
                <w:rFonts w:hint="eastAsia" w:cs="Times New Roman"/>
                <w:color w:val="auto"/>
                <w:sz w:val="24"/>
                <w:szCs w:val="20"/>
                <w:lang w:val="en-US" w:eastAsia="zh-CN"/>
              </w:rPr>
              <w:t>15</w:t>
            </w:r>
            <w:r>
              <w:rPr>
                <w:rFonts w:hint="default" w:ascii="Times New Roman" w:hAnsi="Times New Roman" w:eastAsia="宋体" w:cs="Times New Roman"/>
                <w:color w:val="auto"/>
                <w:sz w:val="24"/>
                <w:szCs w:val="20"/>
              </w:rPr>
              <w:t>人，</w:t>
            </w:r>
            <w:r>
              <w:rPr>
                <w:rFonts w:hint="eastAsia" w:cs="Times New Roman"/>
                <w:color w:val="auto"/>
                <w:sz w:val="24"/>
                <w:szCs w:val="20"/>
                <w:lang w:eastAsia="zh-CN"/>
              </w:rPr>
              <w:t>均</w:t>
            </w:r>
            <w:r>
              <w:rPr>
                <w:rFonts w:hint="default" w:ascii="Times New Roman" w:hAnsi="Times New Roman" w:eastAsia="宋体" w:cs="Times New Roman"/>
                <w:color w:val="auto"/>
                <w:sz w:val="24"/>
                <w:szCs w:val="20"/>
              </w:rPr>
              <w:t>不在厂区内</w:t>
            </w:r>
            <w:r>
              <w:rPr>
                <w:rFonts w:hint="default" w:ascii="Times New Roman" w:hAnsi="Times New Roman" w:eastAsia="宋体" w:cs="Times New Roman"/>
                <w:color w:val="auto"/>
                <w:sz w:val="24"/>
                <w:szCs w:val="20"/>
                <w:lang w:eastAsia="zh-CN"/>
              </w:rPr>
              <w:t>食</w:t>
            </w:r>
            <w:r>
              <w:rPr>
                <w:rFonts w:hint="default" w:ascii="Times New Roman" w:hAnsi="Times New Roman" w:eastAsia="宋体" w:cs="Times New Roman"/>
                <w:color w:val="auto"/>
                <w:sz w:val="24"/>
                <w:szCs w:val="20"/>
              </w:rPr>
              <w:t>宿，根据《山东省城市生活用水标准》（DB37/T5105-2017），生活水量按50L/人•d计算，年工作300天</w:t>
            </w:r>
            <w:r>
              <w:rPr>
                <w:rFonts w:hint="default" w:ascii="Times New Roman" w:hAnsi="Times New Roman" w:eastAsia="宋体" w:cs="Times New Roman"/>
                <w:color w:val="auto"/>
                <w:sz w:val="24"/>
                <w:szCs w:val="20"/>
                <w:lang w:eastAsia="zh-CN"/>
              </w:rPr>
              <w:t>，</w:t>
            </w:r>
            <w:r>
              <w:rPr>
                <w:rFonts w:hint="eastAsia" w:cs="Times New Roman"/>
                <w:snapToGrid w:val="0"/>
                <w:color w:val="auto"/>
                <w:kern w:val="0"/>
                <w:sz w:val="24"/>
                <w:szCs w:val="20"/>
                <w:lang w:eastAsia="zh-CN"/>
              </w:rPr>
              <w:t>则</w:t>
            </w:r>
            <w:r>
              <w:rPr>
                <w:rFonts w:hint="default" w:ascii="Times New Roman" w:hAnsi="Times New Roman" w:eastAsia="宋体" w:cs="Times New Roman"/>
                <w:color w:val="auto"/>
                <w:sz w:val="24"/>
                <w:szCs w:val="20"/>
              </w:rPr>
              <w:t>生活用水量为</w:t>
            </w:r>
            <w:r>
              <w:rPr>
                <w:rFonts w:hint="eastAsia" w:cs="Times New Roman"/>
                <w:color w:val="auto"/>
                <w:sz w:val="24"/>
                <w:szCs w:val="20"/>
                <w:lang w:val="en-US" w:eastAsia="zh-CN"/>
              </w:rPr>
              <w:t>0.75</w:t>
            </w:r>
            <w:r>
              <w:rPr>
                <w:rFonts w:hint="default" w:ascii="Times New Roman" w:hAnsi="Times New Roman" w:eastAsia="宋体" w:cs="Times New Roman"/>
                <w:color w:val="auto"/>
                <w:sz w:val="24"/>
                <w:szCs w:val="20"/>
              </w:rPr>
              <w:t>m</w:t>
            </w:r>
            <w:r>
              <w:rPr>
                <w:rFonts w:hint="default" w:ascii="Times New Roman" w:hAnsi="Times New Roman" w:eastAsia="宋体" w:cs="Times New Roman"/>
                <w:color w:val="auto"/>
                <w:sz w:val="24"/>
                <w:szCs w:val="20"/>
                <w:vertAlign w:val="superscript"/>
              </w:rPr>
              <w:t>3</w:t>
            </w:r>
            <w:r>
              <w:rPr>
                <w:rFonts w:hint="default" w:ascii="Times New Roman" w:hAnsi="Times New Roman" w:eastAsia="宋体" w:cs="Times New Roman"/>
                <w:color w:val="auto"/>
                <w:sz w:val="24"/>
                <w:szCs w:val="20"/>
              </w:rPr>
              <w:t>/d，</w:t>
            </w:r>
            <w:r>
              <w:rPr>
                <w:rFonts w:hint="eastAsia" w:cs="Times New Roman"/>
                <w:color w:val="auto"/>
                <w:sz w:val="24"/>
                <w:szCs w:val="20"/>
                <w:lang w:val="en-US" w:eastAsia="zh-CN"/>
              </w:rPr>
              <w:t>合225</w:t>
            </w:r>
            <w:r>
              <w:rPr>
                <w:rFonts w:hint="default" w:ascii="Times New Roman" w:hAnsi="Times New Roman" w:eastAsia="宋体" w:cs="Times New Roman"/>
                <w:color w:val="auto"/>
                <w:sz w:val="24"/>
                <w:szCs w:val="20"/>
              </w:rPr>
              <w:t>m</w:t>
            </w:r>
            <w:r>
              <w:rPr>
                <w:rFonts w:hint="default" w:ascii="Times New Roman" w:hAnsi="Times New Roman" w:eastAsia="宋体" w:cs="Times New Roman"/>
                <w:color w:val="auto"/>
                <w:sz w:val="24"/>
                <w:szCs w:val="20"/>
                <w:vertAlign w:val="superscript"/>
              </w:rPr>
              <w:t>3</w:t>
            </w:r>
            <w:r>
              <w:rPr>
                <w:rFonts w:hint="eastAsia" w:cs="Times New Roman"/>
                <w:color w:val="auto"/>
                <w:sz w:val="24"/>
                <w:szCs w:val="20"/>
                <w:vertAlign w:val="baseline"/>
                <w:lang w:val="en-US" w:eastAsia="zh-CN"/>
              </w:rPr>
              <w:t>/a</w:t>
            </w:r>
            <w:r>
              <w:rPr>
                <w:rFonts w:hint="default" w:ascii="Times New Roman" w:hAnsi="Times New Roman" w:eastAsia="宋体" w:cs="Times New Roman"/>
                <w:color w:val="auto"/>
                <w:sz w:val="24"/>
                <w:szCs w:val="20"/>
              </w:rPr>
              <w:t>。</w:t>
            </w:r>
          </w:p>
          <w:p w14:paraId="2415B819">
            <w:pPr>
              <w:keepNext w:val="0"/>
              <w:keepLines w:val="0"/>
              <w:widowControl/>
              <w:suppressLineNumbers w:val="0"/>
              <w:jc w:val="left"/>
              <w:rPr>
                <w:rFonts w:hint="default"/>
                <w:lang w:val="en-US"/>
              </w:rPr>
            </w:pPr>
            <w:r>
              <w:rPr>
                <w:rFonts w:hint="eastAsia" w:cs="Times New Roman"/>
                <w:color w:val="auto"/>
                <w:sz w:val="24"/>
                <w:szCs w:val="24"/>
                <w:lang w:val="en-US" w:eastAsia="zh-CN"/>
              </w:rPr>
              <w:t>②</w:t>
            </w:r>
            <w:r>
              <w:rPr>
                <w:rFonts w:hint="eastAsia" w:ascii="宋体" w:hAnsi="宋体" w:eastAsia="宋体" w:cs="宋体"/>
                <w:color w:val="000000"/>
                <w:kern w:val="0"/>
                <w:sz w:val="24"/>
                <w:szCs w:val="24"/>
                <w:lang w:val="en-US" w:eastAsia="zh-CN" w:bidi="ar"/>
              </w:rPr>
              <w:t>厂区抑尘用水：为</w:t>
            </w:r>
            <w:r>
              <w:rPr>
                <w:rFonts w:hint="eastAsia" w:ascii="宋体" w:hAnsi="宋体" w:cs="宋体"/>
                <w:color w:val="000000"/>
                <w:kern w:val="0"/>
                <w:sz w:val="24"/>
                <w:szCs w:val="24"/>
                <w:lang w:val="en-US" w:eastAsia="zh-CN" w:bidi="ar"/>
              </w:rPr>
              <w:t>抑制</w:t>
            </w:r>
            <w:r>
              <w:rPr>
                <w:rFonts w:hint="eastAsia" w:ascii="宋体" w:hAnsi="宋体" w:eastAsia="宋体" w:cs="宋体"/>
                <w:color w:val="000000"/>
                <w:kern w:val="0"/>
                <w:sz w:val="24"/>
                <w:szCs w:val="24"/>
                <w:lang w:val="en-US" w:eastAsia="zh-CN" w:bidi="ar"/>
              </w:rPr>
              <w:t>粉尘</w:t>
            </w:r>
            <w:r>
              <w:rPr>
                <w:rFonts w:hint="eastAsia" w:ascii="宋体" w:hAnsi="宋体" w:cs="宋体"/>
                <w:color w:val="000000"/>
                <w:kern w:val="0"/>
                <w:sz w:val="24"/>
                <w:szCs w:val="24"/>
                <w:lang w:val="en-US" w:eastAsia="zh-CN" w:bidi="ar"/>
              </w:rPr>
              <w:t>扩散</w:t>
            </w:r>
            <w:r>
              <w:rPr>
                <w:rFonts w:hint="eastAsia" w:ascii="宋体" w:hAnsi="宋体" w:eastAsia="宋体" w:cs="宋体"/>
                <w:color w:val="0000FF"/>
                <w:kern w:val="0"/>
                <w:sz w:val="24"/>
                <w:szCs w:val="24"/>
                <w:lang w:val="en-US" w:eastAsia="zh-CN" w:bidi="ar"/>
              </w:rPr>
              <w:t>，</w:t>
            </w:r>
            <w:r>
              <w:rPr>
                <w:rFonts w:hint="eastAsia" w:ascii="宋体" w:hAnsi="宋体" w:cs="宋体"/>
                <w:color w:val="0000FF"/>
                <w:kern w:val="0"/>
                <w:sz w:val="24"/>
                <w:szCs w:val="24"/>
                <w:lang w:val="en-US" w:eastAsia="zh-CN" w:bidi="ar"/>
              </w:rPr>
              <w:t>项目</w:t>
            </w:r>
            <w:r>
              <w:rPr>
                <w:rFonts w:hint="eastAsia" w:ascii="宋体" w:hAnsi="宋体" w:eastAsia="宋体" w:cs="宋体"/>
                <w:color w:val="0000FF"/>
                <w:kern w:val="0"/>
                <w:sz w:val="24"/>
                <w:szCs w:val="24"/>
                <w:lang w:val="en-US" w:eastAsia="zh-CN" w:bidi="ar"/>
              </w:rPr>
              <w:t>定期对厂区</w:t>
            </w:r>
            <w:r>
              <w:rPr>
                <w:rFonts w:hint="eastAsia" w:ascii="宋体" w:hAnsi="宋体" w:cs="宋体"/>
                <w:color w:val="0000FF"/>
                <w:kern w:val="0"/>
                <w:sz w:val="24"/>
                <w:szCs w:val="24"/>
                <w:lang w:val="en-US" w:eastAsia="zh-CN" w:bidi="ar"/>
              </w:rPr>
              <w:t>内运输</w:t>
            </w:r>
            <w:r>
              <w:rPr>
                <w:rFonts w:hint="eastAsia" w:ascii="宋体" w:hAnsi="宋体" w:eastAsia="宋体" w:cs="宋体"/>
                <w:color w:val="0000FF"/>
                <w:kern w:val="0"/>
                <w:sz w:val="24"/>
                <w:szCs w:val="24"/>
                <w:lang w:val="en-US" w:eastAsia="zh-CN" w:bidi="ar"/>
              </w:rPr>
              <w:t>道路</w:t>
            </w:r>
            <w:r>
              <w:rPr>
                <w:rFonts w:hint="eastAsia" w:ascii="宋体" w:hAnsi="宋体" w:cs="宋体"/>
                <w:color w:val="0000FF"/>
                <w:kern w:val="0"/>
                <w:sz w:val="24"/>
                <w:szCs w:val="24"/>
                <w:lang w:val="en-US" w:eastAsia="zh-CN" w:bidi="ar"/>
              </w:rPr>
              <w:t>洒水</w:t>
            </w:r>
            <w:r>
              <w:rPr>
                <w:rFonts w:hint="eastAsia" w:ascii="宋体" w:hAnsi="宋体" w:eastAsia="宋体" w:cs="宋体"/>
                <w:color w:val="000000"/>
                <w:kern w:val="0"/>
                <w:sz w:val="24"/>
                <w:szCs w:val="24"/>
                <w:lang w:val="en-US" w:eastAsia="zh-CN" w:bidi="ar"/>
              </w:rPr>
              <w:t>抑尘，根据建设单位提供资料，用水量约为</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15"/>
                <w:szCs w:val="15"/>
                <w:lang w:val="en-US" w:eastAsia="zh-CN" w:bidi="ar"/>
              </w:rPr>
              <w:t xml:space="preserve"> </w:t>
            </w:r>
            <w:r>
              <w:rPr>
                <w:rFonts w:hint="default" w:ascii="Times New Roman" w:hAnsi="Times New Roman" w:eastAsia="宋体" w:cs="Times New Roman"/>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00m</w:t>
            </w:r>
            <w:r>
              <w:rPr>
                <w:rFonts w:hint="eastAsia"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15"/>
                <w:szCs w:val="15"/>
                <w:lang w:val="en-US" w:eastAsia="zh-CN" w:bidi="ar"/>
              </w:rPr>
              <w:t xml:space="preserve"> </w:t>
            </w:r>
            <w:r>
              <w:rPr>
                <w:rFonts w:hint="default" w:ascii="Times New Roman" w:hAnsi="Times New Roman" w:eastAsia="宋体" w:cs="Times New Roman"/>
                <w:color w:val="000000"/>
                <w:kern w:val="0"/>
                <w:sz w:val="24"/>
                <w:szCs w:val="24"/>
                <w:lang w:val="en-US" w:eastAsia="zh-CN" w:bidi="ar"/>
              </w:rPr>
              <w:t>/a</w:t>
            </w:r>
            <w:r>
              <w:rPr>
                <w:rFonts w:hint="eastAsia" w:ascii="Times New Roman" w:hAnsi="Times New Roman" w:eastAsia="宋体" w:cs="Times New Roman"/>
                <w:color w:val="000000"/>
                <w:kern w:val="0"/>
                <w:sz w:val="24"/>
                <w:szCs w:val="24"/>
                <w:lang w:val="en-US" w:eastAsia="zh-CN" w:bidi="ar"/>
              </w:rPr>
              <w:t>。</w:t>
            </w:r>
          </w:p>
          <w:p w14:paraId="7C8A516E">
            <w:pPr>
              <w:keepNext w:val="0"/>
              <w:keepLines w:val="0"/>
              <w:widowControl/>
              <w:suppressLineNumbers w:val="0"/>
              <w:jc w:val="left"/>
              <w:rPr>
                <w:rFonts w:hint="eastAsia" w:ascii="Times New Roman" w:hAnsi="Times New Roman" w:eastAsia="宋体" w:cs="Times New Roman"/>
                <w:color w:val="000000"/>
                <w:kern w:val="0"/>
                <w:sz w:val="24"/>
                <w:szCs w:val="24"/>
                <w:lang w:val="en-US" w:eastAsia="zh-CN" w:bidi="ar"/>
              </w:rPr>
            </w:pPr>
            <w:r>
              <w:rPr>
                <w:rFonts w:hint="eastAsia" w:cs="Times New Roman"/>
                <w:color w:val="auto"/>
                <w:sz w:val="24"/>
                <w:szCs w:val="24"/>
                <w:lang w:val="en-US" w:eastAsia="zh-CN"/>
              </w:rPr>
              <w:t>③</w:t>
            </w:r>
            <w:r>
              <w:rPr>
                <w:rFonts w:hint="eastAsia" w:ascii="宋体" w:hAnsi="宋体" w:eastAsia="宋体" w:cs="宋体"/>
                <w:color w:val="000000"/>
                <w:kern w:val="0"/>
                <w:sz w:val="24"/>
                <w:szCs w:val="24"/>
                <w:lang w:val="en-US" w:eastAsia="zh-CN" w:bidi="ar"/>
              </w:rPr>
              <w:t>洗车台补充用水：为减少运输车辆扬尘，车辆每次进出厂均需要对两侧、 底盘、轮胎等进行冲洗，项目厂区大门内侧设置自动洗车台，车辆冲洗水沉淀后循环利用，新鲜水补充水量约</w:t>
            </w:r>
            <w:r>
              <w:rPr>
                <w:rFonts w:hint="default" w:ascii="Times New Roman" w:hAnsi="Times New Roman" w:eastAsia="宋体" w:cs="Times New Roman"/>
                <w:color w:val="000000"/>
                <w:kern w:val="0"/>
                <w:sz w:val="24"/>
                <w:szCs w:val="24"/>
                <w:lang w:val="en-US" w:eastAsia="zh-CN" w:bidi="ar"/>
              </w:rPr>
              <w:t>0.5m</w:t>
            </w:r>
            <w:r>
              <w:rPr>
                <w:rFonts w:hint="eastAsia"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15"/>
                <w:szCs w:val="15"/>
                <w:lang w:val="en-US" w:eastAsia="zh-CN" w:bidi="ar"/>
              </w:rPr>
              <w:t xml:space="preserve"> </w:t>
            </w:r>
            <w:r>
              <w:rPr>
                <w:rFonts w:hint="default" w:ascii="Times New Roman" w:hAnsi="Times New Roman" w:eastAsia="宋体" w:cs="Times New Roman"/>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150m</w:t>
            </w:r>
            <w:r>
              <w:rPr>
                <w:rFonts w:hint="eastAsia"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/a</w:t>
            </w:r>
            <w:r>
              <w:rPr>
                <w:rFonts w:hint="eastAsia" w:ascii="Times New Roman" w:hAnsi="Times New Roman" w:eastAsia="宋体" w:cs="Times New Roman"/>
                <w:color w:val="000000"/>
                <w:kern w:val="0"/>
                <w:sz w:val="24"/>
                <w:szCs w:val="24"/>
                <w:lang w:val="en-US" w:eastAsia="zh-CN" w:bidi="ar"/>
              </w:rPr>
              <w:t>。</w:t>
            </w:r>
          </w:p>
          <w:p w14:paraId="42665142">
            <w:pPr>
              <w:keepNext w:val="0"/>
              <w:keepLines w:val="0"/>
              <w:widowControl/>
              <w:suppressLineNumbers w:val="0"/>
              <w:jc w:val="left"/>
              <w:rPr>
                <w:rFonts w:hint="eastAsia" w:ascii="Times New Roman" w:hAnsi="Times New Roman" w:cs="Times New Roman" w:eastAsiaTheme="minorEastAsia"/>
                <w:color w:val="auto"/>
                <w:sz w:val="24"/>
                <w:szCs w:val="24"/>
                <w:lang w:eastAsia="zh-CN"/>
              </w:rPr>
            </w:pPr>
            <w:r>
              <w:rPr>
                <w:rFonts w:hint="eastAsia" w:cs="Times New Roman" w:eastAsiaTheme="minorEastAsia"/>
                <w:color w:val="auto"/>
                <w:sz w:val="24"/>
                <w:szCs w:val="24"/>
                <w:lang w:eastAsia="zh-CN"/>
              </w:rPr>
              <w:t>（</w:t>
            </w:r>
            <w:r>
              <w:rPr>
                <w:rFonts w:hint="eastAsia" w:cs="Times New Roman" w:eastAsiaTheme="minorEastAsia"/>
                <w:color w:val="auto"/>
                <w:sz w:val="24"/>
                <w:szCs w:val="24"/>
                <w:lang w:val="en-US" w:eastAsia="zh-CN"/>
              </w:rPr>
              <w:t>2</w:t>
            </w:r>
            <w:r>
              <w:rPr>
                <w:rFonts w:hint="eastAsia"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排水</w:t>
            </w:r>
          </w:p>
          <w:p w14:paraId="1F5A4E8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排水实行“雨污分流、清污分流”，雨水经厂区雨水管网，排出厂外。项目厂区抑尘用水全部蒸发损耗，洗车台用水循环使用，定期补充损耗，因此，项目无生产废水产生。废水主要为生活污水，生活污水产生量按照用量80%计，产生量</w:t>
            </w:r>
            <w:r>
              <w:rPr>
                <w:rFonts w:hint="eastAsia" w:cs="Times New Roman"/>
                <w:color w:val="auto"/>
                <w:sz w:val="24"/>
                <w:szCs w:val="24"/>
                <w:lang w:val="en-US" w:eastAsia="zh-CN"/>
              </w:rPr>
              <w:t>约180</w:t>
            </w:r>
            <w:r>
              <w:rPr>
                <w:rFonts w:hint="default" w:ascii="Times New Roman" w:hAnsi="Times New Roman" w:eastAsia="宋体" w:cs="Times New Roman"/>
                <w:color w:val="auto"/>
                <w:sz w:val="24"/>
                <w:szCs w:val="24"/>
              </w:rPr>
              <w:t>m</w:t>
            </w:r>
            <w:r>
              <w:rPr>
                <w:rFonts w:hint="eastAsia" w:cs="Times New Roman"/>
                <w:color w:val="auto"/>
                <w:sz w:val="24"/>
                <w:szCs w:val="24"/>
                <w:vertAlign w:val="superscript"/>
                <w:lang w:val="en-US" w:eastAsia="zh-CN"/>
              </w:rPr>
              <w:t>3</w:t>
            </w:r>
            <w:r>
              <w:rPr>
                <w:rFonts w:hint="eastAsia" w:cs="Times New Roman"/>
                <w:color w:val="auto"/>
                <w:sz w:val="24"/>
                <w:szCs w:val="24"/>
                <w:vertAlign w:val="baseline"/>
                <w:lang w:val="en-US" w:eastAsia="zh-CN"/>
              </w:rPr>
              <w:t>/a</w:t>
            </w:r>
            <w:r>
              <w:rPr>
                <w:rFonts w:hint="default" w:ascii="Times New Roman" w:hAnsi="Times New Roman" w:eastAsia="宋体" w:cs="Times New Roman"/>
                <w:color w:val="auto"/>
                <w:sz w:val="24"/>
                <w:szCs w:val="24"/>
              </w:rPr>
              <w:t>，经厂区化粪池处理后委托环卫部门清运。</w:t>
            </w:r>
          </w:p>
          <w:p w14:paraId="2EC798EC">
            <w:pPr>
              <w:spacing w:line="360" w:lineRule="auto"/>
              <w:ind w:left="0" w:leftChars="0" w:firstLine="0" w:firstLineChars="0"/>
              <w:jc w:val="center"/>
              <w:rPr>
                <w:rFonts w:hint="eastAsia" w:asciiTheme="minorEastAsia" w:hAnsiTheme="minorEastAsia" w:eastAsiaTheme="minorEastAsia" w:cstheme="minorEastAsia"/>
                <w:b/>
                <w:color w:val="auto"/>
                <w:sz w:val="24"/>
                <w:szCs w:val="24"/>
              </w:rPr>
            </w:pPr>
            <w:r>
              <w:drawing>
                <wp:inline distT="0" distB="0" distL="114300" distR="114300">
                  <wp:extent cx="4676775" cy="251142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rcRect t="2346"/>
                          <a:stretch>
                            <a:fillRect/>
                          </a:stretch>
                        </pic:blipFill>
                        <pic:spPr>
                          <a:xfrm>
                            <a:off x="0" y="0"/>
                            <a:ext cx="4676775" cy="2511425"/>
                          </a:xfrm>
                          <a:prstGeom prst="rect">
                            <a:avLst/>
                          </a:prstGeom>
                          <a:noFill/>
                          <a:ln>
                            <a:noFill/>
                          </a:ln>
                        </pic:spPr>
                      </pic:pic>
                    </a:graphicData>
                  </a:graphic>
                </wp:inline>
              </w:drawing>
            </w:r>
          </w:p>
          <w:p w14:paraId="07CAFA77">
            <w:pPr>
              <w:spacing w:line="360" w:lineRule="auto"/>
              <w:jc w:val="center"/>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图</w:t>
            </w:r>
            <w:r>
              <w:rPr>
                <w:rFonts w:hint="default" w:ascii="Times New Roman" w:hAnsi="Times New Roman" w:cs="Times New Roman" w:eastAsiaTheme="minorEastAsia"/>
                <w:b/>
                <w:color w:val="auto"/>
                <w:sz w:val="24"/>
                <w:szCs w:val="24"/>
                <w:lang w:val="en-US" w:eastAsia="zh-CN"/>
              </w:rPr>
              <w:t>2</w:t>
            </w:r>
            <w:r>
              <w:rPr>
                <w:rFonts w:hint="default" w:ascii="Times New Roman" w:hAnsi="Times New Roman" w:cs="Times New Roman" w:eastAsiaTheme="minorEastAsia"/>
                <w:b/>
                <w:color w:val="auto"/>
                <w:sz w:val="24"/>
                <w:szCs w:val="24"/>
              </w:rPr>
              <w:t>-</w:t>
            </w:r>
            <w:r>
              <w:rPr>
                <w:rFonts w:hint="eastAsia" w:ascii="Times New Roman" w:hAnsi="Times New Roman" w:cs="Times New Roman" w:eastAsiaTheme="minorEastAsia"/>
                <w:b/>
                <w:color w:val="auto"/>
                <w:sz w:val="24"/>
                <w:szCs w:val="24"/>
                <w:lang w:val="en-US" w:eastAsia="zh-CN"/>
              </w:rPr>
              <w:t>1</w:t>
            </w:r>
            <w:r>
              <w:rPr>
                <w:rFonts w:hint="default" w:ascii="Times New Roman" w:hAnsi="Times New Roman" w:cs="Times New Roman" w:eastAsiaTheme="minorEastAsia"/>
                <w:b/>
                <w:color w:val="auto"/>
                <w:sz w:val="24"/>
                <w:szCs w:val="24"/>
              </w:rPr>
              <w:tab/>
            </w:r>
            <w:r>
              <w:rPr>
                <w:rFonts w:hint="default" w:ascii="Times New Roman" w:hAnsi="Times New Roman" w:cs="Times New Roman" w:eastAsiaTheme="minorEastAsia"/>
                <w:b/>
                <w:color w:val="auto"/>
                <w:sz w:val="24"/>
                <w:szCs w:val="24"/>
              </w:rPr>
              <w:t>项目用水平衡图（单位：m</w:t>
            </w:r>
            <w:r>
              <w:rPr>
                <w:rFonts w:hint="default" w:ascii="Times New Roman" w:hAnsi="Times New Roman" w:cs="Times New Roman" w:eastAsiaTheme="minorEastAsia"/>
                <w:b/>
                <w:color w:val="auto"/>
                <w:sz w:val="24"/>
                <w:szCs w:val="24"/>
                <w:vertAlign w:val="superscript"/>
              </w:rPr>
              <w:t>3</w:t>
            </w:r>
            <w:r>
              <w:rPr>
                <w:rFonts w:hint="default" w:ascii="Times New Roman" w:hAnsi="Times New Roman" w:cs="Times New Roman" w:eastAsiaTheme="minorEastAsia"/>
                <w:b/>
                <w:color w:val="auto"/>
                <w:sz w:val="24"/>
                <w:szCs w:val="24"/>
              </w:rPr>
              <w:t>/a）</w:t>
            </w:r>
          </w:p>
          <w:p w14:paraId="380F6294">
            <w:pPr>
              <w:snapToGrid w:val="0"/>
              <w:spacing w:line="360" w:lineRule="auto"/>
              <w:ind w:firstLine="480" w:firstLineChars="200"/>
              <w:rPr>
                <w:color w:val="auto"/>
                <w:sz w:val="24"/>
              </w:rPr>
            </w:pPr>
            <w:r>
              <w:rPr>
                <w:rFonts w:hint="eastAsia" w:cs="Times New Roman" w:eastAsiaTheme="minorEastAsia"/>
                <w:color w:val="auto"/>
                <w:sz w:val="24"/>
                <w:szCs w:val="24"/>
                <w:lang w:val="en-US" w:eastAsia="zh-CN"/>
              </w:rPr>
              <w:t>6.2</w:t>
            </w:r>
            <w:r>
              <w:rPr>
                <w:color w:val="auto"/>
                <w:sz w:val="24"/>
              </w:rPr>
              <w:t>供电</w:t>
            </w:r>
          </w:p>
          <w:p w14:paraId="6A2FD19A">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textAlignment w:val="auto"/>
              <w:rPr>
                <w:bCs/>
                <w:color w:val="auto"/>
                <w:kern w:val="0"/>
                <w:sz w:val="24"/>
              </w:rPr>
            </w:pPr>
            <w:r>
              <w:rPr>
                <w:rFonts w:hint="default" w:ascii="Times New Roman" w:hAnsi="Times New Roman" w:cs="Times New Roman"/>
                <w:color w:val="auto"/>
                <w:sz w:val="24"/>
                <w:szCs w:val="24"/>
              </w:rPr>
              <w:t>项目供电由</w:t>
            </w:r>
            <w:r>
              <w:rPr>
                <w:rFonts w:hint="eastAsia" w:cs="Times New Roman"/>
                <w:color w:val="auto"/>
                <w:sz w:val="24"/>
                <w:szCs w:val="24"/>
                <w:lang w:val="en-US" w:eastAsia="zh-CN"/>
              </w:rPr>
              <w:t>万张街道</w:t>
            </w:r>
            <w:r>
              <w:rPr>
                <w:rFonts w:hint="default" w:ascii="Times New Roman" w:hAnsi="Times New Roman" w:cs="Times New Roman"/>
                <w:color w:val="auto"/>
                <w:sz w:val="24"/>
                <w:szCs w:val="24"/>
              </w:rPr>
              <w:t>供电系统接入，</w:t>
            </w:r>
            <w:r>
              <w:rPr>
                <w:rFonts w:hint="default" w:ascii="Times New Roman" w:hAnsi="Times New Roman" w:cs="Times New Roman"/>
                <w:color w:val="auto"/>
                <w:sz w:val="24"/>
                <w:szCs w:val="24"/>
                <w:lang w:val="en-US" w:eastAsia="zh-CN"/>
              </w:rPr>
              <w:t>能</w:t>
            </w:r>
            <w:r>
              <w:rPr>
                <w:rFonts w:hint="eastAsia" w:ascii="Times New Roman" w:hAnsi="Times New Roman" w:cs="Times New Roman"/>
                <w:color w:val="auto"/>
                <w:sz w:val="24"/>
                <w:szCs w:val="24"/>
                <w:lang w:val="en-US" w:eastAsia="zh-CN"/>
              </w:rPr>
              <w:t>够</w:t>
            </w:r>
            <w:r>
              <w:rPr>
                <w:rFonts w:hint="default" w:ascii="Times New Roman" w:hAnsi="Times New Roman" w:cs="Times New Roman"/>
                <w:color w:val="auto"/>
                <w:sz w:val="24"/>
                <w:szCs w:val="24"/>
                <w:lang w:val="en-US" w:eastAsia="zh-CN"/>
              </w:rPr>
              <w:t>满足生产和生活</w:t>
            </w:r>
            <w:r>
              <w:rPr>
                <w:rFonts w:hint="eastAsia" w:ascii="Times New Roman" w:hAnsi="Times New Roman" w:cs="Times New Roman"/>
                <w:color w:val="auto"/>
                <w:sz w:val="24"/>
                <w:szCs w:val="24"/>
                <w:lang w:val="en-US" w:eastAsia="zh-CN"/>
              </w:rPr>
              <w:t>需求</w:t>
            </w:r>
            <w:r>
              <w:rPr>
                <w:rFonts w:hint="eastAsia" w:eastAsia="新宋体"/>
                <w:color w:val="auto"/>
                <w:sz w:val="24"/>
                <w:lang w:eastAsia="zh-CN"/>
              </w:rPr>
              <w:t>，</w:t>
            </w:r>
            <w:r>
              <w:rPr>
                <w:rFonts w:eastAsia="新宋体"/>
                <w:color w:val="auto"/>
                <w:sz w:val="24"/>
              </w:rPr>
              <w:t>年</w:t>
            </w:r>
            <w:r>
              <w:rPr>
                <w:rFonts w:hint="default" w:ascii="Times New Roman" w:hAnsi="Times New Roman" w:eastAsia="宋体" w:cs="Times New Roman"/>
                <w:color w:val="auto"/>
                <w:sz w:val="24"/>
                <w:szCs w:val="24"/>
                <w:lang w:val="en-US" w:eastAsia="zh-CN"/>
              </w:rPr>
              <w:t>耗电量</w:t>
            </w:r>
            <w:r>
              <w:rPr>
                <w:rFonts w:hint="eastAsia" w:cs="Times New Roman"/>
                <w:color w:val="auto"/>
                <w:sz w:val="24"/>
                <w:szCs w:val="24"/>
                <w:lang w:val="en-US" w:eastAsia="zh-CN"/>
              </w:rPr>
              <w:t>约50</w:t>
            </w:r>
            <w:r>
              <w:rPr>
                <w:rFonts w:hint="default" w:ascii="Times New Roman" w:hAnsi="Times New Roman" w:eastAsia="宋体" w:cs="Times New Roman"/>
                <w:color w:val="auto"/>
                <w:sz w:val="24"/>
                <w:szCs w:val="24"/>
                <w:lang w:val="en-US" w:eastAsia="zh-CN"/>
              </w:rPr>
              <w:t>万kwh。</w:t>
            </w:r>
          </w:p>
          <w:p w14:paraId="3567FE31">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default" w:ascii="Times New Roman" w:hAnsi="Times New Roman" w:eastAsia="宋体" w:cs="Times New Roman"/>
                <w:bCs/>
                <w:color w:val="auto"/>
                <w:kern w:val="0"/>
                <w:sz w:val="24"/>
              </w:rPr>
            </w:pPr>
            <w:r>
              <w:rPr>
                <w:rFonts w:hint="eastAsia" w:cs="Times New Roman" w:eastAsiaTheme="minorEastAsia"/>
                <w:color w:val="auto"/>
                <w:sz w:val="24"/>
                <w:szCs w:val="24"/>
                <w:lang w:val="en-US" w:eastAsia="zh-CN"/>
              </w:rPr>
              <w:t>6.3</w:t>
            </w:r>
            <w:r>
              <w:rPr>
                <w:rFonts w:hint="default" w:ascii="Times New Roman" w:hAnsi="Times New Roman" w:eastAsia="宋体" w:cs="Times New Roman"/>
                <w:bCs/>
                <w:color w:val="auto"/>
                <w:kern w:val="0"/>
                <w:sz w:val="24"/>
              </w:rPr>
              <w:t>供热</w:t>
            </w:r>
          </w:p>
          <w:p w14:paraId="02D7E06A">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default" w:ascii="Times New Roman" w:hAnsi="Times New Roman" w:eastAsia="宋体" w:cs="Times New Roman"/>
                <w:bCs/>
                <w:color w:val="auto"/>
                <w:kern w:val="0"/>
                <w:sz w:val="24"/>
              </w:rPr>
            </w:pPr>
            <w:r>
              <w:rPr>
                <w:rFonts w:hint="default" w:ascii="Times New Roman" w:hAnsi="Times New Roman" w:eastAsia="宋体" w:cs="Times New Roman"/>
                <w:color w:val="auto"/>
                <w:sz w:val="24"/>
                <w:szCs w:val="24"/>
                <w:highlight w:val="none"/>
                <w:lang w:val="en-US" w:eastAsia="zh-CN"/>
              </w:rPr>
              <w:t>项目生产过程</w:t>
            </w:r>
            <w:r>
              <w:rPr>
                <w:rFonts w:hint="eastAsia" w:ascii="Times New Roman" w:hAnsi="Times New Roman" w:eastAsia="宋体" w:cs="Times New Roman"/>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加热</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color w:val="auto"/>
                <w:kern w:val="0"/>
                <w:sz w:val="24"/>
              </w:rPr>
              <w:t>办公区冬季取暖使用空调。</w:t>
            </w:r>
          </w:p>
          <w:p w14:paraId="424D883D">
            <w:pPr>
              <w:snapToGrid w:val="0"/>
              <w:spacing w:line="360" w:lineRule="auto"/>
              <w:ind w:firstLine="480" w:firstLineChars="200"/>
              <w:rPr>
                <w:color w:val="auto"/>
                <w:sz w:val="24"/>
              </w:rPr>
            </w:pPr>
            <w:r>
              <w:rPr>
                <w:rFonts w:hint="eastAsia" w:cs="Times New Roman" w:eastAsiaTheme="minorEastAsia"/>
                <w:color w:val="auto"/>
                <w:sz w:val="24"/>
                <w:szCs w:val="24"/>
                <w:lang w:val="en-US" w:eastAsia="zh-CN"/>
              </w:rPr>
              <w:t>6.4</w:t>
            </w:r>
            <w:r>
              <w:rPr>
                <w:color w:val="auto"/>
                <w:sz w:val="24"/>
              </w:rPr>
              <w:t>项目定员及工作制度</w:t>
            </w:r>
          </w:p>
          <w:p w14:paraId="15760593">
            <w:pPr>
              <w:snapToGrid w:val="0"/>
              <w:spacing w:line="360" w:lineRule="auto"/>
              <w:ind w:firstLine="480" w:firstLineChars="200"/>
              <w:rPr>
                <w:color w:val="auto"/>
                <w:sz w:val="24"/>
              </w:rPr>
            </w:pPr>
            <w:r>
              <w:rPr>
                <w:rFonts w:hint="eastAsia"/>
                <w:color w:val="auto"/>
                <w:sz w:val="24"/>
                <w:lang w:eastAsia="zh-CN"/>
              </w:rPr>
              <w:t>项目</w:t>
            </w:r>
            <w:r>
              <w:rPr>
                <w:color w:val="auto"/>
                <w:sz w:val="24"/>
              </w:rPr>
              <w:t>劳动定员</w:t>
            </w:r>
            <w:r>
              <w:rPr>
                <w:rFonts w:hint="eastAsia"/>
                <w:color w:val="auto"/>
                <w:sz w:val="24"/>
                <w:lang w:val="en-US" w:eastAsia="zh-CN"/>
              </w:rPr>
              <w:t>15</w:t>
            </w:r>
            <w:r>
              <w:rPr>
                <w:color w:val="auto"/>
                <w:sz w:val="24"/>
              </w:rPr>
              <w:t>人，</w:t>
            </w:r>
            <w:r>
              <w:rPr>
                <w:color w:val="auto"/>
                <w:kern w:val="0"/>
                <w:sz w:val="24"/>
              </w:rPr>
              <w:t>生产实行</w:t>
            </w:r>
            <w:r>
              <w:rPr>
                <w:rFonts w:hint="eastAsia"/>
                <w:color w:val="auto"/>
                <w:kern w:val="0"/>
                <w:sz w:val="24"/>
                <w:lang w:val="en-US" w:eastAsia="zh-CN"/>
              </w:rPr>
              <w:t>双</w:t>
            </w:r>
            <w:r>
              <w:rPr>
                <w:color w:val="auto"/>
                <w:kern w:val="0"/>
                <w:sz w:val="24"/>
              </w:rPr>
              <w:t>班制，</w:t>
            </w:r>
            <w:r>
              <w:rPr>
                <w:color w:val="auto"/>
                <w:sz w:val="24"/>
              </w:rPr>
              <w:t>每</w:t>
            </w:r>
            <w:r>
              <w:rPr>
                <w:rFonts w:hint="eastAsia"/>
                <w:color w:val="auto"/>
                <w:sz w:val="24"/>
                <w:lang w:val="en-US" w:eastAsia="zh-CN"/>
              </w:rPr>
              <w:t>班8</w:t>
            </w:r>
            <w:r>
              <w:rPr>
                <w:color w:val="auto"/>
                <w:sz w:val="24"/>
              </w:rPr>
              <w:t>小时，年工作日300天。</w:t>
            </w:r>
          </w:p>
          <w:p w14:paraId="3BC69FA1">
            <w:pPr>
              <w:pStyle w:val="2"/>
            </w:pPr>
          </w:p>
          <w:p w14:paraId="22C5F71F">
            <w:pPr>
              <w:pStyle w:val="2"/>
              <w:rPr>
                <w:color w:val="auto"/>
                <w:sz w:val="24"/>
              </w:rPr>
            </w:pPr>
          </w:p>
          <w:p w14:paraId="6AFDB64B">
            <w:pPr>
              <w:rPr>
                <w:color w:val="auto"/>
                <w:sz w:val="24"/>
              </w:rPr>
            </w:pPr>
          </w:p>
          <w:p w14:paraId="45254F4C">
            <w:pPr>
              <w:pStyle w:val="2"/>
              <w:rPr>
                <w:color w:val="auto"/>
                <w:sz w:val="24"/>
              </w:rPr>
            </w:pPr>
          </w:p>
          <w:p w14:paraId="4689B103"/>
          <w:p w14:paraId="2F491913">
            <w:pPr>
              <w:snapToGrid w:val="0"/>
              <w:spacing w:line="360" w:lineRule="auto"/>
              <w:ind w:firstLine="480" w:firstLineChars="200"/>
              <w:rPr>
                <w:color w:val="auto"/>
                <w:sz w:val="24"/>
              </w:rPr>
            </w:pPr>
          </w:p>
          <w:p w14:paraId="14F93CC8">
            <w:pPr>
              <w:snapToGrid w:val="0"/>
              <w:spacing w:line="360" w:lineRule="auto"/>
              <w:ind w:firstLine="480" w:firstLineChars="200"/>
              <w:rPr>
                <w:color w:val="auto"/>
                <w:sz w:val="24"/>
              </w:rPr>
            </w:pPr>
          </w:p>
          <w:p w14:paraId="5150B194">
            <w:pPr>
              <w:snapToGrid w:val="0"/>
              <w:spacing w:line="360" w:lineRule="auto"/>
              <w:ind w:firstLine="480" w:firstLineChars="200"/>
              <w:rPr>
                <w:color w:val="auto"/>
                <w:sz w:val="24"/>
              </w:rPr>
            </w:pPr>
          </w:p>
          <w:p w14:paraId="3EF5F047">
            <w:pPr>
              <w:snapToGrid w:val="0"/>
              <w:spacing w:line="360" w:lineRule="auto"/>
              <w:ind w:firstLine="480" w:firstLineChars="200"/>
              <w:rPr>
                <w:color w:val="auto"/>
                <w:sz w:val="24"/>
              </w:rPr>
            </w:pPr>
          </w:p>
          <w:p w14:paraId="18393807">
            <w:pPr>
              <w:snapToGrid w:val="0"/>
              <w:spacing w:line="360" w:lineRule="auto"/>
              <w:ind w:firstLine="480" w:firstLineChars="200"/>
              <w:rPr>
                <w:color w:val="auto"/>
                <w:sz w:val="24"/>
              </w:rPr>
            </w:pPr>
          </w:p>
          <w:p w14:paraId="6323A60C">
            <w:pPr>
              <w:snapToGrid w:val="0"/>
              <w:spacing w:line="360" w:lineRule="auto"/>
              <w:ind w:left="0" w:leftChars="0" w:firstLine="0" w:firstLineChars="0"/>
              <w:rPr>
                <w:rFonts w:hint="eastAsia" w:eastAsia="宋体"/>
                <w:color w:val="auto"/>
                <w:sz w:val="24"/>
                <w:lang w:val="en-US" w:eastAsia="zh-CN"/>
              </w:rPr>
            </w:pPr>
          </w:p>
        </w:tc>
      </w:tr>
      <w:tr w14:paraId="6A242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61" w:type="dxa"/>
            <w:tcBorders>
              <w:tl2br w:val="nil"/>
              <w:tr2bl w:val="nil"/>
            </w:tcBorders>
            <w:vAlign w:val="center"/>
          </w:tcPr>
          <w:p w14:paraId="402F79EB">
            <w:pPr>
              <w:pStyle w:val="30"/>
              <w:adjustRightInd w:val="0"/>
              <w:snapToGrid w:val="0"/>
              <w:spacing w:before="0" w:beforeAutospacing="0" w:after="0" w:afterAutospacing="0"/>
              <w:jc w:val="center"/>
              <w:rPr>
                <w:rFonts w:ascii="Times New Roman" w:hAnsi="Times New Roman"/>
                <w:color w:val="auto"/>
                <w:sz w:val="21"/>
                <w:szCs w:val="21"/>
              </w:rPr>
            </w:pPr>
          </w:p>
          <w:p w14:paraId="11561677">
            <w:pPr>
              <w:pStyle w:val="30"/>
              <w:adjustRightInd w:val="0"/>
              <w:snapToGrid w:val="0"/>
              <w:spacing w:before="0" w:beforeAutospacing="0" w:after="0" w:afterAutospacing="0"/>
              <w:jc w:val="center"/>
              <w:rPr>
                <w:rFonts w:ascii="Times New Roman" w:hAnsi="Times New Roman"/>
                <w:color w:val="auto"/>
                <w:sz w:val="21"/>
                <w:szCs w:val="21"/>
              </w:rPr>
            </w:pPr>
          </w:p>
          <w:p w14:paraId="2BFFA564">
            <w:pPr>
              <w:pStyle w:val="30"/>
              <w:adjustRightInd w:val="0"/>
              <w:snapToGrid w:val="0"/>
              <w:spacing w:before="0" w:beforeAutospacing="0" w:after="0" w:afterAutospacing="0"/>
              <w:jc w:val="center"/>
              <w:rPr>
                <w:rFonts w:ascii="Times New Roman" w:hAnsi="Times New Roman"/>
                <w:color w:val="auto"/>
                <w:sz w:val="21"/>
                <w:szCs w:val="21"/>
              </w:rPr>
            </w:pPr>
          </w:p>
          <w:p w14:paraId="3CEE4902">
            <w:pPr>
              <w:pStyle w:val="30"/>
              <w:adjustRightInd w:val="0"/>
              <w:snapToGrid w:val="0"/>
              <w:spacing w:before="0" w:beforeAutospacing="0" w:after="0" w:afterAutospacing="0"/>
              <w:jc w:val="center"/>
              <w:rPr>
                <w:rFonts w:ascii="Times New Roman" w:hAnsi="Times New Roman"/>
                <w:color w:val="auto"/>
                <w:sz w:val="21"/>
                <w:szCs w:val="21"/>
              </w:rPr>
            </w:pPr>
          </w:p>
          <w:p w14:paraId="531490ED">
            <w:pPr>
              <w:pStyle w:val="30"/>
              <w:adjustRightInd w:val="0"/>
              <w:snapToGrid w:val="0"/>
              <w:spacing w:before="0" w:beforeAutospacing="0" w:after="0" w:afterAutospacing="0"/>
              <w:jc w:val="center"/>
              <w:rPr>
                <w:rFonts w:ascii="Times New Roman" w:hAnsi="Times New Roman"/>
                <w:color w:val="auto"/>
                <w:sz w:val="21"/>
                <w:szCs w:val="21"/>
              </w:rPr>
            </w:pPr>
          </w:p>
          <w:p w14:paraId="280DFD4F">
            <w:pPr>
              <w:pStyle w:val="30"/>
              <w:adjustRightInd w:val="0"/>
              <w:snapToGrid w:val="0"/>
              <w:spacing w:before="0" w:beforeAutospacing="0" w:after="0" w:afterAutospacing="0"/>
              <w:jc w:val="center"/>
              <w:rPr>
                <w:rFonts w:ascii="Times New Roman" w:hAnsi="Times New Roman"/>
                <w:color w:val="auto"/>
                <w:sz w:val="21"/>
                <w:szCs w:val="21"/>
              </w:rPr>
            </w:pPr>
          </w:p>
          <w:p w14:paraId="444F1A82">
            <w:pPr>
              <w:pStyle w:val="30"/>
              <w:adjustRightInd w:val="0"/>
              <w:snapToGrid w:val="0"/>
              <w:spacing w:before="0" w:beforeAutospacing="0" w:after="0" w:afterAutospacing="0"/>
              <w:jc w:val="center"/>
              <w:rPr>
                <w:rFonts w:ascii="Times New Roman" w:hAnsi="Times New Roman"/>
                <w:color w:val="auto"/>
                <w:sz w:val="21"/>
                <w:szCs w:val="21"/>
              </w:rPr>
            </w:pPr>
          </w:p>
          <w:p w14:paraId="42732294">
            <w:pPr>
              <w:pStyle w:val="30"/>
              <w:adjustRightInd w:val="0"/>
              <w:snapToGrid w:val="0"/>
              <w:spacing w:before="0" w:beforeAutospacing="0" w:after="0" w:afterAutospacing="0"/>
              <w:jc w:val="center"/>
              <w:rPr>
                <w:rFonts w:ascii="Times New Roman" w:hAnsi="Times New Roman"/>
                <w:color w:val="auto"/>
                <w:sz w:val="21"/>
                <w:szCs w:val="21"/>
              </w:rPr>
            </w:pPr>
          </w:p>
          <w:p w14:paraId="1E186E70">
            <w:pPr>
              <w:pStyle w:val="30"/>
              <w:adjustRightInd w:val="0"/>
              <w:snapToGrid w:val="0"/>
              <w:spacing w:before="0" w:beforeAutospacing="0" w:after="0" w:afterAutospacing="0"/>
              <w:jc w:val="center"/>
              <w:rPr>
                <w:rFonts w:ascii="Times New Roman" w:hAnsi="Times New Roman"/>
                <w:color w:val="auto"/>
                <w:sz w:val="21"/>
                <w:szCs w:val="21"/>
              </w:rPr>
            </w:pPr>
          </w:p>
          <w:p w14:paraId="17173BD9">
            <w:pPr>
              <w:pStyle w:val="30"/>
              <w:adjustRightInd w:val="0"/>
              <w:snapToGrid w:val="0"/>
              <w:spacing w:before="0" w:beforeAutospacing="0" w:after="0" w:afterAutospacing="0"/>
              <w:jc w:val="center"/>
              <w:rPr>
                <w:rFonts w:ascii="Times New Roman" w:hAnsi="Times New Roman"/>
                <w:color w:val="auto"/>
                <w:sz w:val="21"/>
                <w:szCs w:val="21"/>
              </w:rPr>
            </w:pPr>
          </w:p>
          <w:p w14:paraId="0994537C">
            <w:pPr>
              <w:pStyle w:val="30"/>
              <w:adjustRightInd w:val="0"/>
              <w:snapToGrid w:val="0"/>
              <w:spacing w:before="0" w:beforeAutospacing="0" w:after="0" w:afterAutospacing="0"/>
              <w:jc w:val="center"/>
              <w:rPr>
                <w:rFonts w:hint="eastAsia" w:ascii="Times New Roman" w:hAnsi="Times New Roman"/>
                <w:color w:val="auto"/>
                <w:sz w:val="21"/>
                <w:szCs w:val="21"/>
                <w:lang w:val="en-US" w:eastAsia="zh-CN"/>
              </w:rPr>
            </w:pPr>
          </w:p>
          <w:p w14:paraId="70F10280">
            <w:pPr>
              <w:pStyle w:val="28"/>
              <w:rPr>
                <w:rFonts w:hint="eastAsia" w:ascii="Times New Roman" w:hAnsi="Times New Roman"/>
                <w:color w:val="auto"/>
                <w:sz w:val="21"/>
                <w:szCs w:val="21"/>
                <w:lang w:val="en-US" w:eastAsia="zh-CN"/>
              </w:rPr>
            </w:pPr>
          </w:p>
          <w:p w14:paraId="627CB70B">
            <w:pPr>
              <w:rPr>
                <w:rFonts w:hint="eastAsia" w:ascii="Times New Roman" w:hAnsi="Times New Roman"/>
                <w:color w:val="auto"/>
                <w:sz w:val="21"/>
                <w:szCs w:val="21"/>
                <w:lang w:val="en-US" w:eastAsia="zh-CN"/>
              </w:rPr>
            </w:pPr>
          </w:p>
          <w:p w14:paraId="6C239ABA">
            <w:pPr>
              <w:pStyle w:val="22"/>
              <w:rPr>
                <w:rFonts w:hint="eastAsia" w:ascii="Times New Roman" w:hAnsi="Times New Roman"/>
                <w:color w:val="auto"/>
                <w:sz w:val="21"/>
                <w:szCs w:val="21"/>
                <w:lang w:val="en-US" w:eastAsia="zh-CN"/>
              </w:rPr>
            </w:pPr>
          </w:p>
          <w:p w14:paraId="3D8E2803">
            <w:pPr>
              <w:pStyle w:val="23"/>
              <w:rPr>
                <w:rFonts w:hint="eastAsia" w:ascii="Times New Roman" w:hAnsi="Times New Roman"/>
                <w:color w:val="auto"/>
                <w:sz w:val="21"/>
                <w:szCs w:val="21"/>
                <w:lang w:val="en-US" w:eastAsia="zh-CN"/>
              </w:rPr>
            </w:pPr>
          </w:p>
          <w:p w14:paraId="64F4CC5F">
            <w:pPr>
              <w:pStyle w:val="24"/>
              <w:rPr>
                <w:rFonts w:hint="eastAsia" w:ascii="Times New Roman" w:hAnsi="Times New Roman"/>
                <w:color w:val="auto"/>
                <w:sz w:val="21"/>
                <w:szCs w:val="21"/>
                <w:lang w:val="en-US" w:eastAsia="zh-CN"/>
              </w:rPr>
            </w:pPr>
          </w:p>
          <w:p w14:paraId="5AF25F09">
            <w:pPr>
              <w:rPr>
                <w:rFonts w:hint="eastAsia"/>
                <w:color w:val="auto"/>
                <w:lang w:val="en-US" w:eastAsia="zh-CN"/>
              </w:rPr>
            </w:pPr>
          </w:p>
          <w:p w14:paraId="491C9304">
            <w:pPr>
              <w:pStyle w:val="28"/>
              <w:rPr>
                <w:rFonts w:hint="eastAsia" w:ascii="Times New Roman" w:hAnsi="Times New Roman"/>
                <w:color w:val="auto"/>
                <w:sz w:val="21"/>
                <w:szCs w:val="21"/>
                <w:lang w:val="en-US" w:eastAsia="zh-CN"/>
              </w:rPr>
            </w:pPr>
          </w:p>
          <w:p w14:paraId="3DD221F0">
            <w:pPr>
              <w:rPr>
                <w:rFonts w:hint="eastAsia" w:ascii="Times New Roman" w:hAnsi="Times New Roman"/>
                <w:color w:val="auto"/>
                <w:sz w:val="21"/>
                <w:szCs w:val="21"/>
                <w:lang w:val="en-US" w:eastAsia="zh-CN"/>
              </w:rPr>
            </w:pPr>
          </w:p>
          <w:p w14:paraId="4F7075FE">
            <w:pPr>
              <w:pStyle w:val="2"/>
              <w:rPr>
                <w:rFonts w:hint="eastAsia"/>
                <w:color w:val="auto"/>
                <w:lang w:val="en-US" w:eastAsia="zh-CN"/>
              </w:rPr>
            </w:pPr>
          </w:p>
          <w:p w14:paraId="646EF9C9">
            <w:pPr>
              <w:pStyle w:val="30"/>
              <w:adjustRightInd w:val="0"/>
              <w:snapToGrid w:val="0"/>
              <w:spacing w:before="0" w:beforeAutospacing="0" w:after="0" w:afterAutospacing="0"/>
              <w:jc w:val="center"/>
              <w:rPr>
                <w:rFonts w:ascii="Times New Roman" w:hAnsi="Times New Roman"/>
                <w:color w:val="auto"/>
                <w:sz w:val="21"/>
                <w:szCs w:val="21"/>
              </w:rPr>
            </w:pPr>
          </w:p>
          <w:p w14:paraId="59C08412">
            <w:pPr>
              <w:pStyle w:val="30"/>
              <w:adjustRightInd w:val="0"/>
              <w:snapToGrid w:val="0"/>
              <w:spacing w:before="0" w:beforeAutospacing="0" w:after="0" w:afterAutospacing="0"/>
              <w:jc w:val="center"/>
              <w:rPr>
                <w:rFonts w:ascii="Times New Roman" w:hAnsi="Times New Roman"/>
                <w:color w:val="auto"/>
                <w:sz w:val="21"/>
                <w:szCs w:val="21"/>
              </w:rPr>
            </w:pPr>
          </w:p>
          <w:p w14:paraId="11C62042">
            <w:pPr>
              <w:pStyle w:val="30"/>
              <w:adjustRightInd w:val="0"/>
              <w:snapToGrid w:val="0"/>
              <w:spacing w:before="0" w:beforeAutospacing="0" w:after="0" w:afterAutospacing="0"/>
              <w:jc w:val="center"/>
              <w:rPr>
                <w:rFonts w:ascii="Times New Roman" w:hAnsi="Times New Roman"/>
                <w:color w:val="auto"/>
                <w:sz w:val="21"/>
                <w:szCs w:val="21"/>
              </w:rPr>
            </w:pPr>
          </w:p>
          <w:p w14:paraId="3BCDB728">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工艺流程和产排污环节</w:t>
            </w:r>
          </w:p>
        </w:tc>
        <w:tc>
          <w:tcPr>
            <w:tcW w:w="9393" w:type="dxa"/>
            <w:tcBorders>
              <w:tl2br w:val="nil"/>
              <w:tr2bl w:val="nil"/>
            </w:tcBorders>
          </w:tcPr>
          <w:p w14:paraId="29A1B670">
            <w:pPr>
              <w:keepNext w:val="0"/>
              <w:keepLines w:val="0"/>
              <w:widowControl/>
              <w:suppressLineNumbers w:val="0"/>
              <w:jc w:val="left"/>
              <w:rPr>
                <w:color w:val="auto"/>
              </w:rPr>
            </w:pPr>
            <w:r>
              <w:rPr>
                <w:rFonts w:hint="eastAsia" w:ascii="宋体" w:hAnsi="宋体" w:cs="宋体"/>
                <w:b/>
                <w:bCs/>
                <w:color w:val="auto"/>
                <w:kern w:val="0"/>
                <w:sz w:val="24"/>
                <w:szCs w:val="24"/>
                <w:lang w:val="en-US" w:eastAsia="zh-CN" w:bidi="ar"/>
              </w:rPr>
              <w:t>1</w:t>
            </w:r>
            <w:r>
              <w:rPr>
                <w:rFonts w:hint="eastAsia" w:ascii="宋体" w:hAnsi="宋体" w:eastAsia="宋体" w:cs="宋体"/>
                <w:b/>
                <w:bCs/>
                <w:color w:val="auto"/>
                <w:kern w:val="0"/>
                <w:sz w:val="24"/>
                <w:szCs w:val="24"/>
                <w:lang w:val="en-US" w:eastAsia="zh-CN" w:bidi="ar"/>
              </w:rPr>
              <w:t>、施工期</w:t>
            </w:r>
          </w:p>
          <w:p w14:paraId="7C9C0A0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color w:val="auto"/>
                <w:kern w:val="2"/>
                <w:sz w:val="24"/>
                <w:szCs w:val="22"/>
                <w:lang w:val="en-US" w:eastAsia="zh-CN" w:bidi="ar-SA"/>
              </w:rPr>
              <w:t>项目租赁现有</w:t>
            </w:r>
            <w:r>
              <w:rPr>
                <w:rFonts w:hint="eastAsia" w:cs="Times New Roman"/>
                <w:color w:val="auto"/>
                <w:kern w:val="2"/>
                <w:sz w:val="24"/>
                <w:szCs w:val="22"/>
                <w:lang w:val="en-US" w:eastAsia="zh-CN" w:bidi="ar-SA"/>
              </w:rPr>
              <w:t>闲置厂房</w:t>
            </w:r>
            <w:r>
              <w:rPr>
                <w:rFonts w:hint="eastAsia" w:ascii="Times New Roman" w:hAnsi="Times New Roman" w:eastAsia="宋体" w:cs="Times New Roman"/>
                <w:color w:val="auto"/>
                <w:kern w:val="2"/>
                <w:sz w:val="24"/>
                <w:szCs w:val="22"/>
                <w:lang w:val="en-US" w:eastAsia="zh-CN" w:bidi="ar-SA"/>
              </w:rPr>
              <w:t>建设，不进行土建施工。施工期主要环境影响为设备安装与调试过程产生的噪声，将随着施工期结束而消失，对周边环境影响较小。本次环评不再对施工期影响进行详细分析。</w:t>
            </w:r>
          </w:p>
          <w:p w14:paraId="284070A6">
            <w:pPr>
              <w:keepNext w:val="0"/>
              <w:keepLines w:val="0"/>
              <w:widowControl/>
              <w:suppressLineNumbers w:val="0"/>
              <w:jc w:val="left"/>
              <w:rPr>
                <w:color w:val="auto"/>
              </w:rPr>
            </w:pPr>
            <w:r>
              <w:rPr>
                <w:rFonts w:hint="default" w:ascii="Times New Roman" w:hAnsi="Times New Roman" w:cs="Times New Roman"/>
                <w:b/>
                <w:bCs/>
                <w:color w:val="auto"/>
                <w:kern w:val="0"/>
                <w:sz w:val="24"/>
                <w:szCs w:val="24"/>
                <w:lang w:val="en-US" w:eastAsia="zh-CN" w:bidi="ar"/>
              </w:rPr>
              <w:t>2</w:t>
            </w:r>
            <w:r>
              <w:rPr>
                <w:rFonts w:hint="default" w:ascii="Times New Roman" w:hAnsi="Times New Roman" w:eastAsia="宋体" w:cs="Times New Roman"/>
                <w:b/>
                <w:bCs/>
                <w:color w:val="auto"/>
                <w:kern w:val="0"/>
                <w:sz w:val="24"/>
                <w:szCs w:val="24"/>
                <w:lang w:val="en-US" w:eastAsia="zh-CN" w:bidi="ar"/>
              </w:rPr>
              <w:t>、</w:t>
            </w:r>
            <w:r>
              <w:rPr>
                <w:rFonts w:hint="eastAsia" w:ascii="宋体" w:hAnsi="宋体" w:eastAsia="宋体" w:cs="宋体"/>
                <w:b/>
                <w:bCs/>
                <w:color w:val="auto"/>
                <w:kern w:val="0"/>
                <w:sz w:val="24"/>
                <w:szCs w:val="24"/>
                <w:lang w:val="en-US" w:eastAsia="zh-CN" w:bidi="ar"/>
              </w:rPr>
              <w:t>营运期工程分析</w:t>
            </w:r>
          </w:p>
          <w:p w14:paraId="25B1CBEF">
            <w:pPr>
              <w:spacing w:line="360" w:lineRule="auto"/>
              <w:ind w:firstLine="480" w:firstLineChars="200"/>
              <w:rPr>
                <w:rFonts w:hint="default"/>
                <w:color w:val="auto"/>
                <w:sz w:val="24"/>
                <w:lang w:val="en-US" w:eastAsia="zh-CN"/>
              </w:rPr>
            </w:pPr>
            <w:r>
              <w:rPr>
                <w:rFonts w:hint="eastAsia"/>
                <w:color w:val="auto"/>
                <w:sz w:val="24"/>
                <w:lang w:val="en-US" w:eastAsia="zh-CN"/>
              </w:rPr>
              <w:t>（1）工艺流程</w:t>
            </w:r>
          </w:p>
          <w:p w14:paraId="228726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4"/>
              </w:rPr>
            </w:pPr>
            <w:r>
              <w:rPr>
                <w:color w:val="auto"/>
                <w:sz w:val="24"/>
              </w:rPr>
              <mc:AlternateContent>
                <mc:Choice Requires="wpc">
                  <w:drawing>
                    <wp:inline distT="0" distB="0" distL="114300" distR="114300">
                      <wp:extent cx="5829935" cy="1389380"/>
                      <wp:effectExtent l="0" t="0" r="0" b="0"/>
                      <wp:docPr id="92" name="画布 92"/>
                      <wp:cNvGraphicFramePr/>
                      <a:graphic xmlns:a="http://schemas.openxmlformats.org/drawingml/2006/main">
                        <a:graphicData uri="http://schemas.microsoft.com/office/word/2010/wordprocessingCanvas">
                          <wpc:wpc>
                            <wpc:bg/>
                            <wpc:whole/>
                            <wps:wsp>
                              <wps:cNvPr id="40" name="文本框 15"/>
                              <wps:cNvSpPr txBox="1"/>
                              <wps:spPr>
                                <a:xfrm>
                                  <a:off x="11430" y="412115"/>
                                  <a:ext cx="1206500" cy="6057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35C747">
                                    <w:pPr>
                                      <w:ind w:left="0" w:leftChars="0" w:firstLine="0" w:firstLineChars="0"/>
                                      <w:jc w:val="center"/>
                                      <w:rPr>
                                        <w:rFonts w:hint="default"/>
                                        <w:sz w:val="21"/>
                                        <w:szCs w:val="21"/>
                                        <w:lang w:val="en-US" w:eastAsia="zh-CN"/>
                                      </w:rPr>
                                    </w:pPr>
                                    <w:r>
                                      <w:rPr>
                                        <w:rFonts w:hint="eastAsia"/>
                                        <w:sz w:val="21"/>
                                        <w:szCs w:val="21"/>
                                        <w:lang w:val="en-US" w:eastAsia="zh-CN"/>
                                      </w:rPr>
                                      <w:t>重钙、石膏粉、玉米淀粉、木质素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直接箭头连接符 16"/>
                              <wps:cNvCnPr/>
                              <wps:spPr>
                                <a:xfrm>
                                  <a:off x="1237615" y="712470"/>
                                  <a:ext cx="35687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17"/>
                              <wps:cNvSpPr txBox="1"/>
                              <wps:spPr>
                                <a:xfrm>
                                  <a:off x="1622425" y="590550"/>
                                  <a:ext cx="763270" cy="437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4409DE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投料</w:t>
                                    </w:r>
                                  </w:p>
                                  <w:p w14:paraId="31DE961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eastAsia="宋体" w:cs="Times New Roman"/>
                                        <w:color w:val="auto"/>
                                        <w:kern w:val="2"/>
                                        <w:sz w:val="22"/>
                                        <w:szCs w:val="22"/>
                                        <w:lang w:val="en-US" w:eastAsia="zh-CN" w:bidi="ar-SA"/>
                                      </w:rPr>
                                      <w:t>计量输送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直接箭头连接符 35"/>
                              <wps:cNvCnPr/>
                              <wps:spPr>
                                <a:xfrm flipH="1" flipV="1">
                                  <a:off x="1941830" y="327660"/>
                                  <a:ext cx="1905" cy="24638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3" name="文本框 135"/>
                              <wps:cNvSpPr txBox="1"/>
                              <wps:spPr>
                                <a:xfrm>
                                  <a:off x="3028315" y="1074420"/>
                                  <a:ext cx="262128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C514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图例：</w:t>
                                    </w:r>
                                    <w:r>
                                      <w:rPr>
                                        <w:rFonts w:hint="eastAsia" w:ascii="Times New Roman" w:hAnsi="Times New Roman" w:cs="Times New Roman"/>
                                        <w:lang w:val="en-US" w:eastAsia="zh-CN"/>
                                      </w:rPr>
                                      <w:t>G废气，</w:t>
                                    </w:r>
                                    <w:r>
                                      <w:rPr>
                                        <w:rFonts w:hint="default" w:ascii="Times New Roman" w:hAnsi="Times New Roman" w:cs="Times New Roman"/>
                                        <w:lang w:val="en-US" w:eastAsia="zh-CN"/>
                                      </w:rPr>
                                      <w:t>N噪声</w:t>
                                    </w:r>
                                    <w:r>
                                      <w:rPr>
                                        <w:rFonts w:hint="eastAsia" w:cs="Times New Roman"/>
                                        <w:lang w:val="en-US" w:eastAsia="zh-CN"/>
                                      </w:rPr>
                                      <w:t xml:space="preserve"> S固废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1" name="文本框 17"/>
                              <wps:cNvSpPr txBox="1"/>
                              <wps:spPr>
                                <a:xfrm>
                                  <a:off x="2751455" y="579755"/>
                                  <a:ext cx="754380" cy="266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C4DB77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混合搅拌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7" name="直接箭头连接符 16"/>
                              <wps:cNvCnPr/>
                              <wps:spPr>
                                <a:xfrm>
                                  <a:off x="2399030" y="722630"/>
                                  <a:ext cx="35687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0" name="直接箭头连接符 16"/>
                              <wps:cNvCnPr/>
                              <wps:spPr>
                                <a:xfrm>
                                  <a:off x="3522980" y="722630"/>
                                  <a:ext cx="35687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1" name="文本框 17"/>
                              <wps:cNvSpPr txBox="1"/>
                              <wps:spPr>
                                <a:xfrm>
                                  <a:off x="3884930" y="589280"/>
                                  <a:ext cx="754380" cy="266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0A0806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称重包装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2" name="直接箭头连接符 16"/>
                              <wps:cNvCnPr/>
                              <wps:spPr>
                                <a:xfrm>
                                  <a:off x="4656455" y="713105"/>
                                  <a:ext cx="35687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3" name="文本框 17"/>
                              <wps:cNvSpPr txBox="1"/>
                              <wps:spPr>
                                <a:xfrm>
                                  <a:off x="5046980" y="570230"/>
                                  <a:ext cx="497840" cy="266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D2109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eastAsia="宋体" w:cs="Times New Roman"/>
                                        <w:color w:val="auto"/>
                                        <w:kern w:val="2"/>
                                        <w:sz w:val="22"/>
                                        <w:szCs w:val="22"/>
                                        <w:lang w:val="en-US" w:eastAsia="zh-CN" w:bidi="ar-SA"/>
                                      </w:rPr>
                                      <w:t>成品区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4" name="直接箭头连接符 35"/>
                              <wps:cNvCnPr/>
                              <wps:spPr>
                                <a:xfrm flipH="1" flipV="1">
                                  <a:off x="3132455" y="322580"/>
                                  <a:ext cx="1905" cy="24638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5" name="文本框 63"/>
                              <wps:cNvSpPr txBox="1"/>
                              <wps:spPr>
                                <a:xfrm>
                                  <a:off x="2799080" y="113030"/>
                                  <a:ext cx="81597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D4D6F">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lang w:val="en-US" w:eastAsia="zh-CN"/>
                                      </w:rPr>
                                      <w:t>G</w:t>
                                    </w:r>
                                    <w:r>
                                      <w:rPr>
                                        <w:rFonts w:hint="eastAsia" w:cs="Times New Roman"/>
                                        <w:sz w:val="22"/>
                                        <w:szCs w:val="22"/>
                                        <w:lang w:val="en-US" w:eastAsia="zh-CN"/>
                                      </w:rPr>
                                      <w:t>1</w:t>
                                    </w:r>
                                    <w:r>
                                      <w:rPr>
                                        <w:rFonts w:hint="default" w:ascii="Times New Roman" w:hAnsi="Times New Roman" w:cs="Times New Roman"/>
                                        <w:sz w:val="22"/>
                                        <w:szCs w:val="22"/>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直接箭头连接符 35"/>
                              <wps:cNvCnPr/>
                              <wps:spPr>
                                <a:xfrm flipH="1" flipV="1">
                                  <a:off x="4237355" y="351155"/>
                                  <a:ext cx="1905" cy="24638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7" name="文本框 63"/>
                              <wps:cNvSpPr txBox="1"/>
                              <wps:spPr>
                                <a:xfrm>
                                  <a:off x="3923665" y="141605"/>
                                  <a:ext cx="64452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378E2">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lang w:val="en-US" w:eastAsia="zh-CN"/>
                                      </w:rPr>
                                      <w:t>G</w:t>
                                    </w:r>
                                    <w:r>
                                      <w:rPr>
                                        <w:rFonts w:hint="eastAsia" w:cs="Times New Roman"/>
                                        <w:sz w:val="22"/>
                                        <w:szCs w:val="22"/>
                                        <w:lang w:val="en-US" w:eastAsia="zh-CN"/>
                                      </w:rPr>
                                      <w:t>2</w:t>
                                    </w:r>
                                    <w:r>
                                      <w:rPr>
                                        <w:rFonts w:hint="eastAsia" w:ascii="Times New Roman" w:hAnsi="Times New Roman" w:cs="Times New Roman"/>
                                        <w:sz w:val="22"/>
                                        <w:szCs w:val="22"/>
                                        <w:lang w:val="en-US" w:eastAsia="zh-CN"/>
                                      </w:rPr>
                                      <w:t>、</w:t>
                                    </w:r>
                                    <w:r>
                                      <w:rPr>
                                        <w:rFonts w:hint="default" w:ascii="Times New Roman" w:hAnsi="Times New Roman" w:cs="Times New Roman"/>
                                        <w:sz w:val="22"/>
                                        <w:szCs w:val="22"/>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1" name="文本框 63"/>
                              <wps:cNvSpPr txBox="1"/>
                              <wps:spPr>
                                <a:xfrm>
                                  <a:off x="1541780" y="74930"/>
                                  <a:ext cx="81597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029D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09.4pt;width:459.05pt;" coordsize="5829935,1389380" editas="canvas" o:gfxdata="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">
                      <o:lock v:ext="edit" aspectratio="f"/>
                      <v:shape id="_x0000_s1026" o:spid="_x0000_s1026" style="position:absolute;left:0;top:0;height:1389380;width:5829935;" filled="f" stroked="f" coordsize="21600,21600" o:gfxdata="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Fou&#10;8tbWAAAABQEAAA8AAAAAAAAAAQAgAAAAIgAAAGRycy9kb3ducmV2LnhtbFBLAQIUABQAAAAIAIdO&#10;4kCwV0VRfAUAAFwqAAAOAAAAAAAAAAEAIAAAACUBAABkcnMvZTJvRG9jLnhtbFBLBQYAAAAABgAG&#10;AFkBAAATCQAAAAA=&#10;">
                        <v:fill on="f" focussize="0,0"/>
                        <v:stroke on="f"/>
                        <v:imagedata o:title=""/>
                        <o:lock v:ext="edit" aspectratio="f"/>
                      </v:shape>
                      <v:shape id="文本框 15" o:spid="_x0000_s1026" o:spt="202" type="#_x0000_t202" style="position:absolute;left:11430;top:412115;height:605790;width:1206500;" fillcolor="#FFFFFF [3201]" filled="t" stroked="t" coordsize="21600,21600" o:gfxdata="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u&#10;lt5O0wAAAAUBAAAPAAAAAAAAAAEAIAAAACIAAABkcnMvZG93bnJldi54bWxQSwECFAAUAAAACACH&#10;TuJAjgPnJWICAADCBAAADgAAAAAAAAABACAAAAAiAQAAZHJzL2Uyb0RvYy54bWxQSwUGAAAAAAYA&#10;BgBZAQAA9gUAAAAA&#10;">
                        <v:fill on="t" focussize="0,0"/>
                        <v:stroke weight="0.5pt" color="#000000 [3204]" joinstyle="round"/>
                        <v:imagedata o:title=""/>
                        <o:lock v:ext="edit" aspectratio="f"/>
                        <v:textbox>
                          <w:txbxContent>
                            <w:p w14:paraId="1835C747">
                              <w:pPr>
                                <w:ind w:left="0" w:leftChars="0" w:firstLine="0" w:firstLineChars="0"/>
                                <w:jc w:val="center"/>
                                <w:rPr>
                                  <w:rFonts w:hint="default"/>
                                  <w:sz w:val="21"/>
                                  <w:szCs w:val="21"/>
                                  <w:lang w:val="en-US" w:eastAsia="zh-CN"/>
                                </w:rPr>
                              </w:pPr>
                              <w:r>
                                <w:rPr>
                                  <w:rFonts w:hint="eastAsia"/>
                                  <w:sz w:val="21"/>
                                  <w:szCs w:val="21"/>
                                  <w:lang w:val="en-US" w:eastAsia="zh-CN"/>
                                </w:rPr>
                                <w:t>重钙、石膏粉、玉米淀粉、木质素</w:t>
                              </w:r>
                            </w:p>
                          </w:txbxContent>
                        </v:textbox>
                      </v:shape>
                      <v:shape id="直接箭头连接符 16" o:spid="_x0000_s1026" o:spt="32" type="#_x0000_t32" style="position:absolute;left:1237615;top:712470;height:0;width:356870;" filled="f" stroked="t" coordsize="21600,21600" o:gfxdata="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TIVs9YAAAAFAQAA&#10;DwAAAAAAAAABACAAAAAiAAAAZHJzL2Rvd25yZXYueG1sUEsBAhQAFAAAAAgAh07iQEKdw2QbAgAA&#10;AAQAAA4AAAAAAAAAAQAgAAAAJQEAAGRycy9lMm9Eb2MueG1sUEsFBgAAAAAGAAYAWQEAALIFAAAA&#10;AA==&#10;">
                        <v:fill on="f" focussize="0,0"/>
                        <v:stroke color="#000000 [3213]" joinstyle="round" endarrow="block"/>
                        <v:imagedata o:title=""/>
                        <o:lock v:ext="edit" aspectratio="f"/>
                      </v:shape>
                      <v:shape id="文本框 17" o:spid="_x0000_s1026" o:spt="202" type="#_x0000_t202" style="position:absolute;left:1622425;top:590550;height:437515;width:763270;" fillcolor="#FFFFFF [3201]" filled="t" stroked="t" coordsize="21600,21600" o:gfxdata="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6W&#10;3k7TAAAABQEAAA8AAAAAAAAAAQAgAAAAIgAAAGRycy9kb3ducmV2LnhtbFBLAQIUABQAAAAIAIdO&#10;4kBS4hH3YQIAAMMEAAAOAAAAAAAAAAEAIAAAACIBAABkcnMvZTJvRG9jLnhtbFBLBQYAAAAABgAG&#10;AFkBAAD1BQAAAAA=&#10;">
                        <v:fill on="t" focussize="0,0"/>
                        <v:stroke weight="0.5pt" color="#000000 [3204]" joinstyle="round"/>
                        <v:imagedata o:title=""/>
                        <o:lock v:ext="edit" aspectratio="f"/>
                        <v:textbox>
                          <w:txbxContent>
                            <w:p w14:paraId="34409DE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投料</w:t>
                              </w:r>
                            </w:p>
                            <w:p w14:paraId="31DE961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eastAsia="宋体" w:cs="Times New Roman"/>
                                  <w:color w:val="auto"/>
                                  <w:kern w:val="2"/>
                                  <w:sz w:val="22"/>
                                  <w:szCs w:val="22"/>
                                  <w:lang w:val="en-US" w:eastAsia="zh-CN" w:bidi="ar-SA"/>
                                </w:rPr>
                                <w:t>计量输送</w:t>
                              </w:r>
                            </w:p>
                          </w:txbxContent>
                        </v:textbox>
                      </v:shape>
                      <v:shape id="直接箭头连接符 35" o:spid="_x0000_s1026" o:spt="32" type="#_x0000_t32" style="position:absolute;left:1941830;top:327660;flip:x y;height:246380;width:1905;" filled="f" stroked="t" coordsize="21600,21600" o:gfxdata="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8zHrtUAAAAFAQAADwAAAAAAAAABACAAAAAiAAAAZHJzL2Rvd25yZXYueG1sUEsBAhQAFAAAAAgA&#10;h07iQIhQTTQoAgAAFgQAAA4AAAAAAAAAAQAgAAAAJAEAAGRycy9lMm9Eb2MueG1sUEsFBgAAAAAG&#10;AAYAWQEAAL4FAAAAAA==&#10;">
                        <v:fill on="f" focussize="0,0"/>
                        <v:stroke color="#000000 [3213]" joinstyle="round" dashstyle="dash" endarrow="block"/>
                        <v:imagedata o:title=""/>
                        <o:lock v:ext="edit" aspectratio="f"/>
                      </v:shape>
                      <v:shape id="文本框 135" o:spid="_x0000_s1026" o:spt="202" type="#_x0000_t202" style="position:absolute;left:3028315;top:1074420;height:297815;width:2621280;" filled="f" stroked="f" coordsize="21600,21600" o:gfxdata="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9gDdY1gAAAAUBAAAPAAAAAAAAAAEA&#10;IAAAACIAAABkcnMvZG93bnJldi54bWxQSwECFAAUAAAACACHTuJAeawoI0oCAAB2BAAADgAAAAAA&#10;AAABACAAAAAlAQAAZHJzL2Uyb0RvYy54bWxQSwUGAAAAAAYABgBZAQAA4QUAAAAA&#10;">
                        <v:fill on="f" focussize="0,0"/>
                        <v:stroke on="f" weight="0.5pt"/>
                        <v:imagedata o:title=""/>
                        <o:lock v:ext="edit" aspectratio="f"/>
                        <v:textbox>
                          <w:txbxContent>
                            <w:p w14:paraId="2EEC514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图例：</w:t>
                              </w:r>
                              <w:r>
                                <w:rPr>
                                  <w:rFonts w:hint="eastAsia" w:ascii="Times New Roman" w:hAnsi="Times New Roman" w:cs="Times New Roman"/>
                                  <w:lang w:val="en-US" w:eastAsia="zh-CN"/>
                                </w:rPr>
                                <w:t>G废气，</w:t>
                              </w:r>
                              <w:r>
                                <w:rPr>
                                  <w:rFonts w:hint="default" w:ascii="Times New Roman" w:hAnsi="Times New Roman" w:cs="Times New Roman"/>
                                  <w:lang w:val="en-US" w:eastAsia="zh-CN"/>
                                </w:rPr>
                                <w:t>N噪声</w:t>
                              </w:r>
                              <w:r>
                                <w:rPr>
                                  <w:rFonts w:hint="eastAsia" w:cs="Times New Roman"/>
                                  <w:lang w:val="en-US" w:eastAsia="zh-CN"/>
                                </w:rPr>
                                <w:t xml:space="preserve"> S固废</w:t>
                              </w:r>
                            </w:p>
                          </w:txbxContent>
                        </v:textbox>
                      </v:shape>
                      <v:shape id="文本框 17" o:spid="_x0000_s1026" o:spt="202" type="#_x0000_t202" style="position:absolute;left:2751455;top:579755;height:266065;width:754380;" fillcolor="#FFFFFF [3201]" filled="t" stroked="t" coordsize="21600,21600" o:gfxdata="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lt5O0wAAAAUBAAAPAAAAAAAAAAEAIAAAACIAAABkcnMvZG93bnJldi54bWxQSwECFAAUAAAA&#10;CACHTuJAm2A+aGUCAADEBAAADgAAAAAAAAABACAAAAAiAQAAZHJzL2Uyb0RvYy54bWxQSwUGAAAA&#10;AAYABgBZAQAA+QUAAAAA&#10;">
                        <v:fill on="t" focussize="0,0"/>
                        <v:stroke weight="0.5pt" color="#000000 [3204]" joinstyle="round"/>
                        <v:imagedata o:title=""/>
                        <o:lock v:ext="edit" aspectratio="f"/>
                        <v:textbox>
                          <w:txbxContent>
                            <w:p w14:paraId="2C4DB77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混合搅拌</w:t>
                              </w:r>
                            </w:p>
                          </w:txbxContent>
                        </v:textbox>
                      </v:shape>
                      <v:shape id="直接箭头连接符 16" o:spid="_x0000_s1026" o:spt="32" type="#_x0000_t32" style="position:absolute;left:2399030;top:722630;height:0;width:356870;" filled="f" stroked="t" coordsize="21600,21600" o:gfxdata="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0yFbPWAAAABQEA&#10;AA8AAAAAAAAAAQAgAAAAIgAAAGRycy9kb3ducmV2LnhtbFBLAQIUABQAAAAIAIdO4kBJnUDcHAIA&#10;AAEEAAAOAAAAAAAAAAEAIAAAACUBAABkcnMvZTJvRG9jLnhtbFBLBQYAAAAABgAGAFkBAACzBQAA&#10;AAA=&#10;">
                        <v:fill on="f" focussize="0,0"/>
                        <v:stroke color="#000000 [3213]" joinstyle="round" endarrow="block"/>
                        <v:imagedata o:title=""/>
                        <o:lock v:ext="edit" aspectratio="f"/>
                      </v:shape>
                      <v:shape id="直接箭头连接符 16" o:spid="_x0000_s1026" o:spt="32" type="#_x0000_t32" style="position:absolute;left:3522980;top:722630;height:0;width:356870;" filled="f" stroked="t" coordsize="21600,21600" o:gfxdata="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0yFbPWAAAABQEAAA8A&#10;AAAAAAAAAQAgAAAAIgAAAGRycy9kb3ducmV2LnhtbFBLAQIUABQAAAAIAIdO4kDROfZwGQIAAAEE&#10;AAAOAAAAAAAAAAEAIAAAACUBAABkcnMvZTJvRG9jLnhtbFBLBQYAAAAABgAGAFkBAACwBQAAAAA=&#10;">
                        <v:fill on="f" focussize="0,0"/>
                        <v:stroke color="#000000 [3213]" joinstyle="round" endarrow="block"/>
                        <v:imagedata o:title=""/>
                        <o:lock v:ext="edit" aspectratio="f"/>
                      </v:shape>
                      <v:shape id="文本框 17" o:spid="_x0000_s1026" o:spt="202" type="#_x0000_t202" style="position:absolute;left:3884930;top:589280;height:266065;width:754380;" fillcolor="#FFFFFF [3201]" filled="t" stroked="t" coordsize="21600,21600" o:gfxdata="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u&#10;lt5O0wAAAAUBAAAPAAAAAAAAAAEAIAAAACIAAABkcnMvZG93bnJldi54bWxQSwECFAAUAAAACACH&#10;TuJAcffPamICAADEBAAADgAAAAAAAAABACAAAAAiAQAAZHJzL2Uyb0RvYy54bWxQSwUGAAAAAAYA&#10;BgBZAQAA9gUAAAAA&#10;">
                        <v:fill on="t" focussize="0,0"/>
                        <v:stroke weight="0.5pt" color="#000000 [3204]" joinstyle="round"/>
                        <v:imagedata o:title=""/>
                        <o:lock v:ext="edit" aspectratio="f"/>
                        <v:textbox>
                          <w:txbxContent>
                            <w:p w14:paraId="60A0806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称重包装</w:t>
                              </w:r>
                            </w:p>
                          </w:txbxContent>
                        </v:textbox>
                      </v:shape>
                      <v:shape id="直接箭头连接符 16" o:spid="_x0000_s1026" o:spt="32" type="#_x0000_t32" style="position:absolute;left:4656455;top:713105;height:0;width:356870;" filled="f" stroked="t" coordsize="21600,21600" o:gfxdata="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TIVs9YAAAAF&#10;AQAADwAAAAAAAAABACAAAAAiAAAAZHJzL2Rvd25yZXYueG1sUEsBAhQAFAAAAAgAh07iQFIzs/Me&#10;AgAAAQQAAA4AAAAAAAAAAQAgAAAAJQEAAGRycy9lMm9Eb2MueG1sUEsFBgAAAAAGAAYAWQEAALUF&#10;AAAAAA==&#10;">
                        <v:fill on="f" focussize="0,0"/>
                        <v:stroke color="#000000 [3213]" joinstyle="round" endarrow="block"/>
                        <v:imagedata o:title=""/>
                        <o:lock v:ext="edit" aspectratio="f"/>
                      </v:shape>
                      <v:shape id="文本框 17" o:spid="_x0000_s1026" o:spt="202" type="#_x0000_t202" style="position:absolute;left:5046980;top:570230;height:266065;width:497840;" fillcolor="#FFFFFF [3201]" filled="t" stroked="t" coordsize="21600,21600" o:gfxdata="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u&#10;lt5O0wAAAAUBAAAPAAAAAAAAAAEAIAAAACIAAABkcnMvZG93bnJldi54bWxQSwECFAAUAAAACACH&#10;TuJACnuZZGICAADEBAAADgAAAAAAAAABACAAAAAiAQAAZHJzL2Uyb0RvYy54bWxQSwUGAAAAAAYA&#10;BgBZAQAA9gUAAAAA&#10;">
                        <v:fill on="t" focussize="0,0"/>
                        <v:stroke weight="0.5pt" color="#000000 [3204]" joinstyle="round"/>
                        <v:imagedata o:title=""/>
                        <o:lock v:ext="edit" aspectratio="f"/>
                        <v:textbox>
                          <w:txbxContent>
                            <w:p w14:paraId="2FD2109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eastAsia="宋体" w:cs="Times New Roman"/>
                                  <w:color w:val="auto"/>
                                  <w:kern w:val="2"/>
                                  <w:sz w:val="22"/>
                                  <w:szCs w:val="22"/>
                                  <w:lang w:val="en-US" w:eastAsia="zh-CN" w:bidi="ar-SA"/>
                                </w:rPr>
                                <w:t>成品区</w:t>
                              </w:r>
                            </w:p>
                          </w:txbxContent>
                        </v:textbox>
                      </v:shape>
                      <v:shape id="直接箭头连接符 35" o:spid="_x0000_s1026" o:spt="32" type="#_x0000_t32" style="position:absolute;left:3132455;top:322580;flip:x y;height:246380;width:1905;" filled="f" stroked="t" coordsize="21600,21600" o:gfxdata="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8zHrtUAAAAFAQAADwAAAAAAAAABACAAAAAiAAAAZHJzL2Rvd25yZXYueG1sUEsBAhQAFAAAAAgA&#10;h07iQFRIicAoAgAAFwQAAA4AAAAAAAAAAQAgAAAAJAEAAGRycy9lMm9Eb2MueG1sUEsFBgAAAAAG&#10;AAYAWQEAAL4FAAAAAA==&#10;">
                        <v:fill on="f" focussize="0,0"/>
                        <v:stroke color="#000000 [3213]" joinstyle="round" dashstyle="dash" endarrow="block"/>
                        <v:imagedata o:title=""/>
                        <o:lock v:ext="edit" aspectratio="f"/>
                      </v:shape>
                      <v:shape id="文本框 63" o:spid="_x0000_s1026" o:spt="202" type="#_x0000_t202" style="position:absolute;left:2799080;top:113030;height:271145;width:815975;" filled="f" stroked="f" coordsize="21600,21600" o:gfxdata="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A3WNYAAAAFAQAADwAAAAAAAAABACAA&#10;AAAiAAAAZHJzL2Rvd25yZXYueG1sUEsBAhQAFAAAAAgAh07iQFJ4XLFIAgAAcwQAAA4AAAAAAAAA&#10;AQAgAAAAJQEAAGRycy9lMm9Eb2MueG1sUEsFBgAAAAAGAAYAWQEAAN8FAAAAAA==&#10;">
                        <v:fill on="f" focussize="0,0"/>
                        <v:stroke on="f" weight="0.5pt"/>
                        <v:imagedata o:title=""/>
                        <o:lock v:ext="edit" aspectratio="f"/>
                        <v:textbox>
                          <w:txbxContent>
                            <w:p w14:paraId="332D4D6F">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lang w:val="en-US" w:eastAsia="zh-CN"/>
                                </w:rPr>
                                <w:t>G</w:t>
                              </w:r>
                              <w:r>
                                <w:rPr>
                                  <w:rFonts w:hint="eastAsia" w:cs="Times New Roman"/>
                                  <w:sz w:val="22"/>
                                  <w:szCs w:val="22"/>
                                  <w:lang w:val="en-US" w:eastAsia="zh-CN"/>
                                </w:rPr>
                                <w:t>1</w:t>
                              </w:r>
                              <w:r>
                                <w:rPr>
                                  <w:rFonts w:hint="default" w:ascii="Times New Roman" w:hAnsi="Times New Roman" w:cs="Times New Roman"/>
                                  <w:sz w:val="22"/>
                                  <w:szCs w:val="22"/>
                                  <w:lang w:val="en-US" w:eastAsia="zh-CN"/>
                                </w:rPr>
                                <w:t>、N</w:t>
                              </w:r>
                            </w:p>
                          </w:txbxContent>
                        </v:textbox>
                      </v:shape>
                      <v:shape id="直接箭头连接符 35" o:spid="_x0000_s1026" o:spt="32" type="#_x0000_t32" style="position:absolute;left:4237355;top:351155;flip:x y;height:246380;width:1905;" filled="f" stroked="t" coordsize="21600,21600" o:gfxdata="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zMeu1QAAAAUBAAAPAAAAAAAAAAEAIAAAACIAAABkcnMvZG93bnJldi54bWxQSwECFAAUAAAA&#10;CACHTuJAdf1F1yoCAAAXBAAADgAAAAAAAAABACAAAAAkAQAAZHJzL2Uyb0RvYy54bWxQSwUGAAAA&#10;AAYABgBZAQAAwAUAAAAA&#10;">
                        <v:fill on="f" focussize="0,0"/>
                        <v:stroke color="#000000 [3213]" joinstyle="round" dashstyle="dash" endarrow="block"/>
                        <v:imagedata o:title=""/>
                        <o:lock v:ext="edit" aspectratio="f"/>
                      </v:shape>
                      <v:shape id="文本框 63" o:spid="_x0000_s1026" o:spt="202" type="#_x0000_t202" style="position:absolute;left:3923665;top:141605;height:271145;width:644525;" filled="f" stroked="f" coordsize="21600,21600" o:gfxdata="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A3WNYAAAAFAQAADwAAAAAAAAABACAA&#10;AAAiAAAAZHJzL2Rvd25yZXYueG1sUEsBAhQAFAAAAAgAh07iQMQeIhhIAgAAcwQAAA4AAAAAAAAA&#10;AQAgAAAAJQEAAGRycy9lMm9Eb2MueG1sUEsFBgAAAAAGAAYAWQEAAN8FAAAAAA==&#10;">
                        <v:fill on="f" focussize="0,0"/>
                        <v:stroke on="f" weight="0.5pt"/>
                        <v:imagedata o:title=""/>
                        <o:lock v:ext="edit" aspectratio="f"/>
                        <v:textbox>
                          <w:txbxContent>
                            <w:p w14:paraId="784378E2">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lang w:val="en-US" w:eastAsia="zh-CN"/>
                                </w:rPr>
                                <w:t>G</w:t>
                              </w:r>
                              <w:r>
                                <w:rPr>
                                  <w:rFonts w:hint="eastAsia" w:cs="Times New Roman"/>
                                  <w:sz w:val="22"/>
                                  <w:szCs w:val="22"/>
                                  <w:lang w:val="en-US" w:eastAsia="zh-CN"/>
                                </w:rPr>
                                <w:t>2</w:t>
                              </w:r>
                              <w:r>
                                <w:rPr>
                                  <w:rFonts w:hint="eastAsia" w:ascii="Times New Roman" w:hAnsi="Times New Roman" w:cs="Times New Roman"/>
                                  <w:sz w:val="22"/>
                                  <w:szCs w:val="22"/>
                                  <w:lang w:val="en-US" w:eastAsia="zh-CN"/>
                                </w:rPr>
                                <w:t>、</w:t>
                              </w:r>
                              <w:r>
                                <w:rPr>
                                  <w:rFonts w:hint="default" w:ascii="Times New Roman" w:hAnsi="Times New Roman" w:cs="Times New Roman"/>
                                  <w:sz w:val="22"/>
                                  <w:szCs w:val="22"/>
                                  <w:lang w:val="en-US" w:eastAsia="zh-CN"/>
                                </w:rPr>
                                <w:t>N</w:t>
                              </w:r>
                            </w:p>
                          </w:txbxContent>
                        </v:textbox>
                      </v:shape>
                      <v:shape id="文本框 63" o:spid="_x0000_s1026" o:spt="202" type="#_x0000_t202" style="position:absolute;left:1541780;top:74930;height:271145;width:815975;" filled="f" stroked="f" coordsize="21600,21600" o:gfxdata="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2AN1jWAAAABQEAAA8AAAAAAAAAAQAgAAAA&#10;IgAAAGRycy9kb3ducmV2LnhtbFBLAQIUABQAAAAIAIdO4kDn5UHJRgIAAHIEAAAOAAAAAAAAAAEA&#10;IAAAACUBAABkcnMvZTJvRG9jLnhtbFBLBQYAAAAABgAGAFkBAADdBQAAAAA=&#10;">
                        <v:fill on="f" focussize="0,0"/>
                        <v:stroke on="f" weight="0.5pt"/>
                        <v:imagedata o:title=""/>
                        <o:lock v:ext="edit" aspectratio="f"/>
                        <v:textbox>
                          <w:txbxContent>
                            <w:p w14:paraId="0ED029D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lang w:val="en-US" w:eastAsia="zh-CN"/>
                                </w:rPr>
                                <w:t>N</w:t>
                              </w:r>
                            </w:p>
                          </w:txbxContent>
                        </v:textbox>
                      </v:shape>
                      <w10:wrap type="none"/>
                      <w10:anchorlock/>
                    </v:group>
                  </w:pict>
                </mc:Fallback>
              </mc:AlternateContent>
            </w:r>
          </w:p>
          <w:p w14:paraId="3AA49EBC">
            <w:pPr>
              <w:spacing w:line="360" w:lineRule="auto"/>
              <w:ind w:firstLine="482" w:firstLineChars="200"/>
              <w:jc w:val="center"/>
              <w:rPr>
                <w:color w:val="auto"/>
                <w:sz w:val="24"/>
              </w:rPr>
            </w:pPr>
            <w:r>
              <w:rPr>
                <w:b/>
                <w:color w:val="auto"/>
                <w:kern w:val="0"/>
                <w:sz w:val="24"/>
              </w:rPr>
              <w:t>图</w:t>
            </w:r>
            <w:r>
              <w:rPr>
                <w:rFonts w:ascii="Times New Roman" w:hAnsi="Times New Roman" w:cs="Times New Roman"/>
                <w:b/>
                <w:color w:val="auto"/>
                <w:kern w:val="0"/>
                <w:sz w:val="24"/>
              </w:rPr>
              <w:t>2-</w:t>
            </w:r>
            <w:r>
              <w:rPr>
                <w:rFonts w:hint="eastAsia" w:cs="Times New Roman"/>
                <w:b/>
                <w:color w:val="auto"/>
                <w:kern w:val="0"/>
                <w:sz w:val="24"/>
                <w:lang w:val="en-US" w:eastAsia="zh-CN"/>
              </w:rPr>
              <w:t>2 新型建筑材料</w:t>
            </w:r>
            <w:r>
              <w:rPr>
                <w:b/>
                <w:color w:val="auto"/>
                <w:kern w:val="0"/>
                <w:sz w:val="24"/>
              </w:rPr>
              <w:t>生产工艺流程及产污环节图</w:t>
            </w:r>
          </w:p>
          <w:p w14:paraId="4A44182B">
            <w:pPr>
              <w:pStyle w:val="2"/>
              <w:keepNext w:val="0"/>
              <w:keepLines w:val="0"/>
              <w:pageBreakBefore w:val="0"/>
              <w:widowControl w:val="0"/>
              <w:kinsoku/>
              <w:wordWrap/>
              <w:overflowPunct/>
              <w:topLinePunct w:val="0"/>
              <w:autoSpaceDE/>
              <w:autoSpaceDN/>
              <w:bidi w:val="0"/>
              <w:adjustRightInd w:val="0"/>
              <w:snapToGrid w:val="0"/>
              <w:spacing w:after="0" w:afterLines="0"/>
              <w:ind w:left="0" w:leftChars="0"/>
              <w:jc w:val="left"/>
              <w:textAlignment w:val="auto"/>
              <w:rPr>
                <w:rFonts w:hint="eastAsia"/>
                <w:b/>
                <w:bCs/>
                <w:color w:val="auto"/>
                <w:lang w:val="en-US" w:eastAsia="zh-CN"/>
              </w:rPr>
            </w:pPr>
            <w:r>
              <w:rPr>
                <w:rFonts w:hint="eastAsia"/>
                <w:b/>
                <w:bCs/>
                <w:color w:val="auto"/>
                <w:lang w:val="en-US" w:eastAsia="zh-CN"/>
              </w:rPr>
              <w:t>工艺简述：</w:t>
            </w:r>
          </w:p>
          <w:p w14:paraId="7632059A">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（1）投料、计量输送：</w:t>
            </w:r>
            <w:r>
              <w:rPr>
                <w:rFonts w:hint="eastAsia" w:ascii="宋体" w:hAnsi="宋体" w:cs="宋体"/>
                <w:b w:val="0"/>
                <w:bCs w:val="0"/>
                <w:color w:val="0000FF"/>
                <w:kern w:val="0"/>
                <w:sz w:val="24"/>
                <w:szCs w:val="24"/>
                <w:lang w:val="en-US" w:eastAsia="zh-CN" w:bidi="ar"/>
              </w:rPr>
              <w:t>项目原料重钙、石膏粉、玉米淀粉、木质素等均为粉状物料，外购成品袋装汽运进厂，暂存于生产车间原料区。生产时根据产品不同配比计量后通过行车将原料转运至提升机投料口上方，经下吸风、密闭投料方式进入密闭提升机，输送至搅拌罐。</w:t>
            </w:r>
          </w:p>
          <w:p w14:paraId="10A7B896">
            <w:pPr>
              <w:spacing w:line="360" w:lineRule="auto"/>
              <w:ind w:firstLine="470" w:firstLineChars="196"/>
              <w:rPr>
                <w:rFonts w:hint="eastAsia"/>
                <w:b w:val="0"/>
                <w:bCs/>
                <w:color w:val="auto"/>
                <w:sz w:val="24"/>
                <w:lang w:eastAsia="zh-CN"/>
              </w:rPr>
            </w:pPr>
            <w:r>
              <w:rPr>
                <w:rFonts w:hint="eastAsia" w:ascii="宋体" w:hAnsi="宋体" w:cs="宋体"/>
                <w:b w:val="0"/>
                <w:bCs w:val="0"/>
                <w:color w:val="auto"/>
                <w:kern w:val="0"/>
                <w:sz w:val="24"/>
                <w:szCs w:val="24"/>
                <w:lang w:val="en-US" w:eastAsia="zh-CN" w:bidi="ar"/>
              </w:rPr>
              <w:t>（2）混合搅拌：</w:t>
            </w:r>
            <w:r>
              <w:rPr>
                <w:rFonts w:hint="eastAsia"/>
                <w:b w:val="0"/>
                <w:bCs/>
                <w:color w:val="auto"/>
                <w:sz w:val="24"/>
                <w:lang w:val="en-US" w:eastAsia="zh-CN"/>
              </w:rPr>
              <w:t>开启搅拌设备对计量好的原料进行搅拌，常温常压下进行，搅拌罐为密闭装置，搅拌时间约为15-30min。</w:t>
            </w:r>
          </w:p>
          <w:p w14:paraId="7AAE7FA6">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b w:val="0"/>
                <w:bCs/>
                <w:color w:val="auto"/>
                <w:sz w:val="24"/>
                <w:lang w:eastAsia="zh-CN"/>
              </w:rPr>
            </w:pPr>
            <w:r>
              <w:rPr>
                <w:rFonts w:hint="eastAsia"/>
                <w:b w:val="0"/>
                <w:bCs/>
                <w:color w:val="auto"/>
                <w:sz w:val="24"/>
                <w:lang w:val="en-US" w:eastAsia="zh-CN"/>
              </w:rPr>
              <w:t>（3）称量包装：经混合搅拌均匀的粉状产品直接经顶部阀口进入包装机进行定量包装，包装时出料口与袋口贴合，基本无粉尘逸散，只在包装完成后袋口敞开瞬间产生少量粉尘。包装后产品转移至成品区暂存。</w:t>
            </w:r>
          </w:p>
          <w:p w14:paraId="16EA4EAD">
            <w:pPr>
              <w:spacing w:line="360" w:lineRule="auto"/>
              <w:ind w:firstLine="470" w:firstLineChars="196"/>
              <w:rPr>
                <w:b/>
                <w:color w:val="auto"/>
                <w:sz w:val="24"/>
              </w:rPr>
            </w:pPr>
            <w:r>
              <w:rPr>
                <w:rFonts w:hint="eastAsia"/>
                <w:b w:val="0"/>
                <w:bCs/>
                <w:color w:val="auto"/>
                <w:sz w:val="24"/>
                <w:lang w:val="en-US" w:eastAsia="zh-CN"/>
              </w:rPr>
              <w:t>（2）</w:t>
            </w:r>
            <w:r>
              <w:rPr>
                <w:color w:val="auto"/>
                <w:sz w:val="24"/>
              </w:rPr>
              <w:t>产污环节</w:t>
            </w:r>
          </w:p>
          <w:p w14:paraId="05336110">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color w:val="auto"/>
                <w:sz w:val="24"/>
              </w:rPr>
            </w:pPr>
            <w:r>
              <w:rPr>
                <w:b/>
                <w:color w:val="auto"/>
                <w:sz w:val="24"/>
              </w:rPr>
              <w:t>表2-</w:t>
            </w:r>
            <w:r>
              <w:rPr>
                <w:rFonts w:hint="eastAsia"/>
                <w:b/>
                <w:color w:val="auto"/>
                <w:sz w:val="24"/>
                <w:lang w:val="en-US" w:eastAsia="zh-CN"/>
              </w:rPr>
              <w:t xml:space="preserve">5  </w:t>
            </w:r>
            <w:r>
              <w:rPr>
                <w:b/>
                <w:color w:val="auto"/>
                <w:sz w:val="24"/>
              </w:rPr>
              <w:t>项目营运期产污环节一览表</w:t>
            </w:r>
          </w:p>
          <w:tbl>
            <w:tblPr>
              <w:tblStyle w:val="33"/>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5"/>
              <w:gridCol w:w="1622"/>
              <w:gridCol w:w="1830"/>
              <w:gridCol w:w="4444"/>
            </w:tblGrid>
            <w:tr w14:paraId="43244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tcBorders>
                    <w:tl2br w:val="nil"/>
                    <w:tr2bl w:val="nil"/>
                  </w:tcBorders>
                  <w:noWrap w:val="0"/>
                  <w:vAlign w:val="center"/>
                </w:tcPr>
                <w:p w14:paraId="47D7764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b/>
                      <w:color w:val="auto"/>
                      <w:sz w:val="22"/>
                      <w:szCs w:val="22"/>
                    </w:rPr>
                  </w:pPr>
                  <w:r>
                    <w:rPr>
                      <w:b/>
                      <w:color w:val="auto"/>
                      <w:sz w:val="22"/>
                      <w:szCs w:val="22"/>
                    </w:rPr>
                    <w:t>类别</w:t>
                  </w:r>
                </w:p>
              </w:tc>
              <w:tc>
                <w:tcPr>
                  <w:tcW w:w="1622" w:type="dxa"/>
                  <w:tcBorders>
                    <w:tl2br w:val="nil"/>
                    <w:tr2bl w:val="nil"/>
                  </w:tcBorders>
                  <w:noWrap w:val="0"/>
                  <w:vAlign w:val="center"/>
                </w:tcPr>
                <w:p w14:paraId="5B4100D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color w:val="auto"/>
                      <w:sz w:val="22"/>
                      <w:szCs w:val="22"/>
                    </w:rPr>
                  </w:pPr>
                  <w:r>
                    <w:rPr>
                      <w:b/>
                      <w:color w:val="auto"/>
                      <w:sz w:val="22"/>
                      <w:szCs w:val="22"/>
                    </w:rPr>
                    <w:t>产生工序</w:t>
                  </w:r>
                </w:p>
              </w:tc>
              <w:tc>
                <w:tcPr>
                  <w:tcW w:w="1830" w:type="dxa"/>
                  <w:tcBorders>
                    <w:tl2br w:val="nil"/>
                    <w:tr2bl w:val="nil"/>
                  </w:tcBorders>
                  <w:noWrap w:val="0"/>
                  <w:vAlign w:val="center"/>
                </w:tcPr>
                <w:p w14:paraId="12A324E8">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b/>
                      <w:bCs/>
                      <w:color w:val="auto"/>
                      <w:sz w:val="22"/>
                      <w:szCs w:val="22"/>
                    </w:rPr>
                  </w:pPr>
                  <w:r>
                    <w:rPr>
                      <w:b/>
                      <w:bCs/>
                      <w:color w:val="auto"/>
                      <w:sz w:val="22"/>
                      <w:szCs w:val="22"/>
                    </w:rPr>
                    <w:t>主要污染因子</w:t>
                  </w:r>
                </w:p>
              </w:tc>
              <w:tc>
                <w:tcPr>
                  <w:tcW w:w="4444" w:type="dxa"/>
                  <w:tcBorders>
                    <w:tl2br w:val="nil"/>
                    <w:tr2bl w:val="nil"/>
                  </w:tcBorders>
                  <w:noWrap w:val="0"/>
                  <w:vAlign w:val="center"/>
                </w:tcPr>
                <w:p w14:paraId="35F46ECD">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eastAsia" w:eastAsia="宋体"/>
                      <w:b/>
                      <w:bCs/>
                      <w:color w:val="auto"/>
                      <w:sz w:val="22"/>
                      <w:szCs w:val="22"/>
                      <w:lang w:eastAsia="zh-CN"/>
                    </w:rPr>
                  </w:pPr>
                  <w:r>
                    <w:rPr>
                      <w:rFonts w:hint="eastAsia"/>
                      <w:b/>
                      <w:bCs/>
                      <w:color w:val="auto"/>
                      <w:sz w:val="22"/>
                      <w:szCs w:val="22"/>
                      <w:lang w:eastAsia="zh-CN"/>
                    </w:rPr>
                    <w:t>环保措施</w:t>
                  </w:r>
                </w:p>
              </w:tc>
            </w:tr>
            <w:tr w14:paraId="49EAF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1175" w:type="dxa"/>
                  <w:vMerge w:val="restart"/>
                  <w:tcBorders>
                    <w:tl2br w:val="nil"/>
                    <w:tr2bl w:val="nil"/>
                  </w:tcBorders>
                  <w:noWrap w:val="0"/>
                  <w:vAlign w:val="center"/>
                </w:tcPr>
                <w:p w14:paraId="47E8966C">
                  <w:pPr>
                    <w:keepNext w:val="0"/>
                    <w:keepLines w:val="0"/>
                    <w:pageBreakBefore w:val="0"/>
                    <w:kinsoku/>
                    <w:wordWrap/>
                    <w:overflowPunct/>
                    <w:topLinePunct w:val="0"/>
                    <w:autoSpaceDE w:val="0"/>
                    <w:autoSpaceDN w:val="0"/>
                    <w:bidi w:val="0"/>
                    <w:adjustRightInd w:val="0"/>
                    <w:spacing w:line="240" w:lineRule="auto"/>
                    <w:ind w:firstLine="0" w:firstLineChars="0"/>
                    <w:jc w:val="center"/>
                    <w:rPr>
                      <w:rFonts w:hint="eastAsia" w:eastAsia="宋体"/>
                      <w:color w:val="auto"/>
                      <w:sz w:val="22"/>
                      <w:szCs w:val="22"/>
                      <w:lang w:eastAsia="zh-CN"/>
                    </w:rPr>
                  </w:pPr>
                  <w:r>
                    <w:rPr>
                      <w:color w:val="auto"/>
                      <w:sz w:val="22"/>
                      <w:szCs w:val="22"/>
                    </w:rPr>
                    <w:t>废气</w:t>
                  </w:r>
                </w:p>
              </w:tc>
              <w:tc>
                <w:tcPr>
                  <w:tcW w:w="1622" w:type="dxa"/>
                  <w:tcBorders>
                    <w:tl2br w:val="nil"/>
                    <w:tr2bl w:val="nil"/>
                  </w:tcBorders>
                  <w:noWrap w:val="0"/>
                  <w:vAlign w:val="center"/>
                </w:tcPr>
                <w:p w14:paraId="3DF1F1B7">
                  <w:pPr>
                    <w:keepNext w:val="0"/>
                    <w:keepLines w:val="0"/>
                    <w:pageBreakBefore w:val="0"/>
                    <w:widowControl/>
                    <w:kinsoku/>
                    <w:wordWrap/>
                    <w:overflowPunct/>
                    <w:topLinePunct w:val="0"/>
                    <w:bidi w:val="0"/>
                    <w:adjustRightInd w:val="0"/>
                    <w:spacing w:line="240" w:lineRule="auto"/>
                    <w:ind w:firstLine="0" w:firstLineChars="0"/>
                    <w:jc w:val="center"/>
                    <w:textAlignment w:val="center"/>
                    <w:rPr>
                      <w:rFonts w:hint="default" w:ascii="Times New Roman" w:hAnsi="Times New Roman" w:eastAsia="宋体" w:cs="Times New Roman"/>
                      <w:color w:val="auto"/>
                      <w:kern w:val="0"/>
                      <w:sz w:val="22"/>
                      <w:szCs w:val="22"/>
                      <w:lang w:val="en-US" w:eastAsia="zh-CN" w:bidi="ar-SA"/>
                    </w:rPr>
                  </w:pPr>
                  <w:r>
                    <w:rPr>
                      <w:rFonts w:hint="eastAsia"/>
                      <w:color w:val="auto"/>
                      <w:sz w:val="22"/>
                      <w:szCs w:val="22"/>
                      <w:lang w:val="en-US" w:eastAsia="zh-CN"/>
                    </w:rPr>
                    <w:t>混合搅拌</w:t>
                  </w:r>
                  <w:r>
                    <w:rPr>
                      <w:rFonts w:hint="eastAsia"/>
                      <w:color w:val="auto"/>
                      <w:kern w:val="0"/>
                      <w:sz w:val="22"/>
                      <w:szCs w:val="22"/>
                      <w:lang w:val="en-US" w:eastAsia="zh-CN"/>
                    </w:rPr>
                    <w:t>G1</w:t>
                  </w:r>
                </w:p>
              </w:tc>
              <w:tc>
                <w:tcPr>
                  <w:tcW w:w="1830" w:type="dxa"/>
                  <w:tcBorders>
                    <w:tl2br w:val="nil"/>
                    <w:tr2bl w:val="nil"/>
                  </w:tcBorders>
                  <w:noWrap w:val="0"/>
                  <w:vAlign w:val="center"/>
                </w:tcPr>
                <w:p w14:paraId="696E2BCE">
                  <w:pPr>
                    <w:keepNext w:val="0"/>
                    <w:keepLines w:val="0"/>
                    <w:pageBreakBefore w:val="0"/>
                    <w:widowControl/>
                    <w:kinsoku/>
                    <w:wordWrap/>
                    <w:overflowPunct/>
                    <w:topLinePunct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2"/>
                      <w:szCs w:val="22"/>
                      <w:lang w:val="en-US" w:eastAsia="zh-CN" w:bidi="ar-SA"/>
                    </w:rPr>
                  </w:pPr>
                  <w:r>
                    <w:rPr>
                      <w:rFonts w:hint="eastAsia"/>
                      <w:color w:val="auto"/>
                      <w:kern w:val="0"/>
                      <w:sz w:val="22"/>
                      <w:szCs w:val="22"/>
                      <w:lang w:val="en-US" w:eastAsia="zh-CN"/>
                    </w:rPr>
                    <w:t>颗粒物</w:t>
                  </w:r>
                </w:p>
              </w:tc>
              <w:tc>
                <w:tcPr>
                  <w:tcW w:w="4444" w:type="dxa"/>
                  <w:vMerge w:val="restart"/>
                  <w:tcBorders>
                    <w:tl2br w:val="nil"/>
                    <w:tr2bl w:val="nil"/>
                  </w:tcBorders>
                  <w:noWrap w:val="0"/>
                  <w:vAlign w:val="center"/>
                </w:tcPr>
                <w:p w14:paraId="50A121C3">
                  <w:pPr>
                    <w:keepNext w:val="0"/>
                    <w:keepLines w:val="0"/>
                    <w:pageBreakBefore w:val="0"/>
                    <w:widowControl/>
                    <w:kinsoku/>
                    <w:wordWrap/>
                    <w:overflowPunct/>
                    <w:topLinePunct w:val="0"/>
                    <w:bidi w:val="0"/>
                    <w:adjustRightInd w:val="0"/>
                    <w:spacing w:line="240" w:lineRule="auto"/>
                    <w:ind w:firstLine="0" w:firstLineChars="0"/>
                    <w:jc w:val="center"/>
                    <w:textAlignment w:val="center"/>
                    <w:rPr>
                      <w:rFonts w:hint="eastAsia"/>
                      <w:color w:val="auto"/>
                      <w:kern w:val="0"/>
                      <w:sz w:val="22"/>
                      <w:szCs w:val="22"/>
                    </w:rPr>
                  </w:pPr>
                  <w:r>
                    <w:rPr>
                      <w:rFonts w:hint="eastAsia"/>
                      <w:color w:val="0000FF"/>
                      <w:sz w:val="22"/>
                      <w:szCs w:val="22"/>
                      <w:highlight w:val="none"/>
                      <w:lang w:val="en-US" w:eastAsia="zh-CN"/>
                    </w:rPr>
                    <w:t>采用下吸风、密闭投料方式，并分别在包装机出料口上方设置半封闭集气罩，搅拌罐加盖密闭运行，在呼吸口上方连接集气管道对运营期产生的粉尘进行收集，收集的粉尘经引风管道汇合后集中通入一套脉冲布袋除尘器进行处理，尾气由1根15m高排气筒DA001高空排放。</w:t>
                  </w:r>
                </w:p>
              </w:tc>
            </w:tr>
            <w:tr w14:paraId="68907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vMerge w:val="continue"/>
                  <w:tcBorders>
                    <w:tl2br w:val="nil"/>
                    <w:tr2bl w:val="nil"/>
                  </w:tcBorders>
                  <w:noWrap w:val="0"/>
                  <w:vAlign w:val="center"/>
                </w:tcPr>
                <w:p w14:paraId="321717F1">
                  <w:pPr>
                    <w:keepNext w:val="0"/>
                    <w:keepLines w:val="0"/>
                    <w:pageBreakBefore w:val="0"/>
                    <w:kinsoku/>
                    <w:wordWrap/>
                    <w:overflowPunct/>
                    <w:topLinePunct w:val="0"/>
                    <w:autoSpaceDE w:val="0"/>
                    <w:autoSpaceDN w:val="0"/>
                    <w:bidi w:val="0"/>
                    <w:adjustRightInd w:val="0"/>
                    <w:spacing w:line="240" w:lineRule="auto"/>
                    <w:ind w:firstLine="0" w:firstLineChars="0"/>
                    <w:jc w:val="center"/>
                    <w:rPr>
                      <w:rFonts w:hint="eastAsia" w:eastAsia="宋体"/>
                      <w:color w:val="auto"/>
                      <w:sz w:val="22"/>
                      <w:szCs w:val="22"/>
                      <w:lang w:eastAsia="zh-CN"/>
                    </w:rPr>
                  </w:pPr>
                </w:p>
              </w:tc>
              <w:tc>
                <w:tcPr>
                  <w:tcW w:w="1622" w:type="dxa"/>
                  <w:tcBorders>
                    <w:tl2br w:val="nil"/>
                    <w:tr2bl w:val="nil"/>
                  </w:tcBorders>
                  <w:noWrap w:val="0"/>
                  <w:vAlign w:val="center"/>
                </w:tcPr>
                <w:p w14:paraId="4317CBC4">
                  <w:pPr>
                    <w:keepNext w:val="0"/>
                    <w:keepLines w:val="0"/>
                    <w:pageBreakBefore w:val="0"/>
                    <w:widowControl/>
                    <w:kinsoku/>
                    <w:wordWrap/>
                    <w:overflowPunct/>
                    <w:topLinePunct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称重包装</w:t>
                  </w:r>
                  <w:r>
                    <w:rPr>
                      <w:rFonts w:hint="eastAsia"/>
                      <w:color w:val="auto"/>
                      <w:kern w:val="0"/>
                      <w:sz w:val="22"/>
                      <w:szCs w:val="22"/>
                      <w:lang w:val="en-US" w:eastAsia="zh-CN"/>
                    </w:rPr>
                    <w:t>G2</w:t>
                  </w:r>
                </w:p>
              </w:tc>
              <w:tc>
                <w:tcPr>
                  <w:tcW w:w="1830" w:type="dxa"/>
                  <w:tcBorders>
                    <w:tl2br w:val="nil"/>
                    <w:tr2bl w:val="nil"/>
                  </w:tcBorders>
                  <w:noWrap w:val="0"/>
                  <w:vAlign w:val="center"/>
                </w:tcPr>
                <w:p w14:paraId="300B188D">
                  <w:pPr>
                    <w:keepNext w:val="0"/>
                    <w:keepLines w:val="0"/>
                    <w:pageBreakBefore w:val="0"/>
                    <w:widowControl/>
                    <w:kinsoku/>
                    <w:wordWrap/>
                    <w:overflowPunct/>
                    <w:topLinePunct w:val="0"/>
                    <w:bidi w:val="0"/>
                    <w:adjustRightInd w:val="0"/>
                    <w:spacing w:line="240" w:lineRule="auto"/>
                    <w:ind w:firstLine="0" w:firstLineChars="0"/>
                    <w:jc w:val="center"/>
                    <w:textAlignment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颗粒物</w:t>
                  </w:r>
                </w:p>
              </w:tc>
              <w:tc>
                <w:tcPr>
                  <w:tcW w:w="4444" w:type="dxa"/>
                  <w:vMerge w:val="continue"/>
                  <w:tcBorders>
                    <w:tl2br w:val="nil"/>
                    <w:tr2bl w:val="nil"/>
                  </w:tcBorders>
                  <w:noWrap w:val="0"/>
                  <w:vAlign w:val="center"/>
                </w:tcPr>
                <w:p w14:paraId="62D98331">
                  <w:pPr>
                    <w:keepNext w:val="0"/>
                    <w:keepLines w:val="0"/>
                    <w:pageBreakBefore w:val="0"/>
                    <w:widowControl/>
                    <w:kinsoku/>
                    <w:wordWrap/>
                    <w:overflowPunct/>
                    <w:topLinePunct w:val="0"/>
                    <w:bidi w:val="0"/>
                    <w:adjustRightInd w:val="0"/>
                    <w:spacing w:line="240" w:lineRule="auto"/>
                    <w:ind w:firstLine="0" w:firstLineChars="0"/>
                    <w:jc w:val="center"/>
                    <w:textAlignment w:val="center"/>
                    <w:rPr>
                      <w:rFonts w:hint="eastAsia"/>
                      <w:color w:val="auto"/>
                      <w:kern w:val="0"/>
                      <w:sz w:val="22"/>
                      <w:szCs w:val="22"/>
                    </w:rPr>
                  </w:pPr>
                </w:p>
              </w:tc>
            </w:tr>
            <w:tr w14:paraId="6A6D2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tcBorders>
                    <w:tl2br w:val="nil"/>
                    <w:tr2bl w:val="nil"/>
                  </w:tcBorders>
                  <w:noWrap w:val="0"/>
                  <w:vAlign w:val="center"/>
                </w:tcPr>
                <w:p w14:paraId="0EC03489">
                  <w:pPr>
                    <w:keepNext w:val="0"/>
                    <w:keepLines w:val="0"/>
                    <w:pageBreakBefore w:val="0"/>
                    <w:kinsoku/>
                    <w:wordWrap/>
                    <w:overflowPunct/>
                    <w:topLinePunct w:val="0"/>
                    <w:autoSpaceDE w:val="0"/>
                    <w:autoSpaceDN w:val="0"/>
                    <w:bidi w:val="0"/>
                    <w:adjustRightInd w:val="0"/>
                    <w:spacing w:line="240" w:lineRule="auto"/>
                    <w:ind w:firstLine="0" w:firstLineChars="0"/>
                    <w:jc w:val="center"/>
                    <w:rPr>
                      <w:color w:val="auto"/>
                      <w:sz w:val="22"/>
                      <w:szCs w:val="22"/>
                    </w:rPr>
                  </w:pPr>
                  <w:r>
                    <w:rPr>
                      <w:color w:val="auto"/>
                      <w:sz w:val="22"/>
                      <w:szCs w:val="22"/>
                    </w:rPr>
                    <w:t>废水</w:t>
                  </w:r>
                </w:p>
              </w:tc>
              <w:tc>
                <w:tcPr>
                  <w:tcW w:w="1622" w:type="dxa"/>
                  <w:tcBorders>
                    <w:tl2br w:val="nil"/>
                    <w:tr2bl w:val="nil"/>
                  </w:tcBorders>
                  <w:noWrap w:val="0"/>
                  <w:vAlign w:val="center"/>
                </w:tcPr>
                <w:p w14:paraId="66CED0E0">
                  <w:pPr>
                    <w:keepNext w:val="0"/>
                    <w:keepLines w:val="0"/>
                    <w:pageBreakBefore w:val="0"/>
                    <w:kinsoku/>
                    <w:wordWrap/>
                    <w:overflowPunct/>
                    <w:topLinePunct w:val="0"/>
                    <w:autoSpaceDE w:val="0"/>
                    <w:autoSpaceDN w:val="0"/>
                    <w:bidi w:val="0"/>
                    <w:adjustRightInd w:val="0"/>
                    <w:spacing w:line="240" w:lineRule="auto"/>
                    <w:ind w:firstLine="0" w:firstLineChars="0"/>
                    <w:jc w:val="center"/>
                    <w:rPr>
                      <w:rFonts w:hint="eastAsia" w:eastAsia="宋体"/>
                      <w:color w:val="auto"/>
                      <w:sz w:val="22"/>
                      <w:szCs w:val="22"/>
                      <w:lang w:eastAsia="zh-CN"/>
                    </w:rPr>
                  </w:pPr>
                  <w:r>
                    <w:rPr>
                      <w:color w:val="auto"/>
                      <w:sz w:val="22"/>
                      <w:szCs w:val="22"/>
                    </w:rPr>
                    <w:t>生活</w:t>
                  </w:r>
                  <w:r>
                    <w:rPr>
                      <w:rFonts w:hint="eastAsia"/>
                      <w:color w:val="auto"/>
                      <w:sz w:val="22"/>
                      <w:szCs w:val="22"/>
                      <w:lang w:eastAsia="zh-CN"/>
                    </w:rPr>
                    <w:t>污水</w:t>
                  </w:r>
                </w:p>
              </w:tc>
              <w:tc>
                <w:tcPr>
                  <w:tcW w:w="1830" w:type="dxa"/>
                  <w:tcBorders>
                    <w:tl2br w:val="nil"/>
                    <w:tr2bl w:val="nil"/>
                  </w:tcBorders>
                  <w:noWrap w:val="0"/>
                  <w:vAlign w:val="center"/>
                </w:tcPr>
                <w:p w14:paraId="45162022">
                  <w:pPr>
                    <w:keepNext w:val="0"/>
                    <w:keepLines w:val="0"/>
                    <w:pageBreakBefore w:val="0"/>
                    <w:kinsoku/>
                    <w:wordWrap/>
                    <w:overflowPunct/>
                    <w:topLinePunct w:val="0"/>
                    <w:bidi w:val="0"/>
                    <w:adjustRightInd w:val="0"/>
                    <w:spacing w:line="240" w:lineRule="auto"/>
                    <w:ind w:firstLine="0" w:firstLineChars="0"/>
                    <w:jc w:val="center"/>
                    <w:rPr>
                      <w:rFonts w:hint="default" w:eastAsia="宋体"/>
                      <w:color w:val="auto"/>
                      <w:sz w:val="22"/>
                      <w:szCs w:val="22"/>
                      <w:lang w:val="en-US" w:eastAsia="zh-CN"/>
                    </w:rPr>
                  </w:pPr>
                  <w:r>
                    <w:rPr>
                      <w:color w:val="auto"/>
                      <w:sz w:val="22"/>
                      <w:szCs w:val="22"/>
                    </w:rPr>
                    <w:t>COD</w:t>
                  </w:r>
                  <w:r>
                    <w:rPr>
                      <w:color w:val="auto"/>
                      <w:sz w:val="22"/>
                      <w:szCs w:val="22"/>
                      <w:vertAlign w:val="subscript"/>
                    </w:rPr>
                    <w:t>Cr</w:t>
                  </w:r>
                  <w:r>
                    <w:rPr>
                      <w:color w:val="auto"/>
                      <w:sz w:val="22"/>
                      <w:szCs w:val="22"/>
                    </w:rPr>
                    <w:t>、氨氮</w:t>
                  </w:r>
                  <w:r>
                    <w:rPr>
                      <w:rFonts w:hint="eastAsia"/>
                      <w:color w:val="auto"/>
                      <w:sz w:val="22"/>
                      <w:szCs w:val="22"/>
                      <w:lang w:eastAsia="zh-CN"/>
                    </w:rPr>
                    <w:t>、</w:t>
                  </w:r>
                  <w:r>
                    <w:rPr>
                      <w:rFonts w:hint="eastAsia"/>
                      <w:color w:val="auto"/>
                      <w:sz w:val="22"/>
                      <w:szCs w:val="22"/>
                      <w:lang w:val="en-US" w:eastAsia="zh-CN"/>
                    </w:rPr>
                    <w:t>SS等</w:t>
                  </w:r>
                </w:p>
              </w:tc>
              <w:tc>
                <w:tcPr>
                  <w:tcW w:w="4444" w:type="dxa"/>
                  <w:tcBorders>
                    <w:tl2br w:val="nil"/>
                    <w:tr2bl w:val="nil"/>
                  </w:tcBorders>
                  <w:noWrap w:val="0"/>
                  <w:vAlign w:val="center"/>
                </w:tcPr>
                <w:p w14:paraId="76A11E7F">
                  <w:pPr>
                    <w:keepNext w:val="0"/>
                    <w:keepLines w:val="0"/>
                    <w:pageBreakBefore w:val="0"/>
                    <w:kinsoku/>
                    <w:wordWrap/>
                    <w:overflowPunct/>
                    <w:topLinePunct w:val="0"/>
                    <w:bidi w:val="0"/>
                    <w:adjustRightInd w:val="0"/>
                    <w:spacing w:line="240" w:lineRule="auto"/>
                    <w:ind w:firstLine="0" w:firstLineChars="0"/>
                    <w:jc w:val="center"/>
                    <w:rPr>
                      <w:rFonts w:hint="eastAsia"/>
                      <w:color w:val="auto"/>
                      <w:sz w:val="22"/>
                      <w:szCs w:val="22"/>
                      <w:lang w:val="en-US" w:eastAsia="zh-CN"/>
                    </w:rPr>
                  </w:pPr>
                  <w:r>
                    <w:rPr>
                      <w:rFonts w:hint="eastAsia"/>
                      <w:color w:val="auto"/>
                      <w:sz w:val="22"/>
                      <w:szCs w:val="22"/>
                      <w:lang w:val="en-US" w:eastAsia="zh-CN"/>
                    </w:rPr>
                    <w:t>经厂区化粪池处理后定期</w:t>
                  </w:r>
                </w:p>
                <w:p w14:paraId="63E7DC01">
                  <w:pPr>
                    <w:keepNext w:val="0"/>
                    <w:keepLines w:val="0"/>
                    <w:pageBreakBefore w:val="0"/>
                    <w:kinsoku/>
                    <w:wordWrap/>
                    <w:overflowPunct/>
                    <w:topLinePunct w:val="0"/>
                    <w:bidi w:val="0"/>
                    <w:adjustRightInd w:val="0"/>
                    <w:spacing w:line="240" w:lineRule="auto"/>
                    <w:ind w:firstLine="0" w:firstLineChars="0"/>
                    <w:jc w:val="center"/>
                    <w:rPr>
                      <w:rFonts w:hint="default" w:eastAsia="宋体"/>
                      <w:color w:val="auto"/>
                      <w:sz w:val="22"/>
                      <w:szCs w:val="22"/>
                      <w:lang w:val="en-US" w:eastAsia="zh-CN"/>
                    </w:rPr>
                  </w:pPr>
                  <w:r>
                    <w:rPr>
                      <w:rFonts w:hint="eastAsia"/>
                      <w:color w:val="auto"/>
                      <w:sz w:val="22"/>
                      <w:szCs w:val="22"/>
                      <w:lang w:val="en-US" w:eastAsia="zh-CN"/>
                    </w:rPr>
                    <w:t>委托环卫部门清运</w:t>
                  </w:r>
                </w:p>
              </w:tc>
            </w:tr>
            <w:tr w14:paraId="12D5A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tcBorders>
                    <w:tl2br w:val="nil"/>
                    <w:tr2bl w:val="nil"/>
                  </w:tcBorders>
                  <w:noWrap w:val="0"/>
                  <w:vAlign w:val="center"/>
                </w:tcPr>
                <w:p w14:paraId="09457E69">
                  <w:pPr>
                    <w:keepNext w:val="0"/>
                    <w:keepLines w:val="0"/>
                    <w:pageBreakBefore w:val="0"/>
                    <w:kinsoku/>
                    <w:wordWrap/>
                    <w:overflowPunct/>
                    <w:topLinePunct w:val="0"/>
                    <w:autoSpaceDE w:val="0"/>
                    <w:autoSpaceDN w:val="0"/>
                    <w:bidi w:val="0"/>
                    <w:adjustRightInd w:val="0"/>
                    <w:spacing w:line="240" w:lineRule="auto"/>
                    <w:ind w:firstLine="0" w:firstLineChars="0"/>
                    <w:jc w:val="center"/>
                    <w:rPr>
                      <w:color w:val="auto"/>
                      <w:sz w:val="22"/>
                      <w:szCs w:val="22"/>
                    </w:rPr>
                  </w:pPr>
                  <w:r>
                    <w:rPr>
                      <w:color w:val="auto"/>
                      <w:sz w:val="22"/>
                      <w:szCs w:val="22"/>
                    </w:rPr>
                    <w:t>噪声</w:t>
                  </w:r>
                </w:p>
              </w:tc>
              <w:tc>
                <w:tcPr>
                  <w:tcW w:w="1622" w:type="dxa"/>
                  <w:tcBorders>
                    <w:tl2br w:val="nil"/>
                    <w:tr2bl w:val="nil"/>
                  </w:tcBorders>
                  <w:noWrap w:val="0"/>
                  <w:vAlign w:val="center"/>
                </w:tcPr>
                <w:p w14:paraId="73431DCA">
                  <w:pPr>
                    <w:keepNext w:val="0"/>
                    <w:keepLines w:val="0"/>
                    <w:pageBreakBefore w:val="0"/>
                    <w:kinsoku/>
                    <w:wordWrap/>
                    <w:overflowPunct/>
                    <w:topLinePunct w:val="0"/>
                    <w:autoSpaceDE w:val="0"/>
                    <w:autoSpaceDN w:val="0"/>
                    <w:bidi w:val="0"/>
                    <w:adjustRightInd w:val="0"/>
                    <w:spacing w:line="240" w:lineRule="auto"/>
                    <w:ind w:firstLine="0" w:firstLineChars="0"/>
                    <w:jc w:val="center"/>
                    <w:rPr>
                      <w:color w:val="auto"/>
                      <w:sz w:val="22"/>
                      <w:szCs w:val="22"/>
                    </w:rPr>
                  </w:pPr>
                  <w:r>
                    <w:rPr>
                      <w:color w:val="auto"/>
                      <w:sz w:val="22"/>
                      <w:szCs w:val="22"/>
                    </w:rPr>
                    <w:t>机械设备</w:t>
                  </w:r>
                </w:p>
              </w:tc>
              <w:tc>
                <w:tcPr>
                  <w:tcW w:w="1830" w:type="dxa"/>
                  <w:tcBorders>
                    <w:tl2br w:val="nil"/>
                    <w:tr2bl w:val="nil"/>
                  </w:tcBorders>
                  <w:noWrap w:val="0"/>
                  <w:vAlign w:val="center"/>
                </w:tcPr>
                <w:p w14:paraId="5EE1E723">
                  <w:pPr>
                    <w:keepNext w:val="0"/>
                    <w:keepLines w:val="0"/>
                    <w:pageBreakBefore w:val="0"/>
                    <w:kinsoku/>
                    <w:wordWrap/>
                    <w:overflowPunct/>
                    <w:topLinePunct w:val="0"/>
                    <w:bidi w:val="0"/>
                    <w:adjustRightInd w:val="0"/>
                    <w:spacing w:line="240" w:lineRule="auto"/>
                    <w:ind w:firstLine="0" w:firstLineChars="0"/>
                    <w:jc w:val="center"/>
                    <w:rPr>
                      <w:color w:val="auto"/>
                      <w:sz w:val="22"/>
                      <w:szCs w:val="22"/>
                    </w:rPr>
                  </w:pPr>
                  <w:r>
                    <w:rPr>
                      <w:color w:val="auto"/>
                      <w:sz w:val="22"/>
                      <w:szCs w:val="22"/>
                    </w:rPr>
                    <w:t>噪声</w:t>
                  </w:r>
                </w:p>
              </w:tc>
              <w:tc>
                <w:tcPr>
                  <w:tcW w:w="4444" w:type="dxa"/>
                  <w:tcBorders>
                    <w:tl2br w:val="nil"/>
                    <w:tr2bl w:val="nil"/>
                  </w:tcBorders>
                  <w:noWrap w:val="0"/>
                  <w:vAlign w:val="center"/>
                </w:tcPr>
                <w:p w14:paraId="1BC81046">
                  <w:pPr>
                    <w:keepNext w:val="0"/>
                    <w:keepLines w:val="0"/>
                    <w:pageBreakBefore w:val="0"/>
                    <w:kinsoku/>
                    <w:wordWrap/>
                    <w:overflowPunct/>
                    <w:topLinePunct w:val="0"/>
                    <w:bidi w:val="0"/>
                    <w:adjustRightInd w:val="0"/>
                    <w:spacing w:line="240" w:lineRule="auto"/>
                    <w:ind w:firstLine="0" w:firstLineChars="0"/>
                    <w:jc w:val="center"/>
                    <w:rPr>
                      <w:color w:val="auto"/>
                      <w:sz w:val="22"/>
                      <w:szCs w:val="22"/>
                    </w:rPr>
                  </w:pPr>
                  <w:r>
                    <w:rPr>
                      <w:rFonts w:hint="default"/>
                      <w:color w:val="auto"/>
                      <w:sz w:val="22"/>
                      <w:szCs w:val="22"/>
                      <w:lang w:val="en-US" w:eastAsia="zh-CN"/>
                    </w:rPr>
                    <w:t>隔声</w:t>
                  </w:r>
                  <w:r>
                    <w:rPr>
                      <w:rFonts w:hint="eastAsia"/>
                      <w:color w:val="auto"/>
                      <w:sz w:val="22"/>
                      <w:szCs w:val="22"/>
                      <w:lang w:val="en-US" w:eastAsia="zh-CN"/>
                    </w:rPr>
                    <w:t>、</w:t>
                  </w:r>
                  <w:r>
                    <w:rPr>
                      <w:rFonts w:hint="default"/>
                      <w:color w:val="auto"/>
                      <w:sz w:val="22"/>
                      <w:szCs w:val="22"/>
                      <w:lang w:val="en-US" w:eastAsia="zh-CN"/>
                    </w:rPr>
                    <w:t>减振等</w:t>
                  </w:r>
                </w:p>
              </w:tc>
            </w:tr>
            <w:tr w14:paraId="21CD3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vMerge w:val="restart"/>
                  <w:tcBorders>
                    <w:tl2br w:val="nil"/>
                    <w:tr2bl w:val="nil"/>
                  </w:tcBorders>
                  <w:noWrap w:val="0"/>
                  <w:vAlign w:val="center"/>
                </w:tcPr>
                <w:p w14:paraId="53D93A4B">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rPr>
                      <w:color w:val="auto"/>
                      <w:sz w:val="22"/>
                      <w:szCs w:val="22"/>
                    </w:rPr>
                  </w:pPr>
                  <w:r>
                    <w:rPr>
                      <w:color w:val="auto"/>
                      <w:sz w:val="22"/>
                      <w:szCs w:val="22"/>
                    </w:rPr>
                    <w:t>固废</w:t>
                  </w:r>
                </w:p>
              </w:tc>
              <w:tc>
                <w:tcPr>
                  <w:tcW w:w="1622" w:type="dxa"/>
                  <w:tcBorders>
                    <w:tl2br w:val="nil"/>
                    <w:tr2bl w:val="nil"/>
                  </w:tcBorders>
                  <w:noWrap w:val="0"/>
                  <w:vAlign w:val="center"/>
                </w:tcPr>
                <w:p w14:paraId="19EE9D7D">
                  <w:pPr>
                    <w:keepNext w:val="0"/>
                    <w:keepLines w:val="0"/>
                    <w:pageBreakBefore w:val="0"/>
                    <w:kinsoku/>
                    <w:wordWrap/>
                    <w:overflowPunct/>
                    <w:topLinePunct w:val="0"/>
                    <w:bidi w:val="0"/>
                    <w:adjustRightInd w:val="0"/>
                    <w:snapToGrid w:val="0"/>
                    <w:spacing w:line="240" w:lineRule="auto"/>
                    <w:ind w:firstLine="0" w:firstLineChars="0"/>
                    <w:jc w:val="center"/>
                    <w:rPr>
                      <w:rFonts w:hint="default" w:eastAsia="宋体"/>
                      <w:color w:val="auto"/>
                      <w:sz w:val="22"/>
                      <w:szCs w:val="22"/>
                      <w:lang w:val="en-US" w:eastAsia="zh-CN"/>
                    </w:rPr>
                  </w:pPr>
                  <w:r>
                    <w:rPr>
                      <w:rFonts w:hint="eastAsia"/>
                      <w:color w:val="auto"/>
                      <w:sz w:val="22"/>
                      <w:szCs w:val="22"/>
                      <w:lang w:val="en-US" w:eastAsia="zh-CN"/>
                    </w:rPr>
                    <w:t>原料拆封</w:t>
                  </w:r>
                </w:p>
              </w:tc>
              <w:tc>
                <w:tcPr>
                  <w:tcW w:w="1830" w:type="dxa"/>
                  <w:tcBorders>
                    <w:tl2br w:val="nil"/>
                    <w:tr2bl w:val="nil"/>
                  </w:tcBorders>
                  <w:noWrap w:val="0"/>
                  <w:vAlign w:val="center"/>
                </w:tcPr>
                <w:p w14:paraId="54DCC7A3">
                  <w:pPr>
                    <w:keepNext w:val="0"/>
                    <w:keepLines w:val="0"/>
                    <w:pageBreakBefore w:val="0"/>
                    <w:kinsoku/>
                    <w:wordWrap/>
                    <w:overflowPunct/>
                    <w:topLinePunct w:val="0"/>
                    <w:bidi w:val="0"/>
                    <w:adjustRightInd w:val="0"/>
                    <w:snapToGrid w:val="0"/>
                    <w:spacing w:line="240" w:lineRule="auto"/>
                    <w:ind w:firstLine="0" w:firstLineChars="0"/>
                    <w:jc w:val="center"/>
                    <w:rPr>
                      <w:rFonts w:hint="default" w:eastAsia="宋体"/>
                      <w:color w:val="auto"/>
                      <w:sz w:val="22"/>
                      <w:szCs w:val="22"/>
                      <w:lang w:val="en-US" w:eastAsia="zh-CN"/>
                    </w:rPr>
                  </w:pPr>
                  <w:r>
                    <w:rPr>
                      <w:rFonts w:hint="eastAsia"/>
                      <w:color w:val="auto"/>
                      <w:sz w:val="22"/>
                      <w:szCs w:val="22"/>
                      <w:lang w:val="en-US" w:eastAsia="zh-CN"/>
                    </w:rPr>
                    <w:t>废包装袋</w:t>
                  </w:r>
                </w:p>
              </w:tc>
              <w:tc>
                <w:tcPr>
                  <w:tcW w:w="4444" w:type="dxa"/>
                  <w:tcBorders>
                    <w:tl2br w:val="nil"/>
                    <w:tr2bl w:val="nil"/>
                  </w:tcBorders>
                  <w:noWrap w:val="0"/>
                  <w:vAlign w:val="center"/>
                </w:tcPr>
                <w:p w14:paraId="69B93D9E">
                  <w:pPr>
                    <w:keepNext w:val="0"/>
                    <w:keepLines w:val="0"/>
                    <w:pageBreakBefore w:val="0"/>
                    <w:kinsoku/>
                    <w:wordWrap/>
                    <w:overflowPunct/>
                    <w:topLinePunct w:val="0"/>
                    <w:bidi w:val="0"/>
                    <w:adjustRightInd w:val="0"/>
                    <w:snapToGrid w:val="0"/>
                    <w:spacing w:line="240" w:lineRule="auto"/>
                    <w:ind w:firstLine="0" w:firstLineChars="0"/>
                    <w:jc w:val="center"/>
                    <w:rPr>
                      <w:rFonts w:hint="eastAsia" w:cs="Times New Roman"/>
                      <w:color w:val="auto"/>
                      <w:sz w:val="22"/>
                      <w:szCs w:val="22"/>
                      <w:lang w:val="en-US" w:eastAsia="zh-CN"/>
                    </w:rPr>
                  </w:pPr>
                  <w:r>
                    <w:rPr>
                      <w:rFonts w:hint="eastAsia" w:cs="Times New Roman"/>
                      <w:color w:val="auto"/>
                      <w:sz w:val="22"/>
                      <w:szCs w:val="22"/>
                      <w:lang w:val="en-US" w:eastAsia="zh-CN"/>
                    </w:rPr>
                    <w:t>外售综合利用</w:t>
                  </w:r>
                </w:p>
              </w:tc>
            </w:tr>
            <w:tr w14:paraId="12C20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vMerge w:val="continue"/>
                  <w:tcBorders>
                    <w:tl2br w:val="nil"/>
                    <w:tr2bl w:val="nil"/>
                  </w:tcBorders>
                  <w:noWrap w:val="0"/>
                  <w:vAlign w:val="center"/>
                </w:tcPr>
                <w:p w14:paraId="5FF609CC">
                  <w:pPr>
                    <w:keepNext w:val="0"/>
                    <w:keepLines w:val="0"/>
                    <w:pageBreakBefore w:val="0"/>
                    <w:widowControl/>
                    <w:kinsoku/>
                    <w:wordWrap/>
                    <w:overflowPunct/>
                    <w:topLinePunct w:val="0"/>
                    <w:bidi w:val="0"/>
                    <w:adjustRightInd w:val="0"/>
                    <w:spacing w:line="240" w:lineRule="auto"/>
                    <w:ind w:firstLine="0" w:firstLineChars="0"/>
                    <w:jc w:val="center"/>
                    <w:rPr>
                      <w:color w:val="auto"/>
                      <w:sz w:val="22"/>
                      <w:szCs w:val="22"/>
                    </w:rPr>
                  </w:pPr>
                </w:p>
              </w:tc>
              <w:tc>
                <w:tcPr>
                  <w:tcW w:w="1622" w:type="dxa"/>
                  <w:tcBorders>
                    <w:tl2br w:val="nil"/>
                    <w:tr2bl w:val="nil"/>
                  </w:tcBorders>
                  <w:noWrap w:val="0"/>
                  <w:vAlign w:val="center"/>
                </w:tcPr>
                <w:p w14:paraId="708B3CA8">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洗车台</w:t>
                  </w:r>
                </w:p>
              </w:tc>
              <w:tc>
                <w:tcPr>
                  <w:tcW w:w="1830" w:type="dxa"/>
                  <w:tcBorders>
                    <w:tl2br w:val="nil"/>
                    <w:tr2bl w:val="nil"/>
                  </w:tcBorders>
                  <w:noWrap w:val="0"/>
                  <w:vAlign w:val="center"/>
                </w:tcPr>
                <w:p w14:paraId="78AFFB29">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沉淀池沉渣</w:t>
                  </w:r>
                </w:p>
              </w:tc>
              <w:tc>
                <w:tcPr>
                  <w:tcW w:w="4444" w:type="dxa"/>
                  <w:tcBorders>
                    <w:tl2br w:val="nil"/>
                    <w:tr2bl w:val="nil"/>
                  </w:tcBorders>
                  <w:noWrap w:val="0"/>
                  <w:vAlign w:val="center"/>
                </w:tcPr>
                <w:p w14:paraId="0E556A08">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default" w:cs="Times New Roman"/>
                      <w:color w:val="auto"/>
                      <w:kern w:val="2"/>
                      <w:sz w:val="22"/>
                      <w:szCs w:val="22"/>
                      <w:lang w:val="en-US" w:eastAsia="zh-CN" w:bidi="ar-SA"/>
                    </w:rPr>
                  </w:pPr>
                  <w:r>
                    <w:rPr>
                      <w:rFonts w:hint="eastAsia" w:cs="Times New Roman"/>
                      <w:color w:val="auto"/>
                      <w:kern w:val="2"/>
                      <w:sz w:val="22"/>
                      <w:szCs w:val="22"/>
                      <w:lang w:val="en-US" w:eastAsia="zh-CN" w:bidi="ar-SA"/>
                    </w:rPr>
                    <w:t>外售综合利用</w:t>
                  </w:r>
                </w:p>
              </w:tc>
            </w:tr>
            <w:tr w14:paraId="6E310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vMerge w:val="continue"/>
                  <w:tcBorders>
                    <w:tl2br w:val="nil"/>
                    <w:tr2bl w:val="nil"/>
                  </w:tcBorders>
                  <w:noWrap w:val="0"/>
                  <w:vAlign w:val="center"/>
                </w:tcPr>
                <w:p w14:paraId="40748F10">
                  <w:pPr>
                    <w:keepNext w:val="0"/>
                    <w:keepLines w:val="0"/>
                    <w:pageBreakBefore w:val="0"/>
                    <w:widowControl/>
                    <w:kinsoku/>
                    <w:wordWrap/>
                    <w:overflowPunct/>
                    <w:topLinePunct w:val="0"/>
                    <w:bidi w:val="0"/>
                    <w:adjustRightInd w:val="0"/>
                    <w:spacing w:line="240" w:lineRule="auto"/>
                    <w:ind w:firstLine="0" w:firstLineChars="0"/>
                    <w:jc w:val="center"/>
                    <w:rPr>
                      <w:color w:val="auto"/>
                      <w:sz w:val="22"/>
                      <w:szCs w:val="22"/>
                    </w:rPr>
                  </w:pPr>
                </w:p>
              </w:tc>
              <w:tc>
                <w:tcPr>
                  <w:tcW w:w="1622" w:type="dxa"/>
                  <w:vMerge w:val="restart"/>
                  <w:tcBorders>
                    <w:tl2br w:val="nil"/>
                    <w:tr2bl w:val="nil"/>
                  </w:tcBorders>
                  <w:noWrap w:val="0"/>
                  <w:vAlign w:val="center"/>
                </w:tcPr>
                <w:p w14:paraId="09F1306A">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default"/>
                      <w:color w:val="auto"/>
                      <w:sz w:val="22"/>
                      <w:szCs w:val="22"/>
                      <w:lang w:val="en-US" w:eastAsia="zh-CN"/>
                    </w:rPr>
                  </w:pPr>
                  <w:r>
                    <w:rPr>
                      <w:rFonts w:hint="eastAsia"/>
                      <w:color w:val="auto"/>
                      <w:sz w:val="22"/>
                      <w:szCs w:val="22"/>
                      <w:lang w:val="en-US" w:eastAsia="zh-CN"/>
                    </w:rPr>
                    <w:t>废气治理</w:t>
                  </w:r>
                </w:p>
              </w:tc>
              <w:tc>
                <w:tcPr>
                  <w:tcW w:w="1830" w:type="dxa"/>
                  <w:tcBorders>
                    <w:tl2br w:val="nil"/>
                    <w:tr2bl w:val="nil"/>
                  </w:tcBorders>
                  <w:noWrap w:val="0"/>
                  <w:vAlign w:val="center"/>
                </w:tcPr>
                <w:p w14:paraId="43132E03">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eastAsia" w:ascii="Times New Roman" w:eastAsia="宋体"/>
                      <w:color w:val="auto"/>
                      <w:sz w:val="22"/>
                      <w:szCs w:val="22"/>
                      <w:lang w:val="en-US" w:eastAsia="zh-CN"/>
                    </w:rPr>
                  </w:pPr>
                  <w:r>
                    <w:rPr>
                      <w:rFonts w:hint="eastAsia"/>
                      <w:color w:val="auto"/>
                      <w:sz w:val="22"/>
                      <w:szCs w:val="22"/>
                      <w:lang w:val="en-US" w:eastAsia="zh-CN"/>
                    </w:rPr>
                    <w:t>收集的粉尘</w:t>
                  </w:r>
                </w:p>
              </w:tc>
              <w:tc>
                <w:tcPr>
                  <w:tcW w:w="4444" w:type="dxa"/>
                  <w:tcBorders>
                    <w:tl2br w:val="nil"/>
                    <w:tr2bl w:val="nil"/>
                  </w:tcBorders>
                  <w:noWrap w:val="0"/>
                  <w:vAlign w:val="center"/>
                </w:tcPr>
                <w:p w14:paraId="471EAEE6">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eastAsia" w:cs="Times New Roman"/>
                      <w:color w:val="auto"/>
                      <w:kern w:val="2"/>
                      <w:sz w:val="22"/>
                      <w:szCs w:val="22"/>
                      <w:lang w:val="en-US" w:eastAsia="zh-CN" w:bidi="ar-SA"/>
                    </w:rPr>
                  </w:pPr>
                  <w:r>
                    <w:rPr>
                      <w:rFonts w:hint="eastAsia" w:cs="Times New Roman"/>
                      <w:color w:val="auto"/>
                      <w:sz w:val="22"/>
                      <w:szCs w:val="22"/>
                      <w:lang w:val="en-US" w:eastAsia="zh-CN"/>
                    </w:rPr>
                    <w:t>作为原料回用于生产</w:t>
                  </w:r>
                </w:p>
              </w:tc>
            </w:tr>
            <w:tr w14:paraId="3BC70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vMerge w:val="continue"/>
                  <w:tcBorders>
                    <w:tl2br w:val="nil"/>
                    <w:tr2bl w:val="nil"/>
                  </w:tcBorders>
                  <w:noWrap w:val="0"/>
                  <w:vAlign w:val="center"/>
                </w:tcPr>
                <w:p w14:paraId="767A054D">
                  <w:pPr>
                    <w:keepNext w:val="0"/>
                    <w:keepLines w:val="0"/>
                    <w:pageBreakBefore w:val="0"/>
                    <w:widowControl/>
                    <w:kinsoku/>
                    <w:wordWrap/>
                    <w:overflowPunct/>
                    <w:topLinePunct w:val="0"/>
                    <w:bidi w:val="0"/>
                    <w:adjustRightInd w:val="0"/>
                    <w:spacing w:line="240" w:lineRule="auto"/>
                    <w:ind w:firstLine="0" w:firstLineChars="0"/>
                    <w:jc w:val="center"/>
                    <w:rPr>
                      <w:color w:val="auto"/>
                      <w:sz w:val="22"/>
                      <w:szCs w:val="22"/>
                    </w:rPr>
                  </w:pPr>
                </w:p>
              </w:tc>
              <w:tc>
                <w:tcPr>
                  <w:tcW w:w="1622" w:type="dxa"/>
                  <w:vMerge w:val="continue"/>
                  <w:tcBorders>
                    <w:tl2br w:val="nil"/>
                    <w:tr2bl w:val="nil"/>
                  </w:tcBorders>
                  <w:noWrap w:val="0"/>
                  <w:vAlign w:val="center"/>
                </w:tcPr>
                <w:p w14:paraId="0E2DD401">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eastAsia"/>
                      <w:color w:val="auto"/>
                      <w:sz w:val="22"/>
                      <w:szCs w:val="22"/>
                      <w:lang w:val="en-US" w:eastAsia="zh-CN"/>
                    </w:rPr>
                  </w:pPr>
                </w:p>
              </w:tc>
              <w:tc>
                <w:tcPr>
                  <w:tcW w:w="1830" w:type="dxa"/>
                  <w:tcBorders>
                    <w:tl2br w:val="nil"/>
                    <w:tr2bl w:val="nil"/>
                  </w:tcBorders>
                  <w:noWrap w:val="0"/>
                  <w:vAlign w:val="center"/>
                </w:tcPr>
                <w:p w14:paraId="290EFE8A">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eastAsia"/>
                      <w:color w:val="auto"/>
                      <w:sz w:val="22"/>
                      <w:szCs w:val="22"/>
                      <w:lang w:val="en-US" w:eastAsia="zh-CN"/>
                    </w:rPr>
                  </w:pPr>
                  <w:r>
                    <w:rPr>
                      <w:rFonts w:hint="eastAsia"/>
                      <w:color w:val="auto"/>
                      <w:sz w:val="22"/>
                      <w:szCs w:val="22"/>
                      <w:lang w:val="en-US" w:eastAsia="zh-CN"/>
                    </w:rPr>
                    <w:t>废布袋</w:t>
                  </w:r>
                </w:p>
              </w:tc>
              <w:tc>
                <w:tcPr>
                  <w:tcW w:w="4444" w:type="dxa"/>
                  <w:tcBorders>
                    <w:tl2br w:val="nil"/>
                    <w:tr2bl w:val="nil"/>
                  </w:tcBorders>
                  <w:noWrap w:val="0"/>
                  <w:vAlign w:val="center"/>
                </w:tcPr>
                <w:p w14:paraId="11FBC32E">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eastAsia" w:cs="Times New Roman"/>
                      <w:color w:val="auto"/>
                      <w:sz w:val="22"/>
                      <w:szCs w:val="22"/>
                      <w:lang w:val="en-US" w:eastAsia="zh-CN"/>
                    </w:rPr>
                  </w:pPr>
                  <w:r>
                    <w:rPr>
                      <w:rFonts w:hint="eastAsia" w:cs="Times New Roman"/>
                      <w:color w:val="auto"/>
                      <w:sz w:val="22"/>
                      <w:szCs w:val="22"/>
                      <w:lang w:val="en-US" w:eastAsia="zh-CN"/>
                    </w:rPr>
                    <w:t>外售综合利用</w:t>
                  </w:r>
                </w:p>
              </w:tc>
            </w:tr>
            <w:tr w14:paraId="2A579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75" w:type="dxa"/>
                  <w:vMerge w:val="continue"/>
                  <w:tcBorders>
                    <w:tl2br w:val="nil"/>
                    <w:tr2bl w:val="nil"/>
                  </w:tcBorders>
                  <w:noWrap w:val="0"/>
                  <w:vAlign w:val="center"/>
                </w:tcPr>
                <w:p w14:paraId="70D2DECE">
                  <w:pPr>
                    <w:keepNext w:val="0"/>
                    <w:keepLines w:val="0"/>
                    <w:pageBreakBefore w:val="0"/>
                    <w:widowControl/>
                    <w:kinsoku/>
                    <w:wordWrap/>
                    <w:overflowPunct/>
                    <w:topLinePunct w:val="0"/>
                    <w:bidi w:val="0"/>
                    <w:adjustRightInd w:val="0"/>
                    <w:spacing w:line="240" w:lineRule="auto"/>
                    <w:ind w:firstLine="0" w:firstLineChars="0"/>
                    <w:jc w:val="center"/>
                    <w:rPr>
                      <w:color w:val="auto"/>
                      <w:sz w:val="22"/>
                      <w:szCs w:val="22"/>
                    </w:rPr>
                  </w:pPr>
                </w:p>
              </w:tc>
              <w:tc>
                <w:tcPr>
                  <w:tcW w:w="1622" w:type="dxa"/>
                  <w:tcBorders>
                    <w:tl2br w:val="nil"/>
                    <w:tr2bl w:val="nil"/>
                  </w:tcBorders>
                  <w:noWrap w:val="0"/>
                  <w:vAlign w:val="center"/>
                </w:tcPr>
                <w:p w14:paraId="380AC8E4">
                  <w:pPr>
                    <w:keepNext w:val="0"/>
                    <w:keepLines w:val="0"/>
                    <w:pageBreakBefore w:val="0"/>
                    <w:kinsoku/>
                    <w:wordWrap/>
                    <w:overflowPunct/>
                    <w:topLinePunct w:val="0"/>
                    <w:autoSpaceDE w:val="0"/>
                    <w:autoSpaceDN w:val="0"/>
                    <w:bidi w:val="0"/>
                    <w:adjustRightInd w:val="0"/>
                    <w:spacing w:line="240" w:lineRule="auto"/>
                    <w:ind w:firstLine="0" w:firstLineChars="0"/>
                    <w:jc w:val="center"/>
                    <w:rPr>
                      <w:rFonts w:hint="eastAsia"/>
                      <w:color w:val="auto"/>
                      <w:sz w:val="22"/>
                      <w:szCs w:val="22"/>
                      <w:lang w:val="en-US" w:eastAsia="zh-CN"/>
                    </w:rPr>
                  </w:pPr>
                  <w:r>
                    <w:rPr>
                      <w:rFonts w:hint="eastAsia" w:ascii="Times New Roman" w:eastAsia="宋体"/>
                      <w:color w:val="auto"/>
                      <w:sz w:val="22"/>
                      <w:szCs w:val="22"/>
                      <w:lang w:val="en-US" w:eastAsia="zh-CN"/>
                    </w:rPr>
                    <w:t>职工生活</w:t>
                  </w:r>
                </w:p>
              </w:tc>
              <w:tc>
                <w:tcPr>
                  <w:tcW w:w="1830" w:type="dxa"/>
                  <w:tcBorders>
                    <w:tl2br w:val="nil"/>
                    <w:tr2bl w:val="nil"/>
                  </w:tcBorders>
                  <w:noWrap w:val="0"/>
                  <w:vAlign w:val="center"/>
                </w:tcPr>
                <w:p w14:paraId="2F111307">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生活垃圾</w:t>
                  </w:r>
                </w:p>
              </w:tc>
              <w:tc>
                <w:tcPr>
                  <w:tcW w:w="4444" w:type="dxa"/>
                  <w:tcBorders>
                    <w:tl2br w:val="nil"/>
                    <w:tr2bl w:val="nil"/>
                  </w:tcBorders>
                  <w:noWrap w:val="0"/>
                  <w:vAlign w:val="center"/>
                </w:tcPr>
                <w:p w14:paraId="7918CF64">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环卫部门定期清运</w:t>
                  </w:r>
                </w:p>
              </w:tc>
            </w:tr>
          </w:tbl>
          <w:p w14:paraId="22DADF10">
            <w:pPr>
              <w:pStyle w:val="77"/>
              <w:tabs>
                <w:tab w:val="left" w:pos="1622"/>
              </w:tabs>
              <w:adjustRightInd/>
              <w:spacing w:before="0" w:after="0" w:line="360" w:lineRule="auto"/>
              <w:rPr>
                <w:bCs/>
                <w:color w:val="auto"/>
                <w:szCs w:val="21"/>
              </w:rPr>
            </w:pPr>
          </w:p>
        </w:tc>
      </w:tr>
      <w:tr w14:paraId="42ADA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561" w:type="dxa"/>
            <w:tcBorders>
              <w:tl2br w:val="nil"/>
              <w:tr2bl w:val="nil"/>
            </w:tcBorders>
            <w:vAlign w:val="center"/>
          </w:tcPr>
          <w:p w14:paraId="6E6628D0">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ascii="Times New Roman" w:hAnsi="Times New Roman"/>
                <w:color w:val="auto"/>
                <w:sz w:val="21"/>
                <w:szCs w:val="21"/>
              </w:rPr>
            </w:pPr>
            <w:r>
              <w:rPr>
                <w:rFonts w:ascii="Times New Roman" w:hAnsi="Times New Roman"/>
                <w:bCs/>
                <w:color w:val="auto"/>
                <w:kern w:val="2"/>
                <w:sz w:val="21"/>
                <w:szCs w:val="21"/>
              </w:rPr>
              <w:t>与项目有关的原有环境污染问题</w:t>
            </w:r>
          </w:p>
        </w:tc>
        <w:tc>
          <w:tcPr>
            <w:tcW w:w="9393" w:type="dxa"/>
            <w:tcBorders>
              <w:tl2br w:val="nil"/>
              <w:tr2bl w:val="nil"/>
            </w:tcBorders>
          </w:tcPr>
          <w:p w14:paraId="460ECBBA">
            <w:pPr>
              <w:pStyle w:val="24"/>
              <w:keepNext w:val="0"/>
              <w:keepLines w:val="0"/>
              <w:pageBreakBefore w:val="0"/>
              <w:widowControl/>
              <w:kinsoku/>
              <w:wordWrap/>
              <w:overflowPunct/>
              <w:topLinePunct w:val="0"/>
              <w:autoSpaceDE/>
              <w:autoSpaceDN/>
              <w:bidi w:val="0"/>
              <w:adjustRightInd/>
              <w:snapToGrid/>
              <w:spacing w:before="0" w:after="0"/>
              <w:ind w:left="0" w:leftChars="0" w:firstLine="480" w:firstLineChars="200"/>
              <w:textAlignment w:val="auto"/>
              <w:rPr>
                <w:rFonts w:hint="default" w:ascii="Times New Roman" w:hAnsi="Times New Roman" w:eastAsia="宋体" w:cs="Times New Roman"/>
                <w:color w:val="auto"/>
                <w:sz w:val="24"/>
                <w:lang w:eastAsia="zh-CN"/>
              </w:rPr>
            </w:pPr>
          </w:p>
          <w:p w14:paraId="5AA66E7B">
            <w:pPr>
              <w:pStyle w:val="24"/>
              <w:keepNext w:val="0"/>
              <w:keepLines w:val="0"/>
              <w:pageBreakBefore w:val="0"/>
              <w:widowControl/>
              <w:kinsoku/>
              <w:wordWrap/>
              <w:overflowPunct/>
              <w:topLinePunct w:val="0"/>
              <w:autoSpaceDE/>
              <w:autoSpaceDN/>
              <w:bidi w:val="0"/>
              <w:adjustRightInd/>
              <w:snapToGrid/>
              <w:spacing w:before="0" w:after="0"/>
              <w:ind w:left="0" w:leftChars="0" w:firstLine="480" w:firstLineChars="200"/>
              <w:textAlignment w:val="auto"/>
              <w:rPr>
                <w:rFonts w:hint="default" w:ascii="Times New Roman" w:hAnsi="Times New Roman" w:eastAsia="宋体" w:cs="Times New Roman"/>
                <w:color w:val="auto"/>
                <w:sz w:val="24"/>
                <w:lang w:eastAsia="zh-CN"/>
              </w:rPr>
            </w:pPr>
          </w:p>
          <w:p w14:paraId="6AE42AF9">
            <w:pPr>
              <w:pStyle w:val="24"/>
              <w:keepNext w:val="0"/>
              <w:keepLines w:val="0"/>
              <w:pageBreakBefore w:val="0"/>
              <w:widowControl/>
              <w:kinsoku/>
              <w:wordWrap/>
              <w:overflowPunct/>
              <w:topLinePunct w:val="0"/>
              <w:autoSpaceDE/>
              <w:autoSpaceDN/>
              <w:bidi w:val="0"/>
              <w:adjustRightInd/>
              <w:snapToGrid/>
              <w:spacing w:before="0" w:after="0"/>
              <w:ind w:left="0" w:leftChars="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eastAsia="zh-CN"/>
              </w:rPr>
              <w:t>本项目</w:t>
            </w:r>
            <w:r>
              <w:rPr>
                <w:rFonts w:hint="eastAsia" w:ascii="Times New Roman" w:eastAsia="宋体" w:cs="Times New Roman"/>
                <w:color w:val="auto"/>
                <w:sz w:val="24"/>
                <w:lang w:val="en-US" w:eastAsia="zh-CN"/>
              </w:rPr>
              <w:t>选址位于</w:t>
            </w:r>
            <w:r>
              <w:rPr>
                <w:rFonts w:hint="default" w:ascii="Times New Roman" w:hAnsi="Times New Roman" w:eastAsia="宋体" w:cs="Times New Roman"/>
                <w:color w:val="auto"/>
                <w:sz w:val="24"/>
                <w:lang w:val="en-US" w:eastAsia="zh-CN"/>
              </w:rPr>
              <w:t>济宁市</w:t>
            </w:r>
            <w:r>
              <w:rPr>
                <w:rFonts w:hint="eastAsia" w:ascii="Times New Roman" w:eastAsia="宋体" w:cs="Times New Roman"/>
                <w:color w:val="auto"/>
                <w:sz w:val="24"/>
                <w:lang w:val="en-US" w:eastAsia="zh-CN"/>
              </w:rPr>
              <w:t>嘉祥县万张街道骆堂村西500米</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租赁</w:t>
            </w:r>
            <w:r>
              <w:rPr>
                <w:rFonts w:hint="eastAsia" w:ascii="Times New Roman" w:eastAsia="宋体" w:cs="Times New Roman"/>
                <w:color w:val="auto"/>
                <w:sz w:val="24"/>
                <w:lang w:val="en-US" w:eastAsia="zh-CN"/>
              </w:rPr>
              <w:t>现有</w:t>
            </w:r>
            <w:r>
              <w:rPr>
                <w:rFonts w:hint="default" w:ascii="Times New Roman" w:hAnsi="Times New Roman" w:eastAsia="宋体" w:cs="Times New Roman"/>
                <w:color w:val="auto"/>
                <w:sz w:val="24"/>
                <w:lang w:val="en-US" w:eastAsia="zh-CN"/>
              </w:rPr>
              <w:t>厂房进行建设</w:t>
            </w:r>
            <w:r>
              <w:rPr>
                <w:rFonts w:hint="eastAsia" w:asci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项目租赁前该厂房处于闲置状态</w:t>
            </w:r>
            <w:r>
              <w:rPr>
                <w:rFonts w:hint="eastAsia" w:asci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不存在与本项目有关的原有污染和环境的问题。</w:t>
            </w:r>
          </w:p>
          <w:p w14:paraId="6BC90462">
            <w:pPr>
              <w:pStyle w:val="24"/>
              <w:ind w:left="0" w:leftChars="0" w:firstLine="0" w:firstLineChars="0"/>
              <w:jc w:val="center"/>
              <w:rPr>
                <w:rFonts w:hint="eastAsia" w:eastAsia="Arial Unicode MS"/>
                <w:color w:val="auto"/>
                <w:lang w:eastAsia="zh-CN"/>
              </w:rPr>
            </w:pPr>
          </w:p>
        </w:tc>
      </w:tr>
    </w:tbl>
    <w:p w14:paraId="22A0E5C6">
      <w:pPr>
        <w:pStyle w:val="30"/>
        <w:jc w:val="center"/>
        <w:rPr>
          <w:rFonts w:ascii="Times New Roman" w:hAnsi="Times New Roman"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0F79CD03">
      <w:pPr>
        <w:pStyle w:val="30"/>
        <w:adjustRightInd w:val="0"/>
        <w:snapToGrid w:val="0"/>
        <w:spacing w:before="0" w:beforeAutospacing="0" w:after="0" w:afterAutospacing="0" w:line="14" w:lineRule="auto"/>
        <w:jc w:val="center"/>
        <w:outlineLvl w:val="9"/>
        <w:rPr>
          <w:rFonts w:ascii="Times New Roman" w:hAnsi="Times New Roman" w:eastAsia="黑体"/>
          <w:snapToGrid w:val="0"/>
          <w:color w:val="auto"/>
          <w:sz w:val="30"/>
          <w:szCs w:val="30"/>
        </w:rPr>
      </w:pPr>
    </w:p>
    <w:p w14:paraId="17FACDC4">
      <w:pPr>
        <w:pStyle w:val="3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三、区域环境质量现状、环境保护目标及评价标准</w:t>
      </w:r>
    </w:p>
    <w:tbl>
      <w:tblPr>
        <w:tblStyle w:val="33"/>
        <w:tblW w:w="10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5"/>
        <w:gridCol w:w="9439"/>
      </w:tblGrid>
      <w:tr w14:paraId="78540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575" w:type="dxa"/>
            <w:tcBorders>
              <w:tl2br w:val="nil"/>
              <w:tr2bl w:val="nil"/>
            </w:tcBorders>
            <w:vAlign w:val="center"/>
          </w:tcPr>
          <w:p w14:paraId="7452987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区域</w:t>
            </w:r>
          </w:p>
          <w:p w14:paraId="55E3283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环境</w:t>
            </w:r>
          </w:p>
          <w:p w14:paraId="3CBE1B0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质量</w:t>
            </w:r>
          </w:p>
          <w:p w14:paraId="3F0AA72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Cs w:val="21"/>
              </w:rPr>
            </w:pPr>
            <w:r>
              <w:rPr>
                <w:color w:val="auto"/>
                <w:kern w:val="0"/>
                <w:sz w:val="21"/>
                <w:szCs w:val="18"/>
              </w:rPr>
              <w:t>现状</w:t>
            </w:r>
          </w:p>
        </w:tc>
        <w:tc>
          <w:tcPr>
            <w:tcW w:w="9439" w:type="dxa"/>
            <w:tcBorders>
              <w:tl2br w:val="nil"/>
              <w:tr2bl w:val="nil"/>
            </w:tcBorders>
            <w:vAlign w:val="center"/>
          </w:tcPr>
          <w:p w14:paraId="7311B21D">
            <w:pPr>
              <w:adjustRightInd w:val="0"/>
              <w:snapToGrid w:val="0"/>
              <w:spacing w:line="360" w:lineRule="auto"/>
              <w:ind w:firstLine="480" w:firstLineChars="200"/>
            </w:pPr>
            <w:r>
              <w:rPr>
                <w:rFonts w:hint="eastAsia"/>
                <w:lang w:val="en-US" w:eastAsia="zh-CN"/>
              </w:rPr>
              <w:t>1</w:t>
            </w:r>
            <w:r>
              <w:t>、环境空气 </w:t>
            </w:r>
          </w:p>
          <w:p w14:paraId="79201BD4">
            <w:pPr>
              <w:adjustRightInd w:val="0"/>
              <w:snapToGrid w:val="0"/>
              <w:spacing w:line="360" w:lineRule="auto"/>
              <w:ind w:firstLine="480" w:firstLineChars="200"/>
              <w:rPr>
                <w:lang w:val="zh-CN" w:eastAsia="zh-CN"/>
              </w:rPr>
            </w:pPr>
            <w:r>
              <w:rPr>
                <w:lang w:val="zh-CN" w:eastAsia="zh-CN"/>
              </w:rPr>
              <w:t>本项目位于</w:t>
            </w:r>
            <w:r>
              <w:rPr>
                <w:rFonts w:hint="eastAsia"/>
                <w:lang w:val="zh-CN" w:eastAsia="zh-CN"/>
              </w:rPr>
              <w:t>济宁市嘉祥县万张街道骆堂村西500米</w:t>
            </w:r>
            <w:r>
              <w:rPr>
                <w:lang w:val="zh-CN" w:eastAsia="zh-CN"/>
              </w:rPr>
              <w:t>，项目所在区域环境空气属于二类功能区，执行《环境空气质量标准》（GB3095-2012）中二级标准。</w:t>
            </w:r>
          </w:p>
          <w:p w14:paraId="46A92BBE">
            <w:pPr>
              <w:pStyle w:val="123"/>
              <w:ind w:firstLine="480"/>
              <w:rPr>
                <w:rFonts w:hint="eastAsia"/>
              </w:rPr>
            </w:pPr>
            <w:r>
              <w:t>根据济宁市生态环境局发布的全市大气环境质量污染物浓度情况，</w:t>
            </w:r>
            <w:r>
              <w:rPr>
                <w:rFonts w:hint="eastAsia"/>
              </w:rPr>
              <w:t>嘉祥县</w:t>
            </w:r>
            <w:r>
              <w:t>202</w:t>
            </w:r>
            <w:r>
              <w:rPr>
                <w:rFonts w:hint="eastAsia"/>
              </w:rPr>
              <w:t>2</w:t>
            </w:r>
            <w:r>
              <w:t>年</w:t>
            </w:r>
            <w:r>
              <w:rPr>
                <w:rFonts w:hint="eastAsia"/>
              </w:rPr>
              <w:t>度</w:t>
            </w:r>
            <w:r>
              <w:t>环境空气质量</w:t>
            </w:r>
            <w:r>
              <w:rPr>
                <w:rFonts w:hint="eastAsia"/>
              </w:rPr>
              <w:t>状况</w:t>
            </w:r>
            <w:r>
              <w:t>见表</w:t>
            </w:r>
            <w:r>
              <w:rPr>
                <w:rFonts w:hint="eastAsia"/>
              </w:rPr>
              <w:t>3</w:t>
            </w:r>
            <w:r>
              <w:t>-</w:t>
            </w:r>
            <w:r>
              <w:rPr>
                <w:rFonts w:hint="eastAsia"/>
                <w:lang w:val="en-US" w:eastAsia="zh-CN"/>
              </w:rPr>
              <w:t>1</w:t>
            </w:r>
            <w:r>
              <w:rPr>
                <w:rFonts w:hint="eastAsia"/>
              </w:rPr>
              <w:t>。</w:t>
            </w:r>
          </w:p>
          <w:p w14:paraId="79E73018">
            <w:pPr>
              <w:pStyle w:val="121"/>
              <w:spacing w:before="0" w:beforeLines="0"/>
            </w:pPr>
            <w:r>
              <w:t>表3-</w:t>
            </w:r>
            <w:r>
              <w:rPr>
                <w:rFonts w:hint="eastAsia"/>
                <w:lang w:val="en-US" w:eastAsia="zh-CN"/>
              </w:rPr>
              <w:t>1</w:t>
            </w:r>
            <w:r>
              <w:t xml:space="preserve">  </w:t>
            </w:r>
            <w:r>
              <w:rPr>
                <w:rFonts w:hint="eastAsia"/>
              </w:rPr>
              <w:t>嘉祥县</w:t>
            </w:r>
            <w:r>
              <w:t>202</w:t>
            </w:r>
            <w:r>
              <w:rPr>
                <w:rFonts w:hint="eastAsia"/>
              </w:rPr>
              <w:t>2</w:t>
            </w:r>
            <w:r>
              <w:t>年</w:t>
            </w:r>
            <w:r>
              <w:rPr>
                <w:rFonts w:hint="eastAsia"/>
              </w:rPr>
              <w:t>度</w:t>
            </w:r>
            <w:r>
              <w:t>空气环境质量</w:t>
            </w:r>
            <w:r>
              <w:rPr>
                <w:rFonts w:hint="eastAsia"/>
              </w:rPr>
              <w:t>状况</w:t>
            </w:r>
          </w:p>
          <w:tbl>
            <w:tblPr>
              <w:tblStyle w:val="33"/>
              <w:tblW w:w="925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1" w:type="dxa"/>
                <w:bottom w:w="0" w:type="dxa"/>
                <w:right w:w="51" w:type="dxa"/>
              </w:tblCellMar>
            </w:tblPr>
            <w:tblGrid>
              <w:gridCol w:w="1308"/>
              <w:gridCol w:w="1325"/>
              <w:gridCol w:w="1324"/>
              <w:gridCol w:w="1324"/>
              <w:gridCol w:w="1328"/>
              <w:gridCol w:w="1327"/>
              <w:gridCol w:w="1322"/>
            </w:tblGrid>
            <w:tr w14:paraId="2D8141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5AB00572">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时间</w:t>
                  </w:r>
                </w:p>
              </w:tc>
              <w:tc>
                <w:tcPr>
                  <w:tcW w:w="1325" w:type="dxa"/>
                  <w:tcBorders>
                    <w:tl2br w:val="nil"/>
                    <w:tr2bl w:val="nil"/>
                  </w:tcBorders>
                  <w:noWrap w:val="0"/>
                  <w:vAlign w:val="center"/>
                </w:tcPr>
                <w:p w14:paraId="0DAE2627">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二氧化硫</w:t>
                  </w:r>
                </w:p>
                <w:p w14:paraId="6983EDFF">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日平均浓度值（μg/m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w:t>
                  </w:r>
                </w:p>
              </w:tc>
              <w:tc>
                <w:tcPr>
                  <w:tcW w:w="1324" w:type="dxa"/>
                  <w:tcBorders>
                    <w:tl2br w:val="nil"/>
                    <w:tr2bl w:val="nil"/>
                  </w:tcBorders>
                  <w:noWrap w:val="0"/>
                  <w:vAlign w:val="center"/>
                </w:tcPr>
                <w:p w14:paraId="5B35F9D6">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二氧化氮</w:t>
                  </w:r>
                </w:p>
                <w:p w14:paraId="54A18D07">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日平均浓度值（μg/m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w:t>
                  </w:r>
                </w:p>
              </w:tc>
              <w:tc>
                <w:tcPr>
                  <w:tcW w:w="1324" w:type="dxa"/>
                  <w:tcBorders>
                    <w:tl2br w:val="nil"/>
                    <w:tr2bl w:val="nil"/>
                  </w:tcBorders>
                  <w:noWrap w:val="0"/>
                  <w:vAlign w:val="center"/>
                </w:tcPr>
                <w:p w14:paraId="04EFDA43">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PM</w:t>
                  </w:r>
                  <w:r>
                    <w:rPr>
                      <w:rFonts w:hint="default" w:ascii="Times New Roman" w:hAnsi="Times New Roman" w:cs="Times New Roman" w:eastAsiaTheme="minorEastAsia"/>
                      <w:sz w:val="21"/>
                      <w:szCs w:val="21"/>
                      <w:vertAlign w:val="subscript"/>
                    </w:rPr>
                    <w:t>10</w:t>
                  </w:r>
                </w:p>
                <w:p w14:paraId="6A975694">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日平均浓度值（μg/m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w:t>
                  </w:r>
                </w:p>
              </w:tc>
              <w:tc>
                <w:tcPr>
                  <w:tcW w:w="1328" w:type="dxa"/>
                  <w:tcBorders>
                    <w:tl2br w:val="nil"/>
                    <w:tr2bl w:val="nil"/>
                  </w:tcBorders>
                  <w:noWrap w:val="0"/>
                  <w:vAlign w:val="center"/>
                </w:tcPr>
                <w:p w14:paraId="6A0F7831">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PM</w:t>
                  </w:r>
                  <w:r>
                    <w:rPr>
                      <w:rFonts w:hint="default" w:ascii="Times New Roman" w:hAnsi="Times New Roman" w:cs="Times New Roman" w:eastAsiaTheme="minorEastAsia"/>
                      <w:sz w:val="21"/>
                      <w:szCs w:val="21"/>
                      <w:vertAlign w:val="subscript"/>
                    </w:rPr>
                    <w:t>2.5</w:t>
                  </w:r>
                </w:p>
                <w:p w14:paraId="38E2E218">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日平均浓度值（μg/m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w:t>
                  </w:r>
                </w:p>
              </w:tc>
              <w:tc>
                <w:tcPr>
                  <w:tcW w:w="1327" w:type="dxa"/>
                  <w:tcBorders>
                    <w:tl2br w:val="nil"/>
                    <w:tr2bl w:val="nil"/>
                  </w:tcBorders>
                  <w:noWrap w:val="0"/>
                  <w:vAlign w:val="center"/>
                </w:tcPr>
                <w:p w14:paraId="1A1340A9">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CO95百分数浓度值（mg/m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w:t>
                  </w:r>
                </w:p>
              </w:tc>
              <w:tc>
                <w:tcPr>
                  <w:tcW w:w="1322" w:type="dxa"/>
                  <w:tcBorders>
                    <w:tl2br w:val="nil"/>
                    <w:tr2bl w:val="nil"/>
                  </w:tcBorders>
                  <w:noWrap w:val="0"/>
                  <w:vAlign w:val="center"/>
                </w:tcPr>
                <w:p w14:paraId="6FEDC57F">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O</w:t>
                  </w:r>
                  <w:r>
                    <w:rPr>
                      <w:rFonts w:hint="default" w:ascii="Times New Roman" w:hAnsi="Times New Roman" w:cs="Times New Roman" w:eastAsiaTheme="minorEastAsia"/>
                      <w:sz w:val="21"/>
                      <w:szCs w:val="21"/>
                      <w:vertAlign w:val="subscript"/>
                    </w:rPr>
                    <w:t>3</w:t>
                  </w:r>
                  <w:r>
                    <w:rPr>
                      <w:rFonts w:hint="default" w:ascii="Times New Roman" w:hAnsi="Times New Roman" w:cs="Times New Roman" w:eastAsiaTheme="minorEastAsia"/>
                      <w:sz w:val="21"/>
                      <w:szCs w:val="21"/>
                    </w:rPr>
                    <w:t>90百分数浓度值（μg/m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w:t>
                  </w:r>
                </w:p>
              </w:tc>
            </w:tr>
            <w:tr w14:paraId="088E5D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59325113">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2022-1</w:t>
                  </w:r>
                </w:p>
              </w:tc>
              <w:tc>
                <w:tcPr>
                  <w:tcW w:w="1325" w:type="dxa"/>
                  <w:tcBorders>
                    <w:tl2br w:val="nil"/>
                    <w:tr2bl w:val="nil"/>
                  </w:tcBorders>
                  <w:noWrap w:val="0"/>
                  <w:vAlign w:val="center"/>
                </w:tcPr>
                <w:p w14:paraId="7A6560E0">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w:t>
                  </w:r>
                </w:p>
              </w:tc>
              <w:tc>
                <w:tcPr>
                  <w:tcW w:w="1324" w:type="dxa"/>
                  <w:tcBorders>
                    <w:tl2br w:val="nil"/>
                    <w:tr2bl w:val="nil"/>
                  </w:tcBorders>
                  <w:noWrap w:val="0"/>
                  <w:vAlign w:val="center"/>
                </w:tcPr>
                <w:p w14:paraId="3AD11C00">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39</w:t>
                  </w:r>
                </w:p>
              </w:tc>
              <w:tc>
                <w:tcPr>
                  <w:tcW w:w="1324" w:type="dxa"/>
                  <w:tcBorders>
                    <w:tl2br w:val="nil"/>
                    <w:tr2bl w:val="nil"/>
                  </w:tcBorders>
                  <w:noWrap w:val="0"/>
                  <w:vAlign w:val="center"/>
                </w:tcPr>
                <w:p w14:paraId="7D69A6BE">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143</w:t>
                  </w:r>
                </w:p>
              </w:tc>
              <w:tc>
                <w:tcPr>
                  <w:tcW w:w="1328" w:type="dxa"/>
                  <w:tcBorders>
                    <w:tl2br w:val="nil"/>
                    <w:tr2bl w:val="nil"/>
                  </w:tcBorders>
                  <w:noWrap w:val="0"/>
                  <w:vAlign w:val="center"/>
                </w:tcPr>
                <w:p w14:paraId="33EF8468">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110</w:t>
                  </w:r>
                </w:p>
              </w:tc>
              <w:tc>
                <w:tcPr>
                  <w:tcW w:w="1327" w:type="dxa"/>
                  <w:tcBorders>
                    <w:tl2br w:val="nil"/>
                    <w:tr2bl w:val="nil"/>
                  </w:tcBorders>
                  <w:noWrap w:val="0"/>
                  <w:vAlign w:val="center"/>
                </w:tcPr>
                <w:p w14:paraId="2F438844">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w:t>
                  </w:r>
                </w:p>
              </w:tc>
              <w:tc>
                <w:tcPr>
                  <w:tcW w:w="1322" w:type="dxa"/>
                  <w:tcBorders>
                    <w:tl2br w:val="nil"/>
                    <w:tr2bl w:val="nil"/>
                  </w:tcBorders>
                  <w:noWrap w:val="0"/>
                  <w:vAlign w:val="center"/>
                </w:tcPr>
                <w:p w14:paraId="2B7CE8E2">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77</w:t>
                  </w:r>
                </w:p>
              </w:tc>
            </w:tr>
            <w:tr w14:paraId="117FA6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49F7F768">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2022-2</w:t>
                  </w:r>
                </w:p>
              </w:tc>
              <w:tc>
                <w:tcPr>
                  <w:tcW w:w="1325" w:type="dxa"/>
                  <w:tcBorders>
                    <w:tl2br w:val="nil"/>
                    <w:tr2bl w:val="nil"/>
                  </w:tcBorders>
                  <w:noWrap w:val="0"/>
                  <w:vAlign w:val="center"/>
                </w:tcPr>
                <w:p w14:paraId="2E285032">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w:t>
                  </w:r>
                </w:p>
              </w:tc>
              <w:tc>
                <w:tcPr>
                  <w:tcW w:w="1324" w:type="dxa"/>
                  <w:tcBorders>
                    <w:tl2br w:val="nil"/>
                    <w:tr2bl w:val="nil"/>
                  </w:tcBorders>
                  <w:noWrap w:val="0"/>
                  <w:vAlign w:val="center"/>
                </w:tcPr>
                <w:p w14:paraId="7A94171C">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26</w:t>
                  </w:r>
                </w:p>
              </w:tc>
              <w:tc>
                <w:tcPr>
                  <w:tcW w:w="1324" w:type="dxa"/>
                  <w:tcBorders>
                    <w:tl2br w:val="nil"/>
                    <w:tr2bl w:val="nil"/>
                  </w:tcBorders>
                  <w:noWrap w:val="0"/>
                  <w:vAlign w:val="center"/>
                </w:tcPr>
                <w:p w14:paraId="03D2DA95">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87</w:t>
                  </w:r>
                </w:p>
              </w:tc>
              <w:tc>
                <w:tcPr>
                  <w:tcW w:w="1328" w:type="dxa"/>
                  <w:tcBorders>
                    <w:tl2br w:val="nil"/>
                    <w:tr2bl w:val="nil"/>
                  </w:tcBorders>
                  <w:noWrap w:val="0"/>
                  <w:vAlign w:val="center"/>
                </w:tcPr>
                <w:p w14:paraId="19985AD7">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59</w:t>
                  </w:r>
                </w:p>
              </w:tc>
              <w:tc>
                <w:tcPr>
                  <w:tcW w:w="1327" w:type="dxa"/>
                  <w:tcBorders>
                    <w:tl2br w:val="nil"/>
                    <w:tr2bl w:val="nil"/>
                  </w:tcBorders>
                  <w:noWrap w:val="0"/>
                  <w:vAlign w:val="center"/>
                </w:tcPr>
                <w:p w14:paraId="7684B151">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w:t>
                  </w:r>
                </w:p>
              </w:tc>
              <w:tc>
                <w:tcPr>
                  <w:tcW w:w="1322" w:type="dxa"/>
                  <w:tcBorders>
                    <w:tl2br w:val="nil"/>
                    <w:tr2bl w:val="nil"/>
                  </w:tcBorders>
                  <w:noWrap w:val="0"/>
                  <w:vAlign w:val="center"/>
                </w:tcPr>
                <w:p w14:paraId="6F5176A1">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114</w:t>
                  </w:r>
                </w:p>
              </w:tc>
            </w:tr>
            <w:tr w14:paraId="21B87B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164460D3">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2022-3</w:t>
                  </w:r>
                </w:p>
              </w:tc>
              <w:tc>
                <w:tcPr>
                  <w:tcW w:w="1325" w:type="dxa"/>
                  <w:tcBorders>
                    <w:tl2br w:val="nil"/>
                    <w:tr2bl w:val="nil"/>
                  </w:tcBorders>
                  <w:noWrap w:val="0"/>
                  <w:vAlign w:val="center"/>
                </w:tcPr>
                <w:p w14:paraId="66CEDC64">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w:t>
                  </w:r>
                </w:p>
              </w:tc>
              <w:tc>
                <w:tcPr>
                  <w:tcW w:w="1324" w:type="dxa"/>
                  <w:tcBorders>
                    <w:tl2br w:val="nil"/>
                    <w:tr2bl w:val="nil"/>
                  </w:tcBorders>
                  <w:noWrap w:val="0"/>
                  <w:vAlign w:val="center"/>
                </w:tcPr>
                <w:p w14:paraId="25876EF6">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28</w:t>
                  </w:r>
                </w:p>
              </w:tc>
              <w:tc>
                <w:tcPr>
                  <w:tcW w:w="1324" w:type="dxa"/>
                  <w:tcBorders>
                    <w:tl2br w:val="nil"/>
                    <w:tr2bl w:val="nil"/>
                  </w:tcBorders>
                  <w:noWrap w:val="0"/>
                  <w:vAlign w:val="center"/>
                </w:tcPr>
                <w:p w14:paraId="205F5780">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83</w:t>
                  </w:r>
                </w:p>
              </w:tc>
              <w:tc>
                <w:tcPr>
                  <w:tcW w:w="1328" w:type="dxa"/>
                  <w:tcBorders>
                    <w:tl2br w:val="nil"/>
                    <w:tr2bl w:val="nil"/>
                  </w:tcBorders>
                  <w:noWrap w:val="0"/>
                  <w:vAlign w:val="center"/>
                </w:tcPr>
                <w:p w14:paraId="061A4FE0">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49</w:t>
                  </w:r>
                </w:p>
              </w:tc>
              <w:tc>
                <w:tcPr>
                  <w:tcW w:w="1327" w:type="dxa"/>
                  <w:tcBorders>
                    <w:tl2br w:val="nil"/>
                    <w:tr2bl w:val="nil"/>
                  </w:tcBorders>
                  <w:noWrap w:val="0"/>
                  <w:vAlign w:val="center"/>
                </w:tcPr>
                <w:p w14:paraId="4F8FD9FA">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22" w:type="dxa"/>
                  <w:tcBorders>
                    <w:tl2br w:val="nil"/>
                    <w:tr2bl w:val="nil"/>
                  </w:tcBorders>
                  <w:noWrap w:val="0"/>
                  <w:vAlign w:val="center"/>
                </w:tcPr>
                <w:p w14:paraId="772EB214">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122</w:t>
                  </w:r>
                </w:p>
              </w:tc>
            </w:tr>
            <w:tr w14:paraId="2323C8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494D6E00">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2022-4</w:t>
                  </w:r>
                </w:p>
              </w:tc>
              <w:tc>
                <w:tcPr>
                  <w:tcW w:w="1325" w:type="dxa"/>
                  <w:tcBorders>
                    <w:tl2br w:val="nil"/>
                    <w:tr2bl w:val="nil"/>
                  </w:tcBorders>
                  <w:noWrap w:val="0"/>
                  <w:vAlign w:val="center"/>
                </w:tcPr>
                <w:p w14:paraId="378FB361">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24" w:type="dxa"/>
                  <w:tcBorders>
                    <w:tl2br w:val="nil"/>
                    <w:tr2bl w:val="nil"/>
                  </w:tcBorders>
                  <w:noWrap w:val="0"/>
                  <w:vAlign w:val="center"/>
                </w:tcPr>
                <w:p w14:paraId="390AFD4E">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1324" w:type="dxa"/>
                  <w:tcBorders>
                    <w:tl2br w:val="nil"/>
                    <w:tr2bl w:val="nil"/>
                  </w:tcBorders>
                  <w:noWrap w:val="0"/>
                  <w:vAlign w:val="center"/>
                </w:tcPr>
                <w:p w14:paraId="7B46471E">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77</w:t>
                  </w:r>
                </w:p>
              </w:tc>
              <w:tc>
                <w:tcPr>
                  <w:tcW w:w="1328" w:type="dxa"/>
                  <w:tcBorders>
                    <w:tl2br w:val="nil"/>
                    <w:tr2bl w:val="nil"/>
                  </w:tcBorders>
                  <w:noWrap w:val="0"/>
                  <w:vAlign w:val="center"/>
                </w:tcPr>
                <w:p w14:paraId="304A74CD">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w:t>
                  </w:r>
                </w:p>
              </w:tc>
              <w:tc>
                <w:tcPr>
                  <w:tcW w:w="1327" w:type="dxa"/>
                  <w:tcBorders>
                    <w:tl2br w:val="nil"/>
                    <w:tr2bl w:val="nil"/>
                  </w:tcBorders>
                  <w:noWrap w:val="0"/>
                  <w:vAlign w:val="center"/>
                </w:tcPr>
                <w:p w14:paraId="299827C3">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322" w:type="dxa"/>
                  <w:tcBorders>
                    <w:tl2br w:val="nil"/>
                    <w:tr2bl w:val="nil"/>
                  </w:tcBorders>
                  <w:noWrap w:val="0"/>
                  <w:vAlign w:val="center"/>
                </w:tcPr>
                <w:p w14:paraId="20E84E47">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162</w:t>
                  </w:r>
                </w:p>
              </w:tc>
            </w:tr>
            <w:tr w14:paraId="782895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685B153A">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2022-5</w:t>
                  </w:r>
                </w:p>
              </w:tc>
              <w:tc>
                <w:tcPr>
                  <w:tcW w:w="1325" w:type="dxa"/>
                  <w:tcBorders>
                    <w:tl2br w:val="nil"/>
                    <w:tr2bl w:val="nil"/>
                  </w:tcBorders>
                  <w:noWrap w:val="0"/>
                  <w:vAlign w:val="center"/>
                </w:tcPr>
                <w:p w14:paraId="7C413371">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24" w:type="dxa"/>
                  <w:tcBorders>
                    <w:tl2br w:val="nil"/>
                    <w:tr2bl w:val="nil"/>
                  </w:tcBorders>
                  <w:noWrap w:val="0"/>
                  <w:vAlign w:val="center"/>
                </w:tcPr>
                <w:p w14:paraId="342F790A">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17</w:t>
                  </w:r>
                </w:p>
              </w:tc>
              <w:tc>
                <w:tcPr>
                  <w:tcW w:w="1324" w:type="dxa"/>
                  <w:tcBorders>
                    <w:tl2br w:val="nil"/>
                    <w:tr2bl w:val="nil"/>
                  </w:tcBorders>
                  <w:noWrap w:val="0"/>
                  <w:vAlign w:val="center"/>
                </w:tcPr>
                <w:p w14:paraId="3D261F29">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68</w:t>
                  </w:r>
                </w:p>
              </w:tc>
              <w:tc>
                <w:tcPr>
                  <w:tcW w:w="1328" w:type="dxa"/>
                  <w:tcBorders>
                    <w:tl2br w:val="nil"/>
                    <w:tr2bl w:val="nil"/>
                  </w:tcBorders>
                  <w:noWrap w:val="0"/>
                  <w:vAlign w:val="center"/>
                </w:tcPr>
                <w:p w14:paraId="4FAB2480">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33</w:t>
                  </w:r>
                </w:p>
              </w:tc>
              <w:tc>
                <w:tcPr>
                  <w:tcW w:w="1327" w:type="dxa"/>
                  <w:tcBorders>
                    <w:tl2br w:val="nil"/>
                    <w:tr2bl w:val="nil"/>
                  </w:tcBorders>
                  <w:noWrap w:val="0"/>
                  <w:vAlign w:val="center"/>
                </w:tcPr>
                <w:p w14:paraId="14823810">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0.9</w:t>
                  </w:r>
                </w:p>
              </w:tc>
              <w:tc>
                <w:tcPr>
                  <w:tcW w:w="1322" w:type="dxa"/>
                  <w:tcBorders>
                    <w:tl2br w:val="nil"/>
                    <w:tr2bl w:val="nil"/>
                  </w:tcBorders>
                  <w:noWrap w:val="0"/>
                  <w:vAlign w:val="center"/>
                </w:tcPr>
                <w:p w14:paraId="39CF4EFC">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173</w:t>
                  </w:r>
                </w:p>
              </w:tc>
            </w:tr>
            <w:tr w14:paraId="401017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093759FE">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2022-6</w:t>
                  </w:r>
                </w:p>
              </w:tc>
              <w:tc>
                <w:tcPr>
                  <w:tcW w:w="1325" w:type="dxa"/>
                  <w:tcBorders>
                    <w:tl2br w:val="nil"/>
                    <w:tr2bl w:val="nil"/>
                  </w:tcBorders>
                  <w:noWrap w:val="0"/>
                  <w:vAlign w:val="center"/>
                </w:tcPr>
                <w:p w14:paraId="1A0A9F4B">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c>
                <w:tcPr>
                  <w:tcW w:w="1324" w:type="dxa"/>
                  <w:tcBorders>
                    <w:tl2br w:val="nil"/>
                    <w:tr2bl w:val="nil"/>
                  </w:tcBorders>
                  <w:noWrap w:val="0"/>
                  <w:vAlign w:val="center"/>
                </w:tcPr>
                <w:p w14:paraId="1C04612C">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w:t>
                  </w:r>
                </w:p>
              </w:tc>
              <w:tc>
                <w:tcPr>
                  <w:tcW w:w="1324" w:type="dxa"/>
                  <w:tcBorders>
                    <w:tl2br w:val="nil"/>
                    <w:tr2bl w:val="nil"/>
                  </w:tcBorders>
                  <w:noWrap w:val="0"/>
                  <w:vAlign w:val="center"/>
                </w:tcPr>
                <w:p w14:paraId="1275C33B">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62</w:t>
                  </w:r>
                </w:p>
              </w:tc>
              <w:tc>
                <w:tcPr>
                  <w:tcW w:w="1328" w:type="dxa"/>
                  <w:tcBorders>
                    <w:tl2br w:val="nil"/>
                    <w:tr2bl w:val="nil"/>
                  </w:tcBorders>
                  <w:noWrap w:val="0"/>
                  <w:vAlign w:val="center"/>
                </w:tcPr>
                <w:p w14:paraId="00BD9C91">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28</w:t>
                  </w:r>
                </w:p>
              </w:tc>
              <w:tc>
                <w:tcPr>
                  <w:tcW w:w="1327" w:type="dxa"/>
                  <w:tcBorders>
                    <w:tl2br w:val="nil"/>
                    <w:tr2bl w:val="nil"/>
                  </w:tcBorders>
                  <w:noWrap w:val="0"/>
                  <w:vAlign w:val="center"/>
                </w:tcPr>
                <w:p w14:paraId="3B7FD5F6">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0.8</w:t>
                  </w:r>
                </w:p>
              </w:tc>
              <w:tc>
                <w:tcPr>
                  <w:tcW w:w="1322" w:type="dxa"/>
                  <w:tcBorders>
                    <w:tl2br w:val="nil"/>
                    <w:tr2bl w:val="nil"/>
                  </w:tcBorders>
                  <w:noWrap w:val="0"/>
                  <w:vAlign w:val="center"/>
                </w:tcPr>
                <w:p w14:paraId="184C6884">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237</w:t>
                  </w:r>
                </w:p>
              </w:tc>
            </w:tr>
            <w:tr w14:paraId="4EB3E1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0D34EA75">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2022-7</w:t>
                  </w:r>
                </w:p>
              </w:tc>
              <w:tc>
                <w:tcPr>
                  <w:tcW w:w="1325" w:type="dxa"/>
                  <w:tcBorders>
                    <w:tl2br w:val="nil"/>
                    <w:tr2bl w:val="nil"/>
                  </w:tcBorders>
                  <w:noWrap w:val="0"/>
                  <w:vAlign w:val="center"/>
                </w:tcPr>
                <w:p w14:paraId="7063A3CD">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1324" w:type="dxa"/>
                  <w:tcBorders>
                    <w:tl2br w:val="nil"/>
                    <w:tr2bl w:val="nil"/>
                  </w:tcBorders>
                  <w:noWrap w:val="0"/>
                  <w:vAlign w:val="center"/>
                </w:tcPr>
                <w:p w14:paraId="37576DD5">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24" w:type="dxa"/>
                  <w:tcBorders>
                    <w:tl2br w:val="nil"/>
                    <w:tr2bl w:val="nil"/>
                  </w:tcBorders>
                  <w:noWrap w:val="0"/>
                  <w:vAlign w:val="center"/>
                </w:tcPr>
                <w:p w14:paraId="5ECC6595">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w:t>
                  </w:r>
                </w:p>
              </w:tc>
              <w:tc>
                <w:tcPr>
                  <w:tcW w:w="1328" w:type="dxa"/>
                  <w:tcBorders>
                    <w:tl2br w:val="nil"/>
                    <w:tr2bl w:val="nil"/>
                  </w:tcBorders>
                  <w:noWrap w:val="0"/>
                  <w:vAlign w:val="center"/>
                </w:tcPr>
                <w:p w14:paraId="153EE232">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24</w:t>
                  </w:r>
                </w:p>
              </w:tc>
              <w:tc>
                <w:tcPr>
                  <w:tcW w:w="1327" w:type="dxa"/>
                  <w:tcBorders>
                    <w:tl2br w:val="nil"/>
                    <w:tr2bl w:val="nil"/>
                  </w:tcBorders>
                  <w:noWrap w:val="0"/>
                  <w:vAlign w:val="center"/>
                </w:tcPr>
                <w:p w14:paraId="67BE910D">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322" w:type="dxa"/>
                  <w:tcBorders>
                    <w:tl2br w:val="nil"/>
                    <w:tr2bl w:val="nil"/>
                  </w:tcBorders>
                  <w:noWrap w:val="0"/>
                  <w:vAlign w:val="center"/>
                </w:tcPr>
                <w:p w14:paraId="3E1E44AF">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160</w:t>
                  </w:r>
                </w:p>
              </w:tc>
            </w:tr>
            <w:tr w14:paraId="09AED9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3AC8B3AA">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2022-8</w:t>
                  </w:r>
                </w:p>
              </w:tc>
              <w:tc>
                <w:tcPr>
                  <w:tcW w:w="1325" w:type="dxa"/>
                  <w:tcBorders>
                    <w:tl2br w:val="nil"/>
                    <w:tr2bl w:val="nil"/>
                  </w:tcBorders>
                  <w:noWrap w:val="0"/>
                  <w:vAlign w:val="center"/>
                </w:tcPr>
                <w:p w14:paraId="2BC95A2E">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c>
                <w:tcPr>
                  <w:tcW w:w="1324" w:type="dxa"/>
                  <w:tcBorders>
                    <w:tl2br w:val="nil"/>
                    <w:tr2bl w:val="nil"/>
                  </w:tcBorders>
                  <w:noWrap w:val="0"/>
                  <w:vAlign w:val="center"/>
                </w:tcPr>
                <w:p w14:paraId="5BC6F00D">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324" w:type="dxa"/>
                  <w:tcBorders>
                    <w:tl2br w:val="nil"/>
                    <w:tr2bl w:val="nil"/>
                  </w:tcBorders>
                  <w:noWrap w:val="0"/>
                  <w:vAlign w:val="center"/>
                </w:tcPr>
                <w:p w14:paraId="2D293B89">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w:t>
                  </w:r>
                </w:p>
              </w:tc>
              <w:tc>
                <w:tcPr>
                  <w:tcW w:w="1328" w:type="dxa"/>
                  <w:tcBorders>
                    <w:tl2br w:val="nil"/>
                    <w:tr2bl w:val="nil"/>
                  </w:tcBorders>
                  <w:noWrap w:val="0"/>
                  <w:vAlign w:val="center"/>
                </w:tcPr>
                <w:p w14:paraId="75C186C8">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22</w:t>
                  </w:r>
                </w:p>
              </w:tc>
              <w:tc>
                <w:tcPr>
                  <w:tcW w:w="1327" w:type="dxa"/>
                  <w:tcBorders>
                    <w:tl2br w:val="nil"/>
                    <w:tr2bl w:val="nil"/>
                  </w:tcBorders>
                  <w:noWrap w:val="0"/>
                  <w:vAlign w:val="center"/>
                </w:tcPr>
                <w:p w14:paraId="1412064D">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322" w:type="dxa"/>
                  <w:tcBorders>
                    <w:tl2br w:val="nil"/>
                    <w:tr2bl w:val="nil"/>
                  </w:tcBorders>
                  <w:noWrap w:val="0"/>
                  <w:vAlign w:val="center"/>
                </w:tcPr>
                <w:p w14:paraId="27A56627">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157</w:t>
                  </w:r>
                </w:p>
              </w:tc>
            </w:tr>
            <w:tr w14:paraId="1CBF3B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2739BCDE">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2022-9</w:t>
                  </w:r>
                </w:p>
              </w:tc>
              <w:tc>
                <w:tcPr>
                  <w:tcW w:w="1325" w:type="dxa"/>
                  <w:tcBorders>
                    <w:tl2br w:val="nil"/>
                    <w:tr2bl w:val="nil"/>
                  </w:tcBorders>
                  <w:noWrap w:val="0"/>
                  <w:vAlign w:val="center"/>
                </w:tcPr>
                <w:p w14:paraId="1D4B00FA">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w:t>
                  </w:r>
                </w:p>
              </w:tc>
              <w:tc>
                <w:tcPr>
                  <w:tcW w:w="1324" w:type="dxa"/>
                  <w:tcBorders>
                    <w:tl2br w:val="nil"/>
                    <w:tr2bl w:val="nil"/>
                  </w:tcBorders>
                  <w:noWrap w:val="0"/>
                  <w:vAlign w:val="center"/>
                </w:tcPr>
                <w:p w14:paraId="5C629A52">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22</w:t>
                  </w:r>
                </w:p>
              </w:tc>
              <w:tc>
                <w:tcPr>
                  <w:tcW w:w="1324" w:type="dxa"/>
                  <w:tcBorders>
                    <w:tl2br w:val="nil"/>
                    <w:tr2bl w:val="nil"/>
                  </w:tcBorders>
                  <w:noWrap w:val="0"/>
                  <w:vAlign w:val="center"/>
                </w:tcPr>
                <w:p w14:paraId="68C62B57">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66</w:t>
                  </w:r>
                </w:p>
              </w:tc>
              <w:tc>
                <w:tcPr>
                  <w:tcW w:w="1328" w:type="dxa"/>
                  <w:tcBorders>
                    <w:tl2br w:val="nil"/>
                    <w:tr2bl w:val="nil"/>
                  </w:tcBorders>
                  <w:noWrap w:val="0"/>
                  <w:vAlign w:val="center"/>
                </w:tcPr>
                <w:p w14:paraId="2EA18778">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34</w:t>
                  </w:r>
                </w:p>
              </w:tc>
              <w:tc>
                <w:tcPr>
                  <w:tcW w:w="1327" w:type="dxa"/>
                  <w:tcBorders>
                    <w:tl2br w:val="nil"/>
                    <w:tr2bl w:val="nil"/>
                  </w:tcBorders>
                  <w:noWrap w:val="0"/>
                  <w:vAlign w:val="center"/>
                </w:tcPr>
                <w:p w14:paraId="223A7AD9">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322" w:type="dxa"/>
                  <w:tcBorders>
                    <w:tl2br w:val="nil"/>
                    <w:tr2bl w:val="nil"/>
                  </w:tcBorders>
                  <w:noWrap w:val="0"/>
                  <w:vAlign w:val="center"/>
                </w:tcPr>
                <w:p w14:paraId="35498BCA">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182</w:t>
                  </w:r>
                </w:p>
              </w:tc>
            </w:tr>
            <w:tr w14:paraId="5FA555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7D756179">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2022-10</w:t>
                  </w:r>
                </w:p>
              </w:tc>
              <w:tc>
                <w:tcPr>
                  <w:tcW w:w="1325" w:type="dxa"/>
                  <w:tcBorders>
                    <w:tl2br w:val="nil"/>
                    <w:tr2bl w:val="nil"/>
                  </w:tcBorders>
                  <w:noWrap w:val="0"/>
                  <w:vAlign w:val="center"/>
                </w:tcPr>
                <w:p w14:paraId="4E5D4E4A">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24" w:type="dxa"/>
                  <w:tcBorders>
                    <w:tl2br w:val="nil"/>
                    <w:tr2bl w:val="nil"/>
                  </w:tcBorders>
                  <w:noWrap w:val="0"/>
                  <w:vAlign w:val="center"/>
                </w:tcPr>
                <w:p w14:paraId="302192EA">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31</w:t>
                  </w:r>
                </w:p>
              </w:tc>
              <w:tc>
                <w:tcPr>
                  <w:tcW w:w="1324" w:type="dxa"/>
                  <w:tcBorders>
                    <w:tl2br w:val="nil"/>
                    <w:tr2bl w:val="nil"/>
                  </w:tcBorders>
                  <w:noWrap w:val="0"/>
                  <w:vAlign w:val="center"/>
                </w:tcPr>
                <w:p w14:paraId="111A632F">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74</w:t>
                  </w:r>
                </w:p>
              </w:tc>
              <w:tc>
                <w:tcPr>
                  <w:tcW w:w="1328" w:type="dxa"/>
                  <w:tcBorders>
                    <w:tl2br w:val="nil"/>
                    <w:tr2bl w:val="nil"/>
                  </w:tcBorders>
                  <w:noWrap w:val="0"/>
                  <w:vAlign w:val="center"/>
                </w:tcPr>
                <w:p w14:paraId="362E4B60">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42</w:t>
                  </w:r>
                </w:p>
              </w:tc>
              <w:tc>
                <w:tcPr>
                  <w:tcW w:w="1327" w:type="dxa"/>
                  <w:tcBorders>
                    <w:tl2br w:val="nil"/>
                    <w:tr2bl w:val="nil"/>
                  </w:tcBorders>
                  <w:noWrap w:val="0"/>
                  <w:vAlign w:val="center"/>
                </w:tcPr>
                <w:p w14:paraId="28C6FA8E">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22" w:type="dxa"/>
                  <w:tcBorders>
                    <w:tl2br w:val="nil"/>
                    <w:tr2bl w:val="nil"/>
                  </w:tcBorders>
                  <w:noWrap w:val="0"/>
                  <w:vAlign w:val="center"/>
                </w:tcPr>
                <w:p w14:paraId="11C71A33">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142</w:t>
                  </w:r>
                </w:p>
              </w:tc>
            </w:tr>
            <w:tr w14:paraId="303FED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6367EA6D">
                  <w:pPr>
                    <w:widowControl/>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2022-11</w:t>
                  </w:r>
                </w:p>
              </w:tc>
              <w:tc>
                <w:tcPr>
                  <w:tcW w:w="1325" w:type="dxa"/>
                  <w:tcBorders>
                    <w:tl2br w:val="nil"/>
                    <w:tr2bl w:val="nil"/>
                  </w:tcBorders>
                  <w:noWrap w:val="0"/>
                  <w:vAlign w:val="center"/>
                </w:tcPr>
                <w:p w14:paraId="10A94341">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24" w:type="dxa"/>
                  <w:tcBorders>
                    <w:tl2br w:val="nil"/>
                    <w:tr2bl w:val="nil"/>
                  </w:tcBorders>
                  <w:noWrap w:val="0"/>
                  <w:vAlign w:val="center"/>
                </w:tcPr>
                <w:p w14:paraId="1CC4DE0C">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33</w:t>
                  </w:r>
                </w:p>
              </w:tc>
              <w:tc>
                <w:tcPr>
                  <w:tcW w:w="1324" w:type="dxa"/>
                  <w:tcBorders>
                    <w:tl2br w:val="nil"/>
                    <w:tr2bl w:val="nil"/>
                  </w:tcBorders>
                  <w:noWrap w:val="0"/>
                  <w:vAlign w:val="center"/>
                </w:tcPr>
                <w:p w14:paraId="3FD79453">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74</w:t>
                  </w:r>
                </w:p>
              </w:tc>
              <w:tc>
                <w:tcPr>
                  <w:tcW w:w="1328" w:type="dxa"/>
                  <w:tcBorders>
                    <w:tl2br w:val="nil"/>
                    <w:tr2bl w:val="nil"/>
                  </w:tcBorders>
                  <w:noWrap w:val="0"/>
                  <w:vAlign w:val="center"/>
                </w:tcPr>
                <w:p w14:paraId="786D1012">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49</w:t>
                  </w:r>
                </w:p>
              </w:tc>
              <w:tc>
                <w:tcPr>
                  <w:tcW w:w="1327" w:type="dxa"/>
                  <w:tcBorders>
                    <w:tl2br w:val="nil"/>
                    <w:tr2bl w:val="nil"/>
                  </w:tcBorders>
                  <w:noWrap w:val="0"/>
                  <w:vAlign w:val="center"/>
                </w:tcPr>
                <w:p w14:paraId="477117F9">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w:t>
                  </w:r>
                </w:p>
              </w:tc>
              <w:tc>
                <w:tcPr>
                  <w:tcW w:w="1322" w:type="dxa"/>
                  <w:tcBorders>
                    <w:tl2br w:val="nil"/>
                    <w:tr2bl w:val="nil"/>
                  </w:tcBorders>
                  <w:noWrap w:val="0"/>
                  <w:vAlign w:val="center"/>
                </w:tcPr>
                <w:p w14:paraId="4F32B70F">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112</w:t>
                  </w:r>
                </w:p>
              </w:tc>
            </w:tr>
            <w:tr w14:paraId="42606A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3EB006AD">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2022-12</w:t>
                  </w:r>
                </w:p>
              </w:tc>
              <w:tc>
                <w:tcPr>
                  <w:tcW w:w="1325" w:type="dxa"/>
                  <w:tcBorders>
                    <w:tl2br w:val="nil"/>
                    <w:tr2bl w:val="nil"/>
                  </w:tcBorders>
                  <w:noWrap w:val="0"/>
                  <w:vAlign w:val="center"/>
                </w:tcPr>
                <w:p w14:paraId="44030168">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w:t>
                  </w:r>
                </w:p>
              </w:tc>
              <w:tc>
                <w:tcPr>
                  <w:tcW w:w="1324" w:type="dxa"/>
                  <w:tcBorders>
                    <w:tl2br w:val="nil"/>
                    <w:tr2bl w:val="nil"/>
                  </w:tcBorders>
                  <w:noWrap w:val="0"/>
                  <w:vAlign w:val="center"/>
                </w:tcPr>
                <w:p w14:paraId="538659FC">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42</w:t>
                  </w:r>
                </w:p>
              </w:tc>
              <w:tc>
                <w:tcPr>
                  <w:tcW w:w="1324" w:type="dxa"/>
                  <w:tcBorders>
                    <w:tl2br w:val="nil"/>
                    <w:tr2bl w:val="nil"/>
                  </w:tcBorders>
                  <w:noWrap w:val="0"/>
                  <w:vAlign w:val="center"/>
                </w:tcPr>
                <w:p w14:paraId="2DF9050A">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111</w:t>
                  </w:r>
                </w:p>
              </w:tc>
              <w:tc>
                <w:tcPr>
                  <w:tcW w:w="1328" w:type="dxa"/>
                  <w:tcBorders>
                    <w:tl2br w:val="nil"/>
                    <w:tr2bl w:val="nil"/>
                  </w:tcBorders>
                  <w:noWrap w:val="0"/>
                  <w:vAlign w:val="center"/>
                </w:tcPr>
                <w:p w14:paraId="00C1522E">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73</w:t>
                  </w:r>
                </w:p>
              </w:tc>
              <w:tc>
                <w:tcPr>
                  <w:tcW w:w="1327" w:type="dxa"/>
                  <w:tcBorders>
                    <w:tl2br w:val="nil"/>
                    <w:tr2bl w:val="nil"/>
                  </w:tcBorders>
                  <w:noWrap w:val="0"/>
                  <w:vAlign w:val="center"/>
                </w:tcPr>
                <w:p w14:paraId="1B6B6207">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w:t>
                  </w:r>
                </w:p>
              </w:tc>
              <w:tc>
                <w:tcPr>
                  <w:tcW w:w="1322" w:type="dxa"/>
                  <w:tcBorders>
                    <w:tl2br w:val="nil"/>
                    <w:tr2bl w:val="nil"/>
                  </w:tcBorders>
                  <w:noWrap w:val="0"/>
                  <w:vAlign w:val="center"/>
                </w:tcPr>
                <w:p w14:paraId="32CA7A0B">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65</w:t>
                  </w:r>
                </w:p>
              </w:tc>
            </w:tr>
            <w:tr w14:paraId="1BB224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369" w:hRule="atLeast"/>
                <w:jc w:val="center"/>
              </w:trPr>
              <w:tc>
                <w:tcPr>
                  <w:tcW w:w="1308" w:type="dxa"/>
                  <w:tcBorders>
                    <w:tl2br w:val="nil"/>
                    <w:tr2bl w:val="nil"/>
                  </w:tcBorders>
                  <w:noWrap w:val="0"/>
                  <w:vAlign w:val="center"/>
                </w:tcPr>
                <w:p w14:paraId="51A6C8C3">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年均值</w:t>
                  </w:r>
                </w:p>
              </w:tc>
              <w:tc>
                <w:tcPr>
                  <w:tcW w:w="1325" w:type="dxa"/>
                  <w:tcBorders>
                    <w:tl2br w:val="nil"/>
                    <w:tr2bl w:val="nil"/>
                  </w:tcBorders>
                  <w:noWrap w:val="0"/>
                  <w:vAlign w:val="center"/>
                </w:tcPr>
                <w:p w14:paraId="6096A073">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w:t>
                  </w:r>
                </w:p>
              </w:tc>
              <w:tc>
                <w:tcPr>
                  <w:tcW w:w="1324" w:type="dxa"/>
                  <w:tcBorders>
                    <w:tl2br w:val="nil"/>
                    <w:tr2bl w:val="nil"/>
                  </w:tcBorders>
                  <w:noWrap w:val="0"/>
                  <w:vAlign w:val="center"/>
                </w:tcPr>
                <w:p w14:paraId="5A050773">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w:t>
                  </w:r>
                </w:p>
              </w:tc>
              <w:tc>
                <w:tcPr>
                  <w:tcW w:w="1324" w:type="dxa"/>
                  <w:tcBorders>
                    <w:tl2br w:val="nil"/>
                    <w:tr2bl w:val="nil"/>
                  </w:tcBorders>
                  <w:noWrap w:val="0"/>
                  <w:vAlign w:val="center"/>
                </w:tcPr>
                <w:p w14:paraId="77223F2C">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77</w:t>
                  </w:r>
                </w:p>
              </w:tc>
              <w:tc>
                <w:tcPr>
                  <w:tcW w:w="1328" w:type="dxa"/>
                  <w:tcBorders>
                    <w:tl2br w:val="nil"/>
                    <w:tr2bl w:val="nil"/>
                  </w:tcBorders>
                  <w:noWrap w:val="0"/>
                  <w:vAlign w:val="center"/>
                </w:tcPr>
                <w:p w14:paraId="17B5CEB6">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46</w:t>
                  </w:r>
                </w:p>
              </w:tc>
              <w:tc>
                <w:tcPr>
                  <w:tcW w:w="1327" w:type="dxa"/>
                  <w:tcBorders>
                    <w:tl2br w:val="nil"/>
                    <w:tr2bl w:val="nil"/>
                  </w:tcBorders>
                  <w:noWrap w:val="0"/>
                  <w:vAlign w:val="center"/>
                </w:tcPr>
                <w:p w14:paraId="090B8A8B">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1322" w:type="dxa"/>
                  <w:tcBorders>
                    <w:tl2br w:val="nil"/>
                    <w:tr2bl w:val="nil"/>
                  </w:tcBorders>
                  <w:noWrap w:val="0"/>
                  <w:vAlign w:val="center"/>
                </w:tcPr>
                <w:p w14:paraId="3EDABAF6">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141</w:t>
                  </w:r>
                </w:p>
              </w:tc>
            </w:tr>
          </w:tbl>
          <w:p w14:paraId="15A2B13E">
            <w:pPr>
              <w:pStyle w:val="121"/>
              <w:spacing w:before="120"/>
              <w:rPr>
                <w:rFonts w:hint="eastAsia"/>
              </w:rPr>
            </w:pPr>
            <w:r>
              <w:t>表3</w:t>
            </w:r>
            <w:r>
              <w:rPr>
                <w:rFonts w:hint="eastAsia"/>
              </w:rPr>
              <w:t>-3</w:t>
            </w:r>
            <w:r>
              <w:t xml:space="preserve">  </w:t>
            </w:r>
            <w:r>
              <w:rPr>
                <w:rFonts w:hint="eastAsia"/>
              </w:rPr>
              <w:t>嘉祥县</w:t>
            </w:r>
            <w:r>
              <w:t>202</w:t>
            </w:r>
            <w:r>
              <w:rPr>
                <w:rFonts w:hint="eastAsia"/>
              </w:rPr>
              <w:t>2</w:t>
            </w:r>
            <w:r>
              <w:t>年</w:t>
            </w:r>
            <w:r>
              <w:rPr>
                <w:rFonts w:hint="eastAsia"/>
              </w:rPr>
              <w:t>度环境空气质量现状评价表</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534"/>
              <w:gridCol w:w="1534"/>
              <w:gridCol w:w="1534"/>
              <w:gridCol w:w="1532"/>
              <w:gridCol w:w="1528"/>
            </w:tblGrid>
            <w:tr w14:paraId="59EE0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pct"/>
                  <w:tcBorders>
                    <w:tl2br w:val="nil"/>
                    <w:tr2bl w:val="nil"/>
                  </w:tcBorders>
                  <w:noWrap w:val="0"/>
                  <w:vAlign w:val="center"/>
                </w:tcPr>
                <w:p w14:paraId="40E2DA77">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污染物</w:t>
                  </w:r>
                </w:p>
              </w:tc>
              <w:tc>
                <w:tcPr>
                  <w:tcW w:w="834" w:type="pct"/>
                  <w:tcBorders>
                    <w:tl2br w:val="nil"/>
                    <w:tr2bl w:val="nil"/>
                  </w:tcBorders>
                  <w:noWrap w:val="0"/>
                  <w:vAlign w:val="center"/>
                </w:tcPr>
                <w:p w14:paraId="779B8E97">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单位</w:t>
                  </w:r>
                </w:p>
              </w:tc>
              <w:tc>
                <w:tcPr>
                  <w:tcW w:w="834" w:type="pct"/>
                  <w:tcBorders>
                    <w:tl2br w:val="nil"/>
                    <w:tr2bl w:val="nil"/>
                  </w:tcBorders>
                  <w:noWrap w:val="0"/>
                  <w:vAlign w:val="center"/>
                </w:tcPr>
                <w:p w14:paraId="64EB9343">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现状浓度</w:t>
                  </w:r>
                </w:p>
              </w:tc>
              <w:tc>
                <w:tcPr>
                  <w:tcW w:w="834" w:type="pct"/>
                  <w:tcBorders>
                    <w:tl2br w:val="nil"/>
                    <w:tr2bl w:val="nil"/>
                  </w:tcBorders>
                  <w:noWrap w:val="0"/>
                  <w:vAlign w:val="center"/>
                </w:tcPr>
                <w:p w14:paraId="508C2964">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标准值</w:t>
                  </w:r>
                </w:p>
              </w:tc>
              <w:tc>
                <w:tcPr>
                  <w:tcW w:w="833" w:type="pct"/>
                  <w:tcBorders>
                    <w:tl2br w:val="nil"/>
                    <w:tr2bl w:val="nil"/>
                  </w:tcBorders>
                  <w:noWrap w:val="0"/>
                  <w:vAlign w:val="center"/>
                </w:tcPr>
                <w:p w14:paraId="6D422AE8">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占标率%</w:t>
                  </w:r>
                </w:p>
              </w:tc>
              <w:tc>
                <w:tcPr>
                  <w:tcW w:w="833" w:type="pct"/>
                  <w:tcBorders>
                    <w:tl2br w:val="nil"/>
                    <w:tr2bl w:val="nil"/>
                  </w:tcBorders>
                  <w:noWrap w:val="0"/>
                  <w:vAlign w:val="center"/>
                </w:tcPr>
                <w:p w14:paraId="1096FCB2">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达标情况</w:t>
                  </w:r>
                </w:p>
              </w:tc>
            </w:tr>
            <w:tr w14:paraId="46ED5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pct"/>
                  <w:tcBorders>
                    <w:tl2br w:val="nil"/>
                    <w:tr2bl w:val="nil"/>
                  </w:tcBorders>
                  <w:noWrap w:val="0"/>
                  <w:vAlign w:val="center"/>
                </w:tcPr>
                <w:p w14:paraId="1AF9DD7B">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SO</w:t>
                  </w:r>
                  <w:r>
                    <w:rPr>
                      <w:rFonts w:hint="default" w:ascii="Times New Roman" w:hAnsi="Times New Roman" w:cs="Times New Roman" w:eastAsiaTheme="minorEastAsia"/>
                      <w:sz w:val="21"/>
                      <w:szCs w:val="21"/>
                      <w:vertAlign w:val="subscript"/>
                    </w:rPr>
                    <w:t>2</w:t>
                  </w:r>
                </w:p>
              </w:tc>
              <w:tc>
                <w:tcPr>
                  <w:tcW w:w="834" w:type="pct"/>
                  <w:tcBorders>
                    <w:tl2br w:val="nil"/>
                    <w:tr2bl w:val="nil"/>
                  </w:tcBorders>
                  <w:noWrap w:val="0"/>
                  <w:vAlign w:val="center"/>
                </w:tcPr>
                <w:p w14:paraId="0A5DFBA6">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μg/m</w:t>
                  </w:r>
                  <w:r>
                    <w:rPr>
                      <w:rFonts w:hint="default" w:ascii="Times New Roman" w:hAnsi="Times New Roman" w:cs="Times New Roman" w:eastAsiaTheme="minorEastAsia"/>
                      <w:sz w:val="21"/>
                      <w:szCs w:val="21"/>
                      <w:vertAlign w:val="superscript"/>
                    </w:rPr>
                    <w:t>3</w:t>
                  </w:r>
                </w:p>
              </w:tc>
              <w:tc>
                <w:tcPr>
                  <w:tcW w:w="834" w:type="pct"/>
                  <w:tcBorders>
                    <w:tl2br w:val="nil"/>
                    <w:tr2bl w:val="nil"/>
                  </w:tcBorders>
                  <w:noWrap w:val="0"/>
                  <w:vAlign w:val="center"/>
                </w:tcPr>
                <w:p w14:paraId="465BF64D">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w:t>
                  </w:r>
                </w:p>
              </w:tc>
              <w:tc>
                <w:tcPr>
                  <w:tcW w:w="834" w:type="pct"/>
                  <w:tcBorders>
                    <w:tl2br w:val="nil"/>
                    <w:tr2bl w:val="nil"/>
                  </w:tcBorders>
                  <w:noWrap w:val="0"/>
                  <w:vAlign w:val="center"/>
                </w:tcPr>
                <w:p w14:paraId="24F3D1B8">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60</w:t>
                  </w:r>
                </w:p>
              </w:tc>
              <w:tc>
                <w:tcPr>
                  <w:tcW w:w="833" w:type="pct"/>
                  <w:tcBorders>
                    <w:tl2br w:val="nil"/>
                    <w:tr2bl w:val="nil"/>
                  </w:tcBorders>
                  <w:noWrap w:val="0"/>
                  <w:vAlign w:val="center"/>
                </w:tcPr>
                <w:p w14:paraId="638CDF8B">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18.33 </w:t>
                  </w:r>
                </w:p>
              </w:tc>
              <w:tc>
                <w:tcPr>
                  <w:tcW w:w="833" w:type="pct"/>
                  <w:tcBorders>
                    <w:tl2br w:val="nil"/>
                    <w:tr2bl w:val="nil"/>
                  </w:tcBorders>
                  <w:noWrap w:val="0"/>
                  <w:vAlign w:val="center"/>
                </w:tcPr>
                <w:p w14:paraId="138D40A4">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14:paraId="4734E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pct"/>
                  <w:tcBorders>
                    <w:tl2br w:val="nil"/>
                    <w:tr2bl w:val="nil"/>
                  </w:tcBorders>
                  <w:noWrap w:val="0"/>
                  <w:vAlign w:val="center"/>
                </w:tcPr>
                <w:p w14:paraId="133E0716">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NO</w:t>
                  </w:r>
                  <w:r>
                    <w:rPr>
                      <w:rFonts w:hint="default" w:ascii="Times New Roman" w:hAnsi="Times New Roman" w:cs="Times New Roman" w:eastAsiaTheme="minorEastAsia"/>
                      <w:sz w:val="21"/>
                      <w:szCs w:val="21"/>
                      <w:vertAlign w:val="subscript"/>
                    </w:rPr>
                    <w:t>2</w:t>
                  </w:r>
                </w:p>
              </w:tc>
              <w:tc>
                <w:tcPr>
                  <w:tcW w:w="834" w:type="pct"/>
                  <w:tcBorders>
                    <w:tl2br w:val="nil"/>
                    <w:tr2bl w:val="nil"/>
                  </w:tcBorders>
                  <w:noWrap w:val="0"/>
                  <w:vAlign w:val="center"/>
                </w:tcPr>
                <w:p w14:paraId="63B53005">
                  <w:pPr>
                    <w:snapToGrid w:val="0"/>
                    <w:spacing w:line="240" w:lineRule="auto"/>
                    <w:ind w:left="0" w:leftChars="0"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μg/m</w:t>
                  </w:r>
                  <w:r>
                    <w:rPr>
                      <w:rFonts w:hint="default" w:ascii="Times New Roman" w:hAnsi="Times New Roman" w:cs="Times New Roman" w:eastAsiaTheme="minorEastAsia"/>
                      <w:sz w:val="21"/>
                      <w:szCs w:val="21"/>
                      <w:vertAlign w:val="superscript"/>
                    </w:rPr>
                    <w:t>3</w:t>
                  </w:r>
                </w:p>
              </w:tc>
              <w:tc>
                <w:tcPr>
                  <w:tcW w:w="834" w:type="pct"/>
                  <w:tcBorders>
                    <w:tl2br w:val="nil"/>
                    <w:tr2bl w:val="nil"/>
                  </w:tcBorders>
                  <w:noWrap w:val="0"/>
                  <w:vAlign w:val="center"/>
                </w:tcPr>
                <w:p w14:paraId="22205074">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w:t>
                  </w:r>
                </w:p>
              </w:tc>
              <w:tc>
                <w:tcPr>
                  <w:tcW w:w="834" w:type="pct"/>
                  <w:tcBorders>
                    <w:tl2br w:val="nil"/>
                    <w:tr2bl w:val="nil"/>
                  </w:tcBorders>
                  <w:noWrap w:val="0"/>
                  <w:vAlign w:val="center"/>
                </w:tcPr>
                <w:p w14:paraId="3DB7A45C">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w:t>
                  </w:r>
                </w:p>
              </w:tc>
              <w:tc>
                <w:tcPr>
                  <w:tcW w:w="833" w:type="pct"/>
                  <w:tcBorders>
                    <w:tl2br w:val="nil"/>
                    <w:tr2bl w:val="nil"/>
                  </w:tcBorders>
                  <w:noWrap w:val="0"/>
                  <w:vAlign w:val="center"/>
                </w:tcPr>
                <w:p w14:paraId="157FDCAB">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62.50 </w:t>
                  </w:r>
                </w:p>
              </w:tc>
              <w:tc>
                <w:tcPr>
                  <w:tcW w:w="833" w:type="pct"/>
                  <w:tcBorders>
                    <w:tl2br w:val="nil"/>
                    <w:tr2bl w:val="nil"/>
                  </w:tcBorders>
                  <w:noWrap w:val="0"/>
                  <w:vAlign w:val="center"/>
                </w:tcPr>
                <w:p w14:paraId="71827773">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14:paraId="4DE8D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pct"/>
                  <w:tcBorders>
                    <w:tl2br w:val="nil"/>
                    <w:tr2bl w:val="nil"/>
                  </w:tcBorders>
                  <w:noWrap w:val="0"/>
                  <w:vAlign w:val="center"/>
                </w:tcPr>
                <w:p w14:paraId="110668EC">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PM</w:t>
                  </w:r>
                  <w:r>
                    <w:rPr>
                      <w:rFonts w:hint="default" w:ascii="Times New Roman" w:hAnsi="Times New Roman" w:cs="Times New Roman" w:eastAsiaTheme="minorEastAsia"/>
                      <w:sz w:val="21"/>
                      <w:szCs w:val="21"/>
                      <w:vertAlign w:val="subscript"/>
                    </w:rPr>
                    <w:t>10</w:t>
                  </w:r>
                </w:p>
              </w:tc>
              <w:tc>
                <w:tcPr>
                  <w:tcW w:w="834" w:type="pct"/>
                  <w:tcBorders>
                    <w:tl2br w:val="nil"/>
                    <w:tr2bl w:val="nil"/>
                  </w:tcBorders>
                  <w:noWrap w:val="0"/>
                  <w:vAlign w:val="center"/>
                </w:tcPr>
                <w:p w14:paraId="1C01E91F">
                  <w:pPr>
                    <w:snapToGrid w:val="0"/>
                    <w:spacing w:line="240" w:lineRule="auto"/>
                    <w:ind w:left="0" w:leftChars="0"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μg/m</w:t>
                  </w:r>
                  <w:r>
                    <w:rPr>
                      <w:rFonts w:hint="default" w:ascii="Times New Roman" w:hAnsi="Times New Roman" w:cs="Times New Roman" w:eastAsiaTheme="minorEastAsia"/>
                      <w:sz w:val="21"/>
                      <w:szCs w:val="21"/>
                      <w:vertAlign w:val="superscript"/>
                    </w:rPr>
                    <w:t>3</w:t>
                  </w:r>
                </w:p>
              </w:tc>
              <w:tc>
                <w:tcPr>
                  <w:tcW w:w="834" w:type="pct"/>
                  <w:tcBorders>
                    <w:tl2br w:val="nil"/>
                    <w:tr2bl w:val="nil"/>
                  </w:tcBorders>
                  <w:noWrap w:val="0"/>
                  <w:vAlign w:val="center"/>
                </w:tcPr>
                <w:p w14:paraId="365EC0A2">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77</w:t>
                  </w:r>
                </w:p>
              </w:tc>
              <w:tc>
                <w:tcPr>
                  <w:tcW w:w="834" w:type="pct"/>
                  <w:tcBorders>
                    <w:tl2br w:val="nil"/>
                    <w:tr2bl w:val="nil"/>
                  </w:tcBorders>
                  <w:noWrap w:val="0"/>
                  <w:vAlign w:val="center"/>
                </w:tcPr>
                <w:p w14:paraId="746F74D2">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70</w:t>
                  </w:r>
                </w:p>
              </w:tc>
              <w:tc>
                <w:tcPr>
                  <w:tcW w:w="833" w:type="pct"/>
                  <w:tcBorders>
                    <w:tl2br w:val="nil"/>
                    <w:tr2bl w:val="nil"/>
                  </w:tcBorders>
                  <w:noWrap w:val="0"/>
                  <w:vAlign w:val="center"/>
                </w:tcPr>
                <w:p w14:paraId="7A37D46B">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110.00 </w:t>
                  </w:r>
                </w:p>
              </w:tc>
              <w:tc>
                <w:tcPr>
                  <w:tcW w:w="833" w:type="pct"/>
                  <w:tcBorders>
                    <w:tl2br w:val="nil"/>
                    <w:tr2bl w:val="nil"/>
                  </w:tcBorders>
                  <w:noWrap w:val="0"/>
                  <w:vAlign w:val="center"/>
                </w:tcPr>
                <w:p w14:paraId="4967DFF6">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不达标</w:t>
                  </w:r>
                </w:p>
              </w:tc>
            </w:tr>
            <w:tr w14:paraId="4F268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pct"/>
                  <w:tcBorders>
                    <w:tl2br w:val="nil"/>
                    <w:tr2bl w:val="nil"/>
                  </w:tcBorders>
                  <w:noWrap w:val="0"/>
                  <w:vAlign w:val="center"/>
                </w:tcPr>
                <w:p w14:paraId="5C943FFC">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PM</w:t>
                  </w:r>
                  <w:r>
                    <w:rPr>
                      <w:rFonts w:hint="default" w:ascii="Times New Roman" w:hAnsi="Times New Roman" w:cs="Times New Roman" w:eastAsiaTheme="minorEastAsia"/>
                      <w:sz w:val="21"/>
                      <w:szCs w:val="21"/>
                      <w:vertAlign w:val="subscript"/>
                    </w:rPr>
                    <w:t>2.5</w:t>
                  </w:r>
                </w:p>
              </w:tc>
              <w:tc>
                <w:tcPr>
                  <w:tcW w:w="834" w:type="pct"/>
                  <w:tcBorders>
                    <w:tl2br w:val="nil"/>
                    <w:tr2bl w:val="nil"/>
                  </w:tcBorders>
                  <w:noWrap w:val="0"/>
                  <w:vAlign w:val="center"/>
                </w:tcPr>
                <w:p w14:paraId="38307C0C">
                  <w:pPr>
                    <w:snapToGrid w:val="0"/>
                    <w:spacing w:line="240" w:lineRule="auto"/>
                    <w:ind w:left="0" w:leftChars="0"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μg/m</w:t>
                  </w:r>
                  <w:r>
                    <w:rPr>
                      <w:rFonts w:hint="default" w:ascii="Times New Roman" w:hAnsi="Times New Roman" w:cs="Times New Roman" w:eastAsiaTheme="minorEastAsia"/>
                      <w:sz w:val="21"/>
                      <w:szCs w:val="21"/>
                      <w:vertAlign w:val="superscript"/>
                    </w:rPr>
                    <w:t>3</w:t>
                  </w:r>
                </w:p>
              </w:tc>
              <w:tc>
                <w:tcPr>
                  <w:tcW w:w="834" w:type="pct"/>
                  <w:tcBorders>
                    <w:tl2br w:val="nil"/>
                    <w:tr2bl w:val="nil"/>
                  </w:tcBorders>
                  <w:noWrap w:val="0"/>
                  <w:vAlign w:val="center"/>
                </w:tcPr>
                <w:p w14:paraId="480A228F">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46</w:t>
                  </w:r>
                </w:p>
              </w:tc>
              <w:tc>
                <w:tcPr>
                  <w:tcW w:w="834" w:type="pct"/>
                  <w:tcBorders>
                    <w:tl2br w:val="nil"/>
                    <w:tr2bl w:val="nil"/>
                  </w:tcBorders>
                  <w:noWrap w:val="0"/>
                  <w:vAlign w:val="center"/>
                </w:tcPr>
                <w:p w14:paraId="09B83F99">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35</w:t>
                  </w:r>
                </w:p>
              </w:tc>
              <w:tc>
                <w:tcPr>
                  <w:tcW w:w="833" w:type="pct"/>
                  <w:tcBorders>
                    <w:tl2br w:val="nil"/>
                    <w:tr2bl w:val="nil"/>
                  </w:tcBorders>
                  <w:noWrap w:val="0"/>
                  <w:vAlign w:val="center"/>
                </w:tcPr>
                <w:p w14:paraId="396A09B6">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131.43 </w:t>
                  </w:r>
                </w:p>
              </w:tc>
              <w:tc>
                <w:tcPr>
                  <w:tcW w:w="833" w:type="pct"/>
                  <w:tcBorders>
                    <w:tl2br w:val="nil"/>
                    <w:tr2bl w:val="nil"/>
                  </w:tcBorders>
                  <w:noWrap w:val="0"/>
                  <w:vAlign w:val="center"/>
                </w:tcPr>
                <w:p w14:paraId="0407A14D">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不达标</w:t>
                  </w:r>
                </w:p>
              </w:tc>
            </w:tr>
            <w:tr w14:paraId="2B5C6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pct"/>
                  <w:tcBorders>
                    <w:tl2br w:val="nil"/>
                    <w:tr2bl w:val="nil"/>
                  </w:tcBorders>
                  <w:noWrap w:val="0"/>
                  <w:vAlign w:val="center"/>
                </w:tcPr>
                <w:p w14:paraId="6EE5FF9B">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O</w:t>
                  </w:r>
                  <w:r>
                    <w:rPr>
                      <w:rFonts w:hint="default" w:ascii="Times New Roman" w:hAnsi="Times New Roman" w:cs="Times New Roman" w:eastAsiaTheme="minorEastAsia"/>
                      <w:sz w:val="21"/>
                      <w:szCs w:val="21"/>
                      <w:vertAlign w:val="subscript"/>
                    </w:rPr>
                    <w:t>3</w:t>
                  </w:r>
                  <w:r>
                    <w:rPr>
                      <w:rFonts w:hint="default" w:ascii="Times New Roman" w:hAnsi="Times New Roman" w:cs="Times New Roman" w:eastAsiaTheme="minorEastAsia"/>
                      <w:sz w:val="21"/>
                      <w:szCs w:val="21"/>
                    </w:rPr>
                    <w:t>-8H-90per</w:t>
                  </w:r>
                </w:p>
              </w:tc>
              <w:tc>
                <w:tcPr>
                  <w:tcW w:w="834" w:type="pct"/>
                  <w:tcBorders>
                    <w:tl2br w:val="nil"/>
                    <w:tr2bl w:val="nil"/>
                  </w:tcBorders>
                  <w:noWrap w:val="0"/>
                  <w:vAlign w:val="center"/>
                </w:tcPr>
                <w:p w14:paraId="15F8AD74">
                  <w:pPr>
                    <w:snapToGrid w:val="0"/>
                    <w:spacing w:line="240" w:lineRule="auto"/>
                    <w:ind w:left="0" w:leftChars="0"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μg/m</w:t>
                  </w:r>
                  <w:r>
                    <w:rPr>
                      <w:rFonts w:hint="default" w:ascii="Times New Roman" w:hAnsi="Times New Roman" w:cs="Times New Roman" w:eastAsiaTheme="minorEastAsia"/>
                      <w:sz w:val="21"/>
                      <w:szCs w:val="21"/>
                      <w:vertAlign w:val="superscript"/>
                    </w:rPr>
                    <w:t>3</w:t>
                  </w:r>
                </w:p>
              </w:tc>
              <w:tc>
                <w:tcPr>
                  <w:tcW w:w="834" w:type="pct"/>
                  <w:tcBorders>
                    <w:tl2br w:val="nil"/>
                    <w:tr2bl w:val="nil"/>
                  </w:tcBorders>
                  <w:noWrap w:val="0"/>
                  <w:vAlign w:val="center"/>
                </w:tcPr>
                <w:p w14:paraId="0E11C834">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141</w:t>
                  </w:r>
                </w:p>
              </w:tc>
              <w:tc>
                <w:tcPr>
                  <w:tcW w:w="834" w:type="pct"/>
                  <w:tcBorders>
                    <w:tl2br w:val="nil"/>
                    <w:tr2bl w:val="nil"/>
                  </w:tcBorders>
                  <w:noWrap w:val="0"/>
                  <w:vAlign w:val="center"/>
                </w:tcPr>
                <w:p w14:paraId="18D23683">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160</w:t>
                  </w:r>
                </w:p>
              </w:tc>
              <w:tc>
                <w:tcPr>
                  <w:tcW w:w="833" w:type="pct"/>
                  <w:tcBorders>
                    <w:tl2br w:val="nil"/>
                    <w:tr2bl w:val="nil"/>
                  </w:tcBorders>
                  <w:noWrap w:val="0"/>
                  <w:vAlign w:val="center"/>
                </w:tcPr>
                <w:p w14:paraId="79A4B18E">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88.13 </w:t>
                  </w:r>
                </w:p>
              </w:tc>
              <w:tc>
                <w:tcPr>
                  <w:tcW w:w="833" w:type="pct"/>
                  <w:tcBorders>
                    <w:tl2br w:val="nil"/>
                    <w:tr2bl w:val="nil"/>
                  </w:tcBorders>
                  <w:noWrap w:val="0"/>
                  <w:vAlign w:val="center"/>
                </w:tcPr>
                <w:p w14:paraId="15DE8A0F">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14:paraId="4AFE5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pct"/>
                  <w:tcBorders>
                    <w:tl2br w:val="nil"/>
                    <w:tr2bl w:val="nil"/>
                  </w:tcBorders>
                  <w:noWrap w:val="0"/>
                  <w:vAlign w:val="center"/>
                </w:tcPr>
                <w:p w14:paraId="0C7EE8AC">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CO-95per</w:t>
                  </w:r>
                </w:p>
              </w:tc>
              <w:tc>
                <w:tcPr>
                  <w:tcW w:w="834" w:type="pct"/>
                  <w:tcBorders>
                    <w:tl2br w:val="nil"/>
                    <w:tr2bl w:val="nil"/>
                  </w:tcBorders>
                  <w:noWrap w:val="0"/>
                  <w:vAlign w:val="center"/>
                </w:tcPr>
                <w:p w14:paraId="4AEE17E9">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834" w:type="pct"/>
                  <w:tcBorders>
                    <w:tl2br w:val="nil"/>
                    <w:tr2bl w:val="nil"/>
                  </w:tcBorders>
                  <w:noWrap w:val="0"/>
                  <w:vAlign w:val="center"/>
                </w:tcPr>
                <w:p w14:paraId="651EE9FD">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834" w:type="pct"/>
                  <w:tcBorders>
                    <w:tl2br w:val="nil"/>
                    <w:tr2bl w:val="nil"/>
                  </w:tcBorders>
                  <w:noWrap w:val="0"/>
                  <w:vAlign w:val="center"/>
                </w:tcPr>
                <w:p w14:paraId="230FC645">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833" w:type="pct"/>
                  <w:tcBorders>
                    <w:tl2br w:val="nil"/>
                    <w:tr2bl w:val="nil"/>
                  </w:tcBorders>
                  <w:noWrap w:val="0"/>
                  <w:vAlign w:val="center"/>
                </w:tcPr>
                <w:p w14:paraId="1323FC20">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30.00 </w:t>
                  </w:r>
                </w:p>
              </w:tc>
              <w:tc>
                <w:tcPr>
                  <w:tcW w:w="833" w:type="pct"/>
                  <w:tcBorders>
                    <w:tl2br w:val="nil"/>
                    <w:tr2bl w:val="nil"/>
                  </w:tcBorders>
                  <w:noWrap w:val="0"/>
                  <w:vAlign w:val="center"/>
                </w:tcPr>
                <w:p w14:paraId="059EE34E">
                  <w:pPr>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bl>
          <w:p w14:paraId="2F8C63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rPr>
            </w:pPr>
            <w:r>
              <w:rPr>
                <w:rFonts w:hint="default" w:ascii="Times New Roman" w:hAnsi="Times New Roman" w:eastAsia="宋体" w:cs="Times New Roman"/>
                <w:color w:val="auto"/>
                <w:sz w:val="24"/>
                <w:highlight w:val="none"/>
              </w:rPr>
              <w:t>根据评价结果</w:t>
            </w:r>
            <w:r>
              <w:rPr>
                <w:rFonts w:hint="eastAsia" w:ascii="Times New Roman" w:hAnsi="Times New Roman" w:eastAsia="宋体" w:cs="Times New Roman"/>
                <w:color w:val="auto"/>
                <w:sz w:val="24"/>
                <w:highlight w:val="none"/>
                <w:lang w:eastAsia="zh-CN"/>
              </w:rPr>
              <w:t>，</w:t>
            </w:r>
            <w:r>
              <w:rPr>
                <w:rFonts w:hint="eastAsia"/>
              </w:rPr>
              <w:t>嘉祥县</w:t>
            </w:r>
            <w:r>
              <w:t>2022年</w:t>
            </w:r>
            <w:r>
              <w:rPr>
                <w:rFonts w:hint="eastAsia"/>
              </w:rPr>
              <w:t>度</w:t>
            </w:r>
            <w:r>
              <w:t>SO</w:t>
            </w:r>
            <w:r>
              <w:rPr>
                <w:vertAlign w:val="subscript"/>
              </w:rPr>
              <w:t>2</w:t>
            </w:r>
            <w:r>
              <w:t>、NO</w:t>
            </w:r>
            <w:r>
              <w:rPr>
                <w:vertAlign w:val="subscript"/>
              </w:rPr>
              <w:t>2</w:t>
            </w:r>
            <w:r>
              <w:t>年均浓度和CO24小时平均值第95百分位数浓度</w:t>
            </w:r>
            <w:r>
              <w:rPr>
                <w:rFonts w:hint="eastAsia"/>
              </w:rPr>
              <w:t>、</w:t>
            </w:r>
            <w:r>
              <w:t>O</w:t>
            </w:r>
            <w:r>
              <w:rPr>
                <w:vertAlign w:val="subscript"/>
              </w:rPr>
              <w:t>3</w:t>
            </w:r>
            <w:r>
              <w:t>日最大8小时第90百分位浓度均符合《环境空气质量标准》（GB3095-2012）中二级标准要求，PM</w:t>
            </w:r>
            <w:r>
              <w:rPr>
                <w:vertAlign w:val="subscript"/>
              </w:rPr>
              <w:t>10</w:t>
            </w:r>
            <w:r>
              <w:t>、PM</w:t>
            </w:r>
            <w:r>
              <w:rPr>
                <w:vertAlign w:val="subscript"/>
              </w:rPr>
              <w:t>2.5</w:t>
            </w:r>
            <w:r>
              <w:t>年均浓度超标，</w:t>
            </w:r>
            <w:r>
              <w:rPr>
                <w:rFonts w:hint="eastAsia"/>
              </w:rPr>
              <w:t>因此嘉祥县</w:t>
            </w:r>
            <w:r>
              <w:t>属于不达标区</w:t>
            </w:r>
            <w:r>
              <w:rPr>
                <w:rFonts w:hint="eastAsia"/>
              </w:rPr>
              <w:t>。</w:t>
            </w:r>
          </w:p>
          <w:p w14:paraId="4F88AC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rPr>
            </w:pPr>
            <w:r>
              <w:rPr>
                <w:rFonts w:hint="eastAsia"/>
              </w:rPr>
              <w:t>区域改善方案：</w:t>
            </w:r>
            <w:r>
              <w:rPr>
                <w:rFonts w:hint="default"/>
                <w:lang w:val="en-US" w:eastAsia="zh-CN"/>
              </w:rPr>
              <w:t>目前嘉祥县人民政府正积极落实《山东省深入打好蓝天保卫战行动计划》</w:t>
            </w:r>
            <w:r>
              <w:rPr>
                <w:rFonts w:hint="eastAsia"/>
                <w:lang w:val="en-US" w:eastAsia="zh-CN"/>
              </w:rPr>
              <w:t>（</w:t>
            </w:r>
            <w:r>
              <w:rPr>
                <w:rFonts w:hint="default"/>
                <w:lang w:val="en-US" w:eastAsia="zh-CN"/>
              </w:rPr>
              <w:t>2021-2025年</w:t>
            </w:r>
            <w:r>
              <w:rPr>
                <w:rFonts w:hint="eastAsia"/>
                <w:lang w:val="en-US" w:eastAsia="zh-CN"/>
              </w:rPr>
              <w:t>）</w:t>
            </w:r>
            <w:r>
              <w:rPr>
                <w:rFonts w:hint="default"/>
                <w:lang w:val="en-US" w:eastAsia="zh-CN"/>
              </w:rPr>
              <w:t>、《山东省生态环境厅关于印发山东省建设项目主要大气污染物排放总量替代指标核算及管理办法的通知》等文件要求，通过实行大气污染物排放总量指标2倍削减替代，优化产业结构与布局，减少煤炭消费，推进工业污染源提标改造，强化工业企业无组织排放控制管理，加强VOCs专项整治，控制机动车污染，实施秋冬季重点行业错峰生产等方面的行动，加快以细颗粒物为重点的大气污染治理，项目所在区域大气环境质量将会逐步得到改善</w:t>
            </w:r>
            <w:r>
              <w:rPr>
                <w:rFonts w:hint="default"/>
              </w:rPr>
              <w:t>。</w:t>
            </w:r>
          </w:p>
          <w:p w14:paraId="46ABAD88">
            <w:pPr>
              <w:spacing w:line="360" w:lineRule="auto"/>
              <w:ind w:firstLine="480" w:firstLineChars="200"/>
              <w:jc w:val="left"/>
            </w:pPr>
            <w:r>
              <w:rPr>
                <w:rFonts w:hint="eastAsia"/>
                <w:lang w:val="en-US" w:eastAsia="zh-CN"/>
              </w:rPr>
              <w:t>2</w:t>
            </w:r>
            <w:r>
              <w:t>、地表水环境</w:t>
            </w:r>
          </w:p>
          <w:p w14:paraId="422621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lang w:eastAsia="zh-CN"/>
              </w:rPr>
            </w:pPr>
            <w:r>
              <w:rPr>
                <w:rFonts w:hint="default"/>
              </w:rPr>
              <w:t>本项目所在地区主要河流为</w:t>
            </w:r>
            <w:r>
              <w:rPr>
                <w:rFonts w:hint="eastAsia"/>
                <w:lang w:val="en-US" w:eastAsia="zh-CN"/>
              </w:rPr>
              <w:t>前进河，属洙水河支流</w:t>
            </w:r>
            <w:r>
              <w:rPr>
                <w:rFonts w:hint="default"/>
              </w:rPr>
              <w:t>，执行《地表水环境质量标准》（GB3838-2002）Ⅲ类标准，根据202</w:t>
            </w:r>
            <w:r>
              <w:rPr>
                <w:rFonts w:hint="eastAsia"/>
                <w:lang w:val="en-US" w:eastAsia="zh-CN"/>
              </w:rPr>
              <w:t>4</w:t>
            </w:r>
            <w:r>
              <w:rPr>
                <w:rFonts w:hint="default"/>
              </w:rPr>
              <w:t>年</w:t>
            </w:r>
            <w:r>
              <w:rPr>
                <w:rFonts w:hint="eastAsia"/>
                <w:lang w:val="en-US" w:eastAsia="zh-CN"/>
              </w:rPr>
              <w:t>04</w:t>
            </w:r>
            <w:r>
              <w:rPr>
                <w:rFonts w:hint="default"/>
              </w:rPr>
              <w:t>月份山东省省控重点河流水质状况发布的数据（网址为：http://dbsfb.sdem.org.cn:8003/waterpublic/#），</w:t>
            </w:r>
            <w:r>
              <w:rPr>
                <w:rFonts w:hint="eastAsia"/>
                <w:lang w:val="en-US" w:eastAsia="zh-CN"/>
              </w:rPr>
              <w:t>洙水河断面</w:t>
            </w:r>
            <w:r>
              <w:rPr>
                <w:rFonts w:hint="default"/>
              </w:rPr>
              <w:t>水质</w:t>
            </w:r>
            <w:r>
              <w:rPr>
                <w:rFonts w:hint="eastAsia"/>
                <w:lang w:val="en-US" w:eastAsia="zh-CN"/>
              </w:rPr>
              <w:t>均</w:t>
            </w:r>
            <w:r>
              <w:rPr>
                <w:rFonts w:hint="default"/>
              </w:rPr>
              <w:t>满足《地表水环境质量标准》（GB3838-2002）中Ⅲ类标准</w:t>
            </w:r>
            <w:r>
              <w:rPr>
                <w:rFonts w:hint="eastAsia"/>
                <w:lang w:eastAsia="zh-CN"/>
              </w:rPr>
              <w:t>。</w:t>
            </w:r>
          </w:p>
          <w:p w14:paraId="52708D22">
            <w:pPr>
              <w:spacing w:line="360" w:lineRule="auto"/>
              <w:ind w:left="0" w:leftChars="0" w:firstLine="0" w:firstLineChars="0"/>
              <w:jc w:val="both"/>
              <w:rPr>
                <w:rFonts w:hint="default"/>
              </w:rPr>
            </w:pPr>
            <w:r>
              <w:drawing>
                <wp:inline distT="0" distB="0" distL="114300" distR="114300">
                  <wp:extent cx="5855335" cy="2392680"/>
                  <wp:effectExtent l="0" t="0" r="12065" b="7620"/>
                  <wp:docPr id="1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
                          <pic:cNvPicPr>
                            <a:picLocks noChangeAspect="1"/>
                          </pic:cNvPicPr>
                        </pic:nvPicPr>
                        <pic:blipFill>
                          <a:blip r:embed="rId11"/>
                          <a:stretch>
                            <a:fillRect/>
                          </a:stretch>
                        </pic:blipFill>
                        <pic:spPr>
                          <a:xfrm>
                            <a:off x="0" y="0"/>
                            <a:ext cx="5855335" cy="2392680"/>
                          </a:xfrm>
                          <a:prstGeom prst="rect">
                            <a:avLst/>
                          </a:prstGeom>
                          <a:noFill/>
                          <a:ln>
                            <a:noFill/>
                          </a:ln>
                        </pic:spPr>
                      </pic:pic>
                    </a:graphicData>
                  </a:graphic>
                </wp:inline>
              </w:drawing>
            </w:r>
          </w:p>
          <w:p w14:paraId="46CF99B5">
            <w:pPr>
              <w:adjustRightInd w:val="0"/>
              <w:snapToGrid w:val="0"/>
              <w:spacing w:line="360" w:lineRule="auto"/>
              <w:ind w:left="480"/>
              <w:jc w:val="center"/>
              <w:rPr>
                <w:b/>
                <w:bCs/>
              </w:rPr>
            </w:pPr>
            <w:r>
              <w:rPr>
                <w:rFonts w:hint="eastAsia"/>
                <w:b/>
                <w:bCs/>
              </w:rPr>
              <w:t>图</w:t>
            </w:r>
            <w:r>
              <w:rPr>
                <w:b/>
                <w:bCs/>
              </w:rPr>
              <w:t>3-1</w:t>
            </w:r>
            <w:r>
              <w:rPr>
                <w:rFonts w:hint="eastAsia"/>
                <w:b/>
                <w:bCs/>
                <w:lang w:val="en-US" w:eastAsia="zh-CN"/>
              </w:rPr>
              <w:t xml:space="preserve"> </w:t>
            </w:r>
            <w:r>
              <w:rPr>
                <w:rFonts w:hint="eastAsia"/>
                <w:b/>
                <w:bCs/>
              </w:rPr>
              <w:t>山东省省控重点河流水质状况</w:t>
            </w:r>
          </w:p>
          <w:p w14:paraId="00A79771">
            <w:pPr>
              <w:spacing w:line="360" w:lineRule="auto"/>
              <w:ind w:firstLine="480" w:firstLineChars="200"/>
              <w:jc w:val="left"/>
            </w:pPr>
            <w:r>
              <w:rPr>
                <w:rFonts w:hint="eastAsia"/>
                <w:lang w:val="en-US" w:eastAsia="zh-CN"/>
              </w:rPr>
              <w:t>3</w:t>
            </w:r>
            <w:r>
              <w:t>、声环境</w:t>
            </w:r>
          </w:p>
          <w:p w14:paraId="488CAFCB">
            <w:pPr>
              <w:spacing w:line="360" w:lineRule="auto"/>
              <w:ind w:firstLine="480" w:firstLineChars="200"/>
              <w:rPr>
                <w:rFonts w:hint="eastAsia"/>
                <w:lang w:eastAsia="zh-CN"/>
              </w:rPr>
            </w:pPr>
            <w:r>
              <w:rPr>
                <w:rFonts w:hint="eastAsia"/>
              </w:rPr>
              <w:t>根据现场调查，</w:t>
            </w:r>
            <w:r>
              <w:rPr>
                <w:rFonts w:hint="eastAsia"/>
                <w:lang w:val="en-US" w:eastAsia="zh-CN"/>
              </w:rPr>
              <w:t>本项目</w:t>
            </w:r>
            <w:r>
              <w:rPr>
                <w:rFonts w:hint="eastAsia"/>
              </w:rPr>
              <w:t>厂界外周边50米范围内不存在声环境保护目标，因此本次评价不需对周边声环境保护目标进行现状监测</w:t>
            </w:r>
            <w:r>
              <w:rPr>
                <w:rFonts w:hint="eastAsia"/>
                <w:lang w:eastAsia="zh-CN"/>
              </w:rPr>
              <w:t>。</w:t>
            </w:r>
          </w:p>
          <w:p w14:paraId="289BB35B">
            <w:pPr>
              <w:spacing w:line="360" w:lineRule="auto"/>
              <w:ind w:firstLine="480" w:firstLineChars="200"/>
            </w:pPr>
            <w:r>
              <w:t>项目所在地声环境功能为</w:t>
            </w:r>
            <w:r>
              <w:rPr>
                <w:rFonts w:hint="eastAsia"/>
                <w:lang w:val="en-US" w:eastAsia="zh-CN"/>
              </w:rPr>
              <w:t>2</w:t>
            </w:r>
            <w:r>
              <w:t>类功能区域，声环境质量标准执行《声环境质量标准》（GB3096-2008）中的</w:t>
            </w:r>
            <w:r>
              <w:rPr>
                <w:rFonts w:hint="eastAsia"/>
                <w:lang w:val="en-US" w:eastAsia="zh-CN"/>
              </w:rPr>
              <w:t>2</w:t>
            </w:r>
            <w:r>
              <w:t>类标准。</w:t>
            </w:r>
          </w:p>
          <w:p w14:paraId="2D5B4AF4">
            <w:pPr>
              <w:spacing w:line="360" w:lineRule="auto"/>
              <w:ind w:firstLine="482"/>
            </w:pPr>
            <w:r>
              <w:rPr>
                <w:rFonts w:hint="eastAsia"/>
                <w:lang w:val="en-US" w:eastAsia="zh-CN"/>
              </w:rPr>
              <w:t>4</w:t>
            </w:r>
            <w:r>
              <w:t>、生态环境</w:t>
            </w:r>
          </w:p>
          <w:p w14:paraId="20FBFD5B">
            <w:pPr>
              <w:adjustRightInd w:val="0"/>
              <w:snapToGrid w:val="0"/>
              <w:ind w:firstLine="482"/>
              <w:rPr>
                <w:rFonts w:hint="eastAsia"/>
                <w:lang w:val="en-US" w:eastAsia="zh-CN"/>
              </w:rPr>
            </w:pPr>
            <w:r>
              <w:rPr>
                <w:rFonts w:hint="eastAsia"/>
                <w:lang w:val="en-US" w:eastAsia="zh-CN"/>
              </w:rPr>
              <w:t>本项目位于济</w:t>
            </w:r>
            <w:r>
              <w:rPr>
                <w:rFonts w:hint="default"/>
                <w:lang w:val="en-US" w:eastAsia="zh-CN"/>
              </w:rPr>
              <w:t>宁市</w:t>
            </w:r>
            <w:r>
              <w:rPr>
                <w:rFonts w:hint="eastAsia"/>
                <w:lang w:val="en-US" w:eastAsia="zh-CN"/>
              </w:rPr>
              <w:t>嘉祥县万张街道骆堂村西500米</w:t>
            </w:r>
            <w:r>
              <w:rPr>
                <w:rFonts w:hint="default"/>
                <w:lang w:val="en-US" w:eastAsia="zh-CN"/>
              </w:rPr>
              <w:t>，</w:t>
            </w:r>
            <w:r>
              <w:rPr>
                <w:rFonts w:hint="eastAsia"/>
                <w:lang w:val="en-US" w:eastAsia="zh-CN"/>
              </w:rPr>
              <w:t>租赁现有闲置厂房建设。项目所在区域生态环境一般，周边主要为道路、企业等，人类活动对生态环境造成的不利影响主要表现在该地区植物多样性降低、植被覆盖率减少，项目区内无珍稀动植物和文物保护区，无重大环境制约因素。</w:t>
            </w:r>
          </w:p>
          <w:p w14:paraId="450F00D0">
            <w:pPr>
              <w:adjustRightInd w:val="0"/>
              <w:snapToGrid w:val="0"/>
              <w:ind w:firstLine="482"/>
              <w:rPr>
                <w:b w:val="0"/>
                <w:bCs w:val="0"/>
              </w:rPr>
            </w:pPr>
            <w:r>
              <w:rPr>
                <w:b w:val="0"/>
                <w:bCs w:val="0"/>
              </w:rPr>
              <w:t>5、电磁辐射</w:t>
            </w:r>
          </w:p>
          <w:p w14:paraId="4F7A610B">
            <w:pPr>
              <w:pStyle w:val="22"/>
              <w:ind w:left="816" w:leftChars="200" w:hanging="336" w:hangingChars="140"/>
              <w:rPr>
                <w:rFonts w:ascii="Times New Roman"/>
                <w:b w:val="0"/>
                <w:bCs w:val="0"/>
              </w:rPr>
            </w:pPr>
            <w:r>
              <w:rPr>
                <w:rFonts w:ascii="Times New Roman"/>
                <w:b w:val="0"/>
                <w:bCs w:val="0"/>
              </w:rPr>
              <w:t>本项目不属于电磁辐射类项目。</w:t>
            </w:r>
          </w:p>
          <w:p w14:paraId="56EA18DA">
            <w:pPr>
              <w:adjustRightInd w:val="0"/>
              <w:snapToGrid w:val="0"/>
              <w:ind w:firstLine="482"/>
              <w:rPr>
                <w:b w:val="0"/>
                <w:bCs w:val="0"/>
              </w:rPr>
            </w:pPr>
            <w:r>
              <w:rPr>
                <w:b w:val="0"/>
                <w:bCs w:val="0"/>
              </w:rPr>
              <w:t>6、地下水、土壤环境</w:t>
            </w:r>
          </w:p>
          <w:p w14:paraId="05D963B2">
            <w:pPr>
              <w:pStyle w:val="23"/>
              <w:keepNext w:val="0"/>
              <w:keepLines w:val="0"/>
              <w:pageBreakBefore w:val="0"/>
              <w:widowControl/>
              <w:kinsoku/>
              <w:wordWrap/>
              <w:overflowPunct/>
              <w:topLinePunct w:val="0"/>
              <w:autoSpaceDE/>
              <w:autoSpaceDN/>
              <w:bidi w:val="0"/>
              <w:adjustRightInd/>
              <w:snapToGrid/>
              <w:spacing w:before="0" w:after="0"/>
              <w:textAlignment w:val="auto"/>
            </w:pPr>
            <w:r>
              <w:rPr>
                <w:rFonts w:ascii="Times New Roman"/>
              </w:rPr>
              <w:t>本项目</w:t>
            </w:r>
            <w:r>
              <w:rPr>
                <w:rFonts w:hint="eastAsia" w:ascii="Times New Roman"/>
              </w:rPr>
              <w:t>采取严格的分区防渗措施，</w:t>
            </w:r>
            <w:r>
              <w:rPr>
                <w:rFonts w:ascii="Times New Roman"/>
              </w:rPr>
              <w:t>无地下水和土壤污染途径，不进行地下水、土壤环境质量现状调查。</w:t>
            </w:r>
          </w:p>
        </w:tc>
      </w:tr>
      <w:tr w14:paraId="2D13F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575" w:type="dxa"/>
            <w:tcBorders>
              <w:tl2br w:val="nil"/>
              <w:tr2bl w:val="nil"/>
            </w:tcBorders>
            <w:vAlign w:val="center"/>
          </w:tcPr>
          <w:p w14:paraId="72EF4AC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Cs w:val="21"/>
              </w:rPr>
            </w:pPr>
            <w:r>
              <w:rPr>
                <w:rFonts w:hint="eastAsia" w:ascii="Times New Roman" w:hAnsi="Times New Roman" w:eastAsia="宋体" w:cs="Times New Roman"/>
                <w:color w:val="auto"/>
                <w:kern w:val="0"/>
                <w:sz w:val="21"/>
                <w:szCs w:val="18"/>
              </w:rPr>
              <w:t>环境保护目标</w:t>
            </w:r>
            <w:r>
              <w:rPr>
                <w:rFonts w:ascii="Times New Roman" w:hAnsi="Times New Roman" w:eastAsia="宋体" w:cs="Times New Roman"/>
                <w:color w:val="auto"/>
                <w:kern w:val="0"/>
                <w:sz w:val="21"/>
                <w:szCs w:val="18"/>
              </w:rPr>
              <w:t>标</w:t>
            </w:r>
          </w:p>
        </w:tc>
        <w:tc>
          <w:tcPr>
            <w:tcW w:w="9439" w:type="dxa"/>
            <w:tcBorders>
              <w:tl2br w:val="nil"/>
              <w:tr2bl w:val="nil"/>
            </w:tcBorders>
            <w:vAlign w:val="center"/>
          </w:tcPr>
          <w:p w14:paraId="32CE399C">
            <w:pPr>
              <w:spacing w:line="360" w:lineRule="auto"/>
              <w:rPr>
                <w:b/>
                <w:color w:val="auto"/>
                <w:sz w:val="24"/>
              </w:rPr>
            </w:pPr>
            <w:r>
              <w:rPr>
                <w:b/>
                <w:color w:val="auto"/>
                <w:sz w:val="24"/>
              </w:rPr>
              <w:t>主要环境保护目标（列出名单及保护级别）：</w:t>
            </w:r>
          </w:p>
          <w:p w14:paraId="6E83FD5D">
            <w:pPr>
              <w:spacing w:line="360" w:lineRule="auto"/>
              <w:ind w:firstLine="480"/>
              <w:rPr>
                <w:rFonts w:hint="eastAsia" w:eastAsia="宋体"/>
                <w:color w:val="auto"/>
                <w:sz w:val="24"/>
                <w:lang w:eastAsia="zh-CN"/>
              </w:rPr>
            </w:pPr>
            <w:r>
              <w:rPr>
                <w:b/>
                <w:bCs/>
                <w:color w:val="auto"/>
                <w:sz w:val="24"/>
              </w:rPr>
              <w:t>1、大气环境：</w:t>
            </w:r>
            <w:r>
              <w:rPr>
                <w:color w:val="auto"/>
                <w:sz w:val="24"/>
              </w:rPr>
              <w:t>厂界外500米范围内的自然保护区、风景名胜区、居住区、文化区和农村地区中人群较集中的区域等保护目标。</w:t>
            </w:r>
          </w:p>
          <w:p w14:paraId="2A7AC029">
            <w:pPr>
              <w:spacing w:line="360" w:lineRule="auto"/>
              <w:ind w:firstLine="482" w:firstLineChars="200"/>
              <w:rPr>
                <w:color w:val="auto"/>
                <w:sz w:val="24"/>
              </w:rPr>
            </w:pPr>
            <w:r>
              <w:rPr>
                <w:b/>
                <w:bCs/>
                <w:color w:val="auto"/>
                <w:sz w:val="24"/>
              </w:rPr>
              <w:t>2、声环境：</w:t>
            </w:r>
            <w:r>
              <w:rPr>
                <w:color w:val="auto"/>
                <w:sz w:val="24"/>
              </w:rPr>
              <w:t>厂界外50</w:t>
            </w:r>
            <w:r>
              <w:rPr>
                <w:rFonts w:hint="eastAsia"/>
                <w:color w:val="auto"/>
                <w:sz w:val="24"/>
                <w:lang w:eastAsia="zh-CN"/>
              </w:rPr>
              <w:t>米</w:t>
            </w:r>
            <w:r>
              <w:rPr>
                <w:color w:val="auto"/>
                <w:sz w:val="24"/>
              </w:rPr>
              <w:t>范围内声环境保护目标。</w:t>
            </w:r>
          </w:p>
          <w:p w14:paraId="1F628BD9">
            <w:pPr>
              <w:pStyle w:val="2"/>
              <w:spacing w:after="0" w:line="360" w:lineRule="auto"/>
              <w:ind w:left="0" w:leftChars="0" w:firstLine="482"/>
              <w:rPr>
                <w:color w:val="auto"/>
                <w:sz w:val="24"/>
              </w:rPr>
            </w:pPr>
            <w:r>
              <w:rPr>
                <w:b/>
                <w:bCs/>
                <w:color w:val="auto"/>
                <w:sz w:val="24"/>
                <w:lang w:val="en-US" w:eastAsia="zh-CN"/>
              </w:rPr>
              <w:t>3、</w:t>
            </w:r>
            <w:r>
              <w:rPr>
                <w:b/>
                <w:bCs/>
                <w:color w:val="auto"/>
                <w:sz w:val="24"/>
              </w:rPr>
              <w:t>地下水环境：</w:t>
            </w:r>
            <w:r>
              <w:rPr>
                <w:color w:val="auto"/>
                <w:sz w:val="24"/>
              </w:rPr>
              <w:t>厂界外500米范围内的地下水集中式饮用水水源和热水、矿泉水、温泉等特殊地下水资源。</w:t>
            </w:r>
          </w:p>
          <w:p w14:paraId="7D0AC9E9">
            <w:pPr>
              <w:spacing w:line="360" w:lineRule="auto"/>
              <w:ind w:firstLine="482" w:firstLineChars="200"/>
              <w:rPr>
                <w:rFonts w:hint="eastAsia"/>
                <w:b w:val="0"/>
                <w:bCs w:val="0"/>
                <w:color w:val="auto"/>
                <w:sz w:val="24"/>
                <w:lang w:eastAsia="zh-CN"/>
              </w:rPr>
            </w:pPr>
            <w:r>
              <w:rPr>
                <w:rFonts w:hint="eastAsia"/>
                <w:b/>
                <w:bCs/>
                <w:color w:val="auto"/>
                <w:sz w:val="24"/>
                <w:lang w:val="en-US" w:eastAsia="zh-CN"/>
              </w:rPr>
              <w:t>4</w:t>
            </w:r>
            <w:r>
              <w:rPr>
                <w:b/>
                <w:bCs/>
                <w:color w:val="auto"/>
                <w:sz w:val="24"/>
              </w:rPr>
              <w:t>、生态环境：</w:t>
            </w:r>
            <w:r>
              <w:rPr>
                <w:rFonts w:hint="eastAsia"/>
                <w:b w:val="0"/>
                <w:bCs w:val="0"/>
                <w:color w:val="auto"/>
                <w:sz w:val="24"/>
                <w:lang w:eastAsia="zh-CN"/>
              </w:rPr>
              <w:t>占地范围内的生态环境保护目标。</w:t>
            </w:r>
          </w:p>
          <w:p w14:paraId="2AAE6CC5">
            <w:pPr>
              <w:spacing w:line="360" w:lineRule="auto"/>
              <w:ind w:firstLine="480" w:firstLineChars="200"/>
              <w:rPr>
                <w:color w:val="auto"/>
                <w:sz w:val="24"/>
              </w:rPr>
            </w:pPr>
            <w:r>
              <w:rPr>
                <w:color w:val="auto"/>
                <w:sz w:val="24"/>
              </w:rPr>
              <w:t>主要环境保护目标见</w:t>
            </w:r>
            <w:r>
              <w:rPr>
                <w:rFonts w:hint="eastAsia"/>
                <w:color w:val="auto"/>
                <w:sz w:val="24"/>
                <w:lang w:eastAsia="zh-CN"/>
              </w:rPr>
              <w:t>表3-</w:t>
            </w:r>
            <w:r>
              <w:rPr>
                <w:rFonts w:hint="eastAsia"/>
                <w:color w:val="auto"/>
                <w:sz w:val="24"/>
                <w:lang w:val="en-US" w:eastAsia="zh-CN"/>
              </w:rPr>
              <w:t>4</w:t>
            </w:r>
            <w:r>
              <w:rPr>
                <w:color w:val="auto"/>
                <w:sz w:val="24"/>
              </w:rPr>
              <w:t>。</w:t>
            </w:r>
          </w:p>
          <w:p w14:paraId="1A1C5F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4"/>
              </w:rPr>
            </w:pPr>
            <w:r>
              <w:rPr>
                <w:rFonts w:hint="eastAsia"/>
                <w:b/>
                <w:color w:val="auto"/>
                <w:sz w:val="24"/>
                <w:lang w:eastAsia="zh-CN"/>
              </w:rPr>
              <w:t>表3-</w:t>
            </w:r>
            <w:r>
              <w:rPr>
                <w:rFonts w:hint="eastAsia"/>
                <w:b/>
                <w:color w:val="auto"/>
                <w:sz w:val="24"/>
                <w:lang w:val="en-US" w:eastAsia="zh-CN"/>
              </w:rPr>
              <w:t xml:space="preserve">4 </w:t>
            </w:r>
            <w:r>
              <w:rPr>
                <w:b/>
                <w:color w:val="auto"/>
                <w:sz w:val="24"/>
              </w:rPr>
              <w:t>周边环境敏感目标一览表</w:t>
            </w:r>
          </w:p>
          <w:tbl>
            <w:tblPr>
              <w:tblStyle w:val="33"/>
              <w:tblW w:w="49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4"/>
              <w:gridCol w:w="1818"/>
              <w:gridCol w:w="1563"/>
              <w:gridCol w:w="1757"/>
              <w:gridCol w:w="2419"/>
            </w:tblGrid>
            <w:tr w14:paraId="292FF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4" w:type="pct"/>
                  <w:tcBorders>
                    <w:top w:val="single" w:color="auto" w:sz="12" w:space="0"/>
                    <w:left w:val="single" w:color="auto" w:sz="12" w:space="0"/>
                    <w:bottom w:val="single" w:color="auto" w:sz="6" w:space="0"/>
                    <w:right w:val="single" w:color="auto" w:sz="6" w:space="0"/>
                  </w:tcBorders>
                  <w:vAlign w:val="center"/>
                </w:tcPr>
                <w:p w14:paraId="1B9FD3C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
                      <w:color w:val="auto"/>
                      <w:sz w:val="22"/>
                      <w:szCs w:val="22"/>
                    </w:rPr>
                  </w:pPr>
                  <w:r>
                    <w:rPr>
                      <w:b/>
                      <w:color w:val="auto"/>
                      <w:sz w:val="22"/>
                      <w:szCs w:val="22"/>
                    </w:rPr>
                    <w:t>类别</w:t>
                  </w:r>
                </w:p>
              </w:tc>
              <w:tc>
                <w:tcPr>
                  <w:tcW w:w="1002" w:type="pct"/>
                  <w:tcBorders>
                    <w:top w:val="single" w:color="auto" w:sz="12" w:space="0"/>
                    <w:left w:val="single" w:color="auto" w:sz="6" w:space="0"/>
                    <w:bottom w:val="single" w:color="auto" w:sz="6" w:space="0"/>
                    <w:right w:val="single" w:color="auto" w:sz="6" w:space="0"/>
                  </w:tcBorders>
                  <w:vAlign w:val="center"/>
                </w:tcPr>
                <w:p w14:paraId="562DB6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
                      <w:color w:val="auto"/>
                      <w:sz w:val="22"/>
                      <w:szCs w:val="22"/>
                    </w:rPr>
                  </w:pPr>
                  <w:r>
                    <w:rPr>
                      <w:rFonts w:hint="eastAsia"/>
                      <w:b/>
                      <w:color w:val="auto"/>
                      <w:sz w:val="22"/>
                      <w:szCs w:val="22"/>
                      <w:lang w:eastAsia="zh-CN"/>
                    </w:rPr>
                    <w:t>保护</w:t>
                  </w:r>
                  <w:r>
                    <w:rPr>
                      <w:b/>
                      <w:color w:val="auto"/>
                      <w:sz w:val="22"/>
                      <w:szCs w:val="22"/>
                    </w:rPr>
                    <w:t>目标</w:t>
                  </w:r>
                </w:p>
              </w:tc>
              <w:tc>
                <w:tcPr>
                  <w:tcW w:w="861" w:type="pct"/>
                  <w:tcBorders>
                    <w:top w:val="single" w:color="auto" w:sz="12" w:space="0"/>
                    <w:left w:val="single" w:color="auto" w:sz="6" w:space="0"/>
                    <w:bottom w:val="single" w:color="auto" w:sz="6" w:space="0"/>
                    <w:right w:val="single" w:color="auto" w:sz="6" w:space="0"/>
                  </w:tcBorders>
                  <w:vAlign w:val="center"/>
                </w:tcPr>
                <w:p w14:paraId="5A75BE2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
                      <w:color w:val="auto"/>
                      <w:sz w:val="22"/>
                      <w:szCs w:val="22"/>
                    </w:rPr>
                  </w:pPr>
                  <w:r>
                    <w:rPr>
                      <w:b/>
                      <w:color w:val="auto"/>
                      <w:sz w:val="22"/>
                      <w:szCs w:val="22"/>
                    </w:rPr>
                    <w:t>相对方位</w:t>
                  </w:r>
                </w:p>
              </w:tc>
              <w:tc>
                <w:tcPr>
                  <w:tcW w:w="968" w:type="pct"/>
                  <w:tcBorders>
                    <w:top w:val="single" w:color="auto" w:sz="12" w:space="0"/>
                    <w:left w:val="single" w:color="auto" w:sz="6" w:space="0"/>
                    <w:bottom w:val="single" w:color="auto" w:sz="6" w:space="0"/>
                    <w:right w:val="single" w:color="auto" w:sz="4" w:space="0"/>
                  </w:tcBorders>
                  <w:vAlign w:val="center"/>
                </w:tcPr>
                <w:p w14:paraId="3F2C5EF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
                      <w:color w:val="auto"/>
                      <w:sz w:val="22"/>
                      <w:szCs w:val="22"/>
                    </w:rPr>
                  </w:pPr>
                  <w:r>
                    <w:rPr>
                      <w:b/>
                      <w:color w:val="auto"/>
                      <w:sz w:val="22"/>
                      <w:szCs w:val="22"/>
                    </w:rPr>
                    <w:t>相对距离（m）</w:t>
                  </w:r>
                </w:p>
              </w:tc>
              <w:tc>
                <w:tcPr>
                  <w:tcW w:w="1333" w:type="pct"/>
                  <w:tcBorders>
                    <w:top w:val="single" w:color="auto" w:sz="12" w:space="0"/>
                    <w:left w:val="single" w:color="auto" w:sz="6" w:space="0"/>
                    <w:bottom w:val="single" w:color="auto" w:sz="6" w:space="0"/>
                    <w:right w:val="single" w:color="auto" w:sz="12" w:space="0"/>
                  </w:tcBorders>
                  <w:vAlign w:val="center"/>
                </w:tcPr>
                <w:p w14:paraId="1997B47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
                      <w:color w:val="auto"/>
                      <w:sz w:val="22"/>
                      <w:szCs w:val="22"/>
                    </w:rPr>
                  </w:pPr>
                  <w:r>
                    <w:rPr>
                      <w:b/>
                      <w:color w:val="auto"/>
                      <w:sz w:val="22"/>
                      <w:szCs w:val="22"/>
                    </w:rPr>
                    <w:t>功能</w:t>
                  </w:r>
                </w:p>
              </w:tc>
            </w:tr>
            <w:tr w14:paraId="112E2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4" w:type="pct"/>
                  <w:vMerge w:val="restart"/>
                  <w:tcBorders>
                    <w:top w:val="single" w:color="auto" w:sz="6" w:space="0"/>
                    <w:left w:val="single" w:color="auto" w:sz="12" w:space="0"/>
                    <w:right w:val="single" w:color="auto" w:sz="6" w:space="0"/>
                  </w:tcBorders>
                  <w:vAlign w:val="center"/>
                </w:tcPr>
                <w:p w14:paraId="46258FB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
                      <w:color w:val="auto"/>
                      <w:sz w:val="22"/>
                      <w:szCs w:val="22"/>
                    </w:rPr>
                  </w:pPr>
                  <w:r>
                    <w:rPr>
                      <w:color w:val="auto"/>
                      <w:sz w:val="22"/>
                      <w:szCs w:val="22"/>
                    </w:rPr>
                    <w:t>空气环境</w:t>
                  </w:r>
                </w:p>
              </w:tc>
              <w:tc>
                <w:tcPr>
                  <w:tcW w:w="1002" w:type="pct"/>
                  <w:tcBorders>
                    <w:top w:val="single" w:color="auto" w:sz="6" w:space="0"/>
                    <w:left w:val="single" w:color="auto" w:sz="6" w:space="0"/>
                    <w:bottom w:val="single" w:color="auto" w:sz="6" w:space="0"/>
                    <w:right w:val="single" w:color="auto" w:sz="6" w:space="0"/>
                  </w:tcBorders>
                  <w:vAlign w:val="center"/>
                </w:tcPr>
                <w:p w14:paraId="66CDDFC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kern w:val="2"/>
                      <w:sz w:val="22"/>
                      <w:szCs w:val="22"/>
                      <w:lang w:val="en-US" w:eastAsia="zh-CN" w:bidi="ar-SA"/>
                    </w:rPr>
                  </w:pPr>
                  <w:r>
                    <w:rPr>
                      <w:rFonts w:hint="eastAsia" w:cs="Times New Roman" w:eastAsiaTheme="minorEastAsia"/>
                      <w:color w:val="auto"/>
                      <w:kern w:val="2"/>
                      <w:sz w:val="22"/>
                      <w:szCs w:val="22"/>
                      <w:lang w:val="en-US" w:eastAsia="zh-CN" w:bidi="ar-SA"/>
                    </w:rPr>
                    <w:t>骆堂村</w:t>
                  </w:r>
                </w:p>
              </w:tc>
              <w:tc>
                <w:tcPr>
                  <w:tcW w:w="861" w:type="pct"/>
                  <w:tcBorders>
                    <w:top w:val="single" w:color="auto" w:sz="6" w:space="0"/>
                    <w:left w:val="single" w:color="auto" w:sz="6" w:space="0"/>
                    <w:bottom w:val="single" w:color="auto" w:sz="6" w:space="0"/>
                    <w:right w:val="single" w:color="auto" w:sz="6" w:space="0"/>
                  </w:tcBorders>
                  <w:vAlign w:val="center"/>
                </w:tcPr>
                <w:p w14:paraId="701CAE5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pacing w:val="8"/>
                      <w:kern w:val="2"/>
                      <w:sz w:val="22"/>
                      <w:szCs w:val="22"/>
                      <w:lang w:val="en-US" w:eastAsia="zh-CN" w:bidi="ar-SA"/>
                    </w:rPr>
                  </w:pPr>
                  <w:r>
                    <w:rPr>
                      <w:rFonts w:hint="eastAsia" w:cs="Times New Roman"/>
                      <w:color w:val="auto"/>
                      <w:spacing w:val="8"/>
                      <w:kern w:val="2"/>
                      <w:sz w:val="22"/>
                      <w:szCs w:val="22"/>
                      <w:lang w:val="en-US" w:eastAsia="zh-CN" w:bidi="ar-SA"/>
                    </w:rPr>
                    <w:t>E</w:t>
                  </w:r>
                </w:p>
              </w:tc>
              <w:tc>
                <w:tcPr>
                  <w:tcW w:w="968" w:type="pct"/>
                  <w:tcBorders>
                    <w:top w:val="single" w:color="auto" w:sz="6" w:space="0"/>
                    <w:left w:val="single" w:color="auto" w:sz="6" w:space="0"/>
                    <w:bottom w:val="single" w:color="auto" w:sz="6" w:space="0"/>
                    <w:right w:val="single" w:color="auto" w:sz="4" w:space="0"/>
                  </w:tcBorders>
                  <w:vAlign w:val="center"/>
                </w:tcPr>
                <w:p w14:paraId="0774098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pacing w:val="8"/>
                      <w:kern w:val="2"/>
                      <w:sz w:val="22"/>
                      <w:szCs w:val="22"/>
                      <w:lang w:val="en-US" w:eastAsia="zh-CN" w:bidi="ar-SA"/>
                    </w:rPr>
                  </w:pPr>
                  <w:r>
                    <w:rPr>
                      <w:rFonts w:hint="eastAsia" w:cs="Times New Roman"/>
                      <w:color w:val="auto"/>
                      <w:spacing w:val="8"/>
                      <w:kern w:val="2"/>
                      <w:sz w:val="22"/>
                      <w:szCs w:val="22"/>
                      <w:lang w:val="en-US" w:eastAsia="zh-CN" w:bidi="ar-SA"/>
                    </w:rPr>
                    <w:t>500</w:t>
                  </w:r>
                </w:p>
              </w:tc>
              <w:tc>
                <w:tcPr>
                  <w:tcW w:w="1333" w:type="pct"/>
                  <w:vMerge w:val="restart"/>
                  <w:tcBorders>
                    <w:top w:val="single" w:color="auto" w:sz="6" w:space="0"/>
                    <w:left w:val="single" w:color="auto" w:sz="6" w:space="0"/>
                    <w:right w:val="single" w:color="auto" w:sz="12" w:space="0"/>
                  </w:tcBorders>
                  <w:vAlign w:val="center"/>
                </w:tcPr>
                <w:p w14:paraId="26C90A6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
                      <w:color w:val="auto"/>
                      <w:sz w:val="22"/>
                      <w:szCs w:val="22"/>
                    </w:rPr>
                  </w:pPr>
                  <w:r>
                    <w:rPr>
                      <w:bCs/>
                      <w:color w:val="auto"/>
                      <w:sz w:val="22"/>
                      <w:szCs w:val="22"/>
                    </w:rPr>
                    <w:t>环境空气质量标准》（GB3095-2012）二级标准</w:t>
                  </w:r>
                  <w:r>
                    <w:rPr>
                      <w:color w:val="auto"/>
                      <w:sz w:val="22"/>
                      <w:szCs w:val="22"/>
                    </w:rPr>
                    <w:t>及其修改单</w:t>
                  </w:r>
                </w:p>
              </w:tc>
            </w:tr>
            <w:tr w14:paraId="68B7F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4" w:type="pct"/>
                  <w:vMerge w:val="continue"/>
                  <w:tcBorders>
                    <w:left w:val="single" w:color="auto" w:sz="12" w:space="0"/>
                    <w:right w:val="single" w:color="auto" w:sz="6" w:space="0"/>
                  </w:tcBorders>
                  <w:vAlign w:val="center"/>
                </w:tcPr>
                <w:p w14:paraId="4C9703C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color w:val="auto"/>
                      <w:sz w:val="22"/>
                      <w:szCs w:val="22"/>
                    </w:rPr>
                  </w:pPr>
                </w:p>
              </w:tc>
              <w:tc>
                <w:tcPr>
                  <w:tcW w:w="1002" w:type="pct"/>
                  <w:tcBorders>
                    <w:top w:val="single" w:color="auto" w:sz="6" w:space="0"/>
                    <w:left w:val="single" w:color="auto" w:sz="6" w:space="0"/>
                    <w:bottom w:val="single" w:color="auto" w:sz="6" w:space="0"/>
                    <w:right w:val="single" w:color="auto" w:sz="6" w:space="0"/>
                  </w:tcBorders>
                  <w:vAlign w:val="center"/>
                </w:tcPr>
                <w:p w14:paraId="300612A1">
                  <w:pPr>
                    <w:keepNext w:val="0"/>
                    <w:keepLines w:val="0"/>
                    <w:pageBreakBefore w:val="0"/>
                    <w:widowControl w:val="0"/>
                    <w:tabs>
                      <w:tab w:val="center" w:pos="861"/>
                      <w:tab w:val="right" w:pos="1602"/>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eastAsiaTheme="minorEastAsia"/>
                      <w:color w:val="auto"/>
                      <w:kern w:val="2"/>
                      <w:sz w:val="22"/>
                      <w:szCs w:val="22"/>
                      <w:lang w:val="en-US" w:eastAsia="zh-CN" w:bidi="ar-SA"/>
                    </w:rPr>
                  </w:pPr>
                  <w:r>
                    <w:rPr>
                      <w:rFonts w:hint="eastAsia" w:cs="Times New Roman" w:eastAsiaTheme="minorEastAsia"/>
                      <w:color w:val="auto"/>
                      <w:kern w:val="2"/>
                      <w:sz w:val="22"/>
                      <w:szCs w:val="22"/>
                      <w:lang w:val="en-US" w:eastAsia="zh-CN" w:bidi="ar-SA"/>
                    </w:rPr>
                    <w:tab/>
                  </w:r>
                  <w:r>
                    <w:rPr>
                      <w:rFonts w:hint="eastAsia" w:cs="Times New Roman" w:eastAsiaTheme="minorEastAsia"/>
                      <w:color w:val="auto"/>
                      <w:kern w:val="2"/>
                      <w:sz w:val="22"/>
                      <w:szCs w:val="22"/>
                      <w:lang w:val="en-US" w:eastAsia="zh-CN" w:bidi="ar-SA"/>
                    </w:rPr>
                    <w:t>焦庄村</w:t>
                  </w:r>
                  <w:r>
                    <w:rPr>
                      <w:rFonts w:hint="eastAsia" w:cs="Times New Roman" w:eastAsiaTheme="minorEastAsia"/>
                      <w:color w:val="auto"/>
                      <w:kern w:val="2"/>
                      <w:sz w:val="22"/>
                      <w:szCs w:val="22"/>
                      <w:lang w:val="en-US" w:eastAsia="zh-CN" w:bidi="ar-SA"/>
                    </w:rPr>
                    <w:tab/>
                  </w:r>
                </w:p>
              </w:tc>
              <w:tc>
                <w:tcPr>
                  <w:tcW w:w="861" w:type="pct"/>
                  <w:tcBorders>
                    <w:top w:val="single" w:color="auto" w:sz="6" w:space="0"/>
                    <w:left w:val="single" w:color="auto" w:sz="6" w:space="0"/>
                    <w:bottom w:val="single" w:color="auto" w:sz="6" w:space="0"/>
                    <w:right w:val="single" w:color="auto" w:sz="6" w:space="0"/>
                  </w:tcBorders>
                  <w:vAlign w:val="center"/>
                </w:tcPr>
                <w:p w14:paraId="439AEAF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pacing w:val="8"/>
                      <w:kern w:val="2"/>
                      <w:sz w:val="22"/>
                      <w:szCs w:val="22"/>
                      <w:lang w:val="en-US" w:eastAsia="zh-CN" w:bidi="ar-SA"/>
                    </w:rPr>
                  </w:pPr>
                  <w:r>
                    <w:rPr>
                      <w:rFonts w:hint="eastAsia" w:cs="Times New Roman"/>
                      <w:color w:val="auto"/>
                      <w:spacing w:val="8"/>
                      <w:kern w:val="2"/>
                      <w:sz w:val="22"/>
                      <w:szCs w:val="22"/>
                      <w:lang w:val="en-US" w:eastAsia="zh-CN" w:bidi="ar-SA"/>
                    </w:rPr>
                    <w:t>S</w:t>
                  </w:r>
                </w:p>
              </w:tc>
              <w:tc>
                <w:tcPr>
                  <w:tcW w:w="968" w:type="pct"/>
                  <w:tcBorders>
                    <w:top w:val="single" w:color="auto" w:sz="6" w:space="0"/>
                    <w:left w:val="single" w:color="auto" w:sz="6" w:space="0"/>
                    <w:bottom w:val="single" w:color="auto" w:sz="6" w:space="0"/>
                    <w:right w:val="single" w:color="auto" w:sz="4" w:space="0"/>
                  </w:tcBorders>
                  <w:vAlign w:val="center"/>
                </w:tcPr>
                <w:p w14:paraId="6FCAEA5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pacing w:val="8"/>
                      <w:kern w:val="2"/>
                      <w:sz w:val="22"/>
                      <w:szCs w:val="22"/>
                      <w:lang w:val="en-US" w:eastAsia="zh-CN" w:bidi="ar-SA"/>
                    </w:rPr>
                  </w:pPr>
                  <w:r>
                    <w:rPr>
                      <w:rFonts w:hint="eastAsia" w:cs="Times New Roman"/>
                      <w:color w:val="auto"/>
                      <w:spacing w:val="8"/>
                      <w:kern w:val="2"/>
                      <w:sz w:val="22"/>
                      <w:szCs w:val="22"/>
                      <w:lang w:val="en-US" w:eastAsia="zh-CN" w:bidi="ar-SA"/>
                    </w:rPr>
                    <w:t>450</w:t>
                  </w:r>
                </w:p>
              </w:tc>
              <w:tc>
                <w:tcPr>
                  <w:tcW w:w="1333" w:type="pct"/>
                  <w:vMerge w:val="continue"/>
                  <w:tcBorders>
                    <w:left w:val="single" w:color="auto" w:sz="6" w:space="0"/>
                    <w:right w:val="single" w:color="auto" w:sz="12" w:space="0"/>
                  </w:tcBorders>
                  <w:vAlign w:val="center"/>
                </w:tcPr>
                <w:p w14:paraId="112140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Cs/>
                      <w:color w:val="auto"/>
                      <w:sz w:val="22"/>
                      <w:szCs w:val="22"/>
                    </w:rPr>
                  </w:pPr>
                </w:p>
              </w:tc>
            </w:tr>
            <w:tr w14:paraId="0EA0D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4" w:type="pct"/>
                  <w:tcBorders>
                    <w:top w:val="single" w:color="auto" w:sz="6" w:space="0"/>
                    <w:left w:val="single" w:color="auto" w:sz="12" w:space="0"/>
                    <w:bottom w:val="single" w:color="auto" w:sz="6" w:space="0"/>
                    <w:right w:val="single" w:color="auto" w:sz="6" w:space="0"/>
                  </w:tcBorders>
                  <w:vAlign w:val="center"/>
                </w:tcPr>
                <w:p w14:paraId="11B88B2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color w:val="auto"/>
                      <w:sz w:val="22"/>
                      <w:szCs w:val="22"/>
                    </w:rPr>
                  </w:pPr>
                  <w:r>
                    <w:rPr>
                      <w:rFonts w:hint="eastAsia"/>
                      <w:color w:val="auto"/>
                      <w:sz w:val="22"/>
                      <w:szCs w:val="22"/>
                      <w:lang w:eastAsia="zh-CN"/>
                    </w:rPr>
                    <w:t>地表</w:t>
                  </w:r>
                  <w:r>
                    <w:rPr>
                      <w:color w:val="auto"/>
                      <w:sz w:val="22"/>
                      <w:szCs w:val="22"/>
                    </w:rPr>
                    <w:t>水环境</w:t>
                  </w:r>
                </w:p>
              </w:tc>
              <w:tc>
                <w:tcPr>
                  <w:tcW w:w="1002" w:type="pct"/>
                  <w:tcBorders>
                    <w:top w:val="single" w:color="auto" w:sz="6" w:space="0"/>
                    <w:left w:val="single" w:color="auto" w:sz="6" w:space="0"/>
                    <w:bottom w:val="single" w:color="auto" w:sz="6" w:space="0"/>
                    <w:right w:val="single" w:color="auto" w:sz="6" w:space="0"/>
                  </w:tcBorders>
                  <w:vAlign w:val="center"/>
                </w:tcPr>
                <w:p w14:paraId="0C84643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eastAsia="宋体"/>
                      <w:color w:val="auto"/>
                      <w:spacing w:val="8"/>
                      <w:sz w:val="22"/>
                      <w:szCs w:val="22"/>
                      <w:lang w:val="en-US" w:eastAsia="zh-CN"/>
                    </w:rPr>
                  </w:pPr>
                  <w:r>
                    <w:rPr>
                      <w:rFonts w:hint="eastAsia"/>
                      <w:color w:val="auto"/>
                      <w:spacing w:val="8"/>
                      <w:sz w:val="22"/>
                      <w:szCs w:val="22"/>
                      <w:lang w:val="en-US" w:eastAsia="zh-CN"/>
                    </w:rPr>
                    <w:t>前进河</w:t>
                  </w:r>
                </w:p>
              </w:tc>
              <w:tc>
                <w:tcPr>
                  <w:tcW w:w="861" w:type="pct"/>
                  <w:tcBorders>
                    <w:top w:val="single" w:color="auto" w:sz="6" w:space="0"/>
                    <w:left w:val="single" w:color="auto" w:sz="6" w:space="0"/>
                    <w:bottom w:val="single" w:color="auto" w:sz="6" w:space="0"/>
                    <w:right w:val="single" w:color="auto" w:sz="6" w:space="0"/>
                  </w:tcBorders>
                  <w:vAlign w:val="center"/>
                </w:tcPr>
                <w:p w14:paraId="2C225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eastAsia="宋体"/>
                      <w:color w:val="auto"/>
                      <w:spacing w:val="8"/>
                      <w:sz w:val="22"/>
                      <w:szCs w:val="22"/>
                      <w:lang w:eastAsia="zh-CN"/>
                    </w:rPr>
                  </w:pPr>
                  <w:r>
                    <w:rPr>
                      <w:rFonts w:hint="eastAsia"/>
                      <w:color w:val="auto"/>
                      <w:spacing w:val="8"/>
                      <w:sz w:val="22"/>
                      <w:szCs w:val="22"/>
                      <w:lang w:val="en-US" w:eastAsia="zh-CN"/>
                    </w:rPr>
                    <w:t>W</w:t>
                  </w:r>
                </w:p>
              </w:tc>
              <w:tc>
                <w:tcPr>
                  <w:tcW w:w="968" w:type="pct"/>
                  <w:tcBorders>
                    <w:top w:val="single" w:color="auto" w:sz="6" w:space="0"/>
                    <w:left w:val="single" w:color="auto" w:sz="6" w:space="0"/>
                    <w:bottom w:val="single" w:color="auto" w:sz="6" w:space="0"/>
                    <w:right w:val="single" w:color="auto" w:sz="6" w:space="0"/>
                  </w:tcBorders>
                  <w:vAlign w:val="center"/>
                </w:tcPr>
                <w:p w14:paraId="5899EED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eastAsia="宋体"/>
                      <w:color w:val="auto"/>
                      <w:spacing w:val="8"/>
                      <w:sz w:val="22"/>
                      <w:szCs w:val="22"/>
                      <w:lang w:val="en-US" w:eastAsia="zh-CN"/>
                    </w:rPr>
                  </w:pPr>
                  <w:r>
                    <w:rPr>
                      <w:rFonts w:hint="eastAsia"/>
                      <w:color w:val="auto"/>
                      <w:spacing w:val="8"/>
                      <w:sz w:val="22"/>
                      <w:szCs w:val="22"/>
                      <w:lang w:val="en-US" w:eastAsia="zh-CN"/>
                    </w:rPr>
                    <w:t>550</w:t>
                  </w:r>
                </w:p>
              </w:tc>
              <w:tc>
                <w:tcPr>
                  <w:tcW w:w="1333" w:type="pct"/>
                  <w:tcBorders>
                    <w:top w:val="single" w:color="auto" w:sz="6" w:space="0"/>
                    <w:left w:val="single" w:color="auto" w:sz="6" w:space="0"/>
                    <w:bottom w:val="single" w:color="auto" w:sz="6" w:space="0"/>
                    <w:right w:val="single" w:color="auto" w:sz="12" w:space="0"/>
                  </w:tcBorders>
                  <w:vAlign w:val="center"/>
                </w:tcPr>
                <w:p w14:paraId="4B9022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Cs/>
                      <w:color w:val="auto"/>
                      <w:sz w:val="22"/>
                      <w:szCs w:val="22"/>
                    </w:rPr>
                  </w:pPr>
                  <w:r>
                    <w:rPr>
                      <w:bCs/>
                      <w:color w:val="auto"/>
                      <w:sz w:val="22"/>
                      <w:szCs w:val="22"/>
                    </w:rPr>
                    <w:t>《地表水环境质量标准》（GB3838-2002）</w:t>
                  </w:r>
                  <w:r>
                    <w:rPr>
                      <w:bCs/>
                      <w:color w:val="auto"/>
                      <w:sz w:val="22"/>
                      <w:szCs w:val="22"/>
                    </w:rPr>
                    <w:fldChar w:fldCharType="begin"/>
                  </w:r>
                  <w:r>
                    <w:rPr>
                      <w:bCs/>
                      <w:color w:val="auto"/>
                      <w:sz w:val="22"/>
                      <w:szCs w:val="22"/>
                    </w:rPr>
                    <w:instrText xml:space="preserve">= 4 \* ROMAN</w:instrText>
                  </w:r>
                  <w:r>
                    <w:rPr>
                      <w:bCs/>
                      <w:color w:val="auto"/>
                      <w:sz w:val="22"/>
                      <w:szCs w:val="22"/>
                    </w:rPr>
                    <w:fldChar w:fldCharType="separate"/>
                  </w:r>
                  <w:r>
                    <w:rPr>
                      <w:color w:val="auto"/>
                      <w:sz w:val="22"/>
                      <w:szCs w:val="22"/>
                    </w:rPr>
                    <w:t>Ⅲ</w:t>
                  </w:r>
                  <w:r>
                    <w:rPr>
                      <w:bCs/>
                      <w:color w:val="auto"/>
                      <w:sz w:val="22"/>
                      <w:szCs w:val="22"/>
                    </w:rPr>
                    <w:fldChar w:fldCharType="end"/>
                  </w:r>
                  <w:r>
                    <w:rPr>
                      <w:bCs/>
                      <w:color w:val="auto"/>
                      <w:sz w:val="22"/>
                      <w:szCs w:val="22"/>
                    </w:rPr>
                    <w:t>类</w:t>
                  </w:r>
                </w:p>
              </w:tc>
            </w:tr>
            <w:tr w14:paraId="2F63D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4" w:type="pct"/>
                  <w:tcBorders>
                    <w:top w:val="single" w:color="auto" w:sz="6" w:space="0"/>
                    <w:left w:val="single" w:color="auto" w:sz="12" w:space="0"/>
                    <w:bottom w:val="single" w:color="auto" w:sz="6" w:space="0"/>
                    <w:right w:val="single" w:color="auto" w:sz="6" w:space="0"/>
                  </w:tcBorders>
                  <w:vAlign w:val="center"/>
                </w:tcPr>
                <w:p w14:paraId="09251F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color w:val="auto"/>
                      <w:sz w:val="22"/>
                      <w:szCs w:val="22"/>
                    </w:rPr>
                  </w:pPr>
                  <w:r>
                    <w:rPr>
                      <w:color w:val="auto"/>
                      <w:sz w:val="22"/>
                      <w:szCs w:val="22"/>
                    </w:rPr>
                    <w:t>声环境</w:t>
                  </w:r>
                </w:p>
              </w:tc>
              <w:tc>
                <w:tcPr>
                  <w:tcW w:w="2832" w:type="pct"/>
                  <w:gridSpan w:val="3"/>
                  <w:tcBorders>
                    <w:top w:val="single" w:color="auto" w:sz="6" w:space="0"/>
                    <w:left w:val="single" w:color="auto" w:sz="6" w:space="0"/>
                    <w:bottom w:val="single" w:color="auto" w:sz="6" w:space="0"/>
                    <w:right w:val="single" w:color="auto" w:sz="6" w:space="0"/>
                  </w:tcBorders>
                  <w:vAlign w:val="center"/>
                </w:tcPr>
                <w:p w14:paraId="6CF3B5E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color w:val="auto"/>
                      <w:sz w:val="22"/>
                      <w:szCs w:val="22"/>
                    </w:rPr>
                  </w:pPr>
                  <w:r>
                    <w:rPr>
                      <w:color w:val="auto"/>
                      <w:sz w:val="22"/>
                      <w:szCs w:val="22"/>
                    </w:rPr>
                    <w:t>项目</w:t>
                  </w:r>
                  <w:r>
                    <w:rPr>
                      <w:rFonts w:hint="eastAsia"/>
                      <w:color w:val="auto"/>
                      <w:sz w:val="22"/>
                      <w:szCs w:val="22"/>
                      <w:lang w:eastAsia="zh-CN"/>
                    </w:rPr>
                    <w:t>厂界外</w:t>
                  </w:r>
                  <w:r>
                    <w:rPr>
                      <w:color w:val="auto"/>
                      <w:sz w:val="22"/>
                      <w:szCs w:val="22"/>
                    </w:rPr>
                    <w:t>50米范围内无</w:t>
                  </w:r>
                  <w:r>
                    <w:rPr>
                      <w:rFonts w:hint="eastAsia"/>
                      <w:color w:val="auto"/>
                      <w:sz w:val="22"/>
                      <w:szCs w:val="22"/>
                      <w:lang w:eastAsia="zh-CN"/>
                    </w:rPr>
                    <w:t>声环境</w:t>
                  </w:r>
                  <w:r>
                    <w:rPr>
                      <w:color w:val="auto"/>
                      <w:sz w:val="22"/>
                      <w:szCs w:val="22"/>
                    </w:rPr>
                    <w:t>敏感保护目标</w:t>
                  </w:r>
                </w:p>
              </w:tc>
              <w:tc>
                <w:tcPr>
                  <w:tcW w:w="1333" w:type="pct"/>
                  <w:tcBorders>
                    <w:top w:val="single" w:color="auto" w:sz="6" w:space="0"/>
                    <w:left w:val="single" w:color="auto" w:sz="6" w:space="0"/>
                    <w:bottom w:val="single" w:color="auto" w:sz="6" w:space="0"/>
                    <w:right w:val="single" w:color="auto" w:sz="12" w:space="0"/>
                  </w:tcBorders>
                  <w:vAlign w:val="center"/>
                </w:tcPr>
                <w:p w14:paraId="23EDE62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Cs/>
                      <w:color w:val="auto"/>
                      <w:sz w:val="22"/>
                      <w:szCs w:val="22"/>
                    </w:rPr>
                  </w:pPr>
                  <w:r>
                    <w:rPr>
                      <w:bCs/>
                      <w:color w:val="auto"/>
                      <w:sz w:val="22"/>
                      <w:szCs w:val="22"/>
                    </w:rPr>
                    <w:t>《声环境质量标准》（GB3096-2008）</w:t>
                  </w:r>
                  <w:r>
                    <w:rPr>
                      <w:rFonts w:hint="eastAsia"/>
                      <w:bCs/>
                      <w:color w:val="auto"/>
                      <w:sz w:val="22"/>
                      <w:szCs w:val="22"/>
                      <w:lang w:val="en-US" w:eastAsia="zh-CN"/>
                    </w:rPr>
                    <w:t>2</w:t>
                  </w:r>
                  <w:r>
                    <w:rPr>
                      <w:bCs/>
                      <w:color w:val="auto"/>
                      <w:sz w:val="22"/>
                      <w:szCs w:val="22"/>
                    </w:rPr>
                    <w:t>类</w:t>
                  </w:r>
                </w:p>
              </w:tc>
            </w:tr>
            <w:tr w14:paraId="69C55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4" w:type="pct"/>
                  <w:tcBorders>
                    <w:top w:val="single" w:color="auto" w:sz="6" w:space="0"/>
                    <w:left w:val="single" w:color="auto" w:sz="12" w:space="0"/>
                    <w:bottom w:val="single" w:color="auto" w:sz="6" w:space="0"/>
                    <w:right w:val="single" w:color="auto" w:sz="6" w:space="0"/>
                  </w:tcBorders>
                  <w:vAlign w:val="center"/>
                </w:tcPr>
                <w:p w14:paraId="727B8BF0">
                  <w:pPr>
                    <w:pStyle w:val="27"/>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color w:val="auto"/>
                      <w:sz w:val="22"/>
                      <w:szCs w:val="22"/>
                    </w:rPr>
                  </w:pPr>
                  <w:r>
                    <w:rPr>
                      <w:color w:val="auto"/>
                      <w:sz w:val="22"/>
                      <w:szCs w:val="22"/>
                    </w:rPr>
                    <w:t>地下水</w:t>
                  </w:r>
                </w:p>
              </w:tc>
              <w:tc>
                <w:tcPr>
                  <w:tcW w:w="2832" w:type="pct"/>
                  <w:gridSpan w:val="3"/>
                  <w:tcBorders>
                    <w:top w:val="single" w:color="auto" w:sz="6" w:space="0"/>
                    <w:left w:val="single" w:color="auto" w:sz="6" w:space="0"/>
                    <w:bottom w:val="single" w:color="auto" w:sz="6" w:space="0"/>
                    <w:right w:val="single" w:color="auto" w:sz="6" w:space="0"/>
                  </w:tcBorders>
                  <w:vAlign w:val="center"/>
                </w:tcPr>
                <w:p w14:paraId="65D2C5E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color w:val="auto"/>
                      <w:sz w:val="22"/>
                      <w:szCs w:val="22"/>
                      <w:lang w:val="en-US" w:eastAsia="zh-CN"/>
                    </w:rPr>
                  </w:pPr>
                  <w:r>
                    <w:rPr>
                      <w:rFonts w:hint="default" w:ascii="Times New Roman" w:hAnsi="Times New Roman" w:cs="Times New Roman" w:eastAsiaTheme="minorEastAsia"/>
                      <w:color w:val="auto"/>
                      <w:sz w:val="22"/>
                      <w:szCs w:val="22"/>
                      <w:lang w:val="en-US" w:eastAsia="zh-CN"/>
                    </w:rPr>
                    <w:t>项目厂界外500m范围内无地下水集中式饮用水源和热水、矿泉水、温泉等特殊地下水资源</w:t>
                  </w:r>
                </w:p>
              </w:tc>
              <w:tc>
                <w:tcPr>
                  <w:tcW w:w="1333" w:type="pct"/>
                  <w:tcBorders>
                    <w:top w:val="single" w:color="auto" w:sz="6" w:space="0"/>
                    <w:left w:val="single" w:color="auto" w:sz="6" w:space="0"/>
                    <w:bottom w:val="single" w:color="auto" w:sz="6" w:space="0"/>
                    <w:right w:val="single" w:color="auto" w:sz="12" w:space="0"/>
                  </w:tcBorders>
                  <w:vAlign w:val="center"/>
                </w:tcPr>
                <w:p w14:paraId="539F95A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Cs/>
                      <w:color w:val="auto"/>
                      <w:sz w:val="22"/>
                      <w:szCs w:val="22"/>
                    </w:rPr>
                  </w:pPr>
                  <w:r>
                    <w:rPr>
                      <w:color w:val="auto"/>
                      <w:sz w:val="22"/>
                      <w:szCs w:val="22"/>
                    </w:rPr>
                    <w:t>《地下水质量标准》(GB/T14848-2017)Ⅲ类</w:t>
                  </w:r>
                </w:p>
              </w:tc>
            </w:tr>
            <w:tr w14:paraId="4EF4C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4" w:type="pct"/>
                  <w:tcBorders>
                    <w:top w:val="single" w:color="auto" w:sz="6" w:space="0"/>
                    <w:left w:val="single" w:color="auto" w:sz="12" w:space="0"/>
                    <w:bottom w:val="single" w:color="auto" w:sz="12" w:space="0"/>
                    <w:right w:val="single" w:color="auto" w:sz="6" w:space="0"/>
                  </w:tcBorders>
                  <w:vAlign w:val="center"/>
                </w:tcPr>
                <w:p w14:paraId="4D6C09C1">
                  <w:pPr>
                    <w:pStyle w:val="27"/>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color w:val="auto"/>
                      <w:sz w:val="22"/>
                      <w:szCs w:val="22"/>
                    </w:rPr>
                  </w:pPr>
                  <w:r>
                    <w:rPr>
                      <w:rFonts w:hint="eastAsia"/>
                      <w:color w:val="auto"/>
                      <w:sz w:val="22"/>
                      <w:szCs w:val="22"/>
                    </w:rPr>
                    <w:t>生态环境</w:t>
                  </w:r>
                </w:p>
              </w:tc>
              <w:tc>
                <w:tcPr>
                  <w:tcW w:w="4165" w:type="pct"/>
                  <w:gridSpan w:val="4"/>
                  <w:tcBorders>
                    <w:top w:val="single" w:color="auto" w:sz="6" w:space="0"/>
                    <w:left w:val="single" w:color="auto" w:sz="6" w:space="0"/>
                    <w:bottom w:val="single" w:color="auto" w:sz="12" w:space="0"/>
                    <w:right w:val="single" w:color="auto" w:sz="12" w:space="0"/>
                  </w:tcBorders>
                  <w:vAlign w:val="center"/>
                </w:tcPr>
                <w:p w14:paraId="3098CA1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eastAsia="宋体"/>
                      <w:color w:val="auto"/>
                      <w:sz w:val="22"/>
                      <w:szCs w:val="22"/>
                      <w:lang w:eastAsia="zh-CN"/>
                    </w:rPr>
                  </w:pPr>
                  <w:r>
                    <w:rPr>
                      <w:rFonts w:hint="eastAsia"/>
                      <w:color w:val="auto"/>
                      <w:sz w:val="22"/>
                      <w:szCs w:val="22"/>
                    </w:rPr>
                    <w:t>本项目租赁现有</w:t>
                  </w:r>
                  <w:r>
                    <w:rPr>
                      <w:rFonts w:hint="eastAsia"/>
                      <w:color w:val="auto"/>
                      <w:sz w:val="22"/>
                      <w:szCs w:val="22"/>
                      <w:lang w:val="en-US" w:eastAsia="zh-CN"/>
                    </w:rPr>
                    <w:t>闲置厂房</w:t>
                  </w:r>
                  <w:r>
                    <w:rPr>
                      <w:rFonts w:hint="eastAsia"/>
                      <w:color w:val="auto"/>
                      <w:sz w:val="22"/>
                      <w:szCs w:val="22"/>
                      <w:lang w:eastAsia="zh-CN"/>
                    </w:rPr>
                    <w:t>建设</w:t>
                  </w:r>
                  <w:r>
                    <w:rPr>
                      <w:rFonts w:hint="eastAsia"/>
                      <w:color w:val="auto"/>
                      <w:sz w:val="22"/>
                      <w:szCs w:val="22"/>
                    </w:rPr>
                    <w:t>，用地范围内无生态环境保护目标</w:t>
                  </w:r>
                  <w:r>
                    <w:rPr>
                      <w:rFonts w:hint="eastAsia"/>
                      <w:color w:val="auto"/>
                      <w:sz w:val="22"/>
                      <w:szCs w:val="22"/>
                      <w:lang w:eastAsia="zh-CN"/>
                    </w:rPr>
                    <w:t>。</w:t>
                  </w:r>
                </w:p>
              </w:tc>
            </w:tr>
          </w:tbl>
          <w:p w14:paraId="254F0116">
            <w:pPr>
              <w:pStyle w:val="23"/>
              <w:rPr>
                <w:rFonts w:ascii="Times New Roman"/>
                <w:color w:val="auto"/>
              </w:rPr>
            </w:pPr>
          </w:p>
        </w:tc>
      </w:tr>
      <w:tr w14:paraId="4C77F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575" w:type="dxa"/>
            <w:tcBorders>
              <w:tl2br w:val="nil"/>
              <w:tr2bl w:val="nil"/>
            </w:tcBorders>
            <w:tcMar>
              <w:left w:w="28" w:type="dxa"/>
              <w:right w:w="28" w:type="dxa"/>
            </w:tcMar>
            <w:vAlign w:val="center"/>
          </w:tcPr>
          <w:p w14:paraId="31A4B8D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污染</w:t>
            </w:r>
          </w:p>
          <w:p w14:paraId="266BEDE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物排</w:t>
            </w:r>
          </w:p>
          <w:p w14:paraId="505A785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放控</w:t>
            </w:r>
          </w:p>
          <w:p w14:paraId="6076E6A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制标</w:t>
            </w:r>
          </w:p>
          <w:p w14:paraId="14D062DB">
            <w:pPr>
              <w:adjustRightInd w:val="0"/>
              <w:snapToGrid w:val="0"/>
              <w:ind w:left="0" w:leftChars="0" w:firstLine="0" w:firstLineChars="0"/>
              <w:jc w:val="center"/>
              <w:rPr>
                <w:color w:val="auto"/>
                <w:kern w:val="0"/>
                <w:szCs w:val="21"/>
              </w:rPr>
            </w:pPr>
            <w:r>
              <w:rPr>
                <w:color w:val="auto"/>
                <w:kern w:val="0"/>
                <w:sz w:val="21"/>
                <w:szCs w:val="18"/>
              </w:rPr>
              <w:t>准</w:t>
            </w:r>
          </w:p>
        </w:tc>
        <w:tc>
          <w:tcPr>
            <w:tcW w:w="9439" w:type="dxa"/>
            <w:tcBorders>
              <w:tl2br w:val="nil"/>
              <w:tr2bl w:val="nil"/>
            </w:tcBorders>
            <w:vAlign w:val="center"/>
          </w:tcPr>
          <w:p w14:paraId="4CF6695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right="0" w:firstLine="480" w:firstLineChars="200"/>
              <w:jc w:val="both"/>
              <w:textAlignment w:val="auto"/>
              <w:rPr>
                <w:rFonts w:hint="default" w:ascii="Times New Roman" w:hAnsi="Times New Roman" w:eastAsia="宋体" w:cs="Times New Roman"/>
                <w:color w:val="auto"/>
                <w:sz w:val="24"/>
                <w:szCs w:val="22"/>
                <w:lang w:val="en-US" w:eastAsia="zh-CN"/>
              </w:rPr>
            </w:pPr>
          </w:p>
          <w:p w14:paraId="4208881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right="0" w:firstLine="480" w:firstLineChars="200"/>
              <w:jc w:val="both"/>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废水：</w:t>
            </w:r>
            <w:r>
              <w:rPr>
                <w:rFonts w:hint="eastAsia" w:cs="Times New Roman"/>
                <w:color w:val="auto"/>
                <w:sz w:val="24"/>
                <w:szCs w:val="22"/>
                <w:lang w:val="en-US" w:eastAsia="zh-CN"/>
              </w:rPr>
              <w:t>项目无废水外排。</w:t>
            </w:r>
          </w:p>
          <w:p w14:paraId="1E111CB1">
            <w:pPr>
              <w:keepNext w:val="0"/>
              <w:keepLines w:val="0"/>
              <w:widowControl/>
              <w:suppressLineNumbers w:val="0"/>
              <w:ind w:left="0" w:leftChars="0" w:firstLine="480" w:firstLineChars="200"/>
              <w:jc w:val="both"/>
              <w:rPr>
                <w:rFonts w:ascii="Times New Roman" w:hAnsi="Times New Roman" w:cs="Times New Roman"/>
                <w:color w:val="auto"/>
                <w:sz w:val="24"/>
                <w:szCs w:val="22"/>
              </w:rPr>
            </w:pPr>
          </w:p>
          <w:p w14:paraId="7870F859">
            <w:pPr>
              <w:keepNext w:val="0"/>
              <w:keepLines w:val="0"/>
              <w:widowControl/>
              <w:suppressLineNumbers w:val="0"/>
              <w:ind w:left="0" w:leftChars="0" w:firstLine="480" w:firstLineChars="200"/>
              <w:jc w:val="both"/>
            </w:pPr>
            <w:r>
              <w:rPr>
                <w:rFonts w:ascii="Times New Roman" w:hAnsi="Times New Roman" w:cs="Times New Roman"/>
                <w:color w:val="auto"/>
                <w:sz w:val="24"/>
                <w:szCs w:val="22"/>
              </w:rPr>
              <w:t>废气：</w:t>
            </w:r>
            <w:r>
              <w:rPr>
                <w:rFonts w:hint="eastAsia" w:ascii="Times New Roman" w:hAnsi="Times New Roman" w:eastAsia="宋体" w:cs="Times New Roman"/>
                <w:color w:val="auto"/>
                <w:sz w:val="24"/>
                <w:szCs w:val="22"/>
                <w:lang w:val="en-US" w:eastAsia="zh-CN"/>
              </w:rPr>
              <w:t>有组织颗粒物排放浓度执行</w:t>
            </w:r>
            <w:r>
              <w:rPr>
                <w:rFonts w:hint="eastAsia" w:ascii="宋体" w:hAnsi="宋体" w:eastAsia="宋体" w:cs="宋体"/>
                <w:color w:val="000000"/>
                <w:kern w:val="0"/>
                <w:sz w:val="24"/>
                <w:szCs w:val="24"/>
                <w:lang w:val="en-US" w:eastAsia="zh-CN" w:bidi="ar"/>
              </w:rPr>
              <w:t xml:space="preserve">《 建 材 工 业 大 气 污 染 物 排 放 标 准 》 </w:t>
            </w:r>
          </w:p>
          <w:p w14:paraId="5967A64A">
            <w:pPr>
              <w:keepNext w:val="0"/>
              <w:keepLines w:val="0"/>
              <w:widowControl/>
              <w:suppressLineNumbers w:val="0"/>
              <w:ind w:left="0" w:leftChars="0" w:firstLine="0" w:firstLineChars="0"/>
              <w:jc w:val="both"/>
              <w:rPr>
                <w:rFonts w:hint="eastAsia" w:ascii="Times New Roman" w:hAnsi="Times New Roman" w:eastAsia="宋体" w:cs="Times New Roman"/>
                <w:color w:val="auto"/>
                <w:sz w:val="24"/>
                <w:szCs w:val="22"/>
                <w:lang w:val="en-US" w:eastAsia="zh-CN"/>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DB37/2373-2018</w:t>
            </w:r>
            <w:r>
              <w:rPr>
                <w:rFonts w:hint="eastAsia" w:ascii="宋体" w:hAnsi="宋体" w:eastAsia="宋体" w:cs="宋体"/>
                <w:color w:val="0000FF"/>
                <w:kern w:val="0"/>
                <w:sz w:val="24"/>
                <w:szCs w:val="24"/>
                <w:lang w:val="en-US" w:eastAsia="zh-CN" w:bidi="ar"/>
              </w:rPr>
              <w:t>）表</w:t>
            </w:r>
            <w:r>
              <w:rPr>
                <w:rFonts w:hint="default" w:ascii="Times New Roman" w:hAnsi="Times New Roman" w:eastAsia="宋体" w:cs="Times New Roman"/>
                <w:color w:val="0000FF"/>
                <w:kern w:val="0"/>
                <w:sz w:val="24"/>
                <w:szCs w:val="24"/>
                <w:lang w:val="en-US" w:eastAsia="zh-CN" w:bidi="ar"/>
              </w:rPr>
              <w:t>2</w:t>
            </w:r>
            <w:r>
              <w:rPr>
                <w:rFonts w:hint="eastAsia" w:ascii="宋体" w:hAnsi="宋体" w:cs="宋体"/>
                <w:color w:val="0000FF"/>
                <w:kern w:val="0"/>
                <w:sz w:val="24"/>
                <w:szCs w:val="24"/>
                <w:lang w:val="en-US" w:eastAsia="zh-CN" w:bidi="ar"/>
              </w:rPr>
              <w:t>重点控制区</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排放</w:t>
            </w:r>
            <w:r>
              <w:rPr>
                <w:rFonts w:hint="eastAsia" w:ascii="宋体" w:hAnsi="宋体" w:eastAsia="宋体" w:cs="宋体"/>
                <w:color w:val="000000"/>
                <w:kern w:val="0"/>
                <w:sz w:val="24"/>
                <w:szCs w:val="24"/>
                <w:lang w:val="en-US" w:eastAsia="zh-CN" w:bidi="ar"/>
              </w:rPr>
              <w:t xml:space="preserve">速率执行《大气污染物综合排放标准》 </w:t>
            </w:r>
            <w:r>
              <w:rPr>
                <w:rFonts w:hint="default" w:ascii="Times New Roman" w:hAnsi="Times New Roman" w:eastAsia="宋体" w:cs="Times New Roman"/>
                <w:color w:val="000000"/>
                <w:kern w:val="0"/>
                <w:sz w:val="24"/>
                <w:szCs w:val="24"/>
                <w:lang w:val="en-US" w:eastAsia="zh-CN" w:bidi="ar"/>
              </w:rPr>
              <w:t>(GB16297-1996)</w:t>
            </w:r>
            <w:r>
              <w:rPr>
                <w:rFonts w:hint="eastAsia" w:ascii="宋体" w:hAnsi="宋体" w:eastAsia="宋体" w:cs="宋体"/>
                <w:color w:val="000000"/>
                <w:kern w:val="0"/>
                <w:sz w:val="24"/>
                <w:szCs w:val="24"/>
                <w:lang w:val="en-US" w:eastAsia="zh-CN" w:bidi="ar"/>
              </w:rPr>
              <w:t>表</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二级标准要求；</w:t>
            </w:r>
            <w:r>
              <w:rPr>
                <w:rFonts w:hint="eastAsia" w:ascii="Times New Roman" w:hAnsi="Times New Roman" w:eastAsia="宋体" w:cs="Times New Roman"/>
                <w:color w:val="auto"/>
                <w:sz w:val="24"/>
                <w:szCs w:val="22"/>
                <w:lang w:val="en-US" w:eastAsia="zh-CN"/>
              </w:rPr>
              <w:t>无组织颗粒物排放浓度执行</w:t>
            </w:r>
            <w:r>
              <w:rPr>
                <w:rFonts w:hint="default" w:ascii="Times New Roman" w:hAnsi="Times New Roman" w:eastAsia="宋体" w:cs="Times New Roman"/>
                <w:color w:val="auto"/>
                <w:sz w:val="24"/>
                <w:szCs w:val="22"/>
                <w:lang w:val="en-US" w:eastAsia="zh-CN"/>
              </w:rPr>
              <w:t>《建材工业大气污染物排放标准》（DB37/2373-201</w:t>
            </w:r>
            <w:r>
              <w:rPr>
                <w:rFonts w:hint="eastAsia" w:ascii="Times New Roman" w:hAnsi="Times New Roman" w:eastAsia="宋体" w:cs="Times New Roman"/>
                <w:color w:val="auto"/>
                <w:sz w:val="24"/>
                <w:szCs w:val="22"/>
                <w:lang w:val="en-US" w:eastAsia="zh-CN"/>
              </w:rPr>
              <w:t>8</w:t>
            </w:r>
            <w:r>
              <w:rPr>
                <w:rFonts w:hint="default" w:ascii="Times New Roman" w:hAnsi="Times New Roman" w:eastAsia="宋体" w:cs="Times New Roman"/>
                <w:color w:val="auto"/>
                <w:sz w:val="24"/>
                <w:szCs w:val="22"/>
                <w:lang w:val="en-US" w:eastAsia="zh-CN"/>
              </w:rPr>
              <w:t>）</w:t>
            </w:r>
            <w:r>
              <w:rPr>
                <w:rFonts w:hint="eastAsia" w:cs="Times New Roman"/>
                <w:color w:val="auto"/>
                <w:sz w:val="24"/>
                <w:szCs w:val="22"/>
                <w:lang w:val="en-US" w:eastAsia="zh-CN"/>
              </w:rPr>
              <w:t>表3无组织排放限值。</w:t>
            </w:r>
          </w:p>
          <w:p w14:paraId="4BA9AB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color w:val="auto"/>
                <w:sz w:val="24"/>
                <w:szCs w:val="22"/>
                <w:lang w:eastAsia="zh-CN"/>
              </w:rPr>
            </w:pPr>
            <w:r>
              <w:rPr>
                <w:b/>
                <w:color w:val="auto"/>
                <w:sz w:val="24"/>
                <w:szCs w:val="22"/>
              </w:rPr>
              <w:t>表</w:t>
            </w:r>
            <w:r>
              <w:rPr>
                <w:rFonts w:hint="eastAsia"/>
                <w:b/>
                <w:color w:val="auto"/>
                <w:sz w:val="24"/>
                <w:szCs w:val="22"/>
              </w:rPr>
              <w:t>3</w:t>
            </w:r>
            <w:r>
              <w:rPr>
                <w:b/>
                <w:color w:val="auto"/>
                <w:sz w:val="24"/>
                <w:szCs w:val="22"/>
              </w:rPr>
              <w:t>-</w:t>
            </w:r>
            <w:r>
              <w:rPr>
                <w:rFonts w:hint="eastAsia"/>
                <w:b/>
                <w:color w:val="auto"/>
                <w:sz w:val="24"/>
                <w:szCs w:val="22"/>
                <w:lang w:val="en-US" w:eastAsia="zh-CN"/>
              </w:rPr>
              <w:t xml:space="preserve">5 </w:t>
            </w:r>
            <w:r>
              <w:rPr>
                <w:b/>
                <w:color w:val="auto"/>
                <w:sz w:val="24"/>
                <w:szCs w:val="22"/>
              </w:rPr>
              <w:t>大气污染物排放标准</w:t>
            </w:r>
            <w:r>
              <w:rPr>
                <w:rFonts w:hint="eastAsia"/>
                <w:b/>
                <w:color w:val="auto"/>
                <w:sz w:val="24"/>
                <w:szCs w:val="22"/>
                <w:lang w:eastAsia="zh-CN"/>
              </w:rPr>
              <w:t>一览表</w:t>
            </w:r>
          </w:p>
          <w:tbl>
            <w:tblPr>
              <w:tblStyle w:val="33"/>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045"/>
              <w:gridCol w:w="997"/>
              <w:gridCol w:w="1233"/>
              <w:gridCol w:w="1581"/>
              <w:gridCol w:w="3264"/>
            </w:tblGrid>
            <w:tr w14:paraId="16440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951" w:type="dxa"/>
                  <w:vMerge w:val="restart"/>
                  <w:tcBorders>
                    <w:tl2br w:val="nil"/>
                    <w:tr2bl w:val="nil"/>
                  </w:tcBorders>
                  <w:noWrap w:val="0"/>
                  <w:vAlign w:val="center"/>
                </w:tcPr>
                <w:p w14:paraId="37B7B29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污染物</w:t>
                  </w:r>
                </w:p>
              </w:tc>
              <w:tc>
                <w:tcPr>
                  <w:tcW w:w="2042" w:type="dxa"/>
                  <w:gridSpan w:val="2"/>
                  <w:tcBorders>
                    <w:tl2br w:val="nil"/>
                    <w:tr2bl w:val="nil"/>
                  </w:tcBorders>
                  <w:noWrap w:val="0"/>
                  <w:vAlign w:val="center"/>
                </w:tcPr>
                <w:p w14:paraId="56C1A72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最高允许排放速率（kg/h）</w:t>
                  </w:r>
                </w:p>
              </w:tc>
              <w:tc>
                <w:tcPr>
                  <w:tcW w:w="1233" w:type="dxa"/>
                  <w:vMerge w:val="restart"/>
                  <w:tcBorders>
                    <w:tl2br w:val="nil"/>
                    <w:tr2bl w:val="nil"/>
                  </w:tcBorders>
                  <w:noWrap w:val="0"/>
                  <w:vAlign w:val="center"/>
                </w:tcPr>
                <w:p w14:paraId="101BD86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最高允许排放浓度mg/m</w:t>
                  </w:r>
                  <w:r>
                    <w:rPr>
                      <w:rFonts w:hint="default" w:ascii="Times New Roman" w:hAnsi="Times New Roman" w:eastAsia="宋体" w:cs="Times New Roman"/>
                      <w:b/>
                      <w:bCs/>
                      <w:color w:val="auto"/>
                      <w:kern w:val="2"/>
                      <w:sz w:val="22"/>
                      <w:szCs w:val="22"/>
                      <w:highlight w:val="none"/>
                      <w:vertAlign w:val="superscript"/>
                      <w:lang w:val="en-US" w:eastAsia="zh-CN" w:bidi="ar"/>
                    </w:rPr>
                    <w:t>3</w:t>
                  </w:r>
                </w:p>
              </w:tc>
              <w:tc>
                <w:tcPr>
                  <w:tcW w:w="1581" w:type="dxa"/>
                  <w:vMerge w:val="restart"/>
                  <w:tcBorders>
                    <w:tl2br w:val="nil"/>
                    <w:tr2bl w:val="nil"/>
                  </w:tcBorders>
                  <w:noWrap w:val="0"/>
                  <w:vAlign w:val="center"/>
                </w:tcPr>
                <w:p w14:paraId="58BDBA9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无组织排放监控浓度限值mg/m</w:t>
                  </w:r>
                  <w:r>
                    <w:rPr>
                      <w:rFonts w:hint="default" w:ascii="Times New Roman" w:hAnsi="Times New Roman" w:eastAsia="宋体" w:cs="Times New Roman"/>
                      <w:b/>
                      <w:bCs/>
                      <w:color w:val="auto"/>
                      <w:kern w:val="2"/>
                      <w:sz w:val="22"/>
                      <w:szCs w:val="22"/>
                      <w:highlight w:val="none"/>
                      <w:vertAlign w:val="superscript"/>
                      <w:lang w:val="en-US" w:eastAsia="zh-CN" w:bidi="ar"/>
                    </w:rPr>
                    <w:t>3</w:t>
                  </w:r>
                </w:p>
              </w:tc>
              <w:tc>
                <w:tcPr>
                  <w:tcW w:w="3264" w:type="dxa"/>
                  <w:vMerge w:val="restart"/>
                  <w:tcBorders>
                    <w:tl2br w:val="nil"/>
                    <w:tr2bl w:val="nil"/>
                  </w:tcBorders>
                  <w:noWrap w:val="0"/>
                  <w:vAlign w:val="center"/>
                </w:tcPr>
                <w:p w14:paraId="59FE109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执行标准</w:t>
                  </w:r>
                </w:p>
              </w:tc>
            </w:tr>
            <w:tr w14:paraId="5B8BF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951" w:type="dxa"/>
                  <w:vMerge w:val="continue"/>
                  <w:tcBorders>
                    <w:tl2br w:val="nil"/>
                    <w:tr2bl w:val="nil"/>
                  </w:tcBorders>
                  <w:noWrap w:val="0"/>
                  <w:vAlign w:val="center"/>
                </w:tcPr>
                <w:p w14:paraId="7BB4369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2"/>
                      <w:szCs w:val="22"/>
                      <w:highlight w:val="none"/>
                    </w:rPr>
                  </w:pPr>
                </w:p>
              </w:tc>
              <w:tc>
                <w:tcPr>
                  <w:tcW w:w="1045" w:type="dxa"/>
                  <w:tcBorders>
                    <w:tl2br w:val="nil"/>
                    <w:tr2bl w:val="nil"/>
                  </w:tcBorders>
                  <w:noWrap w:val="0"/>
                  <w:vAlign w:val="center"/>
                </w:tcPr>
                <w:p w14:paraId="1577D99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排气筒</w:t>
                  </w:r>
                </w:p>
                <w:p w14:paraId="1A92E37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高度(m)</w:t>
                  </w:r>
                </w:p>
              </w:tc>
              <w:tc>
                <w:tcPr>
                  <w:tcW w:w="997" w:type="dxa"/>
                  <w:tcBorders>
                    <w:tl2br w:val="nil"/>
                    <w:tr2bl w:val="nil"/>
                  </w:tcBorders>
                  <w:noWrap w:val="0"/>
                  <w:vAlign w:val="center"/>
                </w:tcPr>
                <w:p w14:paraId="131E7BB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排放</w:t>
                  </w:r>
                </w:p>
                <w:p w14:paraId="3B1D6A0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速率</w:t>
                  </w:r>
                </w:p>
              </w:tc>
              <w:tc>
                <w:tcPr>
                  <w:tcW w:w="1233" w:type="dxa"/>
                  <w:vMerge w:val="continue"/>
                  <w:tcBorders>
                    <w:tl2br w:val="nil"/>
                    <w:tr2bl w:val="nil"/>
                  </w:tcBorders>
                  <w:noWrap w:val="0"/>
                  <w:vAlign w:val="center"/>
                </w:tcPr>
                <w:p w14:paraId="58F1B73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2"/>
                      <w:sz w:val="22"/>
                      <w:szCs w:val="22"/>
                      <w:highlight w:val="none"/>
                    </w:rPr>
                  </w:pPr>
                </w:p>
              </w:tc>
              <w:tc>
                <w:tcPr>
                  <w:tcW w:w="1581" w:type="dxa"/>
                  <w:vMerge w:val="continue"/>
                  <w:tcBorders>
                    <w:tl2br w:val="nil"/>
                    <w:tr2bl w:val="nil"/>
                  </w:tcBorders>
                  <w:noWrap w:val="0"/>
                  <w:vAlign w:val="center"/>
                </w:tcPr>
                <w:p w14:paraId="21A3CAC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2"/>
                      <w:szCs w:val="22"/>
                      <w:highlight w:val="none"/>
                    </w:rPr>
                  </w:pPr>
                </w:p>
              </w:tc>
              <w:tc>
                <w:tcPr>
                  <w:tcW w:w="3264" w:type="dxa"/>
                  <w:vMerge w:val="continue"/>
                  <w:tcBorders>
                    <w:tl2br w:val="nil"/>
                    <w:tr2bl w:val="nil"/>
                  </w:tcBorders>
                  <w:noWrap w:val="0"/>
                  <w:vAlign w:val="center"/>
                </w:tcPr>
                <w:p w14:paraId="18609C5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2"/>
                      <w:szCs w:val="22"/>
                      <w:highlight w:val="none"/>
                    </w:rPr>
                  </w:pPr>
                </w:p>
              </w:tc>
            </w:tr>
            <w:tr w14:paraId="75244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1" w:type="dxa"/>
                  <w:tcBorders>
                    <w:tl2br w:val="nil"/>
                    <w:tr2bl w:val="nil"/>
                  </w:tcBorders>
                  <w:noWrap w:val="0"/>
                  <w:vAlign w:val="center"/>
                </w:tcPr>
                <w:p w14:paraId="280E12F3">
                  <w:pPr>
                    <w:pStyle w:val="3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2"/>
                      <w:szCs w:val="22"/>
                      <w:highlight w:val="none"/>
                      <w:lang w:val="en-US" w:eastAsia="zh-CN" w:bidi="ar"/>
                    </w:rPr>
                  </w:pPr>
                  <w:r>
                    <w:rPr>
                      <w:rFonts w:hint="default" w:ascii="Times New Roman" w:hAnsi="Times New Roman" w:cs="Times New Roman"/>
                      <w:color w:val="auto"/>
                      <w:kern w:val="2"/>
                      <w:sz w:val="22"/>
                      <w:szCs w:val="22"/>
                      <w:highlight w:val="none"/>
                      <w:lang w:val="en-US" w:eastAsia="zh-CN" w:bidi="ar"/>
                    </w:rPr>
                    <w:t>颗粒物</w:t>
                  </w:r>
                </w:p>
              </w:tc>
              <w:tc>
                <w:tcPr>
                  <w:tcW w:w="1045" w:type="dxa"/>
                  <w:tcBorders>
                    <w:tl2br w:val="nil"/>
                    <w:tr2bl w:val="nil"/>
                  </w:tcBorders>
                  <w:noWrap w:val="0"/>
                  <w:vAlign w:val="center"/>
                </w:tcPr>
                <w:p w14:paraId="0EEC20E3">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15</w:t>
                  </w:r>
                </w:p>
              </w:tc>
              <w:tc>
                <w:tcPr>
                  <w:tcW w:w="997" w:type="dxa"/>
                  <w:tcBorders>
                    <w:tl2br w:val="nil"/>
                    <w:tr2bl w:val="nil"/>
                  </w:tcBorders>
                  <w:noWrap w:val="0"/>
                  <w:vAlign w:val="center"/>
                </w:tcPr>
                <w:p w14:paraId="13145AF1">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3.5</w:t>
                  </w:r>
                </w:p>
              </w:tc>
              <w:tc>
                <w:tcPr>
                  <w:tcW w:w="1233" w:type="dxa"/>
                  <w:tcBorders>
                    <w:tl2br w:val="nil"/>
                    <w:tr2bl w:val="nil"/>
                  </w:tcBorders>
                  <w:noWrap w:val="0"/>
                  <w:vAlign w:val="center"/>
                </w:tcPr>
                <w:p w14:paraId="3ADCA11C">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10</w:t>
                  </w:r>
                </w:p>
              </w:tc>
              <w:tc>
                <w:tcPr>
                  <w:tcW w:w="1581" w:type="dxa"/>
                  <w:tcBorders>
                    <w:tl2br w:val="nil"/>
                    <w:tr2bl w:val="nil"/>
                  </w:tcBorders>
                  <w:noWrap w:val="0"/>
                  <w:vAlign w:val="center"/>
                </w:tcPr>
                <w:p w14:paraId="76D11E04">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1.0</w:t>
                  </w:r>
                </w:p>
              </w:tc>
              <w:tc>
                <w:tcPr>
                  <w:tcW w:w="3264" w:type="dxa"/>
                  <w:tcBorders>
                    <w:tl2br w:val="nil"/>
                    <w:tr2bl w:val="nil"/>
                  </w:tcBorders>
                  <w:noWrap w:val="0"/>
                  <w:vAlign w:val="center"/>
                </w:tcPr>
                <w:p w14:paraId="2A949158">
                  <w:pPr>
                    <w:pStyle w:val="3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cs="Times New Roman"/>
                      <w:color w:val="auto"/>
                      <w:sz w:val="22"/>
                      <w:szCs w:val="22"/>
                      <w:lang w:val="en-US" w:eastAsia="zh-CN"/>
                    </w:rPr>
                    <w:t>《建材工业大气污染物排放标准》（DB37/2373-2018）</w:t>
                  </w:r>
                </w:p>
              </w:tc>
            </w:tr>
          </w:tbl>
          <w:p w14:paraId="64B085BF">
            <w:pPr>
              <w:ind w:firstLine="480" w:firstLineChars="200"/>
              <w:rPr>
                <w:color w:val="auto"/>
                <w:sz w:val="24"/>
                <w:szCs w:val="22"/>
              </w:rPr>
            </w:pPr>
          </w:p>
          <w:p w14:paraId="1FE5F278">
            <w:pPr>
              <w:ind w:left="0" w:leftChars="0" w:firstLine="480" w:firstLineChars="200"/>
              <w:rPr>
                <w:rFonts w:hint="eastAsia" w:eastAsia="宋体"/>
                <w:color w:val="auto"/>
                <w:sz w:val="24"/>
                <w:szCs w:val="22"/>
                <w:lang w:eastAsia="zh-CN"/>
              </w:rPr>
            </w:pPr>
            <w:r>
              <w:rPr>
                <w:color w:val="auto"/>
                <w:sz w:val="24"/>
                <w:szCs w:val="22"/>
              </w:rPr>
              <w:t>噪声：</w:t>
            </w:r>
            <w:r>
              <w:rPr>
                <w:rFonts w:hint="eastAsia"/>
                <w:color w:val="auto"/>
                <w:sz w:val="24"/>
                <w:szCs w:val="22"/>
              </w:rPr>
              <w:t>营运期</w:t>
            </w:r>
            <w:r>
              <w:rPr>
                <w:rFonts w:hint="eastAsia"/>
                <w:color w:val="auto"/>
                <w:sz w:val="24"/>
                <w:szCs w:val="22"/>
                <w:lang w:eastAsia="zh-CN"/>
              </w:rPr>
              <w:t>噪声</w:t>
            </w:r>
            <w:r>
              <w:rPr>
                <w:color w:val="auto"/>
                <w:sz w:val="24"/>
                <w:szCs w:val="22"/>
              </w:rPr>
              <w:t>执行《工业企业厂界环境噪声排放标准》（GB12348－2008）</w:t>
            </w:r>
            <w:r>
              <w:rPr>
                <w:rFonts w:hint="eastAsia"/>
                <w:color w:val="auto"/>
                <w:sz w:val="24"/>
                <w:szCs w:val="22"/>
                <w:lang w:val="en-US" w:eastAsia="zh-CN"/>
              </w:rPr>
              <w:t>2</w:t>
            </w:r>
            <w:r>
              <w:rPr>
                <w:color w:val="auto"/>
                <w:sz w:val="24"/>
                <w:szCs w:val="22"/>
              </w:rPr>
              <w:t>类标准</w:t>
            </w:r>
            <w:r>
              <w:rPr>
                <w:rFonts w:hint="eastAsia"/>
                <w:color w:val="auto"/>
                <w:sz w:val="24"/>
                <w:szCs w:val="22"/>
                <w:lang w:eastAsia="zh-CN"/>
              </w:rPr>
              <w:t>。</w:t>
            </w:r>
          </w:p>
          <w:p w14:paraId="6549DC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4"/>
                <w:szCs w:val="22"/>
              </w:rPr>
            </w:pPr>
            <w:r>
              <w:rPr>
                <w:b/>
                <w:color w:val="auto"/>
                <w:sz w:val="24"/>
                <w:szCs w:val="22"/>
              </w:rPr>
              <w:t>表</w:t>
            </w:r>
            <w:r>
              <w:rPr>
                <w:rFonts w:hint="eastAsia"/>
                <w:b/>
                <w:color w:val="auto"/>
                <w:sz w:val="24"/>
                <w:szCs w:val="22"/>
              </w:rPr>
              <w:t>3</w:t>
            </w:r>
            <w:r>
              <w:rPr>
                <w:b/>
                <w:color w:val="auto"/>
                <w:sz w:val="24"/>
                <w:szCs w:val="22"/>
              </w:rPr>
              <w:t>-</w:t>
            </w:r>
            <w:r>
              <w:rPr>
                <w:rFonts w:hint="eastAsia"/>
                <w:b/>
                <w:color w:val="auto"/>
                <w:sz w:val="24"/>
                <w:szCs w:val="22"/>
                <w:lang w:val="en-US" w:eastAsia="zh-CN"/>
              </w:rPr>
              <w:t xml:space="preserve">6 </w:t>
            </w:r>
            <w:r>
              <w:rPr>
                <w:b/>
                <w:color w:val="auto"/>
                <w:sz w:val="24"/>
                <w:szCs w:val="22"/>
              </w:rPr>
              <w:t>噪声排放标准（Leq[dB(A)]）</w:t>
            </w:r>
          </w:p>
          <w:tbl>
            <w:tblPr>
              <w:tblStyle w:val="33"/>
              <w:tblW w:w="90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937"/>
              <w:gridCol w:w="3904"/>
              <w:gridCol w:w="1456"/>
              <w:gridCol w:w="1774"/>
            </w:tblGrid>
            <w:tr w14:paraId="543E22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02" w:hRule="exact"/>
                <w:jc w:val="center"/>
              </w:trPr>
              <w:tc>
                <w:tcPr>
                  <w:tcW w:w="1819" w:type="dxa"/>
                  <w:tcBorders>
                    <w:left w:val="single" w:color="auto" w:sz="12" w:space="0"/>
                  </w:tcBorders>
                  <w:noWrap/>
                  <w:vAlign w:val="center"/>
                </w:tcPr>
                <w:p w14:paraId="2AB0EA75">
                  <w:pPr>
                    <w:pStyle w:val="6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b/>
                      <w:bCs/>
                      <w:snapToGrid w:val="0"/>
                      <w:color w:val="auto"/>
                      <w:sz w:val="22"/>
                      <w:szCs w:val="22"/>
                    </w:rPr>
                  </w:pPr>
                  <w:r>
                    <w:rPr>
                      <w:rFonts w:ascii="Times New Roman" w:hAnsi="Times New Roman"/>
                      <w:b/>
                      <w:bCs/>
                      <w:snapToGrid w:val="0"/>
                      <w:color w:val="auto"/>
                      <w:sz w:val="22"/>
                      <w:szCs w:val="22"/>
                    </w:rPr>
                    <w:t>污染因子</w:t>
                  </w:r>
                </w:p>
              </w:tc>
              <w:tc>
                <w:tcPr>
                  <w:tcW w:w="3666" w:type="dxa"/>
                  <w:tcBorders>
                    <w:right w:val="single" w:color="auto" w:sz="2" w:space="0"/>
                  </w:tcBorders>
                  <w:noWrap/>
                  <w:vAlign w:val="center"/>
                </w:tcPr>
                <w:p w14:paraId="63800F2C">
                  <w:pPr>
                    <w:pStyle w:val="6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b/>
                      <w:bCs/>
                      <w:snapToGrid w:val="0"/>
                      <w:color w:val="auto"/>
                      <w:sz w:val="22"/>
                      <w:szCs w:val="22"/>
                    </w:rPr>
                  </w:pPr>
                  <w:r>
                    <w:rPr>
                      <w:rFonts w:ascii="Times New Roman" w:hAnsi="Times New Roman"/>
                      <w:b/>
                      <w:bCs/>
                      <w:color w:val="auto"/>
                      <w:sz w:val="22"/>
                      <w:szCs w:val="22"/>
                    </w:rPr>
                    <w:t>执行标准</w:t>
                  </w:r>
                </w:p>
              </w:tc>
              <w:tc>
                <w:tcPr>
                  <w:tcW w:w="1367" w:type="dxa"/>
                  <w:tcBorders>
                    <w:left w:val="single" w:color="auto" w:sz="2" w:space="0"/>
                  </w:tcBorders>
                  <w:noWrap/>
                  <w:vAlign w:val="center"/>
                </w:tcPr>
                <w:p w14:paraId="3F5E1370">
                  <w:pPr>
                    <w:pStyle w:val="6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b/>
                      <w:bCs/>
                      <w:snapToGrid w:val="0"/>
                      <w:color w:val="auto"/>
                      <w:sz w:val="22"/>
                      <w:szCs w:val="22"/>
                    </w:rPr>
                  </w:pPr>
                  <w:r>
                    <w:rPr>
                      <w:rFonts w:ascii="Times New Roman" w:hAnsi="Times New Roman"/>
                      <w:b/>
                      <w:bCs/>
                      <w:snapToGrid w:val="0"/>
                      <w:color w:val="auto"/>
                      <w:sz w:val="22"/>
                      <w:szCs w:val="22"/>
                    </w:rPr>
                    <w:t>昼间</w:t>
                  </w:r>
                </w:p>
              </w:tc>
              <w:tc>
                <w:tcPr>
                  <w:tcW w:w="1666" w:type="dxa"/>
                  <w:noWrap/>
                  <w:vAlign w:val="center"/>
                </w:tcPr>
                <w:p w14:paraId="469941C1">
                  <w:pPr>
                    <w:pStyle w:val="6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b/>
                      <w:bCs/>
                      <w:snapToGrid w:val="0"/>
                      <w:color w:val="auto"/>
                      <w:sz w:val="22"/>
                      <w:szCs w:val="22"/>
                    </w:rPr>
                  </w:pPr>
                  <w:r>
                    <w:rPr>
                      <w:rFonts w:ascii="Times New Roman" w:hAnsi="Times New Roman"/>
                      <w:b/>
                      <w:bCs/>
                      <w:snapToGrid w:val="0"/>
                      <w:color w:val="auto"/>
                      <w:sz w:val="22"/>
                      <w:szCs w:val="22"/>
                    </w:rPr>
                    <w:t>夜间</w:t>
                  </w:r>
                </w:p>
              </w:tc>
            </w:tr>
            <w:tr w14:paraId="2ED277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58" w:hRule="atLeast"/>
                <w:jc w:val="center"/>
              </w:trPr>
              <w:tc>
                <w:tcPr>
                  <w:tcW w:w="1819" w:type="dxa"/>
                  <w:tcBorders>
                    <w:left w:val="single" w:color="auto" w:sz="12" w:space="0"/>
                  </w:tcBorders>
                  <w:noWrap/>
                  <w:vAlign w:val="center"/>
                </w:tcPr>
                <w:p w14:paraId="3EBB6E07">
                  <w:pPr>
                    <w:pStyle w:val="6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color w:val="auto"/>
                      <w:sz w:val="22"/>
                      <w:szCs w:val="22"/>
                    </w:rPr>
                  </w:pPr>
                  <w:r>
                    <w:rPr>
                      <w:rFonts w:ascii="Times New Roman" w:hAnsi="Times New Roman"/>
                      <w:color w:val="auto"/>
                      <w:sz w:val="22"/>
                      <w:szCs w:val="22"/>
                    </w:rPr>
                    <w:t>营运期噪声</w:t>
                  </w:r>
                </w:p>
              </w:tc>
              <w:tc>
                <w:tcPr>
                  <w:tcW w:w="3666" w:type="dxa"/>
                  <w:tcBorders>
                    <w:right w:val="single" w:color="auto" w:sz="2" w:space="0"/>
                  </w:tcBorders>
                  <w:noWrap/>
                  <w:vAlign w:val="center"/>
                </w:tcPr>
                <w:p w14:paraId="4122E013">
                  <w:pPr>
                    <w:pStyle w:val="6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color w:val="auto"/>
                      <w:sz w:val="22"/>
                      <w:szCs w:val="22"/>
                    </w:rPr>
                  </w:pPr>
                  <w:r>
                    <w:rPr>
                      <w:rFonts w:ascii="Times New Roman" w:hAnsi="Times New Roman" w:eastAsia="新宋体"/>
                      <w:color w:val="auto"/>
                      <w:sz w:val="22"/>
                      <w:szCs w:val="22"/>
                    </w:rPr>
                    <w:t>《工业企业厂界环境噪声排放标准》（GB12348-2008）</w:t>
                  </w:r>
                </w:p>
              </w:tc>
              <w:tc>
                <w:tcPr>
                  <w:tcW w:w="1367" w:type="dxa"/>
                  <w:tcBorders>
                    <w:left w:val="single" w:color="auto" w:sz="2" w:space="0"/>
                  </w:tcBorders>
                  <w:noWrap/>
                  <w:vAlign w:val="center"/>
                </w:tcPr>
                <w:p w14:paraId="4C968B96">
                  <w:pPr>
                    <w:pStyle w:val="6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60</w:t>
                  </w:r>
                </w:p>
              </w:tc>
              <w:tc>
                <w:tcPr>
                  <w:tcW w:w="1666" w:type="dxa"/>
                  <w:noWrap/>
                  <w:vAlign w:val="center"/>
                </w:tcPr>
                <w:p w14:paraId="706A0738">
                  <w:pPr>
                    <w:pStyle w:val="6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50</w:t>
                  </w:r>
                </w:p>
              </w:tc>
            </w:tr>
          </w:tbl>
          <w:p w14:paraId="730D17AC">
            <w:pPr>
              <w:spacing w:line="360" w:lineRule="auto"/>
              <w:ind w:firstLine="480" w:firstLineChars="200"/>
              <w:rPr>
                <w:rFonts w:eastAsia="新宋体"/>
                <w:color w:val="auto"/>
                <w:sz w:val="24"/>
                <w:szCs w:val="22"/>
              </w:rPr>
            </w:pPr>
          </w:p>
          <w:p w14:paraId="13D9B9B1">
            <w:pPr>
              <w:spacing w:line="360" w:lineRule="auto"/>
              <w:ind w:firstLine="480" w:firstLineChars="200"/>
              <w:rPr>
                <w:color w:val="auto"/>
                <w:kern w:val="0"/>
                <w:szCs w:val="21"/>
              </w:rPr>
            </w:pPr>
            <w:r>
              <w:rPr>
                <w:rFonts w:eastAsia="新宋体"/>
                <w:color w:val="auto"/>
                <w:sz w:val="24"/>
                <w:szCs w:val="22"/>
              </w:rPr>
              <w:t>固体废物：</w:t>
            </w:r>
            <w:r>
              <w:rPr>
                <w:rFonts w:hint="eastAsia" w:eastAsia="新宋体"/>
                <w:color w:val="auto"/>
                <w:sz w:val="24"/>
                <w:szCs w:val="22"/>
                <w:lang w:eastAsia="zh-CN"/>
              </w:rPr>
              <w:t>一般固废执行</w:t>
            </w:r>
            <w:r>
              <w:rPr>
                <w:rFonts w:hint="eastAsia" w:eastAsia="新宋体"/>
                <w:color w:val="auto"/>
                <w:sz w:val="24"/>
                <w:szCs w:val="22"/>
              </w:rPr>
              <w:t>《一般工业固体废物贮存和填埋污染控制标准》（GB18599-2020）</w:t>
            </w:r>
            <w:r>
              <w:rPr>
                <w:rFonts w:hint="eastAsia" w:eastAsia="新宋体"/>
                <w:color w:val="auto"/>
                <w:sz w:val="24"/>
                <w:szCs w:val="22"/>
                <w:lang w:eastAsia="zh-CN"/>
              </w:rPr>
              <w:t>要求</w:t>
            </w:r>
            <w:r>
              <w:rPr>
                <w:rFonts w:hint="eastAsia" w:eastAsia="新宋体"/>
                <w:color w:val="auto"/>
                <w:sz w:val="24"/>
                <w:szCs w:val="22"/>
              </w:rPr>
              <w:t>。</w:t>
            </w:r>
          </w:p>
        </w:tc>
      </w:tr>
      <w:tr w14:paraId="256A4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575" w:type="dxa"/>
            <w:tcBorders>
              <w:tl2br w:val="nil"/>
              <w:tr2bl w:val="nil"/>
            </w:tcBorders>
            <w:vAlign w:val="center"/>
          </w:tcPr>
          <w:p w14:paraId="491288C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color w:val="auto"/>
                <w:kern w:val="0"/>
                <w:szCs w:val="21"/>
              </w:rPr>
            </w:pPr>
            <w:r>
              <w:rPr>
                <w:color w:val="auto"/>
                <w:kern w:val="0"/>
                <w:szCs w:val="21"/>
              </w:rPr>
              <w:t>总量</w:t>
            </w:r>
          </w:p>
          <w:p w14:paraId="575AD1E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color w:val="auto"/>
                <w:kern w:val="0"/>
                <w:szCs w:val="21"/>
              </w:rPr>
            </w:pPr>
            <w:r>
              <w:rPr>
                <w:color w:val="auto"/>
                <w:kern w:val="0"/>
                <w:szCs w:val="21"/>
              </w:rPr>
              <w:t>控制</w:t>
            </w:r>
          </w:p>
          <w:p w14:paraId="7810188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color w:val="auto"/>
                <w:kern w:val="0"/>
                <w:szCs w:val="21"/>
              </w:rPr>
            </w:pPr>
            <w:r>
              <w:rPr>
                <w:color w:val="auto"/>
                <w:kern w:val="0"/>
                <w:szCs w:val="21"/>
              </w:rPr>
              <w:t>指标</w:t>
            </w:r>
          </w:p>
        </w:tc>
        <w:tc>
          <w:tcPr>
            <w:tcW w:w="9439" w:type="dxa"/>
            <w:tcBorders>
              <w:tl2br w:val="nil"/>
              <w:tr2bl w:val="nil"/>
            </w:tcBorders>
            <w:vAlign w:val="center"/>
          </w:tcPr>
          <w:p w14:paraId="7998F409">
            <w:pPr>
              <w:snapToGrid w:val="0"/>
              <w:spacing w:line="360" w:lineRule="auto"/>
              <w:ind w:firstLine="482" w:firstLineChars="200"/>
              <w:jc w:val="left"/>
              <w:rPr>
                <w:b/>
                <w:sz w:val="24"/>
                <w:szCs w:val="22"/>
              </w:rPr>
            </w:pPr>
            <w:r>
              <w:rPr>
                <w:b/>
                <w:sz w:val="24"/>
                <w:szCs w:val="22"/>
              </w:rPr>
              <w:t>一、总量控制原则</w:t>
            </w:r>
          </w:p>
          <w:p w14:paraId="005AE498">
            <w:pPr>
              <w:snapToGrid w:val="0"/>
              <w:spacing w:line="360" w:lineRule="auto"/>
              <w:ind w:firstLine="480" w:firstLineChars="200"/>
              <w:rPr>
                <w:sz w:val="24"/>
                <w:szCs w:val="22"/>
              </w:rPr>
            </w:pPr>
            <w:r>
              <w:rPr>
                <w:rFonts w:hint="eastAsia"/>
                <w:sz w:val="24"/>
                <w:szCs w:val="22"/>
                <w:lang w:val="en-US" w:eastAsia="zh-CN"/>
              </w:rPr>
              <w:t>总量</w:t>
            </w:r>
            <w:r>
              <w:rPr>
                <w:sz w:val="24"/>
                <w:szCs w:val="22"/>
              </w:rPr>
              <w:t>控制主要污染物为SO</w:t>
            </w:r>
            <w:r>
              <w:rPr>
                <w:sz w:val="24"/>
                <w:szCs w:val="22"/>
                <w:vertAlign w:val="subscript"/>
              </w:rPr>
              <w:t>2</w:t>
            </w:r>
            <w:r>
              <w:rPr>
                <w:sz w:val="24"/>
                <w:szCs w:val="22"/>
              </w:rPr>
              <w:t>、NO</w:t>
            </w:r>
            <w:r>
              <w:rPr>
                <w:sz w:val="24"/>
                <w:szCs w:val="22"/>
                <w:vertAlign w:val="subscript"/>
              </w:rPr>
              <w:t>x</w:t>
            </w:r>
            <w:r>
              <w:rPr>
                <w:sz w:val="24"/>
                <w:szCs w:val="22"/>
              </w:rPr>
              <w:t>、COD及氨氮4项指标，根据《山东省建设项目主要大气污染物排放总量替代指标核算及管理办法》（鲁环发[2019]132号），将烟粉尘、VOCs纳入大气污染物排放总量替代指标体系。综合考虑，与本项目有关的总量控制污染物为</w:t>
            </w:r>
            <w:r>
              <w:rPr>
                <w:rFonts w:eastAsia="新宋体"/>
                <w:color w:val="auto"/>
                <w:sz w:val="24"/>
                <w:szCs w:val="22"/>
                <w:highlight w:val="none"/>
              </w:rPr>
              <w:t>颗粒物</w:t>
            </w:r>
            <w:r>
              <w:rPr>
                <w:sz w:val="24"/>
                <w:szCs w:val="22"/>
              </w:rPr>
              <w:t>。</w:t>
            </w:r>
          </w:p>
          <w:p w14:paraId="3E5E8166">
            <w:pPr>
              <w:adjustRightInd w:val="0"/>
              <w:snapToGrid w:val="0"/>
              <w:spacing w:line="360" w:lineRule="auto"/>
              <w:ind w:firstLine="482" w:firstLineChars="200"/>
              <w:jc w:val="left"/>
              <w:rPr>
                <w:bCs/>
                <w:sz w:val="24"/>
                <w:szCs w:val="22"/>
              </w:rPr>
            </w:pPr>
            <w:r>
              <w:rPr>
                <w:b/>
                <w:sz w:val="24"/>
                <w:szCs w:val="22"/>
              </w:rPr>
              <w:t>二、总量控制建议值</w:t>
            </w:r>
          </w:p>
          <w:p w14:paraId="2423C945">
            <w:pPr>
              <w:adjustRightInd w:val="0"/>
              <w:snapToGrid w:val="0"/>
              <w:spacing w:line="360" w:lineRule="auto"/>
              <w:ind w:firstLine="482" w:firstLineChars="200"/>
              <w:rPr>
                <w:b/>
                <w:bCs/>
                <w:sz w:val="24"/>
              </w:rPr>
            </w:pPr>
            <w:r>
              <w:rPr>
                <w:b/>
                <w:bCs/>
                <w:sz w:val="24"/>
              </w:rPr>
              <w:t>1、水污染物</w:t>
            </w:r>
          </w:p>
          <w:p w14:paraId="003D4311">
            <w:pPr>
              <w:adjustRightInd w:val="0"/>
              <w:snapToGrid w:val="0"/>
              <w:spacing w:line="360" w:lineRule="auto"/>
              <w:ind w:firstLine="480" w:firstLineChars="200"/>
              <w:rPr>
                <w:sz w:val="24"/>
              </w:rPr>
            </w:pPr>
            <w:r>
              <w:rPr>
                <w:kern w:val="0"/>
                <w:sz w:val="24"/>
              </w:rPr>
              <w:t>本项目无废水排放。</w:t>
            </w:r>
            <w:r>
              <w:rPr>
                <w:sz w:val="24"/>
              </w:rPr>
              <w:t>因此，项目无需申请COD和氨氮总量指标</w:t>
            </w:r>
            <w:r>
              <w:rPr>
                <w:kern w:val="0"/>
                <w:sz w:val="24"/>
              </w:rPr>
              <w:t>。</w:t>
            </w:r>
          </w:p>
          <w:p w14:paraId="0F31DBFE">
            <w:pPr>
              <w:adjustRightInd w:val="0"/>
              <w:snapToGrid w:val="0"/>
              <w:spacing w:line="360" w:lineRule="auto"/>
              <w:ind w:firstLine="482" w:firstLineChars="200"/>
              <w:rPr>
                <w:b/>
                <w:bCs/>
                <w:sz w:val="24"/>
              </w:rPr>
            </w:pPr>
            <w:r>
              <w:rPr>
                <w:b/>
                <w:bCs/>
                <w:sz w:val="24"/>
              </w:rPr>
              <w:t>2、大气污染物</w:t>
            </w:r>
          </w:p>
          <w:p w14:paraId="496484BA">
            <w:pPr>
              <w:pStyle w:val="8"/>
              <w:spacing w:after="0" w:line="360" w:lineRule="auto"/>
              <w:ind w:right="171" w:firstLine="480" w:firstLineChars="200"/>
              <w:rPr>
                <w:sz w:val="24"/>
                <w:highlight w:val="none"/>
                <w:lang w:val="en-US" w:eastAsia="zh-CN"/>
              </w:rPr>
            </w:pPr>
            <w:r>
              <w:rPr>
                <w:sz w:val="24"/>
                <w:lang w:val="en-US" w:eastAsia="zh-CN"/>
              </w:rPr>
              <w:t>本项目建设完成后有组织颗粒物排放量为</w:t>
            </w:r>
            <w:r>
              <w:rPr>
                <w:rFonts w:hint="eastAsia"/>
                <w:sz w:val="24"/>
                <w:highlight w:val="none"/>
                <w:lang w:val="en-US" w:eastAsia="zh-CN"/>
              </w:rPr>
              <w:t>0.585</w:t>
            </w:r>
            <w:r>
              <w:rPr>
                <w:sz w:val="24"/>
                <w:highlight w:val="none"/>
                <w:lang w:val="en-US" w:eastAsia="zh-CN"/>
              </w:rPr>
              <w:t>t/a。</w:t>
            </w:r>
            <w:r>
              <w:rPr>
                <w:sz w:val="24"/>
              </w:rPr>
              <w:t>根据《山东省生态环境厅关于印发山东省建设项目主要大气污染物排放总量替代指标核算及管理办法的通知》（鲁环发[2019]132 号）要求，本项目</w:t>
            </w:r>
            <w:r>
              <w:rPr>
                <w:rFonts w:hint="eastAsia"/>
                <w:sz w:val="24"/>
                <w:lang w:val="en-US" w:eastAsia="zh-CN"/>
              </w:rPr>
              <w:t>新增</w:t>
            </w:r>
            <w:r>
              <w:rPr>
                <w:sz w:val="24"/>
              </w:rPr>
              <w:t>排放的大气污染物需进行2倍削减量替代</w:t>
            </w:r>
            <w:r>
              <w:rPr>
                <w:sz w:val="24"/>
                <w:lang w:val="en-US" w:eastAsia="zh-CN"/>
              </w:rPr>
              <w:t>，则需申请</w:t>
            </w:r>
            <w:r>
              <w:rPr>
                <w:rFonts w:hint="eastAsia"/>
                <w:sz w:val="24"/>
                <w:highlight w:val="none"/>
                <w:lang w:val="en-US" w:eastAsia="zh-CN"/>
              </w:rPr>
              <w:t>颗粒物</w:t>
            </w:r>
            <w:r>
              <w:rPr>
                <w:sz w:val="24"/>
                <w:lang w:val="en-US" w:eastAsia="zh-CN"/>
              </w:rPr>
              <w:t>总量替代指标为</w:t>
            </w:r>
            <w:r>
              <w:rPr>
                <w:rFonts w:hint="eastAsia"/>
                <w:sz w:val="24"/>
                <w:highlight w:val="none"/>
                <w:lang w:val="en-US" w:eastAsia="zh-CN"/>
              </w:rPr>
              <w:t>1.17t/a</w:t>
            </w:r>
            <w:r>
              <w:rPr>
                <w:sz w:val="24"/>
                <w:highlight w:val="none"/>
                <w:lang w:val="en-US" w:eastAsia="zh-CN"/>
              </w:rPr>
              <w:t>。</w:t>
            </w:r>
          </w:p>
          <w:p w14:paraId="6B46EA93">
            <w:pPr>
              <w:pStyle w:val="9"/>
              <w:widowControl w:val="0"/>
              <w:numPr>
                <w:ilvl w:val="0"/>
                <w:numId w:val="0"/>
              </w:numPr>
              <w:spacing w:line="360" w:lineRule="auto"/>
              <w:jc w:val="left"/>
              <w:rPr>
                <w:sz w:val="24"/>
                <w:highlight w:val="none"/>
                <w:lang w:val="en-US" w:eastAsia="zh-CN"/>
              </w:rPr>
            </w:pPr>
          </w:p>
          <w:p w14:paraId="0B866646">
            <w:pPr>
              <w:pStyle w:val="9"/>
              <w:widowControl w:val="0"/>
              <w:numPr>
                <w:ilvl w:val="0"/>
                <w:numId w:val="0"/>
              </w:numPr>
              <w:spacing w:line="360" w:lineRule="auto"/>
              <w:jc w:val="left"/>
              <w:rPr>
                <w:sz w:val="24"/>
                <w:highlight w:val="none"/>
                <w:lang w:val="en-US" w:eastAsia="zh-CN"/>
              </w:rPr>
            </w:pPr>
          </w:p>
          <w:p w14:paraId="7DCCA98D">
            <w:pPr>
              <w:pStyle w:val="9"/>
              <w:widowControl w:val="0"/>
              <w:numPr>
                <w:ilvl w:val="0"/>
                <w:numId w:val="0"/>
              </w:numPr>
              <w:spacing w:line="360" w:lineRule="auto"/>
              <w:jc w:val="left"/>
              <w:rPr>
                <w:sz w:val="24"/>
                <w:highlight w:val="none"/>
                <w:lang w:val="en-US" w:eastAsia="zh-CN"/>
              </w:rPr>
            </w:pPr>
          </w:p>
          <w:p w14:paraId="0332F077">
            <w:pPr>
              <w:pStyle w:val="9"/>
              <w:widowControl w:val="0"/>
              <w:numPr>
                <w:ilvl w:val="0"/>
                <w:numId w:val="0"/>
              </w:numPr>
              <w:spacing w:line="360" w:lineRule="auto"/>
              <w:jc w:val="left"/>
              <w:rPr>
                <w:sz w:val="24"/>
                <w:highlight w:val="none"/>
                <w:lang w:val="en-US" w:eastAsia="zh-CN"/>
              </w:rPr>
            </w:pPr>
          </w:p>
          <w:p w14:paraId="58952E4D">
            <w:pPr>
              <w:pStyle w:val="9"/>
              <w:widowControl w:val="0"/>
              <w:numPr>
                <w:ilvl w:val="0"/>
                <w:numId w:val="0"/>
              </w:numPr>
              <w:spacing w:line="360" w:lineRule="auto"/>
              <w:jc w:val="left"/>
              <w:rPr>
                <w:sz w:val="24"/>
                <w:highlight w:val="none"/>
                <w:lang w:val="en-US" w:eastAsia="zh-CN"/>
              </w:rPr>
            </w:pPr>
          </w:p>
          <w:p w14:paraId="118B05E5">
            <w:pPr>
              <w:pStyle w:val="9"/>
              <w:widowControl w:val="0"/>
              <w:numPr>
                <w:ilvl w:val="0"/>
                <w:numId w:val="0"/>
              </w:numPr>
              <w:spacing w:line="360" w:lineRule="auto"/>
              <w:jc w:val="left"/>
              <w:rPr>
                <w:sz w:val="24"/>
                <w:highlight w:val="none"/>
                <w:lang w:val="en-US" w:eastAsia="zh-CN"/>
              </w:rPr>
            </w:pPr>
          </w:p>
          <w:p w14:paraId="7657BD27">
            <w:pPr>
              <w:pStyle w:val="9"/>
              <w:widowControl w:val="0"/>
              <w:numPr>
                <w:ilvl w:val="0"/>
                <w:numId w:val="0"/>
              </w:numPr>
              <w:spacing w:line="360" w:lineRule="auto"/>
              <w:jc w:val="left"/>
              <w:rPr>
                <w:sz w:val="24"/>
                <w:highlight w:val="none"/>
                <w:lang w:val="en-US" w:eastAsia="zh-CN"/>
              </w:rPr>
            </w:pPr>
          </w:p>
          <w:p w14:paraId="383B5F56">
            <w:pPr>
              <w:adjustRightInd w:val="0"/>
              <w:snapToGrid w:val="0"/>
              <w:spacing w:line="360" w:lineRule="auto"/>
              <w:rPr>
                <w:color w:val="auto"/>
              </w:rPr>
            </w:pPr>
          </w:p>
        </w:tc>
      </w:tr>
    </w:tbl>
    <w:p w14:paraId="2EF66502">
      <w:pPr>
        <w:pStyle w:val="30"/>
        <w:numPr>
          <w:ilvl w:val="0"/>
          <w:numId w:val="5"/>
        </w:numPr>
        <w:spacing w:before="0" w:beforeAutospacing="0" w:after="0" w:afterAutospacing="0" w:line="360" w:lineRule="auto"/>
        <w:ind w:left="0" w:leftChars="0" w:firstLine="600" w:firstLineChars="200"/>
        <w:jc w:val="center"/>
        <w:outlineLvl w:val="0"/>
        <w:rPr>
          <w:rFonts w:ascii="Times New Roman" w:hAnsi="Times New Roman" w:eastAsia="黑体"/>
          <w:snapToGrid w:val="0"/>
          <w:color w:val="auto"/>
          <w:sz w:val="30"/>
          <w:szCs w:val="30"/>
        </w:rPr>
        <w:sectPr>
          <w:pgSz w:w="11907" w:h="16840"/>
          <w:pgMar w:top="1531" w:right="1531" w:bottom="153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2A4FBCCF">
      <w:pPr>
        <w:pStyle w:val="30"/>
        <w:keepNext w:val="0"/>
        <w:keepLines w:val="0"/>
        <w:pageBreakBefore w:val="0"/>
        <w:numPr>
          <w:ilvl w:val="0"/>
          <w:numId w:val="0"/>
        </w:numPr>
        <w:kinsoku/>
        <w:wordWrap/>
        <w:overflowPunct/>
        <w:topLinePunct w:val="0"/>
        <w:bidi w:val="0"/>
        <w:spacing w:before="0" w:beforeAutospacing="0" w:after="0" w:afterAutospacing="0" w:line="240" w:lineRule="auto"/>
        <w:ind w:left="-2" w:leftChars="0" w:firstLine="482" w:firstLineChars="0"/>
        <w:jc w:val="center"/>
        <w:textAlignment w:val="auto"/>
        <w:outlineLvl w:val="0"/>
        <w:rPr>
          <w:rFonts w:ascii="Times New Roman" w:hAnsi="Times New Roman" w:eastAsia="黑体"/>
          <w:snapToGrid w:val="0"/>
          <w:color w:val="auto"/>
          <w:sz w:val="30"/>
          <w:szCs w:val="30"/>
        </w:rPr>
      </w:pPr>
      <w:r>
        <w:rPr>
          <w:rFonts w:hint="eastAsia" w:ascii="Times New Roman" w:hAnsi="Times New Roman" w:eastAsia="黑体" w:cs="Times New Roman"/>
          <w:snapToGrid w:val="0"/>
          <w:color w:val="auto"/>
          <w:kern w:val="0"/>
          <w:sz w:val="30"/>
          <w:szCs w:val="30"/>
          <w:lang w:val="en-US" w:eastAsia="zh-CN" w:bidi="ar-SA"/>
        </w:rPr>
        <w:t>四、</w:t>
      </w:r>
      <w:r>
        <w:rPr>
          <w:rFonts w:ascii="Times New Roman" w:hAnsi="Times New Roman" w:eastAsia="黑体"/>
          <w:snapToGrid w:val="0"/>
          <w:color w:val="auto"/>
          <w:sz w:val="30"/>
          <w:szCs w:val="30"/>
        </w:rPr>
        <w:t>主要环境影响和保护措施</w:t>
      </w:r>
    </w:p>
    <w:p w14:paraId="5B32F24E">
      <w:pPr>
        <w:keepNext w:val="0"/>
        <w:keepLines w:val="0"/>
        <w:pageBreakBefore w:val="0"/>
        <w:kinsoku/>
        <w:wordWrap/>
        <w:overflowPunct/>
        <w:topLinePunct w:val="0"/>
        <w:autoSpaceDE w:val="0"/>
        <w:autoSpaceDN w:val="0"/>
        <w:bidi w:val="0"/>
        <w:adjustRightInd w:val="0"/>
        <w:snapToGrid w:val="0"/>
        <w:spacing w:line="240" w:lineRule="auto"/>
        <w:ind w:firstLine="480" w:firstLineChars="200"/>
        <w:textAlignment w:val="auto"/>
        <w:rPr>
          <w:rFonts w:hint="eastAsia" w:eastAsia="宋体"/>
          <w:color w:val="auto"/>
          <w:sz w:val="24"/>
          <w:szCs w:val="32"/>
          <w:lang w:eastAsia="zh-CN"/>
        </w:rPr>
      </w:pPr>
      <w:r>
        <w:rPr>
          <w:color w:val="auto"/>
          <w:sz w:val="24"/>
          <w:szCs w:val="32"/>
        </w:rPr>
        <w:t>项目废气排放情况见下表</w:t>
      </w:r>
      <w:r>
        <w:rPr>
          <w:rFonts w:hint="eastAsia"/>
          <w:color w:val="auto"/>
          <w:sz w:val="24"/>
          <w:szCs w:val="32"/>
          <w:lang w:eastAsia="zh-CN"/>
        </w:rPr>
        <w:t>。</w:t>
      </w:r>
    </w:p>
    <w:p w14:paraId="296EBB65">
      <w:pPr>
        <w:shd w:val="clear"/>
        <w:autoSpaceDE w:val="0"/>
        <w:autoSpaceDN w:val="0"/>
        <w:adjustRightInd w:val="0"/>
        <w:snapToGrid w:val="0"/>
        <w:spacing w:line="480" w:lineRule="exact"/>
        <w:ind w:firstLine="482" w:firstLineChars="200"/>
        <w:jc w:val="center"/>
        <w:rPr>
          <w:b/>
          <w:bCs/>
          <w:color w:val="auto"/>
          <w:sz w:val="24"/>
          <w:szCs w:val="32"/>
          <w:highlight w:val="none"/>
        </w:rPr>
      </w:pPr>
      <w:r>
        <w:rPr>
          <w:b/>
          <w:bCs/>
          <w:color w:val="auto"/>
          <w:sz w:val="24"/>
          <w:szCs w:val="32"/>
          <w:highlight w:val="none"/>
        </w:rPr>
        <w:t>表4-1有组织废气排放情况</w:t>
      </w:r>
    </w:p>
    <w:tbl>
      <w:tblPr>
        <w:tblStyle w:val="33"/>
        <w:tblW w:w="533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88"/>
        <w:gridCol w:w="646"/>
        <w:gridCol w:w="499"/>
        <w:gridCol w:w="655"/>
        <w:gridCol w:w="517"/>
        <w:gridCol w:w="273"/>
        <w:gridCol w:w="273"/>
        <w:gridCol w:w="497"/>
        <w:gridCol w:w="601"/>
        <w:gridCol w:w="824"/>
        <w:gridCol w:w="630"/>
        <w:gridCol w:w="720"/>
        <w:gridCol w:w="797"/>
        <w:gridCol w:w="593"/>
        <w:gridCol w:w="639"/>
        <w:gridCol w:w="843"/>
        <w:gridCol w:w="734"/>
        <w:gridCol w:w="923"/>
        <w:gridCol w:w="764"/>
        <w:gridCol w:w="708"/>
        <w:gridCol w:w="664"/>
        <w:gridCol w:w="664"/>
        <w:gridCol w:w="587"/>
      </w:tblGrid>
      <w:tr w14:paraId="607B4C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33" w:type="pct"/>
            <w:vMerge w:val="restart"/>
            <w:tcBorders>
              <w:tl2br w:val="nil"/>
              <w:tr2bl w:val="nil"/>
            </w:tcBorders>
            <w:tcMar>
              <w:top w:w="15" w:type="dxa"/>
              <w:left w:w="15" w:type="dxa"/>
              <w:bottom w:w="0" w:type="dxa"/>
              <w:right w:w="15" w:type="dxa"/>
            </w:tcMar>
            <w:vAlign w:val="center"/>
          </w:tcPr>
          <w:p w14:paraId="5E49C0E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产污环节</w:t>
            </w:r>
          </w:p>
        </w:tc>
        <w:tc>
          <w:tcPr>
            <w:tcW w:w="219" w:type="pct"/>
            <w:vMerge w:val="restart"/>
            <w:tcBorders>
              <w:tl2br w:val="nil"/>
              <w:tr2bl w:val="nil"/>
            </w:tcBorders>
            <w:tcMar>
              <w:top w:w="15" w:type="dxa"/>
              <w:left w:w="15" w:type="dxa"/>
              <w:bottom w:w="0" w:type="dxa"/>
              <w:right w:w="15" w:type="dxa"/>
            </w:tcMar>
            <w:vAlign w:val="center"/>
          </w:tcPr>
          <w:p w14:paraId="5D29181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污染物</w:t>
            </w:r>
          </w:p>
        </w:tc>
        <w:tc>
          <w:tcPr>
            <w:tcW w:w="391" w:type="pct"/>
            <w:gridSpan w:val="2"/>
            <w:tcBorders>
              <w:tl2br w:val="nil"/>
              <w:tr2bl w:val="nil"/>
            </w:tcBorders>
            <w:tcMar>
              <w:top w:w="15" w:type="dxa"/>
              <w:left w:w="15" w:type="dxa"/>
              <w:bottom w:w="0" w:type="dxa"/>
              <w:right w:w="15" w:type="dxa"/>
            </w:tcMar>
            <w:vAlign w:val="center"/>
          </w:tcPr>
          <w:p w14:paraId="6CC215C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产生情况</w:t>
            </w:r>
          </w:p>
        </w:tc>
        <w:tc>
          <w:tcPr>
            <w:tcW w:w="733" w:type="pct"/>
            <w:gridSpan w:val="5"/>
            <w:tcBorders>
              <w:tl2br w:val="nil"/>
              <w:tr2bl w:val="nil"/>
            </w:tcBorders>
            <w:tcMar>
              <w:top w:w="15" w:type="dxa"/>
              <w:left w:w="15" w:type="dxa"/>
              <w:bottom w:w="0" w:type="dxa"/>
              <w:right w:w="15" w:type="dxa"/>
            </w:tcMar>
            <w:vAlign w:val="center"/>
          </w:tcPr>
          <w:p w14:paraId="3753C455">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治理设施</w:t>
            </w:r>
          </w:p>
        </w:tc>
        <w:tc>
          <w:tcPr>
            <w:tcW w:w="737" w:type="pct"/>
            <w:gridSpan w:val="3"/>
            <w:tcBorders>
              <w:tl2br w:val="nil"/>
              <w:tr2bl w:val="nil"/>
            </w:tcBorders>
            <w:noWrap/>
            <w:tcMar>
              <w:top w:w="15" w:type="dxa"/>
              <w:left w:w="15" w:type="dxa"/>
              <w:bottom w:w="0" w:type="dxa"/>
              <w:right w:w="15" w:type="dxa"/>
            </w:tcMar>
            <w:vAlign w:val="center"/>
          </w:tcPr>
          <w:p w14:paraId="7FBE69D9">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排放情况</w:t>
            </w:r>
          </w:p>
        </w:tc>
        <w:tc>
          <w:tcPr>
            <w:tcW w:w="1536" w:type="pct"/>
            <w:gridSpan w:val="6"/>
            <w:tcBorders>
              <w:tl2br w:val="nil"/>
              <w:tr2bl w:val="nil"/>
            </w:tcBorders>
            <w:noWrap/>
            <w:tcMar>
              <w:top w:w="15" w:type="dxa"/>
              <w:left w:w="15" w:type="dxa"/>
              <w:bottom w:w="0" w:type="dxa"/>
              <w:right w:w="15" w:type="dxa"/>
            </w:tcMar>
            <w:vAlign w:val="center"/>
          </w:tcPr>
          <w:p w14:paraId="7C6A03F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排放口基本情况</w:t>
            </w:r>
          </w:p>
        </w:tc>
        <w:tc>
          <w:tcPr>
            <w:tcW w:w="499" w:type="pct"/>
            <w:gridSpan w:val="2"/>
            <w:tcBorders>
              <w:tl2br w:val="nil"/>
              <w:tr2bl w:val="nil"/>
            </w:tcBorders>
            <w:noWrap/>
            <w:tcMar>
              <w:top w:w="15" w:type="dxa"/>
              <w:left w:w="15" w:type="dxa"/>
              <w:bottom w:w="0" w:type="dxa"/>
              <w:right w:w="15" w:type="dxa"/>
            </w:tcMar>
            <w:vAlign w:val="center"/>
          </w:tcPr>
          <w:p w14:paraId="1423B795">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排放标准</w:t>
            </w:r>
          </w:p>
        </w:tc>
        <w:tc>
          <w:tcPr>
            <w:tcW w:w="649" w:type="pct"/>
            <w:gridSpan w:val="3"/>
            <w:tcBorders>
              <w:tl2br w:val="nil"/>
              <w:tr2bl w:val="nil"/>
            </w:tcBorders>
            <w:noWrap/>
            <w:tcMar>
              <w:top w:w="15" w:type="dxa"/>
              <w:left w:w="15" w:type="dxa"/>
              <w:bottom w:w="0" w:type="dxa"/>
              <w:right w:w="15" w:type="dxa"/>
            </w:tcMar>
            <w:vAlign w:val="center"/>
          </w:tcPr>
          <w:p w14:paraId="5890B16D">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监测要求</w:t>
            </w:r>
          </w:p>
        </w:tc>
      </w:tr>
      <w:tr w14:paraId="29F70B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14" w:hRule="atLeast"/>
          <w:jc w:val="center"/>
        </w:trPr>
        <w:tc>
          <w:tcPr>
            <w:tcW w:w="233" w:type="pct"/>
            <w:vMerge w:val="continue"/>
            <w:tcBorders>
              <w:tl2br w:val="nil"/>
              <w:tr2bl w:val="nil"/>
            </w:tcBorders>
            <w:vAlign w:val="center"/>
          </w:tcPr>
          <w:p w14:paraId="1B2B9F6A">
            <w:pPr>
              <w:keepNext w:val="0"/>
              <w:keepLines w:val="0"/>
              <w:pageBreakBefore w:val="0"/>
              <w:widowControl/>
              <w:kinsoku/>
              <w:wordWrap/>
              <w:overflowPunct/>
              <w:topLinePunct w:val="0"/>
              <w:bidi w:val="0"/>
              <w:snapToGrid/>
              <w:spacing w:line="240" w:lineRule="auto"/>
              <w:ind w:firstLine="0" w:firstLineChars="0"/>
              <w:jc w:val="center"/>
              <w:rPr>
                <w:rFonts w:hint="default" w:ascii="Times New Roman" w:hAnsi="Times New Roman" w:cs="Times New Roman"/>
                <w:b/>
                <w:bCs/>
                <w:color w:val="auto"/>
                <w:sz w:val="22"/>
                <w:szCs w:val="22"/>
              </w:rPr>
            </w:pPr>
          </w:p>
        </w:tc>
        <w:tc>
          <w:tcPr>
            <w:tcW w:w="219" w:type="pct"/>
            <w:vMerge w:val="continue"/>
            <w:tcBorders>
              <w:tl2br w:val="nil"/>
              <w:tr2bl w:val="nil"/>
            </w:tcBorders>
            <w:vAlign w:val="center"/>
          </w:tcPr>
          <w:p w14:paraId="7BA79129">
            <w:pPr>
              <w:keepNext w:val="0"/>
              <w:keepLines w:val="0"/>
              <w:pageBreakBefore w:val="0"/>
              <w:widowControl/>
              <w:kinsoku/>
              <w:wordWrap/>
              <w:overflowPunct/>
              <w:topLinePunct w:val="0"/>
              <w:bidi w:val="0"/>
              <w:snapToGrid/>
              <w:spacing w:line="240" w:lineRule="auto"/>
              <w:ind w:firstLine="0" w:firstLineChars="0"/>
              <w:jc w:val="center"/>
              <w:rPr>
                <w:rFonts w:hint="default" w:ascii="Times New Roman" w:hAnsi="Times New Roman" w:cs="Times New Roman"/>
                <w:b/>
                <w:bCs/>
                <w:color w:val="auto"/>
                <w:sz w:val="22"/>
                <w:szCs w:val="22"/>
              </w:rPr>
            </w:pPr>
          </w:p>
        </w:tc>
        <w:tc>
          <w:tcPr>
            <w:tcW w:w="169" w:type="pct"/>
            <w:tcBorders>
              <w:tl2br w:val="nil"/>
              <w:tr2bl w:val="nil"/>
            </w:tcBorders>
            <w:tcMar>
              <w:top w:w="15" w:type="dxa"/>
              <w:left w:w="15" w:type="dxa"/>
              <w:bottom w:w="0" w:type="dxa"/>
              <w:right w:w="15" w:type="dxa"/>
            </w:tcMar>
            <w:vAlign w:val="center"/>
          </w:tcPr>
          <w:p w14:paraId="7F799701">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产生量(t/a)</w:t>
            </w:r>
          </w:p>
        </w:tc>
        <w:tc>
          <w:tcPr>
            <w:tcW w:w="222" w:type="pct"/>
            <w:tcBorders>
              <w:tl2br w:val="nil"/>
              <w:tr2bl w:val="nil"/>
            </w:tcBorders>
            <w:tcMar>
              <w:top w:w="15" w:type="dxa"/>
              <w:left w:w="15" w:type="dxa"/>
              <w:bottom w:w="0" w:type="dxa"/>
              <w:right w:w="15" w:type="dxa"/>
            </w:tcMar>
            <w:vAlign w:val="center"/>
          </w:tcPr>
          <w:p w14:paraId="4FBE0C4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浓度(mg/m</w:t>
            </w:r>
            <w:r>
              <w:rPr>
                <w:rFonts w:hint="default" w:ascii="Times New Roman" w:hAnsi="Times New Roman" w:cs="Times New Roman"/>
                <w:b/>
                <w:bCs/>
                <w:color w:val="auto"/>
                <w:sz w:val="22"/>
                <w:szCs w:val="22"/>
                <w:vertAlign w:val="superscript"/>
              </w:rPr>
              <w:t>3</w:t>
            </w:r>
            <w:r>
              <w:rPr>
                <w:rFonts w:hint="default" w:ascii="Times New Roman" w:hAnsi="Times New Roman" w:cs="Times New Roman"/>
                <w:b/>
                <w:bCs/>
                <w:color w:val="auto"/>
                <w:sz w:val="22"/>
                <w:szCs w:val="22"/>
              </w:rPr>
              <w:t>)</w:t>
            </w:r>
          </w:p>
        </w:tc>
        <w:tc>
          <w:tcPr>
            <w:tcW w:w="175" w:type="pct"/>
            <w:tcBorders>
              <w:tl2br w:val="nil"/>
              <w:tr2bl w:val="nil"/>
            </w:tcBorders>
            <w:tcMar>
              <w:top w:w="15" w:type="dxa"/>
              <w:left w:w="15" w:type="dxa"/>
              <w:bottom w:w="0" w:type="dxa"/>
              <w:right w:w="15" w:type="dxa"/>
            </w:tcMar>
            <w:vAlign w:val="center"/>
          </w:tcPr>
          <w:p w14:paraId="2C3BE37E">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处理能力(m</w:t>
            </w:r>
            <w:r>
              <w:rPr>
                <w:rFonts w:hint="default" w:ascii="Times New Roman" w:hAnsi="Times New Roman" w:cs="Times New Roman"/>
                <w:b/>
                <w:bCs/>
                <w:color w:val="auto"/>
                <w:sz w:val="22"/>
                <w:szCs w:val="22"/>
                <w:vertAlign w:val="superscript"/>
              </w:rPr>
              <w:t>3</w:t>
            </w:r>
            <w:r>
              <w:rPr>
                <w:rFonts w:hint="default" w:ascii="Times New Roman" w:hAnsi="Times New Roman" w:cs="Times New Roman"/>
                <w:b/>
                <w:bCs/>
                <w:color w:val="auto"/>
                <w:sz w:val="22"/>
                <w:szCs w:val="22"/>
              </w:rPr>
              <w:t>/h)</w:t>
            </w:r>
          </w:p>
        </w:tc>
        <w:tc>
          <w:tcPr>
            <w:tcW w:w="92" w:type="pct"/>
            <w:tcBorders>
              <w:tl2br w:val="nil"/>
              <w:tr2bl w:val="nil"/>
            </w:tcBorders>
            <w:tcMar>
              <w:top w:w="15" w:type="dxa"/>
              <w:left w:w="15" w:type="dxa"/>
              <w:bottom w:w="0" w:type="dxa"/>
              <w:right w:w="15" w:type="dxa"/>
            </w:tcMar>
            <w:vAlign w:val="center"/>
          </w:tcPr>
          <w:p w14:paraId="2A5F472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eastAsia" w:ascii="Times New Roman" w:hAnsi="Times New Roman" w:eastAsia="宋体" w:cs="Times New Roman"/>
                <w:b/>
                <w:bCs/>
                <w:color w:val="auto"/>
                <w:sz w:val="22"/>
                <w:szCs w:val="22"/>
                <w:lang w:eastAsia="zh-CN"/>
              </w:rPr>
            </w:pPr>
            <w:r>
              <w:rPr>
                <w:rFonts w:hint="eastAsia" w:cs="Times New Roman"/>
                <w:b/>
                <w:bCs/>
                <w:color w:val="auto"/>
                <w:sz w:val="22"/>
                <w:szCs w:val="22"/>
                <w:lang w:eastAsia="zh-CN"/>
              </w:rPr>
              <w:t>名称</w:t>
            </w:r>
          </w:p>
        </w:tc>
        <w:tc>
          <w:tcPr>
            <w:tcW w:w="92" w:type="pct"/>
            <w:tcBorders>
              <w:tl2br w:val="nil"/>
              <w:tr2bl w:val="nil"/>
            </w:tcBorders>
            <w:tcMar>
              <w:top w:w="15" w:type="dxa"/>
              <w:left w:w="15" w:type="dxa"/>
              <w:bottom w:w="0" w:type="dxa"/>
              <w:right w:w="15" w:type="dxa"/>
            </w:tcMar>
            <w:vAlign w:val="center"/>
          </w:tcPr>
          <w:p w14:paraId="481ADE6C">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eastAsia="宋体" w:cs="Times New Roman"/>
                <w:b/>
                <w:bCs/>
                <w:color w:val="auto"/>
                <w:kern w:val="2"/>
                <w:sz w:val="22"/>
                <w:szCs w:val="22"/>
                <w:lang w:val="en-US" w:eastAsia="zh-CN" w:bidi="ar-SA"/>
              </w:rPr>
            </w:pPr>
            <w:r>
              <w:rPr>
                <w:rFonts w:hint="default" w:ascii="Times New Roman" w:hAnsi="Times New Roman" w:cs="Times New Roman"/>
                <w:b/>
                <w:bCs/>
                <w:color w:val="auto"/>
                <w:sz w:val="22"/>
                <w:szCs w:val="22"/>
              </w:rPr>
              <w:t>收集效率%</w:t>
            </w:r>
          </w:p>
        </w:tc>
        <w:tc>
          <w:tcPr>
            <w:tcW w:w="168" w:type="pct"/>
            <w:tcBorders>
              <w:tl2br w:val="nil"/>
              <w:tr2bl w:val="nil"/>
            </w:tcBorders>
            <w:tcMar>
              <w:top w:w="15" w:type="dxa"/>
              <w:left w:w="15" w:type="dxa"/>
              <w:bottom w:w="0" w:type="dxa"/>
              <w:right w:w="15" w:type="dxa"/>
            </w:tcMar>
            <w:vAlign w:val="center"/>
          </w:tcPr>
          <w:p w14:paraId="2E32CB31">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eastAsia="宋体" w:cs="Times New Roman"/>
                <w:b/>
                <w:bCs/>
                <w:color w:val="auto"/>
                <w:kern w:val="2"/>
                <w:sz w:val="22"/>
                <w:szCs w:val="22"/>
                <w:lang w:val="en-US" w:eastAsia="zh-CN" w:bidi="ar-SA"/>
              </w:rPr>
            </w:pPr>
            <w:r>
              <w:rPr>
                <w:rFonts w:hint="default" w:ascii="Times New Roman" w:hAnsi="Times New Roman" w:cs="Times New Roman"/>
                <w:b/>
                <w:bCs/>
                <w:color w:val="auto"/>
                <w:sz w:val="22"/>
                <w:szCs w:val="22"/>
              </w:rPr>
              <w:t>净化效率%</w:t>
            </w:r>
          </w:p>
        </w:tc>
        <w:tc>
          <w:tcPr>
            <w:tcW w:w="203" w:type="pct"/>
            <w:tcBorders>
              <w:tl2br w:val="nil"/>
              <w:tr2bl w:val="nil"/>
            </w:tcBorders>
            <w:tcMar>
              <w:top w:w="15" w:type="dxa"/>
              <w:left w:w="15" w:type="dxa"/>
              <w:bottom w:w="0" w:type="dxa"/>
              <w:right w:w="15" w:type="dxa"/>
            </w:tcMar>
            <w:vAlign w:val="center"/>
          </w:tcPr>
          <w:p w14:paraId="2D35911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是否可行技术</w:t>
            </w:r>
          </w:p>
        </w:tc>
        <w:tc>
          <w:tcPr>
            <w:tcW w:w="279" w:type="pct"/>
            <w:tcBorders>
              <w:tl2br w:val="nil"/>
              <w:tr2bl w:val="nil"/>
            </w:tcBorders>
            <w:noWrap/>
            <w:tcMar>
              <w:top w:w="15" w:type="dxa"/>
              <w:left w:w="15" w:type="dxa"/>
              <w:bottom w:w="0" w:type="dxa"/>
              <w:right w:w="15" w:type="dxa"/>
            </w:tcMar>
            <w:vAlign w:val="center"/>
          </w:tcPr>
          <w:p w14:paraId="61CE41B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浓度(mg/m</w:t>
            </w:r>
            <w:r>
              <w:rPr>
                <w:rFonts w:hint="default" w:ascii="Times New Roman" w:hAnsi="Times New Roman" w:cs="Times New Roman"/>
                <w:b/>
                <w:bCs/>
                <w:color w:val="auto"/>
                <w:sz w:val="22"/>
                <w:szCs w:val="22"/>
                <w:vertAlign w:val="superscript"/>
              </w:rPr>
              <w:t>3</w:t>
            </w:r>
            <w:r>
              <w:rPr>
                <w:rFonts w:hint="default" w:ascii="Times New Roman" w:hAnsi="Times New Roman" w:cs="Times New Roman"/>
                <w:b/>
                <w:bCs/>
                <w:color w:val="auto"/>
                <w:sz w:val="22"/>
                <w:szCs w:val="22"/>
              </w:rPr>
              <w:t>)</w:t>
            </w:r>
          </w:p>
        </w:tc>
        <w:tc>
          <w:tcPr>
            <w:tcW w:w="213" w:type="pct"/>
            <w:tcBorders>
              <w:tl2br w:val="nil"/>
              <w:tr2bl w:val="nil"/>
            </w:tcBorders>
            <w:noWrap/>
            <w:tcMar>
              <w:top w:w="15" w:type="dxa"/>
              <w:left w:w="15" w:type="dxa"/>
              <w:bottom w:w="0" w:type="dxa"/>
              <w:right w:w="15" w:type="dxa"/>
            </w:tcMar>
            <w:vAlign w:val="center"/>
          </w:tcPr>
          <w:p w14:paraId="3BBA41F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速率(kg/h)</w:t>
            </w:r>
          </w:p>
        </w:tc>
        <w:tc>
          <w:tcPr>
            <w:tcW w:w="244" w:type="pct"/>
            <w:tcBorders>
              <w:tl2br w:val="nil"/>
              <w:tr2bl w:val="nil"/>
            </w:tcBorders>
            <w:noWrap/>
            <w:tcMar>
              <w:top w:w="15" w:type="dxa"/>
              <w:left w:w="15" w:type="dxa"/>
              <w:bottom w:w="0" w:type="dxa"/>
              <w:right w:w="15" w:type="dxa"/>
            </w:tcMar>
            <w:vAlign w:val="center"/>
          </w:tcPr>
          <w:p w14:paraId="6124A10D">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排放量（t/a）</w:t>
            </w:r>
          </w:p>
        </w:tc>
        <w:tc>
          <w:tcPr>
            <w:tcW w:w="270" w:type="pct"/>
            <w:tcBorders>
              <w:tl2br w:val="nil"/>
              <w:tr2bl w:val="nil"/>
            </w:tcBorders>
            <w:noWrap/>
            <w:tcMar>
              <w:top w:w="15" w:type="dxa"/>
              <w:left w:w="15" w:type="dxa"/>
              <w:bottom w:w="0" w:type="dxa"/>
              <w:right w:w="15" w:type="dxa"/>
            </w:tcMar>
            <w:vAlign w:val="center"/>
          </w:tcPr>
          <w:p w14:paraId="5ED8DC0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高度(m)</w:t>
            </w:r>
          </w:p>
        </w:tc>
        <w:tc>
          <w:tcPr>
            <w:tcW w:w="201" w:type="pct"/>
            <w:tcBorders>
              <w:tl2br w:val="nil"/>
              <w:tr2bl w:val="nil"/>
            </w:tcBorders>
            <w:noWrap/>
            <w:tcMar>
              <w:top w:w="15" w:type="dxa"/>
              <w:left w:w="15" w:type="dxa"/>
              <w:bottom w:w="0" w:type="dxa"/>
              <w:right w:w="15" w:type="dxa"/>
            </w:tcMar>
            <w:vAlign w:val="center"/>
          </w:tcPr>
          <w:p w14:paraId="0D839440">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内径(m)</w:t>
            </w:r>
          </w:p>
        </w:tc>
        <w:tc>
          <w:tcPr>
            <w:tcW w:w="216" w:type="pct"/>
            <w:tcBorders>
              <w:tl2br w:val="nil"/>
              <w:tr2bl w:val="nil"/>
            </w:tcBorders>
            <w:noWrap/>
            <w:tcMar>
              <w:top w:w="15" w:type="dxa"/>
              <w:left w:w="15" w:type="dxa"/>
              <w:bottom w:w="0" w:type="dxa"/>
              <w:right w:w="15" w:type="dxa"/>
            </w:tcMar>
            <w:vAlign w:val="center"/>
          </w:tcPr>
          <w:p w14:paraId="2C11C3EC">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温度(℃)</w:t>
            </w:r>
          </w:p>
        </w:tc>
        <w:tc>
          <w:tcPr>
            <w:tcW w:w="285" w:type="pct"/>
            <w:tcBorders>
              <w:tl2br w:val="nil"/>
              <w:tr2bl w:val="nil"/>
            </w:tcBorders>
            <w:noWrap/>
            <w:tcMar>
              <w:top w:w="15" w:type="dxa"/>
              <w:left w:w="15" w:type="dxa"/>
              <w:bottom w:w="0" w:type="dxa"/>
              <w:right w:w="15" w:type="dxa"/>
            </w:tcMar>
            <w:vAlign w:val="center"/>
          </w:tcPr>
          <w:p w14:paraId="149099C8">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编号及名称</w:t>
            </w:r>
          </w:p>
        </w:tc>
        <w:tc>
          <w:tcPr>
            <w:tcW w:w="248" w:type="pct"/>
            <w:tcBorders>
              <w:tl2br w:val="nil"/>
              <w:tr2bl w:val="nil"/>
            </w:tcBorders>
            <w:noWrap/>
            <w:tcMar>
              <w:top w:w="15" w:type="dxa"/>
              <w:left w:w="15" w:type="dxa"/>
              <w:bottom w:w="0" w:type="dxa"/>
              <w:right w:w="15" w:type="dxa"/>
            </w:tcMar>
            <w:vAlign w:val="center"/>
          </w:tcPr>
          <w:p w14:paraId="65CBB147">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类型</w:t>
            </w:r>
          </w:p>
        </w:tc>
        <w:tc>
          <w:tcPr>
            <w:tcW w:w="313" w:type="pct"/>
            <w:tcBorders>
              <w:tl2br w:val="nil"/>
              <w:tr2bl w:val="nil"/>
            </w:tcBorders>
            <w:noWrap/>
            <w:tcMar>
              <w:top w:w="15" w:type="dxa"/>
              <w:left w:w="15" w:type="dxa"/>
              <w:bottom w:w="0" w:type="dxa"/>
              <w:right w:w="15" w:type="dxa"/>
            </w:tcMar>
            <w:vAlign w:val="center"/>
          </w:tcPr>
          <w:p w14:paraId="555C24F6">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坐标</w:t>
            </w:r>
          </w:p>
        </w:tc>
        <w:tc>
          <w:tcPr>
            <w:tcW w:w="259" w:type="pct"/>
            <w:tcBorders>
              <w:tl2br w:val="nil"/>
              <w:tr2bl w:val="nil"/>
            </w:tcBorders>
            <w:noWrap/>
            <w:tcMar>
              <w:top w:w="15" w:type="dxa"/>
              <w:left w:w="15" w:type="dxa"/>
              <w:bottom w:w="0" w:type="dxa"/>
              <w:right w:w="15" w:type="dxa"/>
            </w:tcMar>
            <w:vAlign w:val="center"/>
          </w:tcPr>
          <w:p w14:paraId="37BDC3E8">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浓度(mg/m</w:t>
            </w:r>
            <w:r>
              <w:rPr>
                <w:rFonts w:hint="default" w:ascii="Times New Roman" w:hAnsi="Times New Roman" w:cs="Times New Roman"/>
                <w:b/>
                <w:bCs/>
                <w:color w:val="auto"/>
                <w:sz w:val="22"/>
                <w:szCs w:val="22"/>
                <w:vertAlign w:val="superscript"/>
              </w:rPr>
              <w:t>3</w:t>
            </w:r>
            <w:r>
              <w:rPr>
                <w:rFonts w:hint="default" w:ascii="Times New Roman" w:hAnsi="Times New Roman" w:cs="Times New Roman"/>
                <w:b/>
                <w:bCs/>
                <w:color w:val="auto"/>
                <w:sz w:val="22"/>
                <w:szCs w:val="22"/>
              </w:rPr>
              <w:t>)</w:t>
            </w:r>
          </w:p>
        </w:tc>
        <w:tc>
          <w:tcPr>
            <w:tcW w:w="240" w:type="pct"/>
            <w:tcBorders>
              <w:tl2br w:val="nil"/>
              <w:tr2bl w:val="nil"/>
            </w:tcBorders>
            <w:noWrap/>
            <w:tcMar>
              <w:top w:w="15" w:type="dxa"/>
              <w:left w:w="15" w:type="dxa"/>
              <w:bottom w:w="0" w:type="dxa"/>
              <w:right w:w="15" w:type="dxa"/>
            </w:tcMar>
            <w:vAlign w:val="center"/>
          </w:tcPr>
          <w:p w14:paraId="07F1302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速率(kg/h)</w:t>
            </w:r>
          </w:p>
        </w:tc>
        <w:tc>
          <w:tcPr>
            <w:tcW w:w="225" w:type="pct"/>
            <w:tcBorders>
              <w:tl2br w:val="nil"/>
              <w:tr2bl w:val="nil"/>
            </w:tcBorders>
            <w:noWrap/>
            <w:tcMar>
              <w:top w:w="15" w:type="dxa"/>
              <w:left w:w="15" w:type="dxa"/>
              <w:bottom w:w="0" w:type="dxa"/>
              <w:right w:w="15" w:type="dxa"/>
            </w:tcMar>
            <w:vAlign w:val="center"/>
          </w:tcPr>
          <w:p w14:paraId="0E7AA495">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监测点位</w:t>
            </w:r>
          </w:p>
        </w:tc>
        <w:tc>
          <w:tcPr>
            <w:tcW w:w="225" w:type="pct"/>
            <w:tcBorders>
              <w:tl2br w:val="nil"/>
              <w:tr2bl w:val="nil"/>
            </w:tcBorders>
            <w:noWrap/>
            <w:tcMar>
              <w:top w:w="15" w:type="dxa"/>
              <w:left w:w="15" w:type="dxa"/>
              <w:bottom w:w="0" w:type="dxa"/>
              <w:right w:w="15" w:type="dxa"/>
            </w:tcMar>
            <w:vAlign w:val="center"/>
          </w:tcPr>
          <w:p w14:paraId="129CDCD2">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监测因子</w:t>
            </w:r>
          </w:p>
        </w:tc>
        <w:tc>
          <w:tcPr>
            <w:tcW w:w="199" w:type="pct"/>
            <w:tcBorders>
              <w:tl2br w:val="nil"/>
              <w:tr2bl w:val="nil"/>
            </w:tcBorders>
            <w:noWrap/>
            <w:tcMar>
              <w:top w:w="15" w:type="dxa"/>
              <w:left w:w="15" w:type="dxa"/>
              <w:bottom w:w="0" w:type="dxa"/>
              <w:right w:w="15" w:type="dxa"/>
            </w:tcMar>
            <w:vAlign w:val="center"/>
          </w:tcPr>
          <w:p w14:paraId="519CF652">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监测频次</w:t>
            </w:r>
          </w:p>
        </w:tc>
      </w:tr>
      <w:tr w14:paraId="5204AE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456" w:hRule="atLeast"/>
          <w:jc w:val="center"/>
        </w:trPr>
        <w:tc>
          <w:tcPr>
            <w:tcW w:w="233" w:type="pct"/>
            <w:tcBorders>
              <w:tl2br w:val="nil"/>
              <w:tr2bl w:val="nil"/>
            </w:tcBorders>
            <w:noWrap/>
            <w:tcMar>
              <w:top w:w="15" w:type="dxa"/>
              <w:left w:w="15" w:type="dxa"/>
              <w:bottom w:w="0" w:type="dxa"/>
              <w:right w:w="15" w:type="dxa"/>
            </w:tcMar>
            <w:vAlign w:val="center"/>
          </w:tcPr>
          <w:p w14:paraId="61A84888">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lang w:eastAsia="zh-CN"/>
              </w:rPr>
            </w:pPr>
            <w:r>
              <w:rPr>
                <w:rFonts w:hint="eastAsia" w:ascii="Times New Roman" w:hAnsi="Times New Roman" w:eastAsia="宋体" w:cs="Times New Roman"/>
                <w:color w:val="auto"/>
                <w:sz w:val="22"/>
                <w:szCs w:val="22"/>
                <w:lang w:eastAsia="zh-CN"/>
              </w:rPr>
              <w:t>混合搅拌、包装工序</w:t>
            </w:r>
          </w:p>
        </w:tc>
        <w:tc>
          <w:tcPr>
            <w:tcW w:w="219" w:type="pct"/>
            <w:tcBorders>
              <w:tl2br w:val="nil"/>
              <w:tr2bl w:val="nil"/>
            </w:tcBorders>
            <w:noWrap/>
            <w:tcMar>
              <w:top w:w="15" w:type="dxa"/>
              <w:left w:w="15" w:type="dxa"/>
              <w:bottom w:w="0" w:type="dxa"/>
              <w:right w:w="15" w:type="dxa"/>
            </w:tcMar>
            <w:vAlign w:val="center"/>
          </w:tcPr>
          <w:p w14:paraId="20629BD6">
            <w:pPr>
              <w:keepNext w:val="0"/>
              <w:keepLines w:val="0"/>
              <w:pageBreakBefore w:val="0"/>
              <w:widowControl/>
              <w:kinsoku/>
              <w:wordWrap/>
              <w:overflowPunct/>
              <w:topLinePunct w:val="0"/>
              <w:bidi w:val="0"/>
              <w:snapToGrid/>
              <w:spacing w:line="240" w:lineRule="auto"/>
              <w:ind w:firstLine="0" w:firstLineChars="0"/>
              <w:jc w:val="center"/>
              <w:textAlignment w:val="center"/>
              <w:rPr>
                <w:rFonts w:hint="eastAsia" w:ascii="Times New Roman" w:hAnsi="Times New Roman" w:eastAsia="宋体" w:cs="Times New Roman"/>
                <w:color w:val="auto"/>
                <w:sz w:val="22"/>
                <w:szCs w:val="22"/>
                <w:lang w:eastAsia="zh-CN"/>
              </w:rPr>
            </w:pPr>
            <w:r>
              <w:rPr>
                <w:rFonts w:hint="eastAsia" w:cs="Times New Roman"/>
                <w:color w:val="auto"/>
                <w:sz w:val="22"/>
                <w:szCs w:val="22"/>
                <w:lang w:eastAsia="zh-CN"/>
              </w:rPr>
              <w:t>颗粒物</w:t>
            </w:r>
          </w:p>
        </w:tc>
        <w:tc>
          <w:tcPr>
            <w:tcW w:w="169" w:type="pct"/>
            <w:tcBorders>
              <w:tl2br w:val="nil"/>
              <w:tr2bl w:val="nil"/>
            </w:tcBorders>
            <w:noWrap/>
            <w:tcMar>
              <w:top w:w="15" w:type="dxa"/>
              <w:left w:w="15" w:type="dxa"/>
              <w:bottom w:w="0" w:type="dxa"/>
              <w:right w:w="15" w:type="dxa"/>
            </w:tcMar>
            <w:vAlign w:val="center"/>
          </w:tcPr>
          <w:p w14:paraId="7CB64141">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58.5</w:t>
            </w:r>
          </w:p>
        </w:tc>
        <w:tc>
          <w:tcPr>
            <w:tcW w:w="222" w:type="pct"/>
            <w:tcBorders>
              <w:tl2br w:val="nil"/>
              <w:tr2bl w:val="nil"/>
            </w:tcBorders>
            <w:noWrap/>
            <w:tcMar>
              <w:top w:w="15" w:type="dxa"/>
              <w:left w:w="15" w:type="dxa"/>
              <w:bottom w:w="0" w:type="dxa"/>
              <w:right w:w="15" w:type="dxa"/>
            </w:tcMar>
            <w:vAlign w:val="center"/>
          </w:tcPr>
          <w:p w14:paraId="4BB39D0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609.375</w:t>
            </w:r>
          </w:p>
        </w:tc>
        <w:tc>
          <w:tcPr>
            <w:tcW w:w="175" w:type="pct"/>
            <w:tcBorders>
              <w:tl2br w:val="nil"/>
              <w:tr2bl w:val="nil"/>
            </w:tcBorders>
            <w:noWrap/>
            <w:tcMar>
              <w:top w:w="15" w:type="dxa"/>
              <w:left w:w="15" w:type="dxa"/>
              <w:bottom w:w="0" w:type="dxa"/>
              <w:right w:w="15" w:type="dxa"/>
            </w:tcMar>
            <w:vAlign w:val="center"/>
          </w:tcPr>
          <w:p w14:paraId="200B5B81">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2</w:t>
            </w:r>
            <w:r>
              <w:rPr>
                <w:rFonts w:hint="default" w:ascii="Times New Roman" w:hAnsi="Times New Roman" w:cs="Times New Roman"/>
                <w:color w:val="auto"/>
                <w:sz w:val="22"/>
                <w:szCs w:val="22"/>
                <w:lang w:val="en-US" w:eastAsia="zh-CN"/>
              </w:rPr>
              <w:t>0000</w:t>
            </w:r>
          </w:p>
        </w:tc>
        <w:tc>
          <w:tcPr>
            <w:tcW w:w="92" w:type="pct"/>
            <w:tcBorders>
              <w:tl2br w:val="nil"/>
              <w:tr2bl w:val="nil"/>
            </w:tcBorders>
            <w:noWrap/>
            <w:tcMar>
              <w:top w:w="15" w:type="dxa"/>
              <w:left w:w="15" w:type="dxa"/>
              <w:bottom w:w="0" w:type="dxa"/>
              <w:right w:w="15" w:type="dxa"/>
            </w:tcMar>
            <w:vAlign w:val="center"/>
          </w:tcPr>
          <w:p w14:paraId="1FBF990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lang w:eastAsia="zh-CN"/>
              </w:rPr>
            </w:pPr>
            <w:r>
              <w:rPr>
                <w:rFonts w:hint="eastAsia" w:cs="Times New Roman"/>
                <w:color w:val="auto"/>
                <w:sz w:val="22"/>
                <w:szCs w:val="22"/>
                <w:lang w:eastAsia="zh-CN"/>
              </w:rPr>
              <w:t>布袋除尘器</w:t>
            </w:r>
          </w:p>
        </w:tc>
        <w:tc>
          <w:tcPr>
            <w:tcW w:w="92" w:type="pct"/>
            <w:tcBorders>
              <w:tl2br w:val="nil"/>
              <w:tr2bl w:val="nil"/>
            </w:tcBorders>
            <w:noWrap/>
            <w:tcMar>
              <w:top w:w="15" w:type="dxa"/>
              <w:left w:w="15" w:type="dxa"/>
              <w:bottom w:w="0" w:type="dxa"/>
              <w:right w:w="15" w:type="dxa"/>
            </w:tcMar>
            <w:vAlign w:val="center"/>
          </w:tcPr>
          <w:p w14:paraId="6371A15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cs="Times New Roman"/>
                <w:color w:val="auto"/>
                <w:sz w:val="22"/>
                <w:szCs w:val="22"/>
              </w:rPr>
              <w:t>9</w:t>
            </w:r>
            <w:r>
              <w:rPr>
                <w:rFonts w:hint="default" w:ascii="Times New Roman" w:hAnsi="Times New Roman" w:cs="Times New Roman"/>
                <w:color w:val="auto"/>
                <w:sz w:val="22"/>
                <w:szCs w:val="22"/>
                <w:lang w:val="en-US" w:eastAsia="zh-CN"/>
              </w:rPr>
              <w:t>0</w:t>
            </w:r>
          </w:p>
        </w:tc>
        <w:tc>
          <w:tcPr>
            <w:tcW w:w="168" w:type="pct"/>
            <w:tcBorders>
              <w:tl2br w:val="nil"/>
              <w:tr2bl w:val="nil"/>
            </w:tcBorders>
            <w:noWrap/>
            <w:tcMar>
              <w:top w:w="15" w:type="dxa"/>
              <w:left w:w="15" w:type="dxa"/>
              <w:bottom w:w="0" w:type="dxa"/>
              <w:right w:w="15" w:type="dxa"/>
            </w:tcMar>
            <w:vAlign w:val="center"/>
          </w:tcPr>
          <w:p w14:paraId="5F5E5231">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eastAsia="宋体" w:cs="Times New Roman"/>
                <w:color w:val="auto"/>
                <w:kern w:val="2"/>
                <w:sz w:val="22"/>
                <w:szCs w:val="22"/>
                <w:lang w:val="en-US" w:eastAsia="zh-CN" w:bidi="ar-SA"/>
              </w:rPr>
            </w:pPr>
            <w:r>
              <w:rPr>
                <w:rFonts w:hint="eastAsia" w:cs="Times New Roman"/>
                <w:color w:val="auto"/>
                <w:sz w:val="22"/>
                <w:szCs w:val="22"/>
                <w:lang w:val="en-US" w:eastAsia="zh-CN"/>
              </w:rPr>
              <w:t>99</w:t>
            </w:r>
          </w:p>
        </w:tc>
        <w:tc>
          <w:tcPr>
            <w:tcW w:w="203" w:type="pct"/>
            <w:tcBorders>
              <w:tl2br w:val="nil"/>
              <w:tr2bl w:val="nil"/>
            </w:tcBorders>
            <w:noWrap/>
            <w:tcMar>
              <w:top w:w="15" w:type="dxa"/>
              <w:left w:w="15" w:type="dxa"/>
              <w:bottom w:w="0" w:type="dxa"/>
              <w:right w:w="15" w:type="dxa"/>
            </w:tcMar>
            <w:vAlign w:val="center"/>
          </w:tcPr>
          <w:p w14:paraId="2083B549">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是</w:t>
            </w:r>
          </w:p>
        </w:tc>
        <w:tc>
          <w:tcPr>
            <w:tcW w:w="279" w:type="pct"/>
            <w:tcBorders>
              <w:tl2br w:val="nil"/>
              <w:tr2bl w:val="nil"/>
            </w:tcBorders>
            <w:noWrap/>
            <w:tcMar>
              <w:top w:w="15" w:type="dxa"/>
              <w:left w:w="15" w:type="dxa"/>
              <w:bottom w:w="0" w:type="dxa"/>
              <w:right w:w="15" w:type="dxa"/>
            </w:tcMar>
            <w:vAlign w:val="center"/>
          </w:tcPr>
          <w:p w14:paraId="4D766DE1">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6.094</w:t>
            </w:r>
          </w:p>
        </w:tc>
        <w:tc>
          <w:tcPr>
            <w:tcW w:w="213" w:type="pct"/>
            <w:tcBorders>
              <w:tl2br w:val="nil"/>
              <w:tr2bl w:val="nil"/>
            </w:tcBorders>
            <w:noWrap/>
            <w:tcMar>
              <w:top w:w="15" w:type="dxa"/>
              <w:left w:w="15" w:type="dxa"/>
              <w:bottom w:w="0" w:type="dxa"/>
              <w:right w:w="15" w:type="dxa"/>
            </w:tcMar>
            <w:vAlign w:val="center"/>
          </w:tcPr>
          <w:p w14:paraId="5D5BD867">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0.122</w:t>
            </w:r>
          </w:p>
        </w:tc>
        <w:tc>
          <w:tcPr>
            <w:tcW w:w="244" w:type="pct"/>
            <w:tcBorders>
              <w:tl2br w:val="nil"/>
              <w:tr2bl w:val="nil"/>
            </w:tcBorders>
            <w:noWrap/>
            <w:tcMar>
              <w:top w:w="15" w:type="dxa"/>
              <w:left w:w="15" w:type="dxa"/>
              <w:bottom w:w="0" w:type="dxa"/>
              <w:right w:w="15" w:type="dxa"/>
            </w:tcMar>
            <w:vAlign w:val="center"/>
          </w:tcPr>
          <w:p w14:paraId="3A9524BF">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0.585</w:t>
            </w:r>
          </w:p>
        </w:tc>
        <w:tc>
          <w:tcPr>
            <w:tcW w:w="270" w:type="pct"/>
            <w:tcBorders>
              <w:tl2br w:val="nil"/>
              <w:tr2bl w:val="nil"/>
            </w:tcBorders>
            <w:noWrap/>
            <w:tcMar>
              <w:top w:w="15" w:type="dxa"/>
              <w:left w:w="15" w:type="dxa"/>
              <w:bottom w:w="0" w:type="dxa"/>
              <w:right w:w="15" w:type="dxa"/>
            </w:tcMar>
            <w:vAlign w:val="center"/>
          </w:tcPr>
          <w:p w14:paraId="59A49106">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15</w:t>
            </w:r>
          </w:p>
        </w:tc>
        <w:tc>
          <w:tcPr>
            <w:tcW w:w="201" w:type="pct"/>
            <w:tcBorders>
              <w:tl2br w:val="nil"/>
              <w:tr2bl w:val="nil"/>
            </w:tcBorders>
            <w:noWrap/>
            <w:tcMar>
              <w:top w:w="15" w:type="dxa"/>
              <w:left w:w="15" w:type="dxa"/>
              <w:bottom w:w="0" w:type="dxa"/>
              <w:right w:w="15" w:type="dxa"/>
            </w:tcMar>
            <w:vAlign w:val="center"/>
          </w:tcPr>
          <w:p w14:paraId="0F361C66">
            <w:pPr>
              <w:keepNext w:val="0"/>
              <w:keepLines w:val="0"/>
              <w:pageBreakBefore w:val="0"/>
              <w:widowControl/>
              <w:kinsoku/>
              <w:wordWrap/>
              <w:overflowPunct/>
              <w:topLinePunct w:val="0"/>
              <w:bidi w:val="0"/>
              <w:snapToGrid/>
              <w:spacing w:line="240" w:lineRule="auto"/>
              <w:ind w:firstLine="0" w:firstLineChars="0"/>
              <w:jc w:val="center"/>
              <w:textAlignment w:val="center"/>
              <w:rPr>
                <w:rFonts w:hint="eastAsia" w:ascii="Times New Roman" w:hAnsi="Times New Roman" w:eastAsia="宋体" w:cs="Times New Roman"/>
                <w:color w:val="auto"/>
                <w:sz w:val="22"/>
                <w:szCs w:val="22"/>
                <w:lang w:eastAsia="zh-CN"/>
              </w:rPr>
            </w:pPr>
            <w:r>
              <w:rPr>
                <w:rFonts w:hint="default" w:ascii="Times New Roman" w:hAnsi="Times New Roman" w:cs="Times New Roman"/>
                <w:color w:val="0000FF"/>
                <w:sz w:val="22"/>
                <w:szCs w:val="22"/>
                <w:highlight w:val="yellow"/>
              </w:rPr>
              <w:t>0.</w:t>
            </w:r>
            <w:r>
              <w:rPr>
                <w:rFonts w:hint="eastAsia" w:cs="Times New Roman"/>
                <w:color w:val="0000FF"/>
                <w:sz w:val="22"/>
                <w:szCs w:val="22"/>
                <w:highlight w:val="yellow"/>
                <w:lang w:val="en-US" w:eastAsia="zh-CN"/>
              </w:rPr>
              <w:t>7</w:t>
            </w:r>
          </w:p>
        </w:tc>
        <w:tc>
          <w:tcPr>
            <w:tcW w:w="216" w:type="pct"/>
            <w:tcBorders>
              <w:tl2br w:val="nil"/>
              <w:tr2bl w:val="nil"/>
            </w:tcBorders>
            <w:noWrap/>
            <w:tcMar>
              <w:top w:w="15" w:type="dxa"/>
              <w:left w:w="15" w:type="dxa"/>
              <w:bottom w:w="0" w:type="dxa"/>
              <w:right w:w="15" w:type="dxa"/>
            </w:tcMar>
            <w:vAlign w:val="center"/>
          </w:tcPr>
          <w:p w14:paraId="356ADFB5">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25</w:t>
            </w:r>
          </w:p>
        </w:tc>
        <w:tc>
          <w:tcPr>
            <w:tcW w:w="285" w:type="pct"/>
            <w:tcBorders>
              <w:tl2br w:val="nil"/>
              <w:tr2bl w:val="nil"/>
            </w:tcBorders>
            <w:noWrap/>
            <w:tcMar>
              <w:top w:w="15" w:type="dxa"/>
              <w:left w:w="15" w:type="dxa"/>
              <w:bottom w:w="0" w:type="dxa"/>
              <w:right w:w="15" w:type="dxa"/>
            </w:tcMar>
            <w:vAlign w:val="center"/>
          </w:tcPr>
          <w:p w14:paraId="5E0BA48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DA00</w:t>
            </w:r>
            <w:r>
              <w:rPr>
                <w:rFonts w:hint="default" w:ascii="Times New Roman" w:hAnsi="Times New Roman" w:cs="Times New Roman"/>
                <w:color w:val="auto"/>
                <w:sz w:val="22"/>
                <w:szCs w:val="22"/>
                <w:lang w:val="en-US" w:eastAsia="zh-CN"/>
              </w:rPr>
              <w:t>1</w:t>
            </w:r>
            <w:r>
              <w:rPr>
                <w:rFonts w:hint="default" w:ascii="Times New Roman" w:hAnsi="Times New Roman" w:cs="Times New Roman"/>
                <w:color w:val="auto"/>
                <w:sz w:val="22"/>
                <w:szCs w:val="22"/>
              </w:rPr>
              <w:t>排气筒</w:t>
            </w:r>
          </w:p>
        </w:tc>
        <w:tc>
          <w:tcPr>
            <w:tcW w:w="248" w:type="pct"/>
            <w:tcBorders>
              <w:tl2br w:val="nil"/>
              <w:tr2bl w:val="nil"/>
            </w:tcBorders>
            <w:noWrap/>
            <w:tcMar>
              <w:top w:w="15" w:type="dxa"/>
              <w:left w:w="15" w:type="dxa"/>
              <w:bottom w:w="0" w:type="dxa"/>
              <w:right w:w="15" w:type="dxa"/>
            </w:tcMar>
            <w:vAlign w:val="center"/>
          </w:tcPr>
          <w:p w14:paraId="0F3CB000">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一般排放口</w:t>
            </w:r>
          </w:p>
        </w:tc>
        <w:tc>
          <w:tcPr>
            <w:tcW w:w="313" w:type="pct"/>
            <w:tcBorders>
              <w:tl2br w:val="nil"/>
              <w:tr2bl w:val="nil"/>
            </w:tcBorders>
            <w:tcMar>
              <w:top w:w="15" w:type="dxa"/>
              <w:left w:w="15" w:type="dxa"/>
              <w:bottom w:w="0" w:type="dxa"/>
              <w:right w:w="15" w:type="dxa"/>
            </w:tcMar>
            <w:vAlign w:val="center"/>
          </w:tcPr>
          <w:p w14:paraId="10983A85">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116°</w:t>
            </w:r>
            <w:r>
              <w:rPr>
                <w:rFonts w:hint="eastAsia" w:cs="Times New Roman"/>
                <w:color w:val="auto"/>
                <w:sz w:val="22"/>
                <w:szCs w:val="22"/>
                <w:lang w:val="en-US" w:eastAsia="zh-CN"/>
              </w:rPr>
              <w:t>16</w:t>
            </w:r>
            <w:r>
              <w:rPr>
                <w:rFonts w:hint="default" w:ascii="Times New Roman" w:hAnsi="Times New Roman" w:cs="Times New Roman"/>
                <w:color w:val="auto"/>
                <w:sz w:val="22"/>
                <w:szCs w:val="22"/>
              </w:rPr>
              <w:t>'</w:t>
            </w:r>
            <w:r>
              <w:rPr>
                <w:rFonts w:hint="eastAsia" w:cs="Times New Roman"/>
                <w:color w:val="auto"/>
                <w:sz w:val="22"/>
                <w:szCs w:val="22"/>
                <w:lang w:val="en-US" w:eastAsia="zh-CN"/>
              </w:rPr>
              <w:t>52</w:t>
            </w:r>
            <w:r>
              <w:rPr>
                <w:rFonts w:hint="default" w:ascii="Times New Roman" w:hAnsi="Times New Roman" w:cs="Times New Roman"/>
                <w:color w:val="auto"/>
                <w:sz w:val="22"/>
                <w:szCs w:val="22"/>
              </w:rPr>
              <w:t>.894"E</w:t>
            </w:r>
          </w:p>
          <w:p w14:paraId="66AF5C7F">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w:t>
            </w:r>
            <w:r>
              <w:rPr>
                <w:rFonts w:hint="default" w:ascii="Times New Roman" w:hAnsi="Times New Roman" w:cs="Times New Roman"/>
                <w:color w:val="auto"/>
                <w:sz w:val="22"/>
                <w:szCs w:val="22"/>
                <w:lang w:val="en-US" w:eastAsia="zh-CN"/>
              </w:rPr>
              <w:t>5</w:t>
            </w:r>
            <w:r>
              <w:rPr>
                <w:rFonts w:hint="default" w:ascii="Times New Roman" w:hAnsi="Times New Roman" w:cs="Times New Roman"/>
                <w:color w:val="auto"/>
                <w:sz w:val="22"/>
                <w:szCs w:val="22"/>
              </w:rPr>
              <w:t>°</w:t>
            </w:r>
            <w:r>
              <w:rPr>
                <w:rFonts w:hint="eastAsia" w:cs="Times New Roman"/>
                <w:color w:val="auto"/>
                <w:sz w:val="22"/>
                <w:szCs w:val="22"/>
                <w:lang w:val="en-US" w:eastAsia="zh-CN"/>
              </w:rPr>
              <w:t>28</w:t>
            </w:r>
            <w:r>
              <w:rPr>
                <w:rFonts w:hint="default" w:ascii="Times New Roman" w:hAnsi="Times New Roman" w:cs="Times New Roman"/>
                <w:color w:val="auto"/>
                <w:sz w:val="22"/>
                <w:szCs w:val="22"/>
              </w:rPr>
              <w:t>'</w:t>
            </w:r>
            <w:r>
              <w:rPr>
                <w:rFonts w:hint="eastAsia" w:cs="Times New Roman"/>
                <w:color w:val="auto"/>
                <w:sz w:val="22"/>
                <w:szCs w:val="22"/>
                <w:lang w:val="en-US" w:eastAsia="zh-CN"/>
              </w:rPr>
              <w:t>19</w:t>
            </w:r>
            <w:r>
              <w:rPr>
                <w:rFonts w:hint="default" w:ascii="Times New Roman" w:hAnsi="Times New Roman" w:cs="Times New Roman"/>
                <w:color w:val="auto"/>
                <w:sz w:val="22"/>
                <w:szCs w:val="22"/>
              </w:rPr>
              <w:t>.268"N</w:t>
            </w:r>
          </w:p>
        </w:tc>
        <w:tc>
          <w:tcPr>
            <w:tcW w:w="259" w:type="pct"/>
            <w:tcBorders>
              <w:tl2br w:val="nil"/>
              <w:tr2bl w:val="nil"/>
            </w:tcBorders>
            <w:noWrap/>
            <w:tcMar>
              <w:top w:w="15" w:type="dxa"/>
              <w:left w:w="15" w:type="dxa"/>
              <w:bottom w:w="0" w:type="dxa"/>
              <w:right w:w="15" w:type="dxa"/>
            </w:tcMar>
            <w:vAlign w:val="center"/>
          </w:tcPr>
          <w:p w14:paraId="1544F559">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1</w:t>
            </w:r>
            <w:r>
              <w:rPr>
                <w:rFonts w:hint="default" w:ascii="Times New Roman" w:hAnsi="Times New Roman" w:cs="Times New Roman"/>
                <w:color w:val="auto"/>
                <w:sz w:val="22"/>
                <w:szCs w:val="22"/>
                <w:lang w:val="en-US" w:eastAsia="zh-CN"/>
              </w:rPr>
              <w:t>0</w:t>
            </w:r>
          </w:p>
        </w:tc>
        <w:tc>
          <w:tcPr>
            <w:tcW w:w="240" w:type="pct"/>
            <w:tcBorders>
              <w:tl2br w:val="nil"/>
              <w:tr2bl w:val="nil"/>
            </w:tcBorders>
            <w:noWrap/>
            <w:tcMar>
              <w:top w:w="15" w:type="dxa"/>
              <w:left w:w="15" w:type="dxa"/>
              <w:bottom w:w="0" w:type="dxa"/>
              <w:right w:w="15" w:type="dxa"/>
            </w:tcMar>
            <w:vAlign w:val="center"/>
          </w:tcPr>
          <w:p w14:paraId="3C6250C6">
            <w:pPr>
              <w:keepNext w:val="0"/>
              <w:keepLines w:val="0"/>
              <w:pageBreakBefore w:val="0"/>
              <w:widowControl/>
              <w:kinsoku/>
              <w:wordWrap/>
              <w:overflowPunct/>
              <w:topLinePunct w:val="0"/>
              <w:bidi w:val="0"/>
              <w:snapToGrid/>
              <w:spacing w:line="240" w:lineRule="auto"/>
              <w:ind w:firstLine="0" w:firstLineChars="0"/>
              <w:jc w:val="center"/>
              <w:textAlignment w:val="center"/>
              <w:rPr>
                <w:rFonts w:hint="eastAsia" w:ascii="Times New Roman" w:hAnsi="Times New Roman" w:eastAsia="宋体" w:cs="Times New Roman"/>
                <w:color w:val="auto"/>
                <w:sz w:val="22"/>
                <w:szCs w:val="22"/>
                <w:lang w:eastAsia="zh-CN"/>
              </w:rPr>
            </w:pPr>
            <w:r>
              <w:rPr>
                <w:rFonts w:hint="default" w:ascii="Times New Roman" w:hAnsi="Times New Roman" w:cs="Times New Roman"/>
                <w:color w:val="auto"/>
                <w:sz w:val="22"/>
                <w:szCs w:val="22"/>
              </w:rPr>
              <w:t>3.</w:t>
            </w:r>
            <w:r>
              <w:rPr>
                <w:rFonts w:hint="eastAsia" w:cs="Times New Roman"/>
                <w:color w:val="auto"/>
                <w:sz w:val="22"/>
                <w:szCs w:val="22"/>
                <w:lang w:val="en-US" w:eastAsia="zh-CN"/>
              </w:rPr>
              <w:t>5</w:t>
            </w:r>
          </w:p>
        </w:tc>
        <w:tc>
          <w:tcPr>
            <w:tcW w:w="225" w:type="pct"/>
            <w:tcBorders>
              <w:tl2br w:val="nil"/>
              <w:tr2bl w:val="nil"/>
            </w:tcBorders>
            <w:noWrap/>
            <w:tcMar>
              <w:top w:w="15" w:type="dxa"/>
              <w:left w:w="15" w:type="dxa"/>
              <w:bottom w:w="0" w:type="dxa"/>
              <w:right w:w="15" w:type="dxa"/>
            </w:tcMar>
            <w:vAlign w:val="center"/>
          </w:tcPr>
          <w:p w14:paraId="5668DB0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rPr>
              <w:t>DA00</w:t>
            </w:r>
            <w:r>
              <w:rPr>
                <w:rFonts w:hint="default" w:ascii="Times New Roman" w:hAnsi="Times New Roman" w:cs="Times New Roman"/>
                <w:color w:val="auto"/>
                <w:sz w:val="22"/>
                <w:szCs w:val="22"/>
                <w:lang w:val="en-US" w:eastAsia="zh-CN"/>
              </w:rPr>
              <w:t>1排气筒</w:t>
            </w:r>
          </w:p>
        </w:tc>
        <w:tc>
          <w:tcPr>
            <w:tcW w:w="225" w:type="pct"/>
            <w:tcBorders>
              <w:tl2br w:val="nil"/>
              <w:tr2bl w:val="nil"/>
            </w:tcBorders>
            <w:noWrap/>
            <w:tcMar>
              <w:top w:w="15" w:type="dxa"/>
              <w:left w:w="15" w:type="dxa"/>
              <w:bottom w:w="0" w:type="dxa"/>
              <w:right w:w="15" w:type="dxa"/>
            </w:tcMar>
            <w:vAlign w:val="center"/>
          </w:tcPr>
          <w:p w14:paraId="159BD7F5">
            <w:pPr>
              <w:keepNext w:val="0"/>
              <w:keepLines w:val="0"/>
              <w:pageBreakBefore w:val="0"/>
              <w:widowControl/>
              <w:kinsoku/>
              <w:wordWrap/>
              <w:overflowPunct/>
              <w:topLinePunct w:val="0"/>
              <w:bidi w:val="0"/>
              <w:snapToGrid/>
              <w:spacing w:line="240" w:lineRule="auto"/>
              <w:ind w:firstLine="0" w:firstLineChars="0"/>
              <w:jc w:val="center"/>
              <w:textAlignment w:val="center"/>
              <w:rPr>
                <w:rFonts w:hint="eastAsia" w:ascii="Times New Roman" w:hAnsi="Times New Roman" w:eastAsia="宋体" w:cs="Times New Roman"/>
                <w:color w:val="auto"/>
                <w:sz w:val="22"/>
                <w:szCs w:val="22"/>
                <w:lang w:eastAsia="zh-CN"/>
              </w:rPr>
            </w:pPr>
            <w:r>
              <w:rPr>
                <w:rFonts w:hint="eastAsia" w:cs="Times New Roman"/>
                <w:color w:val="auto"/>
                <w:sz w:val="22"/>
                <w:szCs w:val="22"/>
                <w:lang w:eastAsia="zh-CN"/>
              </w:rPr>
              <w:t>颗粒物</w:t>
            </w:r>
          </w:p>
        </w:tc>
        <w:tc>
          <w:tcPr>
            <w:tcW w:w="199" w:type="pct"/>
            <w:tcBorders>
              <w:tl2br w:val="nil"/>
              <w:tr2bl w:val="nil"/>
            </w:tcBorders>
            <w:noWrap/>
            <w:tcMar>
              <w:top w:w="15" w:type="dxa"/>
              <w:left w:w="15" w:type="dxa"/>
              <w:bottom w:w="0" w:type="dxa"/>
              <w:right w:w="15" w:type="dxa"/>
            </w:tcMar>
            <w:vAlign w:val="center"/>
          </w:tcPr>
          <w:p w14:paraId="3AE2CFE6">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1次/</w:t>
            </w:r>
            <w:r>
              <w:rPr>
                <w:rFonts w:hint="eastAsia" w:cs="Times New Roman"/>
                <w:color w:val="auto"/>
                <w:sz w:val="22"/>
                <w:szCs w:val="22"/>
                <w:lang w:val="en-US" w:eastAsia="zh-CN"/>
              </w:rPr>
              <w:t>年</w:t>
            </w:r>
          </w:p>
        </w:tc>
      </w:tr>
    </w:tbl>
    <w:p w14:paraId="558FB02A">
      <w:pPr>
        <w:autoSpaceDE w:val="0"/>
        <w:autoSpaceDN w:val="0"/>
        <w:adjustRightInd w:val="0"/>
        <w:snapToGrid w:val="0"/>
        <w:spacing w:line="480" w:lineRule="exact"/>
        <w:ind w:firstLine="482" w:firstLineChars="200"/>
        <w:jc w:val="center"/>
        <w:rPr>
          <w:b/>
          <w:bCs/>
          <w:color w:val="auto"/>
          <w:sz w:val="24"/>
          <w:szCs w:val="32"/>
        </w:rPr>
      </w:pPr>
      <w:r>
        <w:rPr>
          <w:b/>
          <w:bCs/>
          <w:color w:val="auto"/>
          <w:sz w:val="24"/>
          <w:szCs w:val="32"/>
        </w:rPr>
        <w:t>表4-2无组织废气排放情况</w:t>
      </w:r>
    </w:p>
    <w:tbl>
      <w:tblPr>
        <w:tblStyle w:val="33"/>
        <w:tblW w:w="5313"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07"/>
        <w:gridCol w:w="983"/>
        <w:gridCol w:w="1255"/>
        <w:gridCol w:w="1008"/>
        <w:gridCol w:w="1005"/>
        <w:gridCol w:w="1005"/>
        <w:gridCol w:w="1016"/>
        <w:gridCol w:w="1258"/>
        <w:gridCol w:w="1005"/>
        <w:gridCol w:w="1008"/>
        <w:gridCol w:w="1004"/>
        <w:gridCol w:w="930"/>
        <w:gridCol w:w="930"/>
        <w:gridCol w:w="1161"/>
      </w:tblGrid>
      <w:tr w14:paraId="0A7570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377" w:type="pct"/>
            <w:vMerge w:val="restart"/>
            <w:tcMar>
              <w:top w:w="15" w:type="dxa"/>
              <w:left w:w="15" w:type="dxa"/>
              <w:bottom w:w="0" w:type="dxa"/>
              <w:right w:w="15" w:type="dxa"/>
            </w:tcMar>
            <w:vAlign w:val="center"/>
          </w:tcPr>
          <w:p w14:paraId="5631C7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面源编号</w:t>
            </w:r>
          </w:p>
        </w:tc>
        <w:tc>
          <w:tcPr>
            <w:tcW w:w="334" w:type="pct"/>
            <w:vMerge w:val="restart"/>
            <w:tcMar>
              <w:top w:w="15" w:type="dxa"/>
              <w:left w:w="15" w:type="dxa"/>
              <w:bottom w:w="0" w:type="dxa"/>
              <w:right w:w="15" w:type="dxa"/>
            </w:tcMar>
            <w:vAlign w:val="center"/>
          </w:tcPr>
          <w:p w14:paraId="42B907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名称</w:t>
            </w:r>
          </w:p>
        </w:tc>
        <w:tc>
          <w:tcPr>
            <w:tcW w:w="427" w:type="pct"/>
            <w:vMerge w:val="restart"/>
            <w:tcMar>
              <w:top w:w="15" w:type="dxa"/>
              <w:left w:w="15" w:type="dxa"/>
              <w:bottom w:w="0" w:type="dxa"/>
              <w:right w:w="15" w:type="dxa"/>
            </w:tcMar>
            <w:vAlign w:val="center"/>
          </w:tcPr>
          <w:p w14:paraId="01F5CB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产污环节</w:t>
            </w:r>
          </w:p>
        </w:tc>
        <w:tc>
          <w:tcPr>
            <w:tcW w:w="343" w:type="pct"/>
            <w:vMerge w:val="restart"/>
            <w:tcMar>
              <w:top w:w="15" w:type="dxa"/>
              <w:left w:w="15" w:type="dxa"/>
              <w:bottom w:w="0" w:type="dxa"/>
              <w:right w:w="15" w:type="dxa"/>
            </w:tcMar>
            <w:vAlign w:val="center"/>
          </w:tcPr>
          <w:p w14:paraId="564993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污染物</w:t>
            </w:r>
          </w:p>
        </w:tc>
        <w:tc>
          <w:tcPr>
            <w:tcW w:w="1031" w:type="pct"/>
            <w:gridSpan w:val="3"/>
            <w:tcMar>
              <w:top w:w="15" w:type="dxa"/>
              <w:left w:w="15" w:type="dxa"/>
              <w:bottom w:w="0" w:type="dxa"/>
              <w:right w:w="15" w:type="dxa"/>
            </w:tcMar>
            <w:vAlign w:val="center"/>
          </w:tcPr>
          <w:p w14:paraId="0B1CD3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面源情况</w:t>
            </w:r>
          </w:p>
        </w:tc>
        <w:tc>
          <w:tcPr>
            <w:tcW w:w="428" w:type="pct"/>
            <w:vMerge w:val="restart"/>
            <w:tcMar>
              <w:top w:w="15" w:type="dxa"/>
              <w:left w:w="15" w:type="dxa"/>
              <w:bottom w:w="0" w:type="dxa"/>
              <w:right w:w="15" w:type="dxa"/>
            </w:tcMar>
            <w:vAlign w:val="center"/>
          </w:tcPr>
          <w:p w14:paraId="34450A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年排放小时(h)</w:t>
            </w:r>
          </w:p>
        </w:tc>
        <w:tc>
          <w:tcPr>
            <w:tcW w:w="685" w:type="pct"/>
            <w:gridSpan w:val="2"/>
            <w:tcMar>
              <w:top w:w="15" w:type="dxa"/>
              <w:left w:w="15" w:type="dxa"/>
              <w:bottom w:w="0" w:type="dxa"/>
              <w:right w:w="15" w:type="dxa"/>
            </w:tcMar>
            <w:vAlign w:val="center"/>
          </w:tcPr>
          <w:p w14:paraId="5F2BF4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排放情况</w:t>
            </w:r>
          </w:p>
        </w:tc>
        <w:tc>
          <w:tcPr>
            <w:tcW w:w="342" w:type="pct"/>
            <w:vMerge w:val="restart"/>
            <w:tcMar>
              <w:top w:w="15" w:type="dxa"/>
              <w:left w:w="15" w:type="dxa"/>
              <w:bottom w:w="0" w:type="dxa"/>
              <w:right w:w="15" w:type="dxa"/>
            </w:tcMar>
            <w:vAlign w:val="center"/>
          </w:tcPr>
          <w:p w14:paraId="5B4365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厂界排放浓度限值(mg/m3)</w:t>
            </w:r>
          </w:p>
        </w:tc>
        <w:tc>
          <w:tcPr>
            <w:tcW w:w="1029" w:type="pct"/>
            <w:gridSpan w:val="3"/>
            <w:noWrap/>
            <w:tcMar>
              <w:top w:w="15" w:type="dxa"/>
              <w:left w:w="15" w:type="dxa"/>
              <w:bottom w:w="0" w:type="dxa"/>
              <w:right w:w="15" w:type="dxa"/>
            </w:tcMar>
            <w:vAlign w:val="center"/>
          </w:tcPr>
          <w:p w14:paraId="3972F9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监测要求</w:t>
            </w:r>
          </w:p>
        </w:tc>
      </w:tr>
      <w:tr w14:paraId="6C7B70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377" w:type="pct"/>
            <w:vMerge w:val="continue"/>
            <w:vAlign w:val="center"/>
          </w:tcPr>
          <w:p w14:paraId="5096F0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2"/>
              </w:rPr>
            </w:pPr>
          </w:p>
        </w:tc>
        <w:tc>
          <w:tcPr>
            <w:tcW w:w="334" w:type="pct"/>
            <w:vMerge w:val="continue"/>
            <w:vAlign w:val="center"/>
          </w:tcPr>
          <w:p w14:paraId="5CD32E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2"/>
              </w:rPr>
            </w:pPr>
          </w:p>
        </w:tc>
        <w:tc>
          <w:tcPr>
            <w:tcW w:w="427" w:type="pct"/>
            <w:vMerge w:val="continue"/>
            <w:vAlign w:val="center"/>
          </w:tcPr>
          <w:p w14:paraId="2CCE0A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2"/>
              </w:rPr>
            </w:pPr>
          </w:p>
        </w:tc>
        <w:tc>
          <w:tcPr>
            <w:tcW w:w="343" w:type="pct"/>
            <w:vMerge w:val="continue"/>
            <w:vAlign w:val="center"/>
          </w:tcPr>
          <w:p w14:paraId="5C2DEA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2"/>
              </w:rPr>
            </w:pPr>
          </w:p>
        </w:tc>
        <w:tc>
          <w:tcPr>
            <w:tcW w:w="342" w:type="pct"/>
            <w:tcMar>
              <w:top w:w="15" w:type="dxa"/>
              <w:left w:w="15" w:type="dxa"/>
              <w:bottom w:w="0" w:type="dxa"/>
              <w:right w:w="15" w:type="dxa"/>
            </w:tcMar>
            <w:vAlign w:val="center"/>
          </w:tcPr>
          <w:p w14:paraId="198D50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面源长度(m)</w:t>
            </w:r>
          </w:p>
        </w:tc>
        <w:tc>
          <w:tcPr>
            <w:tcW w:w="342" w:type="pct"/>
            <w:tcMar>
              <w:top w:w="15" w:type="dxa"/>
              <w:left w:w="15" w:type="dxa"/>
              <w:bottom w:w="0" w:type="dxa"/>
              <w:right w:w="15" w:type="dxa"/>
            </w:tcMar>
            <w:vAlign w:val="center"/>
          </w:tcPr>
          <w:p w14:paraId="4B57E8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面源宽度(m)</w:t>
            </w:r>
          </w:p>
        </w:tc>
        <w:tc>
          <w:tcPr>
            <w:tcW w:w="346" w:type="pct"/>
            <w:tcMar>
              <w:top w:w="15" w:type="dxa"/>
              <w:left w:w="15" w:type="dxa"/>
              <w:bottom w:w="0" w:type="dxa"/>
              <w:right w:w="15" w:type="dxa"/>
            </w:tcMar>
            <w:vAlign w:val="center"/>
          </w:tcPr>
          <w:p w14:paraId="6A19C7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有效高度(m)</w:t>
            </w:r>
          </w:p>
        </w:tc>
        <w:tc>
          <w:tcPr>
            <w:tcW w:w="428" w:type="pct"/>
            <w:vMerge w:val="continue"/>
            <w:tcMar>
              <w:top w:w="15" w:type="dxa"/>
              <w:left w:w="15" w:type="dxa"/>
              <w:bottom w:w="0" w:type="dxa"/>
              <w:right w:w="15" w:type="dxa"/>
            </w:tcMar>
            <w:vAlign w:val="center"/>
          </w:tcPr>
          <w:p w14:paraId="59AE72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2"/>
              </w:rPr>
            </w:pPr>
          </w:p>
        </w:tc>
        <w:tc>
          <w:tcPr>
            <w:tcW w:w="342" w:type="pct"/>
            <w:tcMar>
              <w:top w:w="15" w:type="dxa"/>
              <w:left w:w="15" w:type="dxa"/>
              <w:bottom w:w="0" w:type="dxa"/>
              <w:right w:w="15" w:type="dxa"/>
            </w:tcMar>
            <w:vAlign w:val="center"/>
          </w:tcPr>
          <w:p w14:paraId="009BDD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排放量(t/a)</w:t>
            </w:r>
          </w:p>
        </w:tc>
        <w:tc>
          <w:tcPr>
            <w:tcW w:w="343" w:type="pct"/>
            <w:tcMar>
              <w:top w:w="15" w:type="dxa"/>
              <w:left w:w="15" w:type="dxa"/>
              <w:bottom w:w="0" w:type="dxa"/>
              <w:right w:w="15" w:type="dxa"/>
            </w:tcMar>
            <w:vAlign w:val="center"/>
          </w:tcPr>
          <w:p w14:paraId="766696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排放速率(kg/h)</w:t>
            </w:r>
          </w:p>
        </w:tc>
        <w:tc>
          <w:tcPr>
            <w:tcW w:w="342" w:type="pct"/>
            <w:vMerge w:val="continue"/>
            <w:tcMar>
              <w:top w:w="15" w:type="dxa"/>
              <w:left w:w="15" w:type="dxa"/>
              <w:bottom w:w="0" w:type="dxa"/>
              <w:right w:w="15" w:type="dxa"/>
            </w:tcMar>
            <w:vAlign w:val="center"/>
          </w:tcPr>
          <w:p w14:paraId="78AF72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2"/>
              </w:rPr>
            </w:pPr>
          </w:p>
        </w:tc>
        <w:tc>
          <w:tcPr>
            <w:tcW w:w="316" w:type="pct"/>
            <w:noWrap/>
            <w:tcMar>
              <w:top w:w="15" w:type="dxa"/>
              <w:left w:w="15" w:type="dxa"/>
              <w:bottom w:w="0" w:type="dxa"/>
              <w:right w:w="15" w:type="dxa"/>
            </w:tcMar>
            <w:vAlign w:val="center"/>
          </w:tcPr>
          <w:p w14:paraId="39CB96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监测点位</w:t>
            </w:r>
          </w:p>
        </w:tc>
        <w:tc>
          <w:tcPr>
            <w:tcW w:w="316" w:type="pct"/>
            <w:noWrap/>
            <w:tcMar>
              <w:top w:w="15" w:type="dxa"/>
              <w:left w:w="15" w:type="dxa"/>
              <w:bottom w:w="0" w:type="dxa"/>
              <w:right w:w="15" w:type="dxa"/>
            </w:tcMar>
            <w:vAlign w:val="center"/>
          </w:tcPr>
          <w:p w14:paraId="189E22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监测因子</w:t>
            </w:r>
          </w:p>
        </w:tc>
        <w:tc>
          <w:tcPr>
            <w:tcW w:w="395" w:type="pct"/>
            <w:noWrap/>
            <w:tcMar>
              <w:top w:w="15" w:type="dxa"/>
              <w:left w:w="15" w:type="dxa"/>
              <w:bottom w:w="0" w:type="dxa"/>
              <w:right w:w="15" w:type="dxa"/>
            </w:tcMar>
            <w:vAlign w:val="center"/>
          </w:tcPr>
          <w:p w14:paraId="506140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监测频次</w:t>
            </w:r>
          </w:p>
        </w:tc>
      </w:tr>
      <w:tr w14:paraId="5BC1F1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377" w:type="pct"/>
            <w:noWrap/>
            <w:tcMar>
              <w:top w:w="15" w:type="dxa"/>
              <w:left w:w="15" w:type="dxa"/>
              <w:bottom w:w="0" w:type="dxa"/>
              <w:right w:w="15" w:type="dxa"/>
            </w:tcMar>
            <w:vAlign w:val="center"/>
          </w:tcPr>
          <w:p w14:paraId="1F5E07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M1</w:t>
            </w:r>
          </w:p>
        </w:tc>
        <w:tc>
          <w:tcPr>
            <w:tcW w:w="334" w:type="pct"/>
            <w:noWrap/>
            <w:tcMar>
              <w:top w:w="15" w:type="dxa"/>
              <w:left w:w="15" w:type="dxa"/>
              <w:bottom w:w="0" w:type="dxa"/>
              <w:right w:w="15" w:type="dxa"/>
            </w:tcMar>
            <w:vAlign w:val="center"/>
          </w:tcPr>
          <w:p w14:paraId="390030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2"/>
                <w:szCs w:val="22"/>
                <w:lang w:eastAsia="zh-CN"/>
              </w:rPr>
            </w:pPr>
            <w:r>
              <w:rPr>
                <w:rFonts w:hint="eastAsia" w:ascii="Times New Roman" w:hAnsi="Times New Roman" w:cs="Times New Roman"/>
                <w:color w:val="auto"/>
                <w:sz w:val="22"/>
                <w:szCs w:val="22"/>
                <w:lang w:eastAsia="zh-CN"/>
              </w:rPr>
              <w:t>生产车间</w:t>
            </w:r>
          </w:p>
        </w:tc>
        <w:tc>
          <w:tcPr>
            <w:tcW w:w="427" w:type="pct"/>
            <w:noWrap/>
            <w:tcMar>
              <w:top w:w="15" w:type="dxa"/>
              <w:left w:w="15" w:type="dxa"/>
              <w:bottom w:w="0" w:type="dxa"/>
              <w:right w:w="15" w:type="dxa"/>
            </w:tcMar>
            <w:vAlign w:val="center"/>
          </w:tcPr>
          <w:p w14:paraId="5A3C50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eastAsia="zh-CN"/>
              </w:rPr>
              <w:t>包装</w:t>
            </w:r>
            <w:r>
              <w:rPr>
                <w:rFonts w:hint="eastAsia" w:cs="Times New Roman"/>
                <w:color w:val="auto"/>
                <w:sz w:val="22"/>
                <w:szCs w:val="22"/>
                <w:lang w:val="en-US" w:eastAsia="zh-CN"/>
              </w:rPr>
              <w:t>工段</w:t>
            </w:r>
          </w:p>
        </w:tc>
        <w:tc>
          <w:tcPr>
            <w:tcW w:w="343" w:type="pct"/>
            <w:noWrap/>
            <w:tcMar>
              <w:top w:w="15" w:type="dxa"/>
              <w:left w:w="15" w:type="dxa"/>
              <w:bottom w:w="0" w:type="dxa"/>
              <w:right w:w="15" w:type="dxa"/>
            </w:tcMar>
            <w:vAlign w:val="center"/>
          </w:tcPr>
          <w:p w14:paraId="7B29E0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lang w:val="en-US" w:eastAsia="zh-CN"/>
              </w:rPr>
              <w:t>颗粒物</w:t>
            </w:r>
          </w:p>
        </w:tc>
        <w:tc>
          <w:tcPr>
            <w:tcW w:w="342" w:type="pct"/>
            <w:noWrap/>
            <w:tcMar>
              <w:top w:w="15" w:type="dxa"/>
              <w:left w:w="15" w:type="dxa"/>
              <w:bottom w:w="0" w:type="dxa"/>
              <w:right w:w="15" w:type="dxa"/>
            </w:tcMar>
            <w:vAlign w:val="center"/>
          </w:tcPr>
          <w:p w14:paraId="1E8D91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60</w:t>
            </w:r>
          </w:p>
        </w:tc>
        <w:tc>
          <w:tcPr>
            <w:tcW w:w="342" w:type="pct"/>
            <w:noWrap/>
            <w:tcMar>
              <w:top w:w="15" w:type="dxa"/>
              <w:left w:w="15" w:type="dxa"/>
              <w:bottom w:w="0" w:type="dxa"/>
              <w:right w:w="15" w:type="dxa"/>
            </w:tcMar>
            <w:vAlign w:val="center"/>
          </w:tcPr>
          <w:p w14:paraId="7F5998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20</w:t>
            </w:r>
          </w:p>
        </w:tc>
        <w:tc>
          <w:tcPr>
            <w:tcW w:w="346" w:type="pct"/>
            <w:noWrap/>
            <w:tcMar>
              <w:top w:w="15" w:type="dxa"/>
              <w:left w:w="15" w:type="dxa"/>
              <w:bottom w:w="0" w:type="dxa"/>
              <w:right w:w="15" w:type="dxa"/>
            </w:tcMar>
            <w:vAlign w:val="center"/>
          </w:tcPr>
          <w:p w14:paraId="106BB2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2"/>
                <w:szCs w:val="22"/>
                <w:lang w:eastAsia="zh-CN"/>
              </w:rPr>
            </w:pPr>
            <w:r>
              <w:rPr>
                <w:rFonts w:hint="eastAsia" w:ascii="Times New Roman" w:hAnsi="Times New Roman" w:cs="Times New Roman"/>
                <w:color w:val="auto"/>
                <w:sz w:val="22"/>
                <w:szCs w:val="22"/>
                <w:lang w:val="en-US" w:eastAsia="zh-CN"/>
              </w:rPr>
              <w:t>8</w:t>
            </w:r>
          </w:p>
        </w:tc>
        <w:tc>
          <w:tcPr>
            <w:tcW w:w="428" w:type="pct"/>
            <w:noWrap/>
            <w:tcMar>
              <w:top w:w="15" w:type="dxa"/>
              <w:left w:w="15" w:type="dxa"/>
              <w:bottom w:w="0" w:type="dxa"/>
              <w:right w:w="15" w:type="dxa"/>
            </w:tcMar>
            <w:vAlign w:val="center"/>
          </w:tcPr>
          <w:p w14:paraId="5BA63A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4800</w:t>
            </w:r>
          </w:p>
        </w:tc>
        <w:tc>
          <w:tcPr>
            <w:tcW w:w="342" w:type="pct"/>
            <w:noWrap/>
            <w:tcMar>
              <w:top w:w="15" w:type="dxa"/>
              <w:left w:w="15" w:type="dxa"/>
              <w:bottom w:w="0" w:type="dxa"/>
              <w:right w:w="15" w:type="dxa"/>
            </w:tcMar>
            <w:vAlign w:val="center"/>
          </w:tcPr>
          <w:p w14:paraId="20E6E9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0.65</w:t>
            </w:r>
          </w:p>
        </w:tc>
        <w:tc>
          <w:tcPr>
            <w:tcW w:w="343" w:type="pct"/>
            <w:noWrap/>
            <w:tcMar>
              <w:top w:w="15" w:type="dxa"/>
              <w:left w:w="15" w:type="dxa"/>
              <w:bottom w:w="0" w:type="dxa"/>
              <w:right w:w="15" w:type="dxa"/>
            </w:tcMar>
            <w:vAlign w:val="center"/>
          </w:tcPr>
          <w:p w14:paraId="58B9F1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0.135</w:t>
            </w:r>
          </w:p>
        </w:tc>
        <w:tc>
          <w:tcPr>
            <w:tcW w:w="342" w:type="pct"/>
            <w:noWrap/>
            <w:tcMar>
              <w:top w:w="15" w:type="dxa"/>
              <w:left w:w="15" w:type="dxa"/>
              <w:bottom w:w="0" w:type="dxa"/>
              <w:right w:w="15" w:type="dxa"/>
            </w:tcMar>
            <w:vAlign w:val="center"/>
          </w:tcPr>
          <w:p w14:paraId="066FDB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2"/>
                <w:szCs w:val="22"/>
                <w:lang w:val="en-US" w:eastAsia="zh-CN"/>
              </w:rPr>
            </w:pPr>
            <w:r>
              <w:rPr>
                <w:rFonts w:hint="eastAsia" w:cs="Times New Roman"/>
                <w:color w:val="auto"/>
                <w:sz w:val="22"/>
                <w:szCs w:val="22"/>
                <w:lang w:val="en-US" w:eastAsia="zh-CN"/>
              </w:rPr>
              <w:t>1</w:t>
            </w:r>
            <w:r>
              <w:rPr>
                <w:rFonts w:hint="default" w:ascii="Times New Roman" w:hAnsi="Times New Roman" w:cs="Times New Roman"/>
                <w:color w:val="auto"/>
                <w:sz w:val="22"/>
                <w:szCs w:val="22"/>
                <w:lang w:val="en-US" w:eastAsia="zh-CN"/>
              </w:rPr>
              <w:t>.0</w:t>
            </w:r>
          </w:p>
        </w:tc>
        <w:tc>
          <w:tcPr>
            <w:tcW w:w="316" w:type="pct"/>
            <w:noWrap/>
            <w:tcMar>
              <w:top w:w="15" w:type="dxa"/>
              <w:left w:w="15" w:type="dxa"/>
              <w:bottom w:w="0" w:type="dxa"/>
              <w:right w:w="15" w:type="dxa"/>
            </w:tcMar>
            <w:vAlign w:val="center"/>
          </w:tcPr>
          <w:p w14:paraId="60DD87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rPr>
              <w:t>厂界</w:t>
            </w:r>
            <w:r>
              <w:rPr>
                <w:rFonts w:hint="eastAsia" w:cs="Times New Roman"/>
                <w:color w:val="auto"/>
                <w:sz w:val="22"/>
                <w:szCs w:val="22"/>
                <w:lang w:eastAsia="zh-CN"/>
              </w:rPr>
              <w:t>外</w:t>
            </w:r>
          </w:p>
        </w:tc>
        <w:tc>
          <w:tcPr>
            <w:tcW w:w="316" w:type="pct"/>
            <w:noWrap/>
            <w:tcMar>
              <w:top w:w="15" w:type="dxa"/>
              <w:left w:w="15" w:type="dxa"/>
              <w:bottom w:w="0" w:type="dxa"/>
              <w:right w:w="15" w:type="dxa"/>
            </w:tcMar>
            <w:vAlign w:val="center"/>
          </w:tcPr>
          <w:p w14:paraId="725795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eastAsia="zh-CN"/>
              </w:rPr>
              <w:t>颗粒物</w:t>
            </w:r>
          </w:p>
        </w:tc>
        <w:tc>
          <w:tcPr>
            <w:tcW w:w="395" w:type="pct"/>
            <w:noWrap/>
            <w:tcMar>
              <w:top w:w="15" w:type="dxa"/>
              <w:left w:w="15" w:type="dxa"/>
              <w:bottom w:w="0" w:type="dxa"/>
              <w:right w:w="15" w:type="dxa"/>
            </w:tcMar>
            <w:vAlign w:val="center"/>
          </w:tcPr>
          <w:p w14:paraId="142711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1次/年</w:t>
            </w:r>
          </w:p>
        </w:tc>
      </w:tr>
    </w:tbl>
    <w:p w14:paraId="3788C5EB">
      <w:pPr>
        <w:pStyle w:val="28"/>
        <w:widowControl w:val="0"/>
        <w:numPr>
          <w:ilvl w:val="0"/>
          <w:numId w:val="0"/>
        </w:numPr>
        <w:spacing w:line="360" w:lineRule="auto"/>
        <w:jc w:val="both"/>
        <w:rPr>
          <w:color w:val="auto"/>
        </w:rPr>
      </w:pPr>
    </w:p>
    <w:p w14:paraId="5385D2B2">
      <w:pPr>
        <w:rPr>
          <w:color w:val="auto"/>
        </w:rPr>
        <w:sectPr>
          <w:pgSz w:w="16840" w:h="11907" w:orient="landscape"/>
          <w:pgMar w:top="1531" w:right="1531" w:bottom="153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3"/>
        <w:tblW w:w="10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530"/>
      </w:tblGrid>
      <w:tr w14:paraId="578DA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74" w:type="dxa"/>
            <w:tcBorders>
              <w:tl2br w:val="nil"/>
              <w:tr2bl w:val="nil"/>
            </w:tcBorders>
            <w:tcMar>
              <w:left w:w="28" w:type="dxa"/>
              <w:right w:w="28" w:type="dxa"/>
            </w:tcMar>
            <w:vAlign w:val="center"/>
          </w:tcPr>
          <w:p w14:paraId="5989FEF6">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施工</w:t>
            </w:r>
          </w:p>
          <w:p w14:paraId="1AC7DA32">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期环</w:t>
            </w:r>
          </w:p>
          <w:p w14:paraId="202B0261">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境保</w:t>
            </w:r>
          </w:p>
          <w:p w14:paraId="4A5B6DB0">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护措</w:t>
            </w:r>
          </w:p>
          <w:p w14:paraId="6DB0E0D6">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bCs/>
                <w:color w:val="auto"/>
                <w:kern w:val="2"/>
                <w:sz w:val="21"/>
                <w:szCs w:val="21"/>
              </w:rPr>
            </w:pPr>
            <w:r>
              <w:rPr>
                <w:rFonts w:ascii="Times New Roman" w:hAnsi="Times New Roman"/>
                <w:color w:val="auto"/>
                <w:kern w:val="2"/>
                <w:sz w:val="21"/>
                <w:szCs w:val="21"/>
                <w:lang w:val="en-US" w:eastAsia="zh-CN"/>
              </w:rPr>
              <w:t>施</w:t>
            </w:r>
          </w:p>
        </w:tc>
        <w:tc>
          <w:tcPr>
            <w:tcW w:w="9769" w:type="dxa"/>
            <w:tcBorders>
              <w:tl2br w:val="nil"/>
              <w:tr2bl w:val="nil"/>
            </w:tcBorders>
            <w:vAlign w:val="center"/>
          </w:tcPr>
          <w:p w14:paraId="70173C21">
            <w:pPr>
              <w:spacing w:line="360" w:lineRule="auto"/>
              <w:ind w:firstLine="480" w:firstLineChars="200"/>
              <w:rPr>
                <w:bCs/>
                <w:color w:val="auto"/>
                <w:spacing w:val="-10"/>
                <w:szCs w:val="21"/>
              </w:rPr>
            </w:pPr>
            <w:r>
              <w:rPr>
                <w:color w:val="auto"/>
                <w:sz w:val="24"/>
                <w:lang w:val="en-US" w:eastAsia="zh-CN"/>
              </w:rPr>
              <w:t>本项目</w:t>
            </w:r>
            <w:r>
              <w:rPr>
                <w:rFonts w:hint="eastAsia"/>
                <w:color w:val="auto"/>
                <w:sz w:val="24"/>
                <w:lang w:val="en-US" w:eastAsia="zh-CN"/>
              </w:rPr>
              <w:t>租赁现有</w:t>
            </w:r>
            <w:r>
              <w:rPr>
                <w:color w:val="auto"/>
                <w:sz w:val="24"/>
                <w:lang w:val="en-US" w:eastAsia="zh-CN"/>
              </w:rPr>
              <w:t>闲置</w:t>
            </w:r>
            <w:r>
              <w:rPr>
                <w:rFonts w:hint="eastAsia"/>
                <w:color w:val="auto"/>
                <w:sz w:val="24"/>
                <w:lang w:val="en-US" w:eastAsia="zh-CN"/>
              </w:rPr>
              <w:t>厂房</w:t>
            </w:r>
            <w:r>
              <w:rPr>
                <w:color w:val="auto"/>
                <w:sz w:val="24"/>
                <w:lang w:val="en-US" w:eastAsia="zh-CN"/>
              </w:rPr>
              <w:t>进行设备安装，无土建施工工程，施工期主要是生产设备的安装，由于施工期较短，随着施工的结束，对周围环境影响也会随之消失。故本次评价不再详细分析。</w:t>
            </w:r>
          </w:p>
        </w:tc>
      </w:tr>
      <w:tr w14:paraId="32D5A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574" w:type="dxa"/>
            <w:tcBorders>
              <w:tl2br w:val="nil"/>
              <w:tr2bl w:val="nil"/>
            </w:tcBorders>
            <w:tcMar>
              <w:left w:w="28" w:type="dxa"/>
              <w:right w:w="28" w:type="dxa"/>
            </w:tcMar>
            <w:vAlign w:val="center"/>
          </w:tcPr>
          <w:p w14:paraId="60AB049C">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运营</w:t>
            </w:r>
          </w:p>
          <w:p w14:paraId="60A17ECA">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期环</w:t>
            </w:r>
          </w:p>
          <w:p w14:paraId="26BF00B6">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境影</w:t>
            </w:r>
          </w:p>
          <w:p w14:paraId="1579D76E">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响和</w:t>
            </w:r>
          </w:p>
          <w:p w14:paraId="529E8EAE">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保护</w:t>
            </w:r>
          </w:p>
          <w:p w14:paraId="2DA9D8E9">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rPr>
            </w:pPr>
            <w:r>
              <w:rPr>
                <w:rFonts w:hint="eastAsia" w:ascii="Times New Roman" w:hAnsi="Times New Roman" w:eastAsia="宋体" w:cs="Times New Roman"/>
                <w:color w:val="auto"/>
                <w:kern w:val="2"/>
                <w:sz w:val="21"/>
                <w:szCs w:val="21"/>
                <w:lang w:val="en-US" w:eastAsia="zh-CN"/>
              </w:rPr>
              <w:t>措施</w:t>
            </w:r>
          </w:p>
        </w:tc>
        <w:tc>
          <w:tcPr>
            <w:tcW w:w="9769" w:type="dxa"/>
            <w:tcBorders>
              <w:tl2br w:val="nil"/>
              <w:tr2bl w:val="nil"/>
            </w:tcBorders>
            <w:vAlign w:val="center"/>
          </w:tcPr>
          <w:p w14:paraId="2EA72C76">
            <w:pPr>
              <w:adjustRightInd w:val="0"/>
              <w:snapToGrid w:val="0"/>
              <w:spacing w:line="360" w:lineRule="auto"/>
              <w:rPr>
                <w:b/>
                <w:color w:val="auto"/>
                <w:spacing w:val="-10"/>
                <w:sz w:val="24"/>
              </w:rPr>
            </w:pPr>
            <w:r>
              <w:rPr>
                <w:b/>
                <w:color w:val="auto"/>
                <w:spacing w:val="-10"/>
                <w:sz w:val="24"/>
              </w:rPr>
              <w:t>1</w:t>
            </w:r>
            <w:r>
              <w:rPr>
                <w:rFonts w:hint="eastAsia"/>
                <w:b/>
                <w:color w:val="auto"/>
                <w:spacing w:val="-10"/>
                <w:sz w:val="24"/>
                <w:lang w:eastAsia="zh-CN"/>
              </w:rPr>
              <w:t>、</w:t>
            </w:r>
            <w:r>
              <w:rPr>
                <w:b/>
                <w:color w:val="auto"/>
                <w:spacing w:val="-10"/>
                <w:sz w:val="24"/>
              </w:rPr>
              <w:t>废气</w:t>
            </w:r>
          </w:p>
          <w:p w14:paraId="7CD35E6E">
            <w:pPr>
              <w:tabs>
                <w:tab w:val="left" w:pos="7740"/>
              </w:tabs>
              <w:spacing w:line="360" w:lineRule="auto"/>
              <w:ind w:firstLine="480" w:firstLineChars="200"/>
              <w:rPr>
                <w:rFonts w:hint="eastAsia"/>
                <w:b w:val="0"/>
                <w:bCs w:val="0"/>
                <w:color w:val="auto"/>
                <w:sz w:val="24"/>
              </w:rPr>
            </w:pPr>
            <w:r>
              <w:rPr>
                <w:rFonts w:hint="eastAsia"/>
                <w:b w:val="0"/>
                <w:bCs w:val="0"/>
                <w:color w:val="auto"/>
                <w:sz w:val="24"/>
              </w:rPr>
              <w:t>1.1污染物源强核算及达标情况分析</w:t>
            </w:r>
          </w:p>
          <w:p w14:paraId="13BCDABF">
            <w:pPr>
              <w:spacing w:line="360" w:lineRule="auto"/>
              <w:ind w:firstLine="480" w:firstLineChars="200"/>
              <w:rPr>
                <w:rFonts w:hint="default" w:eastAsia="宋体"/>
                <w:b w:val="0"/>
                <w:bCs w:val="0"/>
                <w:color w:val="0000FF"/>
                <w:sz w:val="24"/>
                <w:lang w:val="en-US" w:eastAsia="zh-CN"/>
              </w:rPr>
            </w:pPr>
            <w:r>
              <w:rPr>
                <w:rFonts w:hint="eastAsia" w:cs="Times New Roman"/>
                <w:b w:val="0"/>
                <w:bCs w:val="0"/>
                <w:color w:val="0000FF"/>
                <w:kern w:val="2"/>
                <w:sz w:val="24"/>
                <w:szCs w:val="24"/>
                <w:lang w:val="en-US" w:eastAsia="zh-CN" w:bidi="ar-SA"/>
              </w:rPr>
              <w:t>由于本项目采用下吸风、密闭投料方式，因此投料过程中基本无粉尘逸出，</w:t>
            </w:r>
            <w:r>
              <w:rPr>
                <w:rFonts w:hint="eastAsia"/>
                <w:b w:val="0"/>
                <w:bCs w:val="0"/>
                <w:color w:val="0000FF"/>
                <w:sz w:val="24"/>
              </w:rPr>
              <w:t>项目废气主要是</w:t>
            </w:r>
            <w:r>
              <w:rPr>
                <w:rFonts w:hint="eastAsia"/>
                <w:b w:val="0"/>
                <w:bCs w:val="0"/>
                <w:color w:val="0000FF"/>
                <w:sz w:val="24"/>
                <w:lang w:eastAsia="zh-CN"/>
              </w:rPr>
              <w:t>混合搅拌、包装</w:t>
            </w:r>
            <w:r>
              <w:rPr>
                <w:rFonts w:hint="eastAsia"/>
                <w:b w:val="0"/>
                <w:bCs w:val="0"/>
                <w:color w:val="0000FF"/>
                <w:sz w:val="24"/>
                <w:lang w:val="en-US" w:eastAsia="zh-CN"/>
              </w:rPr>
              <w:t>过程逸出</w:t>
            </w:r>
            <w:r>
              <w:rPr>
                <w:rFonts w:hint="eastAsia"/>
                <w:b w:val="0"/>
                <w:bCs w:val="0"/>
                <w:color w:val="0000FF"/>
                <w:sz w:val="24"/>
              </w:rPr>
              <w:t>的少量粉尘。</w:t>
            </w:r>
          </w:p>
          <w:p w14:paraId="2A7360AA">
            <w:pPr>
              <w:ind w:left="0" w:leftChars="0" w:firstLine="480" w:firstLineChars="200"/>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0000FF"/>
                <w:kern w:val="2"/>
                <w:sz w:val="24"/>
                <w:szCs w:val="24"/>
                <w:lang w:val="en-US" w:eastAsia="zh-CN" w:bidi="ar-SA"/>
              </w:rPr>
              <w:t>混合</w:t>
            </w:r>
            <w:r>
              <w:rPr>
                <w:rFonts w:hint="default" w:ascii="Times New Roman" w:hAnsi="Times New Roman" w:eastAsia="宋体" w:cs="Times New Roman"/>
                <w:b w:val="0"/>
                <w:bCs w:val="0"/>
                <w:color w:val="0000FF"/>
                <w:kern w:val="2"/>
                <w:sz w:val="24"/>
                <w:szCs w:val="24"/>
                <w:lang w:val="en-US" w:eastAsia="zh-CN" w:bidi="ar-SA"/>
              </w:rPr>
              <w:t>搅拌过程</w:t>
            </w:r>
            <w:r>
              <w:rPr>
                <w:rFonts w:hint="eastAsia" w:ascii="Times New Roman" w:hAnsi="Times New Roman" w:eastAsia="宋体" w:cs="Times New Roman"/>
                <w:b w:val="0"/>
                <w:bCs w:val="0"/>
                <w:color w:val="0000FF"/>
                <w:kern w:val="2"/>
                <w:sz w:val="24"/>
                <w:szCs w:val="24"/>
                <w:lang w:val="en-US" w:eastAsia="zh-CN" w:bidi="ar-SA"/>
              </w:rPr>
              <w:t>在</w:t>
            </w:r>
            <w:r>
              <w:rPr>
                <w:rFonts w:hint="default" w:ascii="Times New Roman" w:hAnsi="Times New Roman" w:eastAsia="宋体" w:cs="Times New Roman"/>
                <w:b w:val="0"/>
                <w:bCs w:val="0"/>
                <w:color w:val="0000FF"/>
                <w:kern w:val="2"/>
                <w:sz w:val="24"/>
                <w:szCs w:val="24"/>
                <w:lang w:val="en-US" w:eastAsia="zh-CN" w:bidi="ar-SA"/>
              </w:rPr>
              <w:t>密闭</w:t>
            </w:r>
            <w:r>
              <w:rPr>
                <w:rFonts w:hint="eastAsia" w:ascii="Times New Roman" w:hAnsi="Times New Roman" w:eastAsia="宋体" w:cs="Times New Roman"/>
                <w:b w:val="0"/>
                <w:bCs w:val="0"/>
                <w:color w:val="0000FF"/>
                <w:kern w:val="2"/>
                <w:sz w:val="24"/>
                <w:szCs w:val="24"/>
                <w:lang w:val="en-US" w:eastAsia="zh-CN" w:bidi="ar-SA"/>
              </w:rPr>
              <w:t>设备内</w:t>
            </w:r>
            <w:r>
              <w:rPr>
                <w:rFonts w:hint="default" w:ascii="Times New Roman" w:hAnsi="Times New Roman" w:eastAsia="宋体" w:cs="Times New Roman"/>
                <w:b w:val="0"/>
                <w:bCs w:val="0"/>
                <w:color w:val="0000FF"/>
                <w:kern w:val="2"/>
                <w:sz w:val="24"/>
                <w:szCs w:val="24"/>
                <w:lang w:val="en-US" w:eastAsia="zh-CN" w:bidi="ar-SA"/>
              </w:rPr>
              <w:t>运行，</w:t>
            </w:r>
            <w:r>
              <w:rPr>
                <w:rFonts w:hint="eastAsia" w:cs="Times New Roman"/>
                <w:b w:val="0"/>
                <w:bCs w:val="0"/>
                <w:color w:val="0000FF"/>
                <w:kern w:val="2"/>
                <w:sz w:val="24"/>
                <w:szCs w:val="24"/>
                <w:lang w:val="en-US" w:eastAsia="zh-CN" w:bidi="ar-SA"/>
              </w:rPr>
              <w:t>搅拌罐</w:t>
            </w:r>
            <w:r>
              <w:rPr>
                <w:rFonts w:hint="default" w:ascii="Times New Roman" w:hAnsi="Times New Roman" w:eastAsia="宋体" w:cs="Times New Roman"/>
                <w:b w:val="0"/>
                <w:bCs w:val="0"/>
                <w:color w:val="0000FF"/>
                <w:kern w:val="2"/>
                <w:sz w:val="24"/>
                <w:szCs w:val="24"/>
                <w:lang w:val="en-US" w:eastAsia="zh-CN" w:bidi="ar-SA"/>
              </w:rPr>
              <w:t>上方设有呼吸口，会</w:t>
            </w:r>
            <w:r>
              <w:rPr>
                <w:rFonts w:hint="eastAsia" w:cs="Times New Roman"/>
                <w:b w:val="0"/>
                <w:bCs w:val="0"/>
                <w:color w:val="0000FF"/>
                <w:kern w:val="2"/>
                <w:sz w:val="24"/>
                <w:szCs w:val="24"/>
                <w:lang w:val="en-US" w:eastAsia="zh-CN" w:bidi="ar-SA"/>
              </w:rPr>
              <w:t>逸出</w:t>
            </w:r>
            <w:r>
              <w:rPr>
                <w:rFonts w:hint="default" w:ascii="Times New Roman" w:hAnsi="Times New Roman" w:eastAsia="宋体" w:cs="Times New Roman"/>
                <w:b w:val="0"/>
                <w:bCs w:val="0"/>
                <w:color w:val="0000FF"/>
                <w:kern w:val="2"/>
                <w:sz w:val="24"/>
                <w:szCs w:val="24"/>
                <w:lang w:val="en-US" w:eastAsia="zh-CN" w:bidi="ar-SA"/>
              </w:rPr>
              <w:t>少量粉尘</w:t>
            </w:r>
            <w:r>
              <w:rPr>
                <w:rFonts w:hint="eastAsia" w:ascii="Times New Roman" w:hAnsi="Times New Roman" w:eastAsia="宋体" w:cs="Times New Roman"/>
                <w:b w:val="0"/>
                <w:bCs w:val="0"/>
                <w:color w:val="0000FF"/>
                <w:kern w:val="2"/>
                <w:sz w:val="24"/>
                <w:szCs w:val="24"/>
                <w:lang w:val="en-US" w:eastAsia="zh-CN" w:bidi="ar-SA"/>
              </w:rPr>
              <w:t>；粉状物料在包装过程</w:t>
            </w:r>
            <w:r>
              <w:rPr>
                <w:rFonts w:hint="eastAsia" w:cs="Times New Roman"/>
                <w:b w:val="0"/>
                <w:bCs w:val="0"/>
                <w:color w:val="0000FF"/>
                <w:kern w:val="2"/>
                <w:sz w:val="24"/>
                <w:szCs w:val="24"/>
                <w:lang w:val="en-US" w:eastAsia="zh-CN" w:bidi="ar-SA"/>
              </w:rPr>
              <w:t>中</w:t>
            </w:r>
            <w:r>
              <w:rPr>
                <w:rFonts w:hint="eastAsia"/>
                <w:b w:val="0"/>
                <w:bCs/>
                <w:color w:val="0000FF"/>
                <w:sz w:val="24"/>
                <w:lang w:val="en-US" w:eastAsia="zh-CN"/>
              </w:rPr>
              <w:t>出料口与袋口贴合，基本无粉尘逸散，只在包装完成后袋口敞开瞬间产生少量粉尘</w:t>
            </w:r>
            <w:r>
              <w:rPr>
                <w:rFonts w:hint="eastAsia" w:ascii="Times New Roman" w:hAnsi="Times New Roman" w:eastAsia="宋体" w:cs="Times New Roman"/>
                <w:b w:val="0"/>
                <w:bCs w:val="0"/>
                <w:color w:val="0000FF"/>
                <w:kern w:val="2"/>
                <w:sz w:val="24"/>
                <w:szCs w:val="24"/>
                <w:lang w:val="en-US" w:eastAsia="zh-CN" w:bidi="ar-SA"/>
              </w:rPr>
              <w:t>。</w:t>
            </w:r>
            <w:r>
              <w:rPr>
                <w:rFonts w:hint="eastAsia" w:ascii="Times New Roman" w:hAnsi="Times New Roman" w:cs="Times New Roman"/>
                <w:b w:val="0"/>
                <w:bCs w:val="0"/>
                <w:color w:val="0000FF"/>
                <w:kern w:val="2"/>
                <w:sz w:val="24"/>
                <w:szCs w:val="24"/>
                <w:lang w:val="en-US" w:eastAsia="zh-CN" w:bidi="ar-SA"/>
              </w:rPr>
              <w:t>参考</w:t>
            </w:r>
            <w:r>
              <w:rPr>
                <w:rFonts w:hint="default" w:ascii="Times New Roman" w:hAnsi="Times New Roman" w:eastAsia="宋体" w:cs="Times New Roman"/>
                <w:b w:val="0"/>
                <w:bCs w:val="0"/>
                <w:color w:val="0000FF"/>
                <w:kern w:val="2"/>
                <w:sz w:val="24"/>
                <w:szCs w:val="24"/>
                <w:lang w:val="en-US" w:eastAsia="zh-CN" w:bidi="ar-SA"/>
              </w:rPr>
              <w:t>生态环境部发布的《排放源统计调查产排污核算方法和系数手册》3024轻质建筑材料制品制造业系数手册，</w:t>
            </w:r>
            <w:r>
              <w:rPr>
                <w:rFonts w:hint="eastAsia" w:cs="Times New Roman"/>
                <w:b w:val="0"/>
                <w:bCs w:val="0"/>
                <w:color w:val="0000FF"/>
                <w:kern w:val="2"/>
                <w:sz w:val="24"/>
                <w:szCs w:val="24"/>
                <w:lang w:val="en-US" w:eastAsia="zh-CN" w:bidi="ar-SA"/>
              </w:rPr>
              <w:t>本次环评以</w:t>
            </w:r>
            <w:r>
              <w:rPr>
                <w:rFonts w:hint="default" w:ascii="Times New Roman" w:hAnsi="Times New Roman" w:eastAsia="宋体" w:cs="Times New Roman"/>
                <w:b w:val="0"/>
                <w:bCs w:val="0"/>
                <w:color w:val="0000FF"/>
                <w:kern w:val="2"/>
                <w:sz w:val="24"/>
                <w:szCs w:val="24"/>
                <w:lang w:val="en-US" w:eastAsia="zh-CN" w:bidi="ar-SA"/>
              </w:rPr>
              <w:t>搅拌、包装工序粉尘产生系数为</w:t>
            </w:r>
            <w:r>
              <w:rPr>
                <w:rFonts w:hint="eastAsia" w:ascii="Times New Roman" w:hAnsi="Times New Roman" w:cs="Times New Roman"/>
                <w:b w:val="0"/>
                <w:bCs w:val="0"/>
                <w:color w:val="0000FF"/>
                <w:kern w:val="2"/>
                <w:sz w:val="24"/>
                <w:szCs w:val="24"/>
                <w:lang w:val="en-US" w:eastAsia="zh-CN" w:bidi="ar-SA"/>
              </w:rPr>
              <w:t>0.325</w:t>
            </w:r>
            <w:r>
              <w:rPr>
                <w:rFonts w:hint="default" w:ascii="Times New Roman" w:hAnsi="Times New Roman" w:eastAsia="宋体" w:cs="Times New Roman"/>
                <w:b w:val="0"/>
                <w:bCs w:val="0"/>
                <w:color w:val="0000FF"/>
                <w:kern w:val="2"/>
                <w:sz w:val="24"/>
                <w:szCs w:val="24"/>
                <w:lang w:val="en-US" w:eastAsia="zh-CN" w:bidi="ar-SA"/>
              </w:rPr>
              <w:t>kg/t－产品</w:t>
            </w:r>
            <w:r>
              <w:rPr>
                <w:rFonts w:hint="eastAsia" w:cs="Times New Roman"/>
                <w:b w:val="0"/>
                <w:bCs w:val="0"/>
                <w:color w:val="0000FF"/>
                <w:kern w:val="2"/>
                <w:sz w:val="24"/>
                <w:szCs w:val="24"/>
                <w:lang w:val="en-US" w:eastAsia="zh-CN" w:bidi="ar-SA"/>
              </w:rPr>
              <w:t>计</w:t>
            </w:r>
            <w:r>
              <w:rPr>
                <w:rFonts w:hint="default" w:ascii="Times New Roman" w:hAnsi="Times New Roman" w:eastAsia="宋体" w:cs="Times New Roman"/>
                <w:b w:val="0"/>
                <w:bCs w:val="0"/>
                <w:color w:val="0000FF"/>
                <w:kern w:val="2"/>
                <w:sz w:val="24"/>
                <w:szCs w:val="24"/>
                <w:lang w:val="en-US" w:eastAsia="zh-CN" w:bidi="ar-SA"/>
              </w:rPr>
              <w:t>，项目</w:t>
            </w:r>
            <w:r>
              <w:rPr>
                <w:rFonts w:hint="eastAsia" w:ascii="Times New Roman" w:hAnsi="Times New Roman" w:cs="Times New Roman"/>
                <w:b w:val="0"/>
                <w:bCs w:val="0"/>
                <w:color w:val="0000FF"/>
                <w:kern w:val="2"/>
                <w:sz w:val="24"/>
                <w:szCs w:val="24"/>
                <w:lang w:val="en-US" w:eastAsia="zh-CN" w:bidi="ar-SA"/>
              </w:rPr>
              <w:t>年产</w:t>
            </w:r>
            <w:r>
              <w:rPr>
                <w:rFonts w:hint="eastAsia" w:cs="Times New Roman"/>
                <w:b w:val="0"/>
                <w:bCs w:val="0"/>
                <w:color w:val="0000FF"/>
                <w:kern w:val="2"/>
                <w:sz w:val="24"/>
                <w:szCs w:val="24"/>
                <w:lang w:val="en-US" w:eastAsia="zh-CN" w:bidi="ar-SA"/>
              </w:rPr>
              <w:t>新型建筑材料总</w:t>
            </w:r>
            <w:r>
              <w:rPr>
                <w:rFonts w:hint="eastAsia" w:ascii="Times New Roman" w:hAnsi="Times New Roman" w:cs="Times New Roman"/>
                <w:b w:val="0"/>
                <w:bCs w:val="0"/>
                <w:color w:val="0000FF"/>
                <w:kern w:val="2"/>
                <w:sz w:val="24"/>
                <w:szCs w:val="24"/>
                <w:lang w:val="en-US" w:eastAsia="zh-CN" w:bidi="ar-SA"/>
              </w:rPr>
              <w:t>量</w:t>
            </w:r>
            <w:r>
              <w:rPr>
                <w:rFonts w:hint="default" w:ascii="Times New Roman" w:hAnsi="Times New Roman" w:eastAsia="宋体" w:cs="Times New Roman"/>
                <w:b w:val="0"/>
                <w:bCs w:val="0"/>
                <w:color w:val="0000FF"/>
                <w:kern w:val="2"/>
                <w:sz w:val="24"/>
                <w:szCs w:val="24"/>
                <w:lang w:val="en-US" w:eastAsia="zh-CN" w:bidi="ar-SA"/>
              </w:rPr>
              <w:t>为</w:t>
            </w:r>
            <w:r>
              <w:rPr>
                <w:rFonts w:hint="eastAsia" w:cs="Times New Roman"/>
                <w:b w:val="0"/>
                <w:bCs w:val="0"/>
                <w:color w:val="0000FF"/>
                <w:kern w:val="2"/>
                <w:sz w:val="24"/>
                <w:szCs w:val="24"/>
                <w:lang w:val="en-US" w:eastAsia="zh-CN" w:bidi="ar-SA"/>
              </w:rPr>
              <w:t>20万吨</w:t>
            </w:r>
            <w:r>
              <w:rPr>
                <w:rFonts w:hint="default" w:ascii="Times New Roman" w:hAnsi="Times New Roman" w:eastAsia="宋体" w:cs="Times New Roman"/>
                <w:b w:val="0"/>
                <w:bCs w:val="0"/>
                <w:color w:val="0000FF"/>
                <w:kern w:val="2"/>
                <w:sz w:val="24"/>
                <w:szCs w:val="24"/>
                <w:lang w:val="en-US" w:eastAsia="zh-CN" w:bidi="ar-SA"/>
              </w:rPr>
              <w:t>，则颗粒物产生量为</w:t>
            </w:r>
            <w:r>
              <w:rPr>
                <w:rFonts w:hint="eastAsia" w:cs="Times New Roman"/>
                <w:b w:val="0"/>
                <w:bCs w:val="0"/>
                <w:color w:val="0000FF"/>
                <w:kern w:val="2"/>
                <w:sz w:val="24"/>
                <w:szCs w:val="24"/>
                <w:lang w:val="en-US" w:eastAsia="zh-CN" w:bidi="ar-SA"/>
              </w:rPr>
              <w:t>65</w:t>
            </w:r>
            <w:r>
              <w:rPr>
                <w:rFonts w:hint="default" w:ascii="Times New Roman" w:hAnsi="Times New Roman" w:eastAsia="宋体" w:cs="Times New Roman"/>
                <w:b w:val="0"/>
                <w:bCs w:val="0"/>
                <w:color w:val="0000FF"/>
                <w:kern w:val="2"/>
                <w:sz w:val="24"/>
                <w:szCs w:val="24"/>
                <w:lang w:val="en-US" w:eastAsia="zh-CN" w:bidi="ar-SA"/>
              </w:rPr>
              <w:t>t/a。</w:t>
            </w:r>
          </w:p>
          <w:p w14:paraId="4B6BD3E9">
            <w:pPr>
              <w:snapToGrid w:val="0"/>
              <w:spacing w:line="360" w:lineRule="auto"/>
              <w:ind w:firstLine="482" w:firstLineChars="200"/>
              <w:rPr>
                <w:rFonts w:hint="default"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拟采取措施：</w:t>
            </w:r>
          </w:p>
          <w:p w14:paraId="15064FC3">
            <w:pPr>
              <w:snapToGrid w:val="0"/>
              <w:spacing w:line="360" w:lineRule="auto"/>
              <w:ind w:firstLine="480" w:firstLineChars="200"/>
              <w:rPr>
                <w:rFonts w:hint="eastAsia" w:ascii="Times New Roman" w:hAnsi="Times New Roman" w:eastAsia="宋体" w:cs="Times New Roman"/>
                <w:b w:val="0"/>
                <w:bCs w:val="0"/>
                <w:color w:val="0000FF"/>
                <w:kern w:val="2"/>
                <w:sz w:val="24"/>
                <w:szCs w:val="24"/>
                <w:lang w:val="en-US" w:eastAsia="zh-CN" w:bidi="ar-SA"/>
              </w:rPr>
            </w:pPr>
            <w:r>
              <w:rPr>
                <w:rFonts w:hint="eastAsia" w:ascii="Times New Roman" w:hAnsi="Times New Roman" w:eastAsia="宋体" w:cs="Times New Roman"/>
                <w:b w:val="0"/>
                <w:bCs w:val="0"/>
                <w:color w:val="0000FF"/>
                <w:kern w:val="2"/>
                <w:sz w:val="24"/>
                <w:szCs w:val="24"/>
                <w:lang w:val="en-US" w:eastAsia="zh-CN" w:bidi="ar-SA"/>
              </w:rPr>
              <w:t>本项目</w:t>
            </w:r>
            <w:r>
              <w:rPr>
                <w:rFonts w:hint="eastAsia" w:cs="Times New Roman"/>
                <w:b w:val="0"/>
                <w:bCs w:val="0"/>
                <w:color w:val="0000FF"/>
                <w:kern w:val="2"/>
                <w:sz w:val="24"/>
                <w:szCs w:val="24"/>
                <w:lang w:val="en-US" w:eastAsia="zh-CN" w:bidi="ar-SA"/>
              </w:rPr>
              <w:t>采用下吸风、密闭投料方式，并分别</w:t>
            </w:r>
            <w:r>
              <w:rPr>
                <w:rFonts w:hint="eastAsia" w:ascii="Times New Roman" w:hAnsi="Times New Roman" w:eastAsia="宋体" w:cs="Times New Roman"/>
                <w:b w:val="0"/>
                <w:bCs w:val="0"/>
                <w:color w:val="0000FF"/>
                <w:kern w:val="2"/>
                <w:sz w:val="24"/>
                <w:szCs w:val="24"/>
                <w:lang w:val="en-US" w:eastAsia="zh-CN" w:bidi="ar-SA"/>
              </w:rPr>
              <w:t>在</w:t>
            </w:r>
            <w:r>
              <w:rPr>
                <w:rFonts w:hint="eastAsia" w:cs="Times New Roman"/>
                <w:b w:val="0"/>
                <w:bCs w:val="0"/>
                <w:color w:val="0000FF"/>
                <w:kern w:val="2"/>
                <w:sz w:val="24"/>
                <w:szCs w:val="24"/>
                <w:lang w:val="en-US" w:eastAsia="zh-CN" w:bidi="ar-SA"/>
              </w:rPr>
              <w:t>各包装机出料口上方</w:t>
            </w:r>
            <w:r>
              <w:rPr>
                <w:rFonts w:hint="eastAsia" w:ascii="Times New Roman" w:hAnsi="Times New Roman" w:eastAsia="宋体" w:cs="Times New Roman"/>
                <w:b w:val="0"/>
                <w:bCs w:val="0"/>
                <w:color w:val="0000FF"/>
                <w:kern w:val="2"/>
                <w:sz w:val="24"/>
                <w:szCs w:val="24"/>
                <w:lang w:val="en-US" w:eastAsia="zh-CN" w:bidi="ar-SA"/>
              </w:rPr>
              <w:t>设置半封闭集气罩，</w:t>
            </w:r>
            <w:r>
              <w:rPr>
                <w:rFonts w:hint="eastAsia" w:cs="Times New Roman"/>
                <w:b w:val="0"/>
                <w:bCs w:val="0"/>
                <w:color w:val="0000FF"/>
                <w:kern w:val="2"/>
                <w:sz w:val="24"/>
                <w:szCs w:val="24"/>
                <w:lang w:val="en-US" w:eastAsia="zh-CN" w:bidi="ar-SA"/>
              </w:rPr>
              <w:t>搅拌罐</w:t>
            </w:r>
            <w:r>
              <w:rPr>
                <w:rFonts w:hint="eastAsia" w:ascii="Times New Roman" w:hAnsi="Times New Roman" w:eastAsia="宋体" w:cs="Times New Roman"/>
                <w:b w:val="0"/>
                <w:bCs w:val="0"/>
                <w:color w:val="0000FF"/>
                <w:kern w:val="2"/>
                <w:sz w:val="24"/>
                <w:szCs w:val="24"/>
                <w:lang w:val="en-US" w:eastAsia="zh-CN" w:bidi="ar-SA"/>
              </w:rPr>
              <w:t>加盖密闭运行，在呼吸口上方连接集气管道</w:t>
            </w:r>
            <w:r>
              <w:rPr>
                <w:rFonts w:hint="eastAsia" w:cs="Times New Roman"/>
                <w:b w:val="0"/>
                <w:bCs w:val="0"/>
                <w:color w:val="0000FF"/>
                <w:kern w:val="2"/>
                <w:sz w:val="24"/>
                <w:szCs w:val="24"/>
                <w:lang w:val="en-US" w:eastAsia="zh-CN" w:bidi="ar-SA"/>
              </w:rPr>
              <w:t>对运营期产生的粉尘进行收集，</w:t>
            </w:r>
            <w:r>
              <w:rPr>
                <w:rFonts w:hint="eastAsia" w:ascii="Times New Roman" w:hAnsi="Times New Roman" w:eastAsia="宋体" w:cs="Times New Roman"/>
                <w:b w:val="0"/>
                <w:bCs w:val="0"/>
                <w:color w:val="0000FF"/>
                <w:kern w:val="2"/>
                <w:sz w:val="24"/>
                <w:szCs w:val="24"/>
                <w:lang w:val="en-US" w:eastAsia="zh-CN" w:bidi="ar-SA"/>
              </w:rPr>
              <w:t>收集的粉尘经引风管道汇合后</w:t>
            </w:r>
            <w:r>
              <w:rPr>
                <w:rFonts w:hint="eastAsia" w:cs="Times New Roman"/>
                <w:b w:val="0"/>
                <w:bCs w:val="0"/>
                <w:color w:val="0000FF"/>
                <w:kern w:val="2"/>
                <w:sz w:val="24"/>
                <w:szCs w:val="24"/>
                <w:lang w:val="en-US" w:eastAsia="zh-CN" w:bidi="ar-SA"/>
              </w:rPr>
              <w:t>集中</w:t>
            </w:r>
            <w:r>
              <w:rPr>
                <w:rFonts w:hint="eastAsia" w:ascii="Times New Roman" w:hAnsi="Times New Roman" w:eastAsia="宋体" w:cs="Times New Roman"/>
                <w:b w:val="0"/>
                <w:bCs w:val="0"/>
                <w:color w:val="0000FF"/>
                <w:kern w:val="2"/>
                <w:sz w:val="24"/>
                <w:szCs w:val="24"/>
                <w:lang w:val="en-US" w:eastAsia="zh-CN" w:bidi="ar-SA"/>
              </w:rPr>
              <w:t>通入一套脉冲布袋除尘器进行处理，处理后由</w:t>
            </w:r>
            <w:r>
              <w:rPr>
                <w:rFonts w:hint="eastAsia" w:cs="Times New Roman"/>
                <w:b w:val="0"/>
                <w:bCs w:val="0"/>
                <w:color w:val="0000FF"/>
                <w:kern w:val="2"/>
                <w:sz w:val="24"/>
                <w:szCs w:val="24"/>
                <w:lang w:val="en-US" w:eastAsia="zh-CN" w:bidi="ar-SA"/>
              </w:rPr>
              <w:t>1根</w:t>
            </w:r>
            <w:r>
              <w:rPr>
                <w:rFonts w:hint="eastAsia" w:ascii="Times New Roman" w:hAnsi="Times New Roman" w:eastAsia="宋体" w:cs="Times New Roman"/>
                <w:b w:val="0"/>
                <w:bCs w:val="0"/>
                <w:color w:val="0000FF"/>
                <w:kern w:val="2"/>
                <w:sz w:val="24"/>
                <w:szCs w:val="24"/>
                <w:lang w:val="en-US" w:eastAsia="zh-CN" w:bidi="ar-SA"/>
              </w:rPr>
              <w:t>15m高排气筒DA001高空排放。</w:t>
            </w:r>
          </w:p>
          <w:p w14:paraId="06FED568">
            <w:pPr>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b w:val="0"/>
                <w:bCs w:val="0"/>
                <w:color w:val="auto"/>
                <w:kern w:val="2"/>
                <w:sz w:val="24"/>
                <w:szCs w:val="24"/>
                <w:lang w:val="en-US" w:eastAsia="zh-CN" w:bidi="ar-SA"/>
              </w:rPr>
              <w:t>车间</w:t>
            </w:r>
            <w:r>
              <w:rPr>
                <w:rFonts w:ascii="Times New Roman" w:hAnsi="Times New Roman" w:eastAsia="宋体" w:cs="Times New Roman"/>
                <w:color w:val="auto"/>
                <w:sz w:val="24"/>
                <w:szCs w:val="24"/>
              </w:rPr>
              <w:t>集气装置</w:t>
            </w:r>
            <w:r>
              <w:rPr>
                <w:rFonts w:hint="eastAsia" w:ascii="Times New Roman" w:hAnsi="Times New Roman" w:eastAsia="宋体" w:cs="Times New Roman"/>
                <w:color w:val="auto"/>
                <w:sz w:val="24"/>
                <w:szCs w:val="24"/>
                <w:lang w:eastAsia="zh-CN"/>
              </w:rPr>
              <w:t>综合</w:t>
            </w:r>
            <w:r>
              <w:rPr>
                <w:rFonts w:ascii="Times New Roman" w:hAnsi="Times New Roman" w:eastAsia="宋体" w:cs="Times New Roman"/>
                <w:color w:val="auto"/>
                <w:sz w:val="24"/>
                <w:szCs w:val="24"/>
              </w:rPr>
              <w:t>收集效率</w:t>
            </w:r>
            <w:r>
              <w:rPr>
                <w:rFonts w:hint="eastAsia" w:cs="Times New Roman"/>
                <w:color w:val="auto"/>
                <w:sz w:val="24"/>
                <w:szCs w:val="24"/>
                <w:lang w:val="en-US" w:eastAsia="zh-CN"/>
              </w:rPr>
              <w:t>取</w:t>
            </w:r>
            <w:r>
              <w:rPr>
                <w:rFonts w:ascii="Times New Roman" w:hAnsi="Times New Roman" w:eastAsia="宋体" w:cs="Times New Roman"/>
                <w:color w:val="auto"/>
                <w:sz w:val="24"/>
                <w:szCs w:val="24"/>
              </w:rPr>
              <w:t>90%，</w:t>
            </w:r>
            <w:r>
              <w:rPr>
                <w:rFonts w:hint="eastAsia" w:ascii="Times New Roman" w:hAnsi="Times New Roman" w:eastAsia="宋体" w:cs="Times New Roman"/>
                <w:color w:val="auto"/>
                <w:sz w:val="24"/>
                <w:szCs w:val="24"/>
                <w:lang w:val="en-US" w:eastAsia="zh-CN"/>
              </w:rPr>
              <w:t>布袋除尘器</w:t>
            </w:r>
            <w:r>
              <w:rPr>
                <w:rFonts w:ascii="Times New Roman" w:hAnsi="Times New Roman" w:eastAsia="宋体" w:cs="Times New Roman"/>
                <w:color w:val="auto"/>
                <w:sz w:val="24"/>
                <w:szCs w:val="24"/>
              </w:rPr>
              <w:t>除尘效率按</w:t>
            </w:r>
            <w:r>
              <w:rPr>
                <w:rFonts w:hint="eastAsia" w:ascii="Times New Roman" w:hAnsi="Times New Roman" w:eastAsia="宋体" w:cs="Times New Roman"/>
                <w:color w:val="auto"/>
                <w:sz w:val="24"/>
                <w:szCs w:val="24"/>
                <w:lang w:val="en-US" w:eastAsia="zh-CN"/>
              </w:rPr>
              <w:t>99</w:t>
            </w:r>
            <w:r>
              <w:rPr>
                <w:rFonts w:ascii="Times New Roman" w:hAnsi="Times New Roman" w:eastAsia="宋体" w:cs="Times New Roman"/>
                <w:color w:val="auto"/>
                <w:sz w:val="24"/>
                <w:szCs w:val="24"/>
              </w:rPr>
              <w:t>%计算，风机总风量设置为</w:t>
            </w: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000</w:t>
            </w:r>
            <w:r>
              <w:rPr>
                <w:rFonts w:ascii="Times New Roman" w:hAnsi="Times New Roman" w:eastAsia="宋体" w:cs="Times New Roman"/>
                <w:color w:val="auto"/>
                <w:sz w:val="24"/>
                <w:szCs w:val="24"/>
              </w:rPr>
              <w:t>0m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/h，</w:t>
            </w:r>
            <w:r>
              <w:rPr>
                <w:rFonts w:hint="eastAsia" w:ascii="Times New Roman" w:hAnsi="Times New Roman" w:eastAsia="宋体" w:cs="Times New Roman"/>
                <w:color w:val="auto"/>
                <w:sz w:val="24"/>
                <w:szCs w:val="24"/>
                <w:lang w:val="en-US" w:eastAsia="zh-CN"/>
              </w:rPr>
              <w:t>年工作时间</w:t>
            </w:r>
            <w:r>
              <w:rPr>
                <w:rFonts w:hint="eastAsia" w:cs="Times New Roman"/>
                <w:color w:val="auto"/>
                <w:sz w:val="24"/>
                <w:szCs w:val="24"/>
                <w:lang w:val="en-US" w:eastAsia="zh-CN"/>
              </w:rPr>
              <w:t>48</w:t>
            </w:r>
            <w:r>
              <w:rPr>
                <w:rFonts w:hint="eastAsia" w:ascii="Times New Roman" w:hAnsi="Times New Roman" w:eastAsia="宋体" w:cs="Times New Roman"/>
                <w:color w:val="auto"/>
                <w:sz w:val="24"/>
                <w:szCs w:val="24"/>
                <w:lang w:val="en-US" w:eastAsia="zh-CN"/>
              </w:rPr>
              <w:t>00h，</w:t>
            </w:r>
            <w:r>
              <w:rPr>
                <w:rFonts w:ascii="Times New Roman" w:hAnsi="Times New Roman" w:eastAsia="宋体" w:cs="Times New Roman"/>
                <w:color w:val="auto"/>
                <w:sz w:val="24"/>
                <w:szCs w:val="24"/>
              </w:rPr>
              <w:t>则</w:t>
            </w:r>
            <w:r>
              <w:rPr>
                <w:rFonts w:hint="eastAsia" w:ascii="Times New Roman" w:hAnsi="Times New Roman" w:eastAsia="宋体" w:cs="Times New Roman"/>
                <w:color w:val="auto"/>
                <w:sz w:val="24"/>
                <w:szCs w:val="24"/>
              </w:rPr>
              <w:t>颗粒物</w:t>
            </w:r>
            <w:r>
              <w:rPr>
                <w:rFonts w:ascii="Times New Roman" w:hAnsi="Times New Roman" w:eastAsia="宋体" w:cs="Times New Roman"/>
                <w:color w:val="auto"/>
                <w:sz w:val="24"/>
                <w:szCs w:val="24"/>
              </w:rPr>
              <w:t>排放量为</w:t>
            </w:r>
            <w:r>
              <w:rPr>
                <w:rFonts w:hint="eastAsia" w:cs="Times New Roman"/>
                <w:color w:val="auto"/>
                <w:sz w:val="24"/>
                <w:szCs w:val="24"/>
                <w:lang w:val="en-US" w:eastAsia="zh-CN"/>
              </w:rPr>
              <w:t>0.585</w:t>
            </w:r>
            <w:r>
              <w:rPr>
                <w:rFonts w:ascii="Times New Roman" w:hAnsi="Times New Roman" w:eastAsia="宋体" w:cs="Times New Roman"/>
                <w:color w:val="auto"/>
                <w:sz w:val="24"/>
                <w:szCs w:val="24"/>
              </w:rPr>
              <w:t>t/a，排放速率为</w:t>
            </w:r>
            <w:r>
              <w:rPr>
                <w:rFonts w:hint="eastAsia" w:ascii="Times New Roman" w:hAnsi="Times New Roman" w:eastAsia="宋体" w:cs="Times New Roman"/>
                <w:color w:val="auto"/>
                <w:sz w:val="24"/>
                <w:szCs w:val="24"/>
                <w:lang w:val="en-US" w:eastAsia="zh-CN"/>
              </w:rPr>
              <w:t>0.</w:t>
            </w:r>
            <w:r>
              <w:rPr>
                <w:rFonts w:hint="eastAsia" w:cs="Times New Roman"/>
                <w:color w:val="auto"/>
                <w:sz w:val="24"/>
                <w:szCs w:val="24"/>
                <w:lang w:val="en-US" w:eastAsia="zh-CN"/>
              </w:rPr>
              <w:t>122</w:t>
            </w:r>
            <w:r>
              <w:rPr>
                <w:rFonts w:ascii="Times New Roman" w:hAnsi="Times New Roman" w:eastAsia="宋体" w:cs="Times New Roman"/>
                <w:color w:val="auto"/>
                <w:sz w:val="24"/>
                <w:szCs w:val="24"/>
              </w:rPr>
              <w:t>kg/h，排放浓度为</w:t>
            </w:r>
            <w:r>
              <w:rPr>
                <w:rFonts w:hint="eastAsia" w:cs="Times New Roman"/>
                <w:color w:val="auto"/>
                <w:sz w:val="24"/>
                <w:szCs w:val="24"/>
                <w:lang w:val="en-US" w:eastAsia="zh-CN"/>
              </w:rPr>
              <w:t>6.094</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p>
          <w:p w14:paraId="586E9803">
            <w:pPr>
              <w:bidi w:val="0"/>
              <w:rPr>
                <w:rFonts w:hint="default" w:ascii="Times New Roman" w:hAnsi="Times New Roman" w:cs="Times New Roman"/>
                <w:color w:val="auto"/>
                <w:lang w:val="en-US" w:eastAsia="zh-CN"/>
              </w:rPr>
            </w:pPr>
            <w:r>
              <w:rPr>
                <w:rFonts w:hint="eastAsia" w:ascii="Times New Roman" w:hAnsi="Times New Roman" w:eastAsia="宋体" w:cs="Times New Roman"/>
                <w:b w:val="0"/>
                <w:bCs w:val="0"/>
                <w:color w:val="auto"/>
                <w:kern w:val="2"/>
                <w:sz w:val="24"/>
                <w:szCs w:val="24"/>
                <w:lang w:val="en-US" w:eastAsia="zh-CN" w:bidi="ar-SA"/>
              </w:rPr>
              <w:t>未被集气罩收集的颗粒物量为</w:t>
            </w:r>
            <w:r>
              <w:rPr>
                <w:rFonts w:hint="eastAsia" w:cs="Times New Roman"/>
                <w:b w:val="0"/>
                <w:bCs w:val="0"/>
                <w:color w:val="auto"/>
                <w:kern w:val="2"/>
                <w:sz w:val="24"/>
                <w:szCs w:val="24"/>
                <w:lang w:val="en-US" w:eastAsia="zh-CN" w:bidi="ar-SA"/>
              </w:rPr>
              <w:t>6.5</w:t>
            </w:r>
            <w:r>
              <w:rPr>
                <w:rFonts w:hint="eastAsia" w:ascii="Times New Roman" w:hAnsi="Times New Roman" w:eastAsia="宋体" w:cs="Times New Roman"/>
                <w:b w:val="0"/>
                <w:bCs w:val="0"/>
                <w:color w:val="auto"/>
                <w:kern w:val="2"/>
                <w:sz w:val="24"/>
                <w:szCs w:val="24"/>
                <w:lang w:val="en-US" w:eastAsia="zh-CN" w:bidi="ar-SA"/>
              </w:rPr>
              <w:t>t/a，</w:t>
            </w:r>
            <w:r>
              <w:rPr>
                <w:rFonts w:hint="eastAsia" w:cs="Times New Roman"/>
                <w:b w:val="0"/>
                <w:bCs w:val="0"/>
                <w:color w:val="auto"/>
                <w:kern w:val="2"/>
                <w:sz w:val="24"/>
                <w:szCs w:val="24"/>
                <w:lang w:val="en-US" w:eastAsia="zh-CN" w:bidi="ar-SA"/>
              </w:rPr>
              <w:t>经车间阻挡后，</w:t>
            </w:r>
            <w:r>
              <w:rPr>
                <w:rFonts w:hint="default" w:ascii="Times New Roman" w:hAnsi="Times New Roman" w:cs="Times New Roman"/>
                <w:color w:val="auto"/>
                <w:lang w:val="en-US" w:eastAsia="zh-CN"/>
              </w:rPr>
              <w:t>大部分沉降在生产车间地面上，</w:t>
            </w:r>
            <w:r>
              <w:rPr>
                <w:rFonts w:hint="eastAsia" w:cs="Times New Roman"/>
                <w:color w:val="auto"/>
                <w:lang w:val="en-US" w:eastAsia="zh-CN"/>
              </w:rPr>
              <w:t>项目</w:t>
            </w:r>
            <w:r>
              <w:rPr>
                <w:rFonts w:hint="default" w:ascii="Times New Roman" w:hAnsi="Times New Roman" w:cs="Times New Roman"/>
                <w:color w:val="auto"/>
                <w:lang w:val="en-US" w:eastAsia="zh-CN"/>
              </w:rPr>
              <w:t>每班次对车间地面清扫一次，地面粉尘收集后作为原材料利用，约10%的粉尘经生产车间排出，无组织排放量为</w:t>
            </w:r>
            <w:r>
              <w:rPr>
                <w:rFonts w:hint="eastAsia" w:cs="Times New Roman"/>
                <w:color w:val="auto"/>
                <w:lang w:val="en-US" w:eastAsia="zh-CN"/>
              </w:rPr>
              <w:t>0.65</w:t>
            </w:r>
            <w:r>
              <w:rPr>
                <w:rFonts w:hint="default" w:ascii="Times New Roman" w:hAnsi="Times New Roman" w:cs="Times New Roman"/>
                <w:color w:val="auto"/>
                <w:lang w:val="en-US" w:eastAsia="zh-CN"/>
              </w:rPr>
              <w:t>t/a。</w:t>
            </w:r>
          </w:p>
          <w:p w14:paraId="55D88392">
            <w:pPr>
              <w:spacing w:line="360" w:lineRule="auto"/>
              <w:ind w:firstLine="480" w:firstLineChars="200"/>
              <w:rPr>
                <w:rFonts w:hint="eastAsia"/>
                <w:b w:val="0"/>
                <w:bCs w:val="0"/>
                <w:color w:val="auto"/>
                <w:sz w:val="24"/>
              </w:rPr>
            </w:pPr>
            <w:r>
              <w:rPr>
                <w:rFonts w:hint="eastAsia"/>
                <w:b w:val="0"/>
                <w:bCs w:val="0"/>
                <w:color w:val="auto"/>
                <w:sz w:val="24"/>
                <w:lang w:val="en-US" w:eastAsia="zh-CN"/>
              </w:rPr>
              <w:t>本项目</w:t>
            </w:r>
            <w:r>
              <w:rPr>
                <w:rFonts w:hint="eastAsia"/>
                <w:b w:val="0"/>
                <w:bCs w:val="0"/>
                <w:color w:val="auto"/>
                <w:sz w:val="24"/>
              </w:rPr>
              <w:t>原料</w:t>
            </w:r>
            <w:r>
              <w:rPr>
                <w:rFonts w:hint="eastAsia"/>
                <w:b w:val="0"/>
                <w:bCs w:val="0"/>
                <w:color w:val="auto"/>
                <w:sz w:val="24"/>
                <w:lang w:val="en-US" w:eastAsia="zh-CN"/>
              </w:rPr>
              <w:t>和成品均采用袋装，</w:t>
            </w:r>
            <w:r>
              <w:rPr>
                <w:rFonts w:hint="eastAsia"/>
                <w:b w:val="0"/>
                <w:bCs w:val="0"/>
                <w:color w:val="auto"/>
                <w:sz w:val="24"/>
              </w:rPr>
              <w:t>进厂和产品出厂过程中，会产生道路扬尘</w:t>
            </w:r>
            <w:r>
              <w:rPr>
                <w:rFonts w:hint="eastAsia"/>
                <w:b w:val="0"/>
                <w:bCs w:val="0"/>
                <w:color w:val="auto"/>
                <w:sz w:val="24"/>
                <w:lang w:eastAsia="zh-CN"/>
              </w:rPr>
              <w:t>，</w:t>
            </w:r>
            <w:r>
              <w:rPr>
                <w:rFonts w:hint="eastAsia"/>
                <w:b w:val="0"/>
                <w:bCs w:val="0"/>
                <w:color w:val="auto"/>
                <w:sz w:val="24"/>
              </w:rPr>
              <w:t>本项目</w:t>
            </w:r>
            <w:r>
              <w:rPr>
                <w:rFonts w:hint="eastAsia"/>
                <w:b w:val="0"/>
                <w:bCs w:val="0"/>
                <w:color w:val="auto"/>
                <w:sz w:val="24"/>
                <w:lang w:eastAsia="zh-CN"/>
              </w:rPr>
              <w:t>物料进出口紧邻</w:t>
            </w:r>
            <w:r>
              <w:rPr>
                <w:rFonts w:hint="eastAsia"/>
                <w:b w:val="0"/>
                <w:bCs w:val="0"/>
                <w:color w:val="auto"/>
                <w:sz w:val="24"/>
                <w:lang w:val="en-US" w:eastAsia="zh-CN"/>
              </w:rPr>
              <w:t>车间</w:t>
            </w:r>
            <w:r>
              <w:rPr>
                <w:rFonts w:hint="eastAsia"/>
                <w:b w:val="0"/>
                <w:bCs w:val="0"/>
                <w:color w:val="auto"/>
                <w:sz w:val="24"/>
              </w:rPr>
              <w:t>出入口，</w:t>
            </w:r>
            <w:r>
              <w:rPr>
                <w:rFonts w:hint="eastAsia"/>
                <w:b w:val="0"/>
                <w:bCs w:val="0"/>
                <w:color w:val="auto"/>
                <w:sz w:val="24"/>
                <w:lang w:eastAsia="zh-CN"/>
              </w:rPr>
              <w:t>项目厂区道路全部</w:t>
            </w:r>
            <w:r>
              <w:rPr>
                <w:rFonts w:hint="eastAsia"/>
                <w:b w:val="0"/>
                <w:bCs w:val="0"/>
                <w:color w:val="auto"/>
                <w:sz w:val="24"/>
              </w:rPr>
              <w:t>硬化，定期清扫并洒水保持路面整洁，原料和产品均加盖篷布，</w:t>
            </w:r>
            <w:r>
              <w:rPr>
                <w:rFonts w:hint="eastAsia"/>
                <w:b w:val="0"/>
                <w:bCs w:val="0"/>
                <w:color w:val="auto"/>
                <w:sz w:val="24"/>
                <w:lang w:eastAsia="zh-CN"/>
              </w:rPr>
              <w:t>厂区内</w:t>
            </w:r>
            <w:r>
              <w:rPr>
                <w:rFonts w:hint="eastAsia"/>
                <w:b w:val="0"/>
                <w:bCs w:val="0"/>
                <w:color w:val="auto"/>
                <w:sz w:val="24"/>
              </w:rPr>
              <w:t>限制车速</w:t>
            </w:r>
            <w:r>
              <w:rPr>
                <w:rFonts w:hint="eastAsia"/>
                <w:b w:val="0"/>
                <w:bCs w:val="0"/>
                <w:color w:val="auto"/>
                <w:sz w:val="24"/>
                <w:lang w:eastAsia="zh-CN"/>
              </w:rPr>
              <w:t>，因此运输扬尘产生量较小，本次评价不再定量分析。</w:t>
            </w:r>
          </w:p>
          <w:p w14:paraId="6E06828B">
            <w:pPr>
              <w:spacing w:line="360" w:lineRule="auto"/>
              <w:ind w:firstLine="480" w:firstLineChars="200"/>
              <w:rPr>
                <w:rFonts w:hint="eastAsia"/>
                <w:b w:val="0"/>
                <w:bCs w:val="0"/>
                <w:color w:val="auto"/>
                <w:sz w:val="24"/>
              </w:rPr>
            </w:pPr>
            <w:r>
              <w:rPr>
                <w:rFonts w:hint="eastAsia"/>
                <w:b w:val="0"/>
                <w:bCs w:val="0"/>
                <w:color w:val="auto"/>
                <w:sz w:val="24"/>
              </w:rPr>
              <w:t>1.</w:t>
            </w:r>
            <w:r>
              <w:rPr>
                <w:rFonts w:hint="eastAsia"/>
                <w:b w:val="0"/>
                <w:bCs w:val="0"/>
                <w:color w:val="auto"/>
                <w:sz w:val="24"/>
                <w:lang w:val="en-US" w:eastAsia="zh-CN"/>
              </w:rPr>
              <w:t>2</w:t>
            </w:r>
            <w:r>
              <w:rPr>
                <w:rFonts w:hint="eastAsia"/>
                <w:b w:val="0"/>
                <w:bCs w:val="0"/>
                <w:color w:val="auto"/>
                <w:sz w:val="24"/>
              </w:rPr>
              <w:t>废气治理设施可行性分析</w:t>
            </w:r>
          </w:p>
          <w:p w14:paraId="6390E159">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18"/>
              </w:rPr>
            </w:pPr>
            <w:r>
              <w:rPr>
                <w:rFonts w:hint="default" w:ascii="Times New Roman"/>
                <w:color w:val="auto"/>
                <w:lang w:val="en-US"/>
              </w:rPr>
              <mc:AlternateContent>
                <mc:Choice Requires="wpc">
                  <w:drawing>
                    <wp:inline distT="0" distB="0" distL="114300" distR="114300">
                      <wp:extent cx="5223510" cy="1800860"/>
                      <wp:effectExtent l="0" t="0" r="0" b="0"/>
                      <wp:docPr id="77"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a:noFill/>
                              </a:ln>
                            </wpc:whole>
                            <wps:wsp>
                              <wps:cNvPr id="37" name="直接连接符 37"/>
                              <wps:cNvCnPr/>
                              <wps:spPr>
                                <a:xfrm flipH="1" flipV="1">
                                  <a:off x="3002915" y="988695"/>
                                  <a:ext cx="614680" cy="8255"/>
                                </a:xfrm>
                                <a:prstGeom prst="line">
                                  <a:avLst/>
                                </a:prstGeom>
                                <a:ln w="9525" cap="flat" cmpd="sng">
                                  <a:solidFill>
                                    <a:srgbClr val="000000"/>
                                  </a:solidFill>
                                  <a:prstDash val="solid"/>
                                  <a:headEnd type="triangle" w="med" len="med"/>
                                  <a:tailEnd type="none" w="med" len="med"/>
                                </a:ln>
                              </wps:spPr>
                              <wps:bodyPr upright="1"/>
                            </wps:wsp>
                            <wps:wsp>
                              <wps:cNvPr id="70" name="矩形 70"/>
                              <wps:cNvSpPr/>
                              <wps:spPr>
                                <a:xfrm>
                                  <a:off x="2529205" y="574040"/>
                                  <a:ext cx="483870"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1CC1B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eastAsia="zh-CN"/>
                                      </w:rPr>
                                      <w:t>脉冲布袋除尘器</w:t>
                                    </w:r>
                                  </w:p>
                                </w:txbxContent>
                              </wps:txbx>
                              <wps:bodyPr upright="1"/>
                            </wps:wsp>
                            <wps:wsp>
                              <wps:cNvPr id="76" name="矩形 76"/>
                              <wps:cNvSpPr/>
                              <wps:spPr>
                                <a:xfrm>
                                  <a:off x="3638550" y="736600"/>
                                  <a:ext cx="1076325" cy="46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75885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DA001排气筒</w:t>
                                    </w:r>
                                    <w:r>
                                      <w:rPr>
                                        <w:rFonts w:hint="eastAsia"/>
                                        <w:sz w:val="21"/>
                                        <w:szCs w:val="21"/>
                                      </w:rPr>
                                      <w:t>排放</w:t>
                                    </w:r>
                                  </w:p>
                                </w:txbxContent>
                              </wps:txbx>
                              <wps:bodyPr upright="1"/>
                            </wps:wsp>
                            <wps:wsp>
                              <wps:cNvPr id="26" name="矩形 26"/>
                              <wps:cNvSpPr/>
                              <wps:spPr>
                                <a:xfrm>
                                  <a:off x="93980" y="646430"/>
                                  <a:ext cx="996950"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EF665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eastAsia="zh-CN"/>
                                      </w:rPr>
                                      <w:t>混合搅拌废气</w:t>
                                    </w:r>
                                  </w:p>
                                </w:txbxContent>
                              </wps:txbx>
                              <wps:bodyPr upright="1"/>
                            </wps:wsp>
                            <wps:wsp>
                              <wps:cNvPr id="28" name="矩形 28"/>
                              <wps:cNvSpPr/>
                              <wps:spPr>
                                <a:xfrm>
                                  <a:off x="274955" y="1160780"/>
                                  <a:ext cx="788035"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817AA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eastAsia="zh-CN"/>
                                      </w:rPr>
                                      <w:t>包装废气</w:t>
                                    </w:r>
                                  </w:p>
                                </w:txbxContent>
                              </wps:txbx>
                              <wps:bodyPr upright="1"/>
                            </wps:wsp>
                            <wps:wsp>
                              <wps:cNvPr id="33" name="直接连接符 33"/>
                              <wps:cNvCnPr>
                                <a:endCxn id="26" idx="3"/>
                              </wps:cNvCnPr>
                              <wps:spPr>
                                <a:xfrm flipH="1" flipV="1">
                                  <a:off x="1090930" y="775970"/>
                                  <a:ext cx="1447800" cy="7620"/>
                                </a:xfrm>
                                <a:prstGeom prst="line">
                                  <a:avLst/>
                                </a:prstGeom>
                                <a:ln w="9525" cap="flat" cmpd="sng">
                                  <a:solidFill>
                                    <a:srgbClr val="000000"/>
                                  </a:solidFill>
                                  <a:prstDash val="solid"/>
                                  <a:headEnd type="triangle" w="med" len="med"/>
                                  <a:tailEnd type="none" w="med" len="med"/>
                                </a:ln>
                              </wps:spPr>
                              <wps:bodyPr upright="1"/>
                            </wps:wsp>
                            <wps:wsp>
                              <wps:cNvPr id="57" name="矩形 57"/>
                              <wps:cNvSpPr/>
                              <wps:spPr>
                                <a:xfrm>
                                  <a:off x="1160780" y="1008380"/>
                                  <a:ext cx="728345" cy="296545"/>
                                </a:xfrm>
                                <a:prstGeom prst="rect">
                                  <a:avLst/>
                                </a:prstGeom>
                                <a:noFill/>
                                <a:ln>
                                  <a:noFill/>
                                </a:ln>
                              </wps:spPr>
                              <wps:txbx>
                                <w:txbxContent>
                                  <w:p w14:paraId="01351F4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18"/>
                                        <w:lang w:eastAsia="zh-CN"/>
                                      </w:rPr>
                                    </w:pPr>
                                    <w:r>
                                      <w:rPr>
                                        <w:rFonts w:hint="eastAsia"/>
                                        <w:sz w:val="21"/>
                                        <w:szCs w:val="18"/>
                                        <w:lang w:eastAsia="zh-CN"/>
                                      </w:rPr>
                                      <w:t>集气罩</w:t>
                                    </w:r>
                                  </w:p>
                                </w:txbxContent>
                              </wps:txbx>
                              <wps:bodyPr upright="1"/>
                            </wps:wsp>
                            <wps:wsp>
                              <wps:cNvPr id="59" name="矩形 59"/>
                              <wps:cNvSpPr/>
                              <wps:spPr>
                                <a:xfrm>
                                  <a:off x="1132205" y="551180"/>
                                  <a:ext cx="728345" cy="296545"/>
                                </a:xfrm>
                                <a:prstGeom prst="rect">
                                  <a:avLst/>
                                </a:prstGeom>
                                <a:noFill/>
                                <a:ln>
                                  <a:noFill/>
                                </a:ln>
                              </wps:spPr>
                              <wps:txbx>
                                <w:txbxContent>
                                  <w:p w14:paraId="65AF5C1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18"/>
                                        <w:lang w:eastAsia="zh-CN"/>
                                      </w:rPr>
                                    </w:pPr>
                                    <w:r>
                                      <w:rPr>
                                        <w:rFonts w:hint="eastAsia"/>
                                        <w:sz w:val="21"/>
                                        <w:szCs w:val="18"/>
                                        <w:lang w:eastAsia="zh-CN"/>
                                      </w:rPr>
                                      <w:t>集气管道</w:t>
                                    </w:r>
                                  </w:p>
                                </w:txbxContent>
                              </wps:txbx>
                              <wps:bodyPr upright="1"/>
                            </wps:wsp>
                            <wps:wsp>
                              <wps:cNvPr id="4" name="直接连接符 4"/>
                              <wps:cNvCnPr/>
                              <wps:spPr>
                                <a:xfrm flipH="1" flipV="1">
                                  <a:off x="1075055" y="1265555"/>
                                  <a:ext cx="1447800" cy="7620"/>
                                </a:xfrm>
                                <a:prstGeom prst="line">
                                  <a:avLst/>
                                </a:prstGeom>
                                <a:ln w="9525" cap="flat" cmpd="sng">
                                  <a:solidFill>
                                    <a:srgbClr val="000000"/>
                                  </a:solidFill>
                                  <a:prstDash val="solid"/>
                                  <a:headEnd type="triangle" w="med" len="med"/>
                                  <a:tailEnd type="none" w="med" len="med"/>
                                </a:ln>
                              </wps:spPr>
                              <wps:bodyPr upright="1"/>
                            </wps:wsp>
                          </wpc:wpc>
                        </a:graphicData>
                      </a:graphic>
                    </wp:inline>
                  </w:drawing>
                </mc:Choice>
                <mc:Fallback>
                  <w:pict>
                    <v:group id="_x0000_s1026" o:spid="_x0000_s1026" o:spt="203" style="height:141.8pt;width:411.3pt;" coordsize="5223510,1800860" editas="canvas" o:gfxdata="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">
                      <o:lock v:ext="edit" aspectratio="f"/>
                      <v:shape id="_x0000_s1026" o:spid="_x0000_s1026" style="position:absolute;left:0;top:0;height:1800860;width:5223510;" filled="f" stroked="f" coordsize="21600,21600" o:gfxdata="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DfhbgLWAAAABQEAAA8A&#10;AAAAAAAAAQAgAAAAIgAAAGRycy9kb3ducmV2LnhtbFBLAQIUABQAAAAIAIdO4kCTT2liGgQAAIAV&#10;AAAOAAAAAAAAAAEAIAAAACUBAABkcnMvZTJvRG9jLnhtbFBLBQYAAAAABgAGAFkBAACxBwAAAAA=&#10;">
                        <v:fill on="f" focussize="0,0"/>
                        <v:stroke on="f" weight="1.5pt"/>
                        <v:imagedata o:title=""/>
                        <o:lock v:ext="edit" aspectratio="t"/>
                      </v:shape>
                      <v:line id="_x0000_s1026" o:spid="_x0000_s1026" o:spt="20" style="position:absolute;left:3002915;top:988695;flip:x y;height:8255;width:614680;" filled="f" stroked="t" coordsize="21600,21600" o:gfxdata="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xLdVHYAAAABQEA&#10;AA8AAAAAAAAAAQAgAAAAIgAAAGRycy9kb3ducmV2LnhtbFBLAQIUABQAAAAIAIdO4kDitXMPGgIA&#10;AAsEAAAOAAAAAAAAAAEAIAAAACcBAABkcnMvZTJvRG9jLnhtbFBLBQYAAAAABgAGAFkBAACzBQAA&#10;AAA=&#10;">
                        <v:fill on="f" focussize="0,0"/>
                        <v:stroke color="#000000" joinstyle="round" startarrow="block"/>
                        <v:imagedata o:title=""/>
                        <o:lock v:ext="edit" aspectratio="f"/>
                      </v:line>
                      <v:rect id="_x0000_s1026" o:spid="_x0000_s1026" o:spt="1" style="position:absolute;left:2529205;top:574040;height:857250;width:483870;" fillcolor="#FFFFFF" filled="t" stroked="t" coordsize="21600,21600" o:gfxdata="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kAUznVAAAABQEAAA8AAAAAAAAAAQAgAAAA&#10;IgAAAGRycy9kb3ducmV2LnhtbFBLAQIUABQAAAAIAIdO4kCSGmHbDgIAADUEAAAOAAAAAAAAAAEA&#10;IAAAACQBAABkcnMvZTJvRG9jLnhtbFBLBQYAAAAABgAGAFkBAACkBQAAAAA=&#10;">
                        <v:fill on="t" focussize="0,0"/>
                        <v:stroke color="#000000" joinstyle="miter"/>
                        <v:imagedata o:title=""/>
                        <o:lock v:ext="edit" aspectratio="f"/>
                        <v:textbox>
                          <w:txbxContent>
                            <w:p w14:paraId="1E1CC1B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eastAsia="zh-CN"/>
                                </w:rPr>
                                <w:t>脉冲布袋除尘器</w:t>
                              </w:r>
                            </w:p>
                          </w:txbxContent>
                        </v:textbox>
                      </v:rect>
                      <v:rect id="_x0000_s1026" o:spid="_x0000_s1026" o:spt="1" style="position:absolute;left:3638550;top:736600;height:464185;width:1076325;" fillcolor="#FFFFFF" filled="t" stroked="t" coordsize="21600,21600" o:gfxdata="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QBTOdUAAAAFAQAADwAAAAAAAAABACAAAAAi&#10;AAAAZHJzL2Rvd25yZXYueG1sUEsBAhQAFAAAAAgAh07iQGJhEjoNAgAANgQAAA4AAAAAAAAAAQAg&#10;AAAAJAEAAGRycy9lMm9Eb2MueG1sUEsFBgAAAAAGAAYAWQEAAKMFAAAAAA==&#10;">
                        <v:fill on="t" focussize="0,0"/>
                        <v:stroke color="#000000" joinstyle="miter"/>
                        <v:imagedata o:title=""/>
                        <o:lock v:ext="edit" aspectratio="f"/>
                        <v:textbox>
                          <w:txbxContent>
                            <w:p w14:paraId="4775885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DA001排气筒</w:t>
                              </w:r>
                              <w:r>
                                <w:rPr>
                                  <w:rFonts w:hint="eastAsia"/>
                                  <w:sz w:val="21"/>
                                  <w:szCs w:val="21"/>
                                </w:rPr>
                                <w:t>排放</w:t>
                              </w:r>
                            </w:p>
                          </w:txbxContent>
                        </v:textbox>
                      </v:rect>
                      <v:rect id="_x0000_s1026" o:spid="_x0000_s1026" o:spt="1" style="position:absolute;left:93980;top:646430;height:258445;width:996950;" fillcolor="#FFFFFF" filled="t" stroked="t" coordsize="21600,21600" o:gfxdata="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AFM51QAAAAUBAAAPAAAAAAAAAAEAIAAAACIAAABk&#10;cnMvZG93bnJldi54bWxQSwECFAAUAAAACACHTuJAJMKsBQkCAAAzBAAADgAAAAAAAAABACAAAAAk&#10;AQAAZHJzL2Uyb0RvYy54bWxQSwUGAAAAAAYABgBZAQAAnwUAAAAA&#10;">
                        <v:fill on="t" focussize="0,0"/>
                        <v:stroke color="#000000" joinstyle="miter"/>
                        <v:imagedata o:title=""/>
                        <o:lock v:ext="edit" aspectratio="f"/>
                        <v:textbox>
                          <w:txbxContent>
                            <w:p w14:paraId="3DEF665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eastAsia="zh-CN"/>
                                </w:rPr>
                                <w:t>混合搅拌废气</w:t>
                              </w:r>
                            </w:p>
                          </w:txbxContent>
                        </v:textbox>
                      </v:rect>
                      <v:rect id="_x0000_s1026" o:spid="_x0000_s1026" o:spt="1" style="position:absolute;left:274955;top:1160780;height:258445;width:788035;" fillcolor="#FFFFFF" filled="t" stroked="t" coordsize="21600,21600" o:gfxdata="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AFM51QAAAAUBAAAPAAAAAAAAAAEAIAAAACIA&#10;AABkcnMvZG93bnJldi54bWxQSwECFAAUAAAACACHTuJA4z8vDQwCAAA1BAAADgAAAAAAAAABACAA&#10;AAAkAQAAZHJzL2Uyb0RvYy54bWxQSwUGAAAAAAYABgBZAQAAogUAAAAA&#10;">
                        <v:fill on="t" focussize="0,0"/>
                        <v:stroke color="#000000" joinstyle="miter"/>
                        <v:imagedata o:title=""/>
                        <o:lock v:ext="edit" aspectratio="f"/>
                        <v:textbox>
                          <w:txbxContent>
                            <w:p w14:paraId="72817AA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eastAsia="zh-CN"/>
                                </w:rPr>
                                <w:t>包装废气</w:t>
                              </w:r>
                            </w:p>
                          </w:txbxContent>
                        </v:textbox>
                      </v:rect>
                      <v:line id="_x0000_s1026" o:spid="_x0000_s1026" o:spt="20" style="position:absolute;left:1090930;top:775970;flip:x y;height:7620;width:1447800;" filled="f" stroked="t" coordsize="21600,21600" o:gfxdata="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sS3VR2AAAAAUBAAAPAAAAAAAAAAEAIAAAACIAAABkcnMvZG93bnJldi54bWxQSwECFAAUAAAA&#10;CACHTuJA035BAycCAAA0BAAADgAAAAAAAAABACAAAAAnAQAAZHJzL2Uyb0RvYy54bWxQSwUGAAAA&#10;AAYABgBZAQAAwAUAAAAA&#10;">
                        <v:fill on="f" focussize="0,0"/>
                        <v:stroke color="#000000" joinstyle="round" startarrow="block"/>
                        <v:imagedata o:title=""/>
                        <o:lock v:ext="edit" aspectratio="f"/>
                      </v:line>
                      <v:rect id="_x0000_s1026" o:spid="_x0000_s1026" o:spt="1" style="position:absolute;left:1160780;top:1008380;height:296545;width:728345;" filled="f" stroked="f" coordsize="21600,21600" o:gfxdata="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GBJ7NcA&#10;AAAFAQAADwAAAAAAAAABACAAAAAiAAAAZHJzL2Rvd25yZXYueG1sUEsBAhQAFAAAAAgAh07iQBOv&#10;TaGuAQAATgMAAA4AAAAAAAAAAQAgAAAAJgEAAGRycy9lMm9Eb2MueG1sUEsFBgAAAAAGAAYAWQEA&#10;AEYFAAAAAA==&#10;">
                        <v:fill on="f" focussize="0,0"/>
                        <v:stroke on="f"/>
                        <v:imagedata o:title=""/>
                        <o:lock v:ext="edit" aspectratio="f"/>
                        <v:textbox>
                          <w:txbxContent>
                            <w:p w14:paraId="01351F4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18"/>
                                  <w:lang w:eastAsia="zh-CN"/>
                                </w:rPr>
                              </w:pPr>
                              <w:r>
                                <w:rPr>
                                  <w:rFonts w:hint="eastAsia"/>
                                  <w:sz w:val="21"/>
                                  <w:szCs w:val="18"/>
                                  <w:lang w:eastAsia="zh-CN"/>
                                </w:rPr>
                                <w:t>集气罩</w:t>
                              </w:r>
                            </w:p>
                          </w:txbxContent>
                        </v:textbox>
                      </v:rect>
                      <v:rect id="_x0000_s1026" o:spid="_x0000_s1026" o:spt="1" style="position:absolute;left:1132205;top:551180;height:296545;width:728345;" filled="f" stroked="f" coordsize="21600,21600" o:gfxdata="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YEns1wAA&#10;AAUBAAAPAAAAAAAAAAEAIAAAACIAAABkcnMvZG93bnJldi54bWxQSwECFAAUAAAACACHTuJAR6zs&#10;Ca0BAABNAwAADgAAAAAAAAABACAAAAAmAQAAZHJzL2Uyb0RvYy54bWxQSwUGAAAAAAYABgBZAQAA&#10;RQUAAAAA&#10;">
                        <v:fill on="f" focussize="0,0"/>
                        <v:stroke on="f"/>
                        <v:imagedata o:title=""/>
                        <o:lock v:ext="edit" aspectratio="f"/>
                        <v:textbox>
                          <w:txbxContent>
                            <w:p w14:paraId="65AF5C1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18"/>
                                  <w:lang w:eastAsia="zh-CN"/>
                                </w:rPr>
                              </w:pPr>
                              <w:r>
                                <w:rPr>
                                  <w:rFonts w:hint="eastAsia"/>
                                  <w:sz w:val="21"/>
                                  <w:szCs w:val="18"/>
                                  <w:lang w:eastAsia="zh-CN"/>
                                </w:rPr>
                                <w:t>集气管道</w:t>
                              </w:r>
                            </w:p>
                          </w:txbxContent>
                        </v:textbox>
                      </v:rect>
                      <v:line id="_x0000_s1026" o:spid="_x0000_s1026" o:spt="20" style="position:absolute;left:1075055;top:1265555;flip:x y;height:7620;width:1447800;" filled="f" stroked="t" coordsize="21600,21600" o:gfxdata="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Et1UdgAAAAFAQAA&#10;DwAAAAAAAAABACAAAAAiAAAAZHJzL2Rvd25yZXYueG1sUEsBAhQAFAAAAAgAh07iQLfsL5MZAgAA&#10;CwQAAA4AAAAAAAAAAQAgAAAAJwEAAGRycy9lMm9Eb2MueG1sUEsFBgAAAAAGAAYAWQEAALIFAAAA&#10;AA==&#10;">
                        <v:fill on="f" focussize="0,0"/>
                        <v:stroke color="#000000" joinstyle="round" startarrow="block"/>
                        <v:imagedata o:title=""/>
                        <o:lock v:ext="edit" aspectratio="f"/>
                      </v:line>
                      <w10:wrap type="none"/>
                      <w10:anchorlock/>
                    </v:group>
                  </w:pict>
                </mc:Fallback>
              </mc:AlternateContent>
            </w:r>
          </w:p>
          <w:p w14:paraId="12A0A930">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b/>
                <w:color w:val="auto"/>
                <w:spacing w:val="-10"/>
                <w:sz w:val="24"/>
                <w:lang w:val="en-US" w:eastAsia="zh-CN"/>
              </w:rPr>
            </w:pPr>
            <w:r>
              <w:rPr>
                <w:rFonts w:hint="default" w:ascii="Times New Roman" w:hAnsi="Times New Roman" w:eastAsia="宋体" w:cs="Times New Roman"/>
                <w:b/>
                <w:color w:val="auto"/>
                <w:spacing w:val="-10"/>
                <w:sz w:val="24"/>
                <w:lang w:val="en-US" w:eastAsia="zh-CN"/>
              </w:rPr>
              <w:t>图4-1</w:t>
            </w:r>
            <w:r>
              <w:rPr>
                <w:rFonts w:hint="eastAsia" w:ascii="Times New Roman" w:hAnsi="Times New Roman" w:eastAsia="宋体" w:cs="Times New Roman"/>
                <w:b/>
                <w:color w:val="auto"/>
                <w:spacing w:val="-10"/>
                <w:sz w:val="24"/>
                <w:lang w:val="en-US" w:eastAsia="zh-CN"/>
              </w:rPr>
              <w:t>本</w:t>
            </w:r>
            <w:r>
              <w:rPr>
                <w:rFonts w:hint="default" w:ascii="Times New Roman" w:hAnsi="Times New Roman" w:eastAsia="宋体" w:cs="Times New Roman"/>
                <w:b/>
                <w:color w:val="auto"/>
                <w:spacing w:val="-10"/>
                <w:sz w:val="24"/>
                <w:lang w:val="en-US" w:eastAsia="zh-CN"/>
              </w:rPr>
              <w:t>项目废气处理流程图</w:t>
            </w:r>
          </w:p>
          <w:p w14:paraId="2B37A77C">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Cs w:val="24"/>
                <w:lang w:val="en-US" w:eastAsia="zh-CN"/>
              </w:rPr>
              <w:t>本项目属于</w:t>
            </w:r>
            <w:r>
              <w:rPr>
                <w:rFonts w:hint="eastAsia" w:ascii="Times New Roman" w:hAnsi="Times New Roman" w:cs="Times New Roman"/>
                <w:color w:val="auto"/>
                <w:sz w:val="24"/>
                <w:highlight w:val="none"/>
              </w:rPr>
              <w:t>C3039 其他建筑材料制造</w:t>
            </w:r>
            <w:r>
              <w:rPr>
                <w:rFonts w:hint="eastAsia" w:cs="Times New Roman"/>
                <w:color w:val="auto"/>
                <w:szCs w:val="24"/>
                <w:lang w:val="en-US" w:eastAsia="zh-CN"/>
              </w:rPr>
              <w:t>，</w:t>
            </w:r>
            <w:r>
              <w:rPr>
                <w:rFonts w:hint="eastAsia"/>
                <w:color w:val="auto"/>
                <w:sz w:val="24"/>
                <w:szCs w:val="22"/>
                <w:lang w:eastAsia="zh-CN"/>
              </w:rPr>
              <w:t>参考</w:t>
            </w:r>
            <w:r>
              <w:rPr>
                <w:rFonts w:hint="eastAsia"/>
                <w:color w:val="auto"/>
                <w:sz w:val="24"/>
                <w:szCs w:val="22"/>
              </w:rPr>
              <w:t>《排污许可证申请与核发技术规范 总则》（HJ942-2018）</w:t>
            </w:r>
            <w:r>
              <w:rPr>
                <w:rFonts w:hint="eastAsia"/>
                <w:color w:val="auto"/>
                <w:sz w:val="24"/>
                <w:szCs w:val="22"/>
                <w:lang w:eastAsia="zh-CN"/>
              </w:rPr>
              <w:t>、</w:t>
            </w:r>
            <w:r>
              <w:rPr>
                <w:color w:val="auto"/>
                <w:sz w:val="24"/>
                <w:szCs w:val="22"/>
              </w:rPr>
              <w:t>《</w:t>
            </w:r>
            <w:r>
              <w:rPr>
                <w:rFonts w:hint="eastAsia"/>
                <w:color w:val="auto"/>
                <w:sz w:val="24"/>
                <w:szCs w:val="22"/>
              </w:rPr>
              <w:t>排污许可证申请与核发技术规范 陶瓷砖瓦工业</w:t>
            </w:r>
            <w:r>
              <w:rPr>
                <w:color w:val="auto"/>
                <w:sz w:val="24"/>
                <w:szCs w:val="22"/>
              </w:rPr>
              <w:t>》（</w:t>
            </w:r>
            <w:r>
              <w:rPr>
                <w:rFonts w:hint="eastAsia"/>
                <w:color w:val="auto"/>
                <w:sz w:val="24"/>
                <w:szCs w:val="22"/>
              </w:rPr>
              <w:t xml:space="preserve">HJ </w:t>
            </w:r>
            <w:r>
              <w:rPr>
                <w:rFonts w:hint="eastAsia"/>
                <w:color w:val="auto"/>
                <w:sz w:val="24"/>
                <w:szCs w:val="22"/>
                <w:lang w:val="en-US" w:eastAsia="zh-CN"/>
              </w:rPr>
              <w:t>954</w:t>
            </w:r>
            <w:r>
              <w:rPr>
                <w:rFonts w:hint="eastAsia"/>
                <w:color w:val="auto"/>
                <w:sz w:val="24"/>
                <w:szCs w:val="22"/>
              </w:rPr>
              <w:t>—20</w:t>
            </w:r>
            <w:r>
              <w:rPr>
                <w:rFonts w:hint="eastAsia"/>
                <w:color w:val="auto"/>
                <w:sz w:val="24"/>
                <w:szCs w:val="22"/>
                <w:lang w:val="en-US" w:eastAsia="zh-CN"/>
              </w:rPr>
              <w:t>15</w:t>
            </w:r>
            <w:r>
              <w:rPr>
                <w:color w:val="auto"/>
                <w:sz w:val="24"/>
                <w:szCs w:val="22"/>
              </w:rPr>
              <w:t>）</w:t>
            </w:r>
            <w:r>
              <w:rPr>
                <w:rFonts w:hint="eastAsia"/>
                <w:color w:val="auto"/>
                <w:sz w:val="24"/>
                <w:szCs w:val="22"/>
                <w:lang w:eastAsia="zh-CN"/>
              </w:rPr>
              <w:t>，</w:t>
            </w:r>
            <w:r>
              <w:rPr>
                <w:rFonts w:hint="eastAsia" w:ascii="Times New Roman" w:hAnsi="Times New Roman" w:eastAsia="宋体" w:cs="Times New Roman"/>
                <w:color w:val="auto"/>
                <w:sz w:val="24"/>
                <w:lang w:val="en-US" w:eastAsia="zh-CN"/>
              </w:rPr>
              <w:t>项目</w:t>
            </w:r>
            <w:r>
              <w:rPr>
                <w:rFonts w:hint="default" w:ascii="Times New Roman" w:hAnsi="Times New Roman" w:eastAsia="宋体" w:cs="Times New Roman"/>
                <w:color w:val="auto"/>
                <w:sz w:val="24"/>
                <w:lang w:val="en-US" w:eastAsia="zh-CN"/>
              </w:rPr>
              <w:t>废气处理设施可行性</w:t>
            </w:r>
            <w:r>
              <w:rPr>
                <w:rFonts w:hint="eastAsia" w:ascii="Times New Roman" w:hAnsi="Times New Roman" w:eastAsia="宋体" w:cs="Times New Roman"/>
                <w:color w:val="auto"/>
                <w:sz w:val="24"/>
                <w:lang w:val="en-US" w:eastAsia="zh-CN"/>
              </w:rPr>
              <w:t>分析</w:t>
            </w:r>
            <w:r>
              <w:rPr>
                <w:rFonts w:hint="default" w:ascii="Times New Roman" w:hAnsi="Times New Roman" w:eastAsia="宋体" w:cs="Times New Roman"/>
                <w:color w:val="auto"/>
                <w:sz w:val="24"/>
                <w:lang w:val="en-US" w:eastAsia="zh-CN"/>
              </w:rPr>
              <w:t>见表4-</w:t>
            </w:r>
            <w:r>
              <w:rPr>
                <w:rFonts w:hint="eastAsia"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lang w:val="en-US" w:eastAsia="zh-CN"/>
              </w:rPr>
              <w:t>。</w:t>
            </w:r>
          </w:p>
          <w:p w14:paraId="52132CA6">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center"/>
              <w:textAlignment w:val="auto"/>
              <w:rPr>
                <w:rFonts w:hint="default" w:eastAsia="宋体"/>
                <w:b/>
                <w:bCs/>
                <w:color w:val="auto"/>
                <w:kern w:val="0"/>
                <w:sz w:val="24"/>
                <w:szCs w:val="24"/>
                <w:lang w:val="en-US" w:eastAsia="zh-CN"/>
              </w:rPr>
            </w:pPr>
            <w:r>
              <w:rPr>
                <w:b/>
                <w:bCs/>
                <w:color w:val="auto"/>
                <w:kern w:val="0"/>
                <w:sz w:val="24"/>
                <w:szCs w:val="24"/>
              </w:rPr>
              <w:t>表4-</w:t>
            </w:r>
            <w:r>
              <w:rPr>
                <w:rFonts w:hint="eastAsia"/>
                <w:b/>
                <w:bCs/>
                <w:color w:val="auto"/>
                <w:kern w:val="0"/>
                <w:sz w:val="24"/>
                <w:szCs w:val="24"/>
                <w:lang w:val="en-US" w:eastAsia="zh-CN"/>
              </w:rPr>
              <w:t>3</w:t>
            </w:r>
            <w:r>
              <w:rPr>
                <w:b/>
                <w:bCs/>
                <w:color w:val="auto"/>
                <w:kern w:val="0"/>
                <w:sz w:val="24"/>
                <w:szCs w:val="24"/>
              </w:rPr>
              <w:t xml:space="preserve"> 废气污染防治技术可行性</w:t>
            </w:r>
            <w:r>
              <w:rPr>
                <w:rFonts w:hint="eastAsia"/>
                <w:b/>
                <w:bCs/>
                <w:color w:val="auto"/>
                <w:kern w:val="0"/>
                <w:sz w:val="24"/>
                <w:szCs w:val="24"/>
                <w:lang w:val="en-US" w:eastAsia="zh-CN"/>
              </w:rPr>
              <w:t>技术一览表</w:t>
            </w:r>
          </w:p>
          <w:p w14:paraId="3DFDCD32">
            <w:pPr>
              <w:snapToGrid w:val="0"/>
              <w:spacing w:line="360" w:lineRule="auto"/>
              <w:ind w:left="480" w:leftChars="0" w:hanging="480" w:hangingChars="200"/>
            </w:pPr>
            <w:r>
              <w:drawing>
                <wp:inline distT="0" distB="0" distL="114300" distR="114300">
                  <wp:extent cx="5911850" cy="818515"/>
                  <wp:effectExtent l="0" t="0" r="12700" b="635"/>
                  <wp:docPr id="1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3"/>
                          <pic:cNvPicPr>
                            <a:picLocks noChangeAspect="1"/>
                          </pic:cNvPicPr>
                        </pic:nvPicPr>
                        <pic:blipFill>
                          <a:blip r:embed="rId12"/>
                          <a:srcRect t="17715"/>
                          <a:stretch>
                            <a:fillRect/>
                          </a:stretch>
                        </pic:blipFill>
                        <pic:spPr>
                          <a:xfrm>
                            <a:off x="0" y="0"/>
                            <a:ext cx="5911850" cy="818515"/>
                          </a:xfrm>
                          <a:prstGeom prst="rect">
                            <a:avLst/>
                          </a:prstGeom>
                          <a:noFill/>
                          <a:ln>
                            <a:noFill/>
                          </a:ln>
                        </pic:spPr>
                      </pic:pic>
                    </a:graphicData>
                  </a:graphic>
                </wp:inline>
              </w:drawing>
            </w:r>
          </w:p>
          <w:p w14:paraId="641A16EC">
            <w:pPr>
              <w:snapToGrid w:val="0"/>
              <w:spacing w:line="360" w:lineRule="auto"/>
              <w:rPr>
                <w:color w:val="auto"/>
                <w:sz w:val="24"/>
              </w:rPr>
            </w:pPr>
            <w:r>
              <w:rPr>
                <w:color w:val="auto"/>
                <w:sz w:val="24"/>
              </w:rPr>
              <w:t>本项目</w:t>
            </w:r>
            <w:r>
              <w:rPr>
                <w:rFonts w:hint="eastAsia"/>
                <w:color w:val="auto"/>
                <w:sz w:val="24"/>
                <w:lang w:val="en-US" w:eastAsia="zh-CN"/>
              </w:rPr>
              <w:t>混合搅拌、包装过程中产生的颗粒物采用布袋除尘器处理属于可行性技术。</w:t>
            </w:r>
          </w:p>
          <w:p w14:paraId="44DE6E5F">
            <w:pPr>
              <w:pStyle w:val="22"/>
              <w:keepNext w:val="0"/>
              <w:keepLines w:val="0"/>
              <w:pageBreakBefore w:val="0"/>
              <w:numPr>
                <w:ilvl w:val="0"/>
                <w:numId w:val="0"/>
              </w:numPr>
              <w:kinsoku/>
              <w:wordWrap/>
              <w:overflowPunct/>
              <w:topLinePunct w:val="0"/>
              <w:autoSpaceDE/>
              <w:autoSpaceDN/>
              <w:bidi w:val="0"/>
              <w:spacing w:after="0" w:afterLines="0"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1.3</w:t>
            </w:r>
            <w:r>
              <w:rPr>
                <w:rFonts w:hint="default" w:ascii="Times New Roman" w:hAnsi="Times New Roman" w:eastAsia="宋体" w:cs="Times New Roman"/>
                <w:color w:val="auto"/>
                <w:sz w:val="24"/>
                <w:szCs w:val="24"/>
              </w:rPr>
              <w:t>废气排放达标性分析</w:t>
            </w:r>
          </w:p>
          <w:p w14:paraId="302C861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top"/>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①</w:t>
            </w:r>
            <w:r>
              <w:rPr>
                <w:rFonts w:hint="eastAsia" w:ascii="Times New Roman" w:hAnsi="Times New Roman" w:eastAsia="宋体" w:cs="Times New Roman"/>
                <w:color w:val="auto"/>
                <w:sz w:val="24"/>
                <w:szCs w:val="24"/>
                <w:lang w:val="en-US" w:eastAsia="zh-CN"/>
              </w:rPr>
              <w:t>有组织废气</w:t>
            </w:r>
          </w:p>
          <w:p w14:paraId="7FDAC343">
            <w:pPr>
              <w:spacing w:line="360" w:lineRule="auto"/>
              <w:ind w:firstLine="480" w:firstLineChars="200"/>
              <w:jc w:val="both"/>
              <w:rPr>
                <w:rFonts w:hint="default" w:ascii="Times New Roman" w:hAnsi="Times New Roman" w:eastAsia="宋体" w:cs="Times New Roman"/>
                <w:color w:val="auto"/>
                <w:sz w:val="24"/>
                <w:szCs w:val="24"/>
              </w:rPr>
            </w:pPr>
            <w:r>
              <w:rPr>
                <w:rFonts w:hint="eastAsia"/>
                <w:b w:val="0"/>
                <w:bCs w:val="0"/>
                <w:color w:val="auto"/>
                <w:sz w:val="24"/>
                <w:lang w:eastAsia="zh-CN"/>
              </w:rPr>
              <w:t>根据</w:t>
            </w:r>
            <w:r>
              <w:rPr>
                <w:rFonts w:hint="eastAsia"/>
                <w:b w:val="0"/>
                <w:bCs w:val="0"/>
                <w:color w:val="auto"/>
                <w:sz w:val="24"/>
                <w:lang w:val="en-US" w:eastAsia="zh-CN"/>
              </w:rPr>
              <w:t>核算，项目DA001排气筒</w:t>
            </w:r>
            <w:r>
              <w:rPr>
                <w:rFonts w:hint="eastAsia"/>
                <w:b w:val="0"/>
                <w:bCs w:val="0"/>
                <w:color w:val="auto"/>
                <w:sz w:val="24"/>
                <w:vertAlign w:val="baseline"/>
                <w:lang w:eastAsia="zh-CN"/>
              </w:rPr>
              <w:t>有组织</w:t>
            </w:r>
            <w:r>
              <w:rPr>
                <w:rFonts w:hint="eastAsia"/>
                <w:b w:val="0"/>
                <w:bCs w:val="0"/>
                <w:color w:val="auto"/>
                <w:sz w:val="24"/>
                <w:lang w:eastAsia="zh-CN"/>
              </w:rPr>
              <w:t>颗粒物</w:t>
            </w:r>
            <w:r>
              <w:rPr>
                <w:rFonts w:ascii="Times New Roman" w:hAnsi="Times New Roman" w:eastAsia="宋体" w:cs="Times New Roman"/>
                <w:color w:val="auto"/>
                <w:sz w:val="24"/>
                <w:szCs w:val="24"/>
              </w:rPr>
              <w:t>排放量为</w:t>
            </w:r>
            <w:r>
              <w:rPr>
                <w:rFonts w:hint="eastAsia" w:cs="Times New Roman"/>
                <w:color w:val="auto"/>
                <w:sz w:val="24"/>
                <w:szCs w:val="24"/>
                <w:lang w:val="en-US" w:eastAsia="zh-CN"/>
              </w:rPr>
              <w:t>0.585</w:t>
            </w:r>
            <w:r>
              <w:rPr>
                <w:rFonts w:ascii="Times New Roman" w:hAnsi="Times New Roman" w:eastAsia="宋体" w:cs="Times New Roman"/>
                <w:color w:val="auto"/>
                <w:sz w:val="24"/>
                <w:szCs w:val="24"/>
              </w:rPr>
              <w:t>t/a，排放速率为</w:t>
            </w:r>
            <w:r>
              <w:rPr>
                <w:rFonts w:hint="eastAsia" w:ascii="Times New Roman" w:hAnsi="Times New Roman" w:eastAsia="宋体" w:cs="Times New Roman"/>
                <w:color w:val="auto"/>
                <w:sz w:val="24"/>
                <w:szCs w:val="24"/>
                <w:lang w:val="en-US" w:eastAsia="zh-CN"/>
              </w:rPr>
              <w:t>0.</w:t>
            </w:r>
            <w:r>
              <w:rPr>
                <w:rFonts w:hint="eastAsia" w:cs="Times New Roman"/>
                <w:color w:val="auto"/>
                <w:sz w:val="24"/>
                <w:szCs w:val="24"/>
                <w:lang w:val="en-US" w:eastAsia="zh-CN"/>
              </w:rPr>
              <w:t>122</w:t>
            </w:r>
            <w:r>
              <w:rPr>
                <w:rFonts w:ascii="Times New Roman" w:hAnsi="Times New Roman" w:eastAsia="宋体" w:cs="Times New Roman"/>
                <w:color w:val="auto"/>
                <w:sz w:val="24"/>
                <w:szCs w:val="24"/>
              </w:rPr>
              <w:t>kg/h，排放浓度为</w:t>
            </w:r>
            <w:r>
              <w:rPr>
                <w:rFonts w:hint="eastAsia" w:cs="Times New Roman"/>
                <w:color w:val="auto"/>
                <w:sz w:val="24"/>
                <w:szCs w:val="24"/>
                <w:lang w:val="en-US" w:eastAsia="zh-CN"/>
              </w:rPr>
              <w:t>6.094</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hint="eastAsia"/>
                <w:b w:val="0"/>
                <w:bCs w:val="0"/>
                <w:color w:val="auto"/>
                <w:sz w:val="24"/>
                <w:vertAlign w:val="baseline"/>
                <w:lang w:eastAsia="zh-CN"/>
              </w:rPr>
              <w:t>，</w:t>
            </w:r>
            <w:r>
              <w:rPr>
                <w:rFonts w:hint="eastAsia"/>
                <w:b w:val="0"/>
                <w:bCs w:val="0"/>
                <w:color w:val="auto"/>
                <w:sz w:val="24"/>
                <w:vertAlign w:val="baseline"/>
                <w:lang w:val="en-US" w:eastAsia="zh-CN"/>
              </w:rPr>
              <w:t>颗粒物</w:t>
            </w:r>
            <w:r>
              <w:rPr>
                <w:rFonts w:hint="eastAsia"/>
                <w:b w:val="0"/>
                <w:bCs w:val="0"/>
                <w:color w:val="auto"/>
                <w:sz w:val="24"/>
                <w:vertAlign w:val="baseline"/>
                <w:lang w:eastAsia="zh-CN"/>
              </w:rPr>
              <w:t>排放浓度满足《 建 材 工 业 大 气 污 染 物 排 放 标 准 》 （DB37/2373-2018）</w:t>
            </w:r>
            <w:r>
              <w:rPr>
                <w:rFonts w:hint="eastAsia"/>
                <w:b w:val="0"/>
                <w:bCs w:val="0"/>
                <w:color w:val="auto"/>
                <w:sz w:val="24"/>
                <w:vertAlign w:val="baseline"/>
                <w:lang w:val="en-US" w:eastAsia="zh-CN"/>
              </w:rPr>
              <w:t>标准要求，排放速率满足</w:t>
            </w:r>
            <w:r>
              <w:rPr>
                <w:rFonts w:hint="eastAsia" w:ascii="宋体" w:hAnsi="宋体" w:eastAsia="宋体" w:cs="宋体"/>
                <w:color w:val="000000"/>
                <w:kern w:val="0"/>
                <w:sz w:val="24"/>
                <w:szCs w:val="24"/>
                <w:lang w:val="en-US" w:eastAsia="zh-CN" w:bidi="ar"/>
              </w:rPr>
              <w:t xml:space="preserve">《大气污染物综合排放标准》 </w:t>
            </w:r>
            <w:r>
              <w:rPr>
                <w:rFonts w:hint="default" w:ascii="Times New Roman" w:hAnsi="Times New Roman" w:eastAsia="宋体" w:cs="Times New Roman"/>
                <w:color w:val="000000"/>
                <w:kern w:val="0"/>
                <w:sz w:val="24"/>
                <w:szCs w:val="24"/>
                <w:lang w:val="en-US" w:eastAsia="zh-CN" w:bidi="ar"/>
              </w:rPr>
              <w:t>(GB16297-1996)</w:t>
            </w:r>
            <w:r>
              <w:rPr>
                <w:rFonts w:hint="eastAsia" w:ascii="宋体" w:hAnsi="宋体" w:eastAsia="宋体" w:cs="宋体"/>
                <w:color w:val="000000"/>
                <w:kern w:val="0"/>
                <w:sz w:val="24"/>
                <w:szCs w:val="24"/>
                <w:lang w:val="en-US" w:eastAsia="zh-CN" w:bidi="ar"/>
              </w:rPr>
              <w:t>表</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二级标准要求</w:t>
            </w:r>
            <w:r>
              <w:rPr>
                <w:rFonts w:hint="eastAsia"/>
                <w:b w:val="0"/>
                <w:bCs w:val="0"/>
                <w:color w:val="auto"/>
                <w:sz w:val="24"/>
                <w:lang w:eastAsia="zh-CN"/>
              </w:rPr>
              <w:t>。</w:t>
            </w:r>
          </w:p>
          <w:p w14:paraId="0B884454">
            <w:pPr>
              <w:adjustRightInd w:val="0"/>
              <w:snapToGrid w:val="0"/>
              <w:spacing w:line="360" w:lineRule="auto"/>
              <w:ind w:firstLine="480" w:firstLineChars="200"/>
              <w:textAlignment w:val="top"/>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②无组织废气</w:t>
            </w:r>
          </w:p>
          <w:p w14:paraId="7BF03748">
            <w:pPr>
              <w:adjustRightInd w:val="0"/>
              <w:snapToGrid w:val="0"/>
              <w:spacing w:line="360" w:lineRule="auto"/>
              <w:ind w:firstLine="480" w:firstLineChars="200"/>
              <w:textAlignment w:val="top"/>
              <w:rPr>
                <w:rFonts w:hint="eastAsia" w:cs="Times New Roman"/>
                <w:color w:val="auto"/>
                <w:sz w:val="24"/>
                <w:lang w:eastAsia="zh-CN"/>
              </w:rPr>
            </w:pPr>
            <w:r>
              <w:rPr>
                <w:rFonts w:hint="eastAsia" w:ascii="Times New Roman" w:hAnsi="Times New Roman" w:cs="Times New Roman"/>
                <w:color w:val="auto"/>
                <w:kern w:val="2"/>
                <w:sz w:val="24"/>
                <w:szCs w:val="24"/>
                <w:lang w:val="en-US" w:eastAsia="zh-CN" w:bidi="ar-SA"/>
              </w:rPr>
              <w:t>项目</w:t>
            </w:r>
            <w:r>
              <w:rPr>
                <w:rFonts w:hint="eastAsia"/>
                <w:color w:val="auto"/>
                <w:sz w:val="24"/>
                <w:lang w:val="en-US" w:eastAsia="zh-CN"/>
              </w:rPr>
              <w:t>车间</w:t>
            </w:r>
            <w:r>
              <w:rPr>
                <w:rFonts w:hint="eastAsia" w:ascii="Times New Roman" w:hAnsi="Times New Roman" w:eastAsia="宋体" w:cs="Times New Roman"/>
                <w:bCs/>
                <w:color w:val="auto"/>
                <w:sz w:val="24"/>
                <w:lang w:val="en-US" w:eastAsia="zh-CN"/>
              </w:rPr>
              <w:t>未被收集的</w:t>
            </w:r>
            <w:r>
              <w:rPr>
                <w:rFonts w:hint="eastAsia"/>
                <w:b w:val="0"/>
                <w:bCs w:val="0"/>
                <w:color w:val="auto"/>
                <w:sz w:val="24"/>
                <w:lang w:eastAsia="zh-CN"/>
              </w:rPr>
              <w:t>颗粒物</w:t>
            </w:r>
            <w:r>
              <w:rPr>
                <w:rFonts w:hint="eastAsia" w:ascii="Times New Roman" w:hAnsi="Times New Roman" w:eastAsia="宋体" w:cs="Times New Roman"/>
                <w:bCs/>
                <w:color w:val="auto"/>
                <w:sz w:val="24"/>
                <w:lang w:val="en-US" w:eastAsia="zh-CN"/>
              </w:rPr>
              <w:t>排放量为</w:t>
            </w:r>
            <w:r>
              <w:rPr>
                <w:rFonts w:hint="eastAsia" w:cs="Times New Roman"/>
                <w:bCs/>
                <w:color w:val="auto"/>
                <w:sz w:val="24"/>
                <w:lang w:val="en-US" w:eastAsia="zh-CN"/>
              </w:rPr>
              <w:t>0.65</w:t>
            </w:r>
            <w:r>
              <w:rPr>
                <w:rFonts w:hint="eastAsia" w:ascii="Times New Roman" w:hAnsi="Times New Roman" w:eastAsia="宋体" w:cs="Times New Roman"/>
                <w:bCs/>
                <w:color w:val="auto"/>
                <w:sz w:val="24"/>
                <w:lang w:val="en-US" w:eastAsia="zh-CN"/>
              </w:rPr>
              <w:t>t/a（</w:t>
            </w:r>
            <w:r>
              <w:rPr>
                <w:rFonts w:hint="eastAsia" w:cs="Times New Roman"/>
                <w:bCs/>
                <w:color w:val="auto"/>
                <w:sz w:val="24"/>
                <w:lang w:val="en-US" w:eastAsia="zh-CN"/>
              </w:rPr>
              <w:t>0.135</w:t>
            </w:r>
            <w:r>
              <w:rPr>
                <w:rFonts w:hint="eastAsia" w:ascii="Times New Roman" w:hAnsi="Times New Roman" w:eastAsia="宋体" w:cs="Times New Roman"/>
                <w:bCs/>
                <w:color w:val="auto"/>
                <w:sz w:val="24"/>
                <w:lang w:val="en-US" w:eastAsia="zh-CN"/>
              </w:rPr>
              <w:t>kg/h）</w:t>
            </w:r>
            <w:r>
              <w:rPr>
                <w:rFonts w:hint="eastAsia" w:cs="Times New Roman"/>
                <w:bCs/>
                <w:color w:val="auto"/>
                <w:sz w:val="24"/>
                <w:lang w:val="en-US" w:eastAsia="zh-CN"/>
              </w:rPr>
              <w:t>。</w:t>
            </w:r>
            <w:r>
              <w:rPr>
                <w:rFonts w:hint="default" w:ascii="Times New Roman" w:hAnsi="Times New Roman" w:eastAsia="宋体" w:cs="Times New Roman"/>
                <w:color w:val="auto"/>
                <w:kern w:val="0"/>
                <w:sz w:val="24"/>
                <w:szCs w:val="24"/>
              </w:rPr>
              <w:t>根据《环境影响评价技术导则-大气环境》（HJ2.2-2018）中推荐的估算模型AERSCREEN对本项目无组织废气进行预测</w:t>
            </w:r>
            <w:r>
              <w:rPr>
                <w:rFonts w:hint="default" w:ascii="Times New Roman" w:hAnsi="Times New Roman" w:eastAsia="宋体" w:cs="Times New Roman"/>
                <w:bCs/>
                <w:color w:val="auto"/>
                <w:sz w:val="24"/>
                <w:szCs w:val="24"/>
              </w:rPr>
              <w:t>，</w:t>
            </w:r>
            <w:r>
              <w:rPr>
                <w:rFonts w:hint="eastAsia" w:ascii="Times New Roman" w:hAnsi="Times New Roman" w:eastAsia="宋体" w:cs="Times New Roman"/>
                <w:bCs/>
                <w:color w:val="0000FF"/>
                <w:sz w:val="24"/>
                <w:lang w:val="en-US" w:eastAsia="zh-CN"/>
              </w:rPr>
              <w:t>本项目</w:t>
            </w:r>
            <w:r>
              <w:rPr>
                <w:rFonts w:hint="eastAsia" w:cs="Times New Roman"/>
                <w:bCs/>
                <w:color w:val="0000FF"/>
                <w:sz w:val="24"/>
                <w:lang w:val="en-US" w:eastAsia="zh-CN"/>
              </w:rPr>
              <w:t>无组织颗粒物</w:t>
            </w:r>
            <w:r>
              <w:rPr>
                <w:rFonts w:hint="eastAsia" w:eastAsia="新宋体" w:cs="Times New Roman"/>
                <w:color w:val="0000FF"/>
                <w:kern w:val="2"/>
                <w:sz w:val="24"/>
                <w:szCs w:val="20"/>
                <w:highlight w:val="none"/>
                <w:lang w:val="en-US" w:eastAsia="zh-CN" w:bidi="ar"/>
              </w:rPr>
              <w:t>最大1h地面空气质量浓度为</w:t>
            </w:r>
            <w:r>
              <w:rPr>
                <w:rFonts w:hint="eastAsia" w:ascii="Times New Roman" w:hAnsi="Times New Roman" w:eastAsia="宋体" w:cs="Times New Roman"/>
                <w:color w:val="0000FF"/>
                <w:sz w:val="24"/>
                <w:lang w:val="en-US" w:eastAsia="zh-CN"/>
              </w:rPr>
              <w:t>0.</w:t>
            </w:r>
            <w:r>
              <w:rPr>
                <w:rFonts w:hint="eastAsia" w:cs="Times New Roman"/>
                <w:color w:val="0000FF"/>
                <w:sz w:val="24"/>
                <w:lang w:val="en-US" w:eastAsia="zh-CN"/>
              </w:rPr>
              <w:t>09265</w:t>
            </w:r>
            <w:r>
              <w:rPr>
                <w:rFonts w:hint="eastAsia" w:ascii="Times New Roman" w:hAnsi="Times New Roman" w:eastAsia="宋体" w:cs="Times New Roman"/>
                <w:color w:val="0000FF"/>
                <w:sz w:val="24"/>
                <w:lang w:val="en-US" w:eastAsia="zh-CN"/>
              </w:rPr>
              <w:t>mg/m</w:t>
            </w:r>
            <w:r>
              <w:rPr>
                <w:rFonts w:hint="eastAsia" w:ascii="Times New Roman" w:hAnsi="Times New Roman" w:eastAsia="宋体" w:cs="Times New Roman"/>
                <w:color w:val="0000FF"/>
                <w:sz w:val="24"/>
                <w:vertAlign w:val="superscript"/>
                <w:lang w:val="en-US" w:eastAsia="zh-CN"/>
              </w:rPr>
              <w:t>3</w:t>
            </w:r>
            <w:r>
              <w:rPr>
                <w:rFonts w:hint="eastAsia" w:ascii="Times New Roman" w:hAnsi="Times New Roman" w:eastAsia="宋体" w:cs="Times New Roman"/>
                <w:color w:val="0000FF"/>
                <w:sz w:val="24"/>
                <w:vertAlign w:val="baseline"/>
                <w:lang w:val="en-US" w:eastAsia="zh-CN"/>
              </w:rPr>
              <w:t>，</w:t>
            </w:r>
            <w:r>
              <w:rPr>
                <w:rFonts w:hint="eastAsia" w:eastAsia="新宋体" w:cs="Times New Roman"/>
                <w:color w:val="auto"/>
                <w:kern w:val="2"/>
                <w:sz w:val="24"/>
                <w:szCs w:val="20"/>
                <w:highlight w:val="none"/>
                <w:lang w:val="en-US" w:eastAsia="zh-CN" w:bidi="ar"/>
              </w:rPr>
              <w:t>满足《建材工业大气污染物排放标准》（DB37/2373-2018）表3</w:t>
            </w:r>
            <w:r>
              <w:rPr>
                <w:rFonts w:hint="default" w:ascii="Times New Roman" w:hAnsi="Times New Roman" w:eastAsia="宋体" w:cs="Times New Roman"/>
                <w:color w:val="auto"/>
                <w:sz w:val="24"/>
              </w:rPr>
              <w:t>排放限值</w:t>
            </w:r>
            <w:r>
              <w:rPr>
                <w:rFonts w:hint="eastAsia" w:cs="Times New Roman"/>
                <w:color w:val="auto"/>
                <w:sz w:val="24"/>
                <w:lang w:eastAsia="zh-CN"/>
              </w:rPr>
              <w:t>。</w:t>
            </w:r>
          </w:p>
          <w:p w14:paraId="0A07E81B">
            <w:pPr>
              <w:adjustRightInd w:val="0"/>
              <w:spacing w:line="360" w:lineRule="auto"/>
              <w:ind w:firstLine="480"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1.4</w:t>
            </w:r>
            <w:r>
              <w:rPr>
                <w:rFonts w:hint="default" w:ascii="Times New Roman" w:hAnsi="Times New Roman" w:eastAsia="宋体" w:cs="Times New Roman"/>
                <w:color w:val="auto"/>
                <w:sz w:val="24"/>
                <w:szCs w:val="24"/>
              </w:rPr>
              <w:t>非正常工况</w:t>
            </w:r>
          </w:p>
          <w:p w14:paraId="31C20DC7">
            <w:pPr>
              <w:adjustRightInd w:val="0"/>
              <w:spacing w:line="360" w:lineRule="auto"/>
              <w:ind w:firstLine="480"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通过分析，废气非正常工况主要是废气处理设施出现故障或检修时，废气不能及时处理而排放的废气污染物等。非正常工况下，</w:t>
            </w:r>
            <w:r>
              <w:rPr>
                <w:rFonts w:hint="eastAsia" w:cs="Times New Roman"/>
                <w:color w:val="auto"/>
                <w:sz w:val="24"/>
                <w:szCs w:val="24"/>
                <w:lang w:eastAsia="zh-CN"/>
              </w:rPr>
              <w:t>除尘器</w:t>
            </w:r>
            <w:r>
              <w:rPr>
                <w:rFonts w:hint="default" w:ascii="Times New Roman" w:hAnsi="Times New Roman" w:eastAsia="宋体" w:cs="Times New Roman"/>
                <w:color w:val="auto"/>
                <w:sz w:val="24"/>
                <w:szCs w:val="24"/>
              </w:rPr>
              <w:t>处理效率为0</w:t>
            </w:r>
            <w:r>
              <w:rPr>
                <w:rFonts w:hint="eastAsia" w:ascii="Times New Roman" w:hAnsi="Times New Roman" w:eastAsia="宋体" w:cs="Times New Roman"/>
                <w:color w:val="auto"/>
                <w:sz w:val="24"/>
                <w:szCs w:val="24"/>
                <w:lang w:eastAsia="zh-CN"/>
              </w:rPr>
              <w:t>，发生频次按每年一次，</w:t>
            </w:r>
            <w:r>
              <w:rPr>
                <w:rFonts w:hint="default" w:ascii="Times New Roman" w:hAnsi="Times New Roman" w:eastAsia="宋体" w:cs="Times New Roman"/>
                <w:color w:val="auto"/>
                <w:sz w:val="24"/>
                <w:szCs w:val="24"/>
              </w:rPr>
              <w:t>污染源非正常排放量核算表见下表。</w:t>
            </w:r>
          </w:p>
          <w:p w14:paraId="5CAAA1C7">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表4-</w:t>
            </w:r>
            <w:r>
              <w:rPr>
                <w:rFonts w:hint="eastAsia" w:cs="Times New Roman"/>
                <w:b/>
                <w:color w:val="auto"/>
                <w:sz w:val="24"/>
                <w:szCs w:val="24"/>
                <w:lang w:val="en-US" w:eastAsia="zh-CN"/>
              </w:rPr>
              <w:t xml:space="preserve">4 </w:t>
            </w:r>
            <w:r>
              <w:rPr>
                <w:rFonts w:hint="default" w:ascii="Times New Roman" w:hAnsi="Times New Roman" w:eastAsia="宋体" w:cs="Times New Roman"/>
                <w:b/>
                <w:color w:val="auto"/>
                <w:sz w:val="24"/>
                <w:szCs w:val="24"/>
              </w:rPr>
              <w:t>污染源非正常排放量核算表</w:t>
            </w:r>
          </w:p>
          <w:tbl>
            <w:tblPr>
              <w:tblStyle w:val="33"/>
              <w:tblW w:w="90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72"/>
              <w:gridCol w:w="1440"/>
              <w:gridCol w:w="1350"/>
              <w:gridCol w:w="1335"/>
              <w:gridCol w:w="855"/>
              <w:gridCol w:w="960"/>
              <w:gridCol w:w="1080"/>
              <w:gridCol w:w="1179"/>
            </w:tblGrid>
            <w:tr w14:paraId="659814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872" w:type="dxa"/>
                  <w:noWrap w:val="0"/>
                  <w:tcMar>
                    <w:top w:w="15" w:type="dxa"/>
                    <w:left w:w="15" w:type="dxa"/>
                    <w:right w:w="15" w:type="dxa"/>
                  </w:tcMar>
                  <w:vAlign w:val="center"/>
                </w:tcPr>
                <w:p w14:paraId="0130FD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污染源</w:t>
                  </w:r>
                </w:p>
              </w:tc>
              <w:tc>
                <w:tcPr>
                  <w:tcW w:w="1440" w:type="dxa"/>
                  <w:noWrap w:val="0"/>
                  <w:tcMar>
                    <w:top w:w="15" w:type="dxa"/>
                    <w:left w:w="15" w:type="dxa"/>
                    <w:right w:w="15" w:type="dxa"/>
                  </w:tcMar>
                  <w:vAlign w:val="center"/>
                </w:tcPr>
                <w:p w14:paraId="3BB854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污染物</w:t>
                  </w:r>
                </w:p>
              </w:tc>
              <w:tc>
                <w:tcPr>
                  <w:tcW w:w="1350" w:type="dxa"/>
                  <w:noWrap w:val="0"/>
                  <w:tcMar>
                    <w:top w:w="15" w:type="dxa"/>
                    <w:left w:w="15" w:type="dxa"/>
                    <w:right w:w="15" w:type="dxa"/>
                  </w:tcMar>
                  <w:vAlign w:val="center"/>
                </w:tcPr>
                <w:p w14:paraId="02F806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非正常排放浓度(</w:t>
                  </w:r>
                  <w:r>
                    <w:rPr>
                      <w:rFonts w:hint="default" w:ascii="Times New Roman" w:hAnsi="Times New Roman" w:eastAsia="宋体" w:cs="Times New Roman"/>
                      <w:b/>
                      <w:bCs/>
                      <w:color w:val="auto"/>
                      <w:sz w:val="22"/>
                      <w:szCs w:val="22"/>
                    </w:rPr>
                    <w:t>mg/m</w:t>
                  </w:r>
                  <w:r>
                    <w:rPr>
                      <w:rFonts w:hint="default" w:ascii="Times New Roman" w:hAnsi="Times New Roman" w:eastAsia="宋体" w:cs="Times New Roman"/>
                      <w:b/>
                      <w:bCs/>
                      <w:color w:val="auto"/>
                      <w:sz w:val="22"/>
                      <w:szCs w:val="22"/>
                      <w:vertAlign w:val="superscript"/>
                    </w:rPr>
                    <w:t>3</w:t>
                  </w:r>
                  <w:r>
                    <w:rPr>
                      <w:rFonts w:hint="default" w:ascii="Times New Roman" w:hAnsi="Times New Roman" w:eastAsia="宋体" w:cs="Times New Roman"/>
                      <w:b/>
                      <w:bCs/>
                      <w:color w:val="auto"/>
                      <w:kern w:val="0"/>
                      <w:sz w:val="22"/>
                      <w:szCs w:val="22"/>
                      <w:lang w:bidi="ar"/>
                    </w:rPr>
                    <w:t>)</w:t>
                  </w:r>
                </w:p>
              </w:tc>
              <w:tc>
                <w:tcPr>
                  <w:tcW w:w="1335" w:type="dxa"/>
                  <w:noWrap w:val="0"/>
                  <w:tcMar>
                    <w:top w:w="15" w:type="dxa"/>
                    <w:left w:w="15" w:type="dxa"/>
                    <w:right w:w="15" w:type="dxa"/>
                  </w:tcMar>
                  <w:vAlign w:val="center"/>
                </w:tcPr>
                <w:p w14:paraId="5DBD07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非正常排放速率</w:t>
                  </w:r>
                  <w:r>
                    <w:rPr>
                      <w:rFonts w:hint="default" w:ascii="Times New Roman" w:hAnsi="Times New Roman" w:eastAsia="宋体" w:cs="Times New Roman"/>
                      <w:b/>
                      <w:bCs/>
                      <w:color w:val="auto"/>
                      <w:sz w:val="22"/>
                      <w:szCs w:val="22"/>
                    </w:rPr>
                    <w:t>(kg/h)</w:t>
                  </w:r>
                </w:p>
              </w:tc>
              <w:tc>
                <w:tcPr>
                  <w:tcW w:w="855" w:type="dxa"/>
                  <w:noWrap w:val="0"/>
                  <w:tcMar>
                    <w:top w:w="15" w:type="dxa"/>
                    <w:left w:w="15" w:type="dxa"/>
                    <w:right w:w="15" w:type="dxa"/>
                  </w:tcMar>
                  <w:vAlign w:val="center"/>
                </w:tcPr>
                <w:p w14:paraId="15EBA7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单次持续时间</w:t>
                  </w:r>
                </w:p>
              </w:tc>
              <w:tc>
                <w:tcPr>
                  <w:tcW w:w="960" w:type="dxa"/>
                  <w:noWrap w:val="0"/>
                  <w:tcMar>
                    <w:top w:w="15" w:type="dxa"/>
                    <w:left w:w="15" w:type="dxa"/>
                    <w:right w:w="15" w:type="dxa"/>
                  </w:tcMar>
                  <w:vAlign w:val="center"/>
                </w:tcPr>
                <w:p w14:paraId="00FF4B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年发生频次</w:t>
                  </w:r>
                </w:p>
              </w:tc>
              <w:tc>
                <w:tcPr>
                  <w:tcW w:w="1080" w:type="dxa"/>
                  <w:noWrap w:val="0"/>
                  <w:tcMar>
                    <w:top w:w="15" w:type="dxa"/>
                    <w:left w:w="15" w:type="dxa"/>
                    <w:right w:w="15" w:type="dxa"/>
                  </w:tcMar>
                  <w:vAlign w:val="center"/>
                </w:tcPr>
                <w:p w14:paraId="38A8A9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kern w:val="0"/>
                      <w:sz w:val="22"/>
                      <w:szCs w:val="22"/>
                      <w:lang w:bidi="ar"/>
                    </w:rPr>
                  </w:pPr>
                  <w:r>
                    <w:rPr>
                      <w:rFonts w:hint="default" w:ascii="Times New Roman" w:hAnsi="Times New Roman" w:eastAsia="宋体" w:cs="Times New Roman"/>
                      <w:b/>
                      <w:bCs/>
                      <w:color w:val="auto"/>
                      <w:kern w:val="0"/>
                      <w:sz w:val="22"/>
                      <w:szCs w:val="22"/>
                      <w:lang w:bidi="ar"/>
                    </w:rPr>
                    <w:t>非正常</w:t>
                  </w:r>
                </w:p>
                <w:p w14:paraId="0E3B36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排放原因</w:t>
                  </w:r>
                </w:p>
              </w:tc>
              <w:tc>
                <w:tcPr>
                  <w:tcW w:w="1179" w:type="dxa"/>
                  <w:noWrap w:val="0"/>
                  <w:tcMar>
                    <w:top w:w="15" w:type="dxa"/>
                    <w:left w:w="15" w:type="dxa"/>
                    <w:right w:w="15" w:type="dxa"/>
                  </w:tcMar>
                  <w:vAlign w:val="center"/>
                </w:tcPr>
                <w:p w14:paraId="295C53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应对措施</w:t>
                  </w:r>
                </w:p>
              </w:tc>
            </w:tr>
            <w:tr w14:paraId="366067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04" w:hRule="exact"/>
                <w:jc w:val="center"/>
              </w:trPr>
              <w:tc>
                <w:tcPr>
                  <w:tcW w:w="872" w:type="dxa"/>
                  <w:noWrap w:val="0"/>
                  <w:tcMar>
                    <w:top w:w="15" w:type="dxa"/>
                    <w:left w:w="15" w:type="dxa"/>
                    <w:right w:w="15" w:type="dxa"/>
                  </w:tcMar>
                  <w:vAlign w:val="center"/>
                </w:tcPr>
                <w:p w14:paraId="33CD04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DA001排气筒</w:t>
                  </w:r>
                </w:p>
              </w:tc>
              <w:tc>
                <w:tcPr>
                  <w:tcW w:w="1440" w:type="dxa"/>
                  <w:noWrap w:val="0"/>
                  <w:tcMar>
                    <w:top w:w="15" w:type="dxa"/>
                    <w:left w:w="15" w:type="dxa"/>
                    <w:right w:w="15" w:type="dxa"/>
                  </w:tcMar>
                  <w:vAlign w:val="center"/>
                </w:tcPr>
                <w:p w14:paraId="4D718BE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2"/>
                      <w:szCs w:val="22"/>
                    </w:rPr>
                  </w:pPr>
                  <w:r>
                    <w:rPr>
                      <w:rFonts w:hint="eastAsia" w:cs="Times New Roman"/>
                      <w:color w:val="auto"/>
                      <w:sz w:val="22"/>
                      <w:szCs w:val="22"/>
                      <w:lang w:eastAsia="zh-CN"/>
                    </w:rPr>
                    <w:t>颗粒物</w:t>
                  </w:r>
                </w:p>
              </w:tc>
              <w:tc>
                <w:tcPr>
                  <w:tcW w:w="1350" w:type="dxa"/>
                  <w:noWrap w:val="0"/>
                  <w:tcMar>
                    <w:top w:w="15" w:type="dxa"/>
                    <w:left w:w="15" w:type="dxa"/>
                    <w:right w:w="15" w:type="dxa"/>
                  </w:tcMar>
                  <w:vAlign w:val="center"/>
                </w:tcPr>
                <w:p w14:paraId="2A64E75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2"/>
                      <w:szCs w:val="22"/>
                      <w:lang w:val="en-US" w:eastAsia="zh-CN" w:bidi="ar-SA"/>
                    </w:rPr>
                  </w:pPr>
                  <w:r>
                    <w:rPr>
                      <w:rFonts w:hint="eastAsia" w:cs="Times New Roman"/>
                      <w:bCs/>
                      <w:color w:val="auto"/>
                      <w:kern w:val="2"/>
                      <w:sz w:val="22"/>
                      <w:szCs w:val="22"/>
                      <w:lang w:val="en-US" w:eastAsia="zh-CN" w:bidi="ar-SA"/>
                    </w:rPr>
                    <w:t>609.375</w:t>
                  </w:r>
                </w:p>
              </w:tc>
              <w:tc>
                <w:tcPr>
                  <w:tcW w:w="1335" w:type="dxa"/>
                  <w:noWrap w:val="0"/>
                  <w:tcMar>
                    <w:top w:w="15" w:type="dxa"/>
                    <w:left w:w="15" w:type="dxa"/>
                    <w:right w:w="15" w:type="dxa"/>
                  </w:tcMar>
                  <w:vAlign w:val="center"/>
                </w:tcPr>
                <w:p w14:paraId="74CFA48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2"/>
                      <w:szCs w:val="22"/>
                      <w:lang w:val="en-US" w:eastAsia="zh-CN" w:bidi="ar-SA"/>
                    </w:rPr>
                  </w:pPr>
                  <w:r>
                    <w:rPr>
                      <w:rFonts w:hint="eastAsia" w:cs="Times New Roman"/>
                      <w:bCs/>
                      <w:color w:val="auto"/>
                      <w:kern w:val="2"/>
                      <w:sz w:val="22"/>
                      <w:szCs w:val="22"/>
                      <w:lang w:val="en-US" w:eastAsia="zh-CN" w:bidi="ar-SA"/>
                    </w:rPr>
                    <w:t>12.188</w:t>
                  </w:r>
                </w:p>
              </w:tc>
              <w:tc>
                <w:tcPr>
                  <w:tcW w:w="855" w:type="dxa"/>
                  <w:noWrap w:val="0"/>
                  <w:tcMar>
                    <w:top w:w="15" w:type="dxa"/>
                    <w:left w:w="15" w:type="dxa"/>
                    <w:right w:w="15" w:type="dxa"/>
                  </w:tcMar>
                  <w:vAlign w:val="center"/>
                </w:tcPr>
                <w:p w14:paraId="0BB1109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sz w:val="22"/>
                      <w:szCs w:val="22"/>
                      <w:lang w:val="en-US" w:eastAsia="zh-CN"/>
                    </w:rPr>
                  </w:pPr>
                  <w:r>
                    <w:rPr>
                      <w:rFonts w:hint="default" w:ascii="Times New Roman" w:hAnsi="Times New Roman" w:eastAsia="宋体" w:cs="Times New Roman"/>
                      <w:bCs/>
                      <w:color w:val="auto"/>
                      <w:sz w:val="22"/>
                      <w:szCs w:val="22"/>
                      <w:lang w:val="en-US" w:eastAsia="zh-CN"/>
                    </w:rPr>
                    <w:t>＜1h</w:t>
                  </w:r>
                </w:p>
              </w:tc>
              <w:tc>
                <w:tcPr>
                  <w:tcW w:w="960" w:type="dxa"/>
                  <w:noWrap w:val="0"/>
                  <w:tcMar>
                    <w:top w:w="15" w:type="dxa"/>
                    <w:left w:w="15" w:type="dxa"/>
                    <w:right w:w="15" w:type="dxa"/>
                  </w:tcMar>
                  <w:vAlign w:val="center"/>
                </w:tcPr>
                <w:p w14:paraId="1689AD5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sz w:val="22"/>
                      <w:szCs w:val="22"/>
                      <w:lang w:val="en-US" w:eastAsia="zh-CN"/>
                    </w:rPr>
                  </w:pPr>
                  <w:r>
                    <w:rPr>
                      <w:rFonts w:hint="eastAsia" w:ascii="宋体" w:hAnsi="宋体" w:eastAsia="宋体" w:cs="宋体"/>
                      <w:bCs/>
                      <w:color w:val="auto"/>
                      <w:sz w:val="22"/>
                      <w:szCs w:val="22"/>
                      <w:lang w:val="en-US" w:eastAsia="zh-CN"/>
                    </w:rPr>
                    <w:t>≦</w:t>
                  </w:r>
                  <w:r>
                    <w:rPr>
                      <w:rFonts w:hint="default" w:ascii="Times New Roman" w:hAnsi="Times New Roman" w:eastAsia="宋体" w:cs="Times New Roman"/>
                      <w:bCs/>
                      <w:color w:val="auto"/>
                      <w:sz w:val="22"/>
                      <w:szCs w:val="22"/>
                      <w:lang w:val="en-US" w:eastAsia="zh-CN"/>
                    </w:rPr>
                    <w:t>1次</w:t>
                  </w:r>
                </w:p>
              </w:tc>
              <w:tc>
                <w:tcPr>
                  <w:tcW w:w="1080" w:type="dxa"/>
                  <w:noWrap w:val="0"/>
                  <w:tcMar>
                    <w:top w:w="15" w:type="dxa"/>
                    <w:left w:w="15" w:type="dxa"/>
                    <w:right w:w="15" w:type="dxa"/>
                  </w:tcMar>
                  <w:vAlign w:val="center"/>
                </w:tcPr>
                <w:p w14:paraId="7EC9B83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eastAsia="zh-CN"/>
                    </w:rPr>
                    <w:t>环保</w:t>
                  </w:r>
                  <w:r>
                    <w:rPr>
                      <w:rFonts w:hint="default" w:ascii="Times New Roman" w:hAnsi="Times New Roman" w:eastAsia="宋体" w:cs="Times New Roman"/>
                      <w:color w:val="auto"/>
                      <w:sz w:val="22"/>
                      <w:szCs w:val="22"/>
                    </w:rPr>
                    <w:t>设</w:t>
                  </w:r>
                </w:p>
                <w:p w14:paraId="0CE76CD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备故障</w:t>
                  </w:r>
                </w:p>
              </w:tc>
              <w:tc>
                <w:tcPr>
                  <w:tcW w:w="1179" w:type="dxa"/>
                  <w:noWrap w:val="0"/>
                  <w:tcMar>
                    <w:top w:w="15" w:type="dxa"/>
                    <w:left w:w="15" w:type="dxa"/>
                    <w:right w:w="15" w:type="dxa"/>
                  </w:tcMar>
                  <w:vAlign w:val="center"/>
                </w:tcPr>
                <w:p w14:paraId="0EB8A63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专人负责，定期检查；发现故障立即停产检</w:t>
                  </w:r>
                  <w:r>
                    <w:rPr>
                      <w:rFonts w:hint="eastAsia" w:ascii="Times New Roman" w:hAnsi="Times New Roman" w:eastAsia="宋体" w:cs="Times New Roman"/>
                      <w:color w:val="auto"/>
                      <w:sz w:val="22"/>
                      <w:szCs w:val="22"/>
                      <w:lang w:eastAsia="zh-CN"/>
                    </w:rPr>
                    <w:t>修</w:t>
                  </w:r>
                </w:p>
              </w:tc>
            </w:tr>
          </w:tbl>
          <w:p w14:paraId="7E700DAB">
            <w:pPr>
              <w:adjustRightInd w:val="0"/>
              <w:spacing w:line="360" w:lineRule="auto"/>
              <w:ind w:firstLine="480" w:firstLineChars="200"/>
              <w:rPr>
                <w:rFonts w:hint="default" w:ascii="Times New Roman" w:hAnsi="Times New Roman" w:eastAsia="宋体" w:cs="Times New Roman"/>
                <w:color w:val="auto"/>
                <w:sz w:val="24"/>
                <w:szCs w:val="24"/>
              </w:rPr>
            </w:pPr>
            <w:r>
              <w:rPr>
                <w:rFonts w:hint="eastAsia"/>
                <w:color w:val="auto"/>
                <w:sz w:val="24"/>
                <w:lang w:val="en-US" w:eastAsia="zh-CN"/>
              </w:rPr>
              <w:t>由表4-4可知，非正常工况下，项目废气不能达标排放，因此</w:t>
            </w:r>
            <w:r>
              <w:rPr>
                <w:color w:val="auto"/>
                <w:sz w:val="24"/>
              </w:rPr>
              <w:t>针对非正常工况，为保证净化设施的正常运行，</w:t>
            </w:r>
            <w:r>
              <w:rPr>
                <w:rFonts w:hint="eastAsia"/>
                <w:color w:val="auto"/>
                <w:sz w:val="24"/>
                <w:lang w:val="en-US" w:eastAsia="zh-CN"/>
              </w:rPr>
              <w:t>本次环评</w:t>
            </w:r>
            <w:r>
              <w:rPr>
                <w:color w:val="auto"/>
                <w:sz w:val="24"/>
              </w:rPr>
              <w:t>要求企业：定期对废气净化设施进行检查，确保其正常工作状态；设置专人负责，保证正常去除效率。检查、核查等工作做好记录，一旦发现问题，应立即停止生产工序，待</w:t>
            </w:r>
            <w:r>
              <w:rPr>
                <w:rFonts w:hint="eastAsia"/>
                <w:color w:val="auto"/>
                <w:sz w:val="24"/>
                <w:lang w:val="en-US" w:eastAsia="zh-CN"/>
              </w:rPr>
              <w:t>环保</w:t>
            </w:r>
            <w:r>
              <w:rPr>
                <w:color w:val="auto"/>
                <w:sz w:val="24"/>
              </w:rPr>
              <w:t>设施恢复正常工作并具稳定废气去除效率后，开工生产，杜绝废气排放事故发生。加强企业的运行管理，设立专门人员负责厂内环保设施管理、监测等工作。</w:t>
            </w:r>
          </w:p>
          <w:p w14:paraId="24C7A828">
            <w:pPr>
              <w:adjustRightInd w:val="0"/>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rPr>
              <w:t>废气排放口设置情况及监测计划</w:t>
            </w:r>
          </w:p>
          <w:p w14:paraId="235A7892">
            <w:pPr>
              <w:adjustRightInd w:val="0"/>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参照《排污单位自行监测技术指南 总则》（HJ 819-2017）、《排污单位自行监测技术指南 砖瓦工业 》（HJ1254-2022），项目废气污染源监测计划见下表。</w:t>
            </w:r>
          </w:p>
          <w:p w14:paraId="4FCB65E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rPr>
              <w:t>表4-</w:t>
            </w:r>
            <w:r>
              <w:rPr>
                <w:rFonts w:hint="eastAsia" w:cs="Times New Roman"/>
                <w:b/>
                <w:color w:val="auto"/>
                <w:sz w:val="24"/>
                <w:szCs w:val="24"/>
                <w:lang w:val="en-US" w:eastAsia="zh-CN"/>
              </w:rPr>
              <w:t xml:space="preserve">5 </w:t>
            </w:r>
            <w:r>
              <w:rPr>
                <w:rFonts w:hint="default" w:ascii="Times New Roman" w:hAnsi="Times New Roman" w:eastAsia="宋体" w:cs="Times New Roman"/>
                <w:b/>
                <w:color w:val="auto"/>
                <w:sz w:val="24"/>
                <w:szCs w:val="24"/>
              </w:rPr>
              <w:t>废气排放口设置及大气污染物监测计划</w:t>
            </w:r>
          </w:p>
          <w:tbl>
            <w:tblPr>
              <w:tblStyle w:val="33"/>
              <w:tblW w:w="488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1725"/>
              <w:gridCol w:w="2320"/>
              <w:gridCol w:w="2077"/>
              <w:gridCol w:w="1613"/>
            </w:tblGrid>
            <w:tr w14:paraId="721C6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735" w:type="pct"/>
                  <w:noWrap w:val="0"/>
                  <w:vAlign w:val="center"/>
                </w:tcPr>
                <w:p w14:paraId="3EB8FD7A">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类型</w:t>
                  </w:r>
                </w:p>
              </w:tc>
              <w:tc>
                <w:tcPr>
                  <w:tcW w:w="950" w:type="pct"/>
                  <w:noWrap w:val="0"/>
                  <w:vAlign w:val="center"/>
                </w:tcPr>
                <w:p w14:paraId="16D772D8">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产污环节</w:t>
                  </w:r>
                </w:p>
              </w:tc>
              <w:tc>
                <w:tcPr>
                  <w:tcW w:w="1278" w:type="pct"/>
                  <w:noWrap w:val="0"/>
                  <w:vAlign w:val="center"/>
                </w:tcPr>
                <w:p w14:paraId="2E87A546">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监测点位</w:t>
                  </w:r>
                </w:p>
              </w:tc>
              <w:tc>
                <w:tcPr>
                  <w:tcW w:w="1144" w:type="pct"/>
                  <w:noWrap w:val="0"/>
                  <w:vAlign w:val="center"/>
                </w:tcPr>
                <w:p w14:paraId="76F25CC8">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监测项目</w:t>
                  </w:r>
                </w:p>
              </w:tc>
              <w:tc>
                <w:tcPr>
                  <w:tcW w:w="889" w:type="pct"/>
                  <w:noWrap w:val="0"/>
                  <w:vAlign w:val="center"/>
                </w:tcPr>
                <w:p w14:paraId="6D348173">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监测频次</w:t>
                  </w:r>
                </w:p>
              </w:tc>
            </w:tr>
            <w:tr w14:paraId="1B542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exact"/>
                <w:jc w:val="center"/>
              </w:trPr>
              <w:tc>
                <w:tcPr>
                  <w:tcW w:w="735" w:type="pct"/>
                  <w:noWrap w:val="0"/>
                  <w:vAlign w:val="center"/>
                </w:tcPr>
                <w:p w14:paraId="5F7428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有组织废气</w:t>
                  </w:r>
                </w:p>
              </w:tc>
              <w:tc>
                <w:tcPr>
                  <w:tcW w:w="950" w:type="pct"/>
                  <w:vMerge w:val="restart"/>
                  <w:noWrap w:val="0"/>
                  <w:vAlign w:val="center"/>
                </w:tcPr>
                <w:p w14:paraId="746B5F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混合搅拌、包装等工序</w:t>
                  </w:r>
                </w:p>
              </w:tc>
              <w:tc>
                <w:tcPr>
                  <w:tcW w:w="1278" w:type="pct"/>
                  <w:noWrap w:val="0"/>
                  <w:vAlign w:val="center"/>
                </w:tcPr>
                <w:p w14:paraId="5BCC9135">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DA001排气筒</w:t>
                  </w:r>
                </w:p>
              </w:tc>
              <w:tc>
                <w:tcPr>
                  <w:tcW w:w="1144" w:type="pct"/>
                  <w:noWrap w:val="0"/>
                  <w:vAlign w:val="center"/>
                </w:tcPr>
                <w:p w14:paraId="5517A0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 w:val="0"/>
                      <w:bCs w:val="0"/>
                      <w:color w:val="auto"/>
                      <w:sz w:val="21"/>
                      <w:szCs w:val="21"/>
                      <w:vertAlign w:val="baseline"/>
                      <w:lang w:eastAsia="zh-CN"/>
                    </w:rPr>
                    <w:t>颗粒物</w:t>
                  </w:r>
                </w:p>
              </w:tc>
              <w:tc>
                <w:tcPr>
                  <w:tcW w:w="889" w:type="pct"/>
                  <w:noWrap w:val="0"/>
                  <w:vAlign w:val="center"/>
                </w:tcPr>
                <w:p w14:paraId="04F1E007">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1次</w:t>
                  </w:r>
                  <w:r>
                    <w:rPr>
                      <w:rFonts w:hint="eastAsia"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年</w:t>
                  </w:r>
                </w:p>
              </w:tc>
            </w:tr>
            <w:tr w14:paraId="37872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35" w:type="pct"/>
                  <w:noWrap w:val="0"/>
                  <w:vAlign w:val="center"/>
                </w:tcPr>
                <w:p w14:paraId="3F98AB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无组织废气</w:t>
                  </w:r>
                </w:p>
              </w:tc>
              <w:tc>
                <w:tcPr>
                  <w:tcW w:w="950" w:type="pct"/>
                  <w:vMerge w:val="continue"/>
                  <w:noWrap w:val="0"/>
                  <w:vAlign w:val="center"/>
                </w:tcPr>
                <w:p w14:paraId="56A2FC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p>
              </w:tc>
              <w:tc>
                <w:tcPr>
                  <w:tcW w:w="1278" w:type="pct"/>
                  <w:noWrap w:val="0"/>
                  <w:vAlign w:val="center"/>
                </w:tcPr>
                <w:p w14:paraId="141D22E6">
                  <w:pPr>
                    <w:pStyle w:val="82"/>
                    <w:keepNext w:val="0"/>
                    <w:keepLines w:val="0"/>
                    <w:pageBreakBefore w:val="0"/>
                    <w:widowControl w:val="0"/>
                    <w:tabs>
                      <w:tab w:val="center" w:pos="105"/>
                      <w:tab w:val="center" w:pos="283"/>
                    </w:tabs>
                    <w:kinsoku/>
                    <w:wordWrap/>
                    <w:overflowPunct w:val="0"/>
                    <w:topLinePunct w:val="0"/>
                    <w:autoSpaceDE/>
                    <w:autoSpaceDN/>
                    <w:bidi w:val="0"/>
                    <w:adjustRightInd w:val="0"/>
                    <w:snapToGrid/>
                    <w:spacing w:before="0" w:after="0" w:line="240" w:lineRule="auto"/>
                    <w:ind w:firstLine="0" w:firstLineChars="0"/>
                    <w:jc w:val="center"/>
                    <w:textAlignment w:val="baseline"/>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主导风向上风向设置1个监测点、下风向设置3个监测点</w:t>
                  </w:r>
                </w:p>
              </w:tc>
              <w:tc>
                <w:tcPr>
                  <w:tcW w:w="1144" w:type="pct"/>
                  <w:noWrap w:val="0"/>
                  <w:vAlign w:val="center"/>
                </w:tcPr>
                <w:p w14:paraId="4E238E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b w:val="0"/>
                      <w:bCs w:val="0"/>
                      <w:color w:val="auto"/>
                      <w:sz w:val="21"/>
                      <w:szCs w:val="21"/>
                      <w:vertAlign w:val="baseline"/>
                      <w:lang w:eastAsia="zh-CN"/>
                    </w:rPr>
                    <w:t>颗粒物</w:t>
                  </w:r>
                </w:p>
              </w:tc>
              <w:tc>
                <w:tcPr>
                  <w:tcW w:w="889" w:type="pct"/>
                  <w:noWrap w:val="0"/>
                  <w:vAlign w:val="center"/>
                </w:tcPr>
                <w:p w14:paraId="07BB3FE6">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1次/年</w:t>
                  </w:r>
                </w:p>
              </w:tc>
            </w:tr>
          </w:tbl>
          <w:p w14:paraId="701FD439">
            <w:pPr>
              <w:spacing w:line="360" w:lineRule="auto"/>
              <w:ind w:left="0" w:leftChars="0" w:firstLine="482" w:firstLineChars="200"/>
              <w:rPr>
                <w:rFonts w:hint="eastAsia" w:ascii="宋体" w:hAnsi="宋体"/>
                <w:b/>
                <w:bCs/>
                <w:color w:val="auto"/>
                <w:sz w:val="24"/>
              </w:rPr>
            </w:pPr>
            <w:r>
              <w:rPr>
                <w:rFonts w:hint="eastAsia"/>
                <w:b/>
                <w:bCs/>
                <w:color w:val="auto"/>
                <w:sz w:val="24"/>
              </w:rPr>
              <w:t>2</w:t>
            </w:r>
            <w:r>
              <w:rPr>
                <w:rFonts w:hint="eastAsia"/>
                <w:b/>
                <w:bCs/>
                <w:color w:val="auto"/>
                <w:sz w:val="24"/>
                <w:lang w:eastAsia="zh-CN"/>
              </w:rPr>
              <w:t>、</w:t>
            </w:r>
            <w:r>
              <w:rPr>
                <w:rFonts w:hint="eastAsia"/>
                <w:b/>
                <w:bCs/>
                <w:color w:val="auto"/>
                <w:sz w:val="24"/>
              </w:rPr>
              <w:t>废水</w:t>
            </w:r>
          </w:p>
          <w:p w14:paraId="78012DB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eastAsia="新宋体"/>
                <w:color w:val="auto"/>
                <w:sz w:val="24"/>
                <w:szCs w:val="22"/>
              </w:rPr>
            </w:pPr>
            <w:r>
              <w:rPr>
                <w:rFonts w:hint="eastAsia" w:eastAsia="新宋体"/>
                <w:color w:val="auto"/>
                <w:sz w:val="24"/>
                <w:szCs w:val="22"/>
                <w:lang w:val="en-US" w:eastAsia="zh-CN"/>
              </w:rPr>
              <w:t>2.1</w:t>
            </w:r>
            <w:r>
              <w:rPr>
                <w:rFonts w:eastAsia="新宋体"/>
                <w:color w:val="auto"/>
                <w:sz w:val="24"/>
                <w:szCs w:val="22"/>
              </w:rPr>
              <w:t>废水的产生及排放情况</w:t>
            </w:r>
          </w:p>
          <w:p w14:paraId="05E452B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排水实行“雨污分流、清污分流”，雨水经厂区雨水管网，排出厂外。项目厂区抑尘用水全部蒸发损耗，洗车台用水循环使用，定期补充损耗，因此，项目无生产废水产生。废水主要为生活污水，生活污水产生量按照用量80%计，产生量</w:t>
            </w:r>
            <w:r>
              <w:rPr>
                <w:rFonts w:hint="eastAsia" w:cs="Times New Roman"/>
                <w:color w:val="auto"/>
                <w:sz w:val="24"/>
                <w:szCs w:val="24"/>
                <w:lang w:val="en-US" w:eastAsia="zh-CN"/>
              </w:rPr>
              <w:t>约180</w:t>
            </w:r>
            <w:r>
              <w:rPr>
                <w:rFonts w:hint="default" w:ascii="Times New Roman" w:hAnsi="Times New Roman" w:eastAsia="宋体" w:cs="Times New Roman"/>
                <w:color w:val="auto"/>
                <w:sz w:val="24"/>
                <w:szCs w:val="24"/>
              </w:rPr>
              <w:t>m</w:t>
            </w:r>
            <w:r>
              <w:rPr>
                <w:rFonts w:hint="eastAsia" w:cs="Times New Roman"/>
                <w:color w:val="auto"/>
                <w:sz w:val="24"/>
                <w:szCs w:val="24"/>
                <w:vertAlign w:val="superscript"/>
                <w:lang w:val="en-US" w:eastAsia="zh-CN"/>
              </w:rPr>
              <w:t>3</w:t>
            </w:r>
            <w:r>
              <w:rPr>
                <w:rFonts w:hint="eastAsia" w:cs="Times New Roman"/>
                <w:color w:val="auto"/>
                <w:sz w:val="24"/>
                <w:szCs w:val="24"/>
                <w:vertAlign w:val="baseline"/>
                <w:lang w:val="en-US" w:eastAsia="zh-CN"/>
              </w:rPr>
              <w:t>/a</w:t>
            </w:r>
            <w:r>
              <w:rPr>
                <w:rFonts w:hint="default" w:ascii="Times New Roman" w:hAnsi="Times New Roman" w:eastAsia="宋体" w:cs="Times New Roman"/>
                <w:color w:val="auto"/>
                <w:sz w:val="24"/>
                <w:szCs w:val="24"/>
              </w:rPr>
              <w:t>，经厂区化粪池处理后委托环卫部门清运</w:t>
            </w:r>
            <w:r>
              <w:rPr>
                <w:rFonts w:hint="eastAsia" w:ascii="Times New Roman" w:hAnsi="Times New Roman" w:eastAsia="宋体" w:cs="Times New Roman"/>
                <w:color w:val="auto"/>
                <w:sz w:val="24"/>
                <w:szCs w:val="24"/>
                <w:lang w:val="en-US" w:eastAsia="zh-CN"/>
              </w:rPr>
              <w:t>。</w:t>
            </w:r>
          </w:p>
          <w:p w14:paraId="6E8FF33E">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default" w:eastAsia="宋体"/>
                <w:color w:val="auto"/>
                <w:sz w:val="24"/>
                <w:lang w:val="en-US" w:eastAsia="zh-CN"/>
              </w:rPr>
            </w:pPr>
            <w:r>
              <w:rPr>
                <w:rFonts w:hint="eastAsia"/>
                <w:color w:val="auto"/>
                <w:sz w:val="24"/>
              </w:rPr>
              <w:t>本项目废水产生</w:t>
            </w:r>
            <w:r>
              <w:rPr>
                <w:rFonts w:hint="eastAsia"/>
                <w:color w:val="auto"/>
                <w:sz w:val="24"/>
                <w:lang w:eastAsia="zh-CN"/>
              </w:rPr>
              <w:t>、排放</w:t>
            </w:r>
            <w:r>
              <w:rPr>
                <w:rFonts w:hint="eastAsia"/>
                <w:color w:val="auto"/>
                <w:sz w:val="24"/>
              </w:rPr>
              <w:t>情况见表</w:t>
            </w:r>
            <w:r>
              <w:rPr>
                <w:rFonts w:hint="eastAsia"/>
                <w:color w:val="auto"/>
                <w:sz w:val="24"/>
                <w:lang w:val="en-US" w:eastAsia="zh-CN"/>
              </w:rPr>
              <w:t>4-6。</w:t>
            </w:r>
          </w:p>
          <w:p w14:paraId="1ACF560D">
            <w:pPr>
              <w:spacing w:line="240" w:lineRule="auto"/>
              <w:ind w:firstLine="482" w:firstLineChars="200"/>
              <w:jc w:val="center"/>
              <w:rPr>
                <w:b/>
                <w:sz w:val="24"/>
              </w:rPr>
            </w:pPr>
            <w:r>
              <w:rPr>
                <w:b/>
                <w:sz w:val="24"/>
              </w:rPr>
              <w:t>表4-</w:t>
            </w:r>
            <w:r>
              <w:rPr>
                <w:rFonts w:hint="eastAsia"/>
                <w:b/>
                <w:sz w:val="24"/>
                <w:lang w:val="en-US" w:eastAsia="zh-CN"/>
              </w:rPr>
              <w:t>6</w:t>
            </w:r>
            <w:r>
              <w:rPr>
                <w:b/>
                <w:sz w:val="24"/>
              </w:rPr>
              <w:t xml:space="preserve">  项目废水</w:t>
            </w:r>
            <w:r>
              <w:rPr>
                <w:rFonts w:hint="eastAsia"/>
                <w:b/>
                <w:sz w:val="24"/>
                <w:lang w:val="en-US" w:eastAsia="zh-CN"/>
              </w:rPr>
              <w:t>产生</w:t>
            </w:r>
            <w:r>
              <w:rPr>
                <w:b/>
                <w:sz w:val="24"/>
              </w:rPr>
              <w:t>情况一览表</w:t>
            </w:r>
          </w:p>
          <w:tbl>
            <w:tblPr>
              <w:tblStyle w:val="33"/>
              <w:tblW w:w="91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937"/>
              <w:gridCol w:w="935"/>
              <w:gridCol w:w="886"/>
              <w:gridCol w:w="983"/>
              <w:gridCol w:w="778"/>
              <w:gridCol w:w="953"/>
              <w:gridCol w:w="936"/>
              <w:gridCol w:w="938"/>
              <w:gridCol w:w="1095"/>
            </w:tblGrid>
            <w:tr w14:paraId="775DE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vMerge w:val="restart"/>
                  <w:noWrap w:val="0"/>
                  <w:vAlign w:val="center"/>
                </w:tcPr>
                <w:p w14:paraId="54E9786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种类</w:t>
                  </w:r>
                </w:p>
              </w:tc>
              <w:tc>
                <w:tcPr>
                  <w:tcW w:w="937" w:type="dxa"/>
                  <w:vMerge w:val="restart"/>
                  <w:noWrap w:val="0"/>
                  <w:vAlign w:val="center"/>
                </w:tcPr>
                <w:p w14:paraId="0DC5A2E5">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废水量</w:t>
                  </w:r>
                </w:p>
                <w:p w14:paraId="7809DA7B">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m</w:t>
                  </w:r>
                  <w:r>
                    <w:rPr>
                      <w:rFonts w:hint="default" w:ascii="Times New Roman" w:hAnsi="Times New Roman" w:cs="Times New Roman" w:eastAsiaTheme="minorEastAsia"/>
                      <w:b/>
                      <w:kern w:val="0"/>
                      <w:sz w:val="21"/>
                      <w:szCs w:val="21"/>
                      <w:vertAlign w:val="superscript"/>
                    </w:rPr>
                    <w:t>3</w:t>
                  </w:r>
                  <w:r>
                    <w:rPr>
                      <w:rFonts w:hint="default" w:ascii="Times New Roman" w:hAnsi="Times New Roman" w:cs="Times New Roman" w:eastAsiaTheme="minorEastAsia"/>
                      <w:b/>
                      <w:kern w:val="0"/>
                      <w:sz w:val="21"/>
                      <w:szCs w:val="21"/>
                    </w:rPr>
                    <w:t>/a</w:t>
                  </w:r>
                </w:p>
              </w:tc>
              <w:tc>
                <w:tcPr>
                  <w:tcW w:w="935" w:type="dxa"/>
                  <w:vMerge w:val="restart"/>
                  <w:noWrap w:val="0"/>
                  <w:vAlign w:val="center"/>
                </w:tcPr>
                <w:p w14:paraId="0C32FC5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污染物</w:t>
                  </w:r>
                </w:p>
                <w:p w14:paraId="73F239E8">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名称</w:t>
                  </w:r>
                </w:p>
              </w:tc>
              <w:tc>
                <w:tcPr>
                  <w:tcW w:w="1869" w:type="dxa"/>
                  <w:gridSpan w:val="2"/>
                  <w:noWrap w:val="0"/>
                  <w:vAlign w:val="center"/>
                </w:tcPr>
                <w:p w14:paraId="0D946FE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产生情况</w:t>
                  </w:r>
                </w:p>
              </w:tc>
              <w:tc>
                <w:tcPr>
                  <w:tcW w:w="778" w:type="dxa"/>
                  <w:vMerge w:val="restart"/>
                  <w:noWrap w:val="0"/>
                  <w:vAlign w:val="center"/>
                </w:tcPr>
                <w:p w14:paraId="0F94033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处理效率</w:t>
                  </w:r>
                </w:p>
              </w:tc>
              <w:tc>
                <w:tcPr>
                  <w:tcW w:w="1889" w:type="dxa"/>
                  <w:gridSpan w:val="2"/>
                  <w:noWrap w:val="0"/>
                  <w:vAlign w:val="center"/>
                </w:tcPr>
                <w:p w14:paraId="3B2D4AD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排放情况</w:t>
                  </w:r>
                </w:p>
              </w:tc>
              <w:tc>
                <w:tcPr>
                  <w:tcW w:w="938" w:type="dxa"/>
                  <w:vMerge w:val="restart"/>
                  <w:noWrap w:val="0"/>
                  <w:vAlign w:val="center"/>
                </w:tcPr>
                <w:p w14:paraId="6A3682AB">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治理</w:t>
                  </w:r>
                </w:p>
                <w:p w14:paraId="654FF33E">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措施</w:t>
                  </w:r>
                </w:p>
              </w:tc>
              <w:tc>
                <w:tcPr>
                  <w:tcW w:w="1095" w:type="dxa"/>
                  <w:vMerge w:val="restart"/>
                  <w:noWrap w:val="0"/>
                  <w:vAlign w:val="center"/>
                </w:tcPr>
                <w:p w14:paraId="36E4B22A">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排放去向</w:t>
                  </w:r>
                </w:p>
              </w:tc>
            </w:tr>
            <w:tr w14:paraId="44EE7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715" w:type="dxa"/>
                  <w:vMerge w:val="continue"/>
                  <w:noWrap w:val="0"/>
                  <w:vAlign w:val="center"/>
                </w:tcPr>
                <w:p w14:paraId="1546B468">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b/>
                      <w:kern w:val="0"/>
                      <w:sz w:val="21"/>
                      <w:szCs w:val="21"/>
                    </w:rPr>
                  </w:pPr>
                </w:p>
              </w:tc>
              <w:tc>
                <w:tcPr>
                  <w:tcW w:w="937" w:type="dxa"/>
                  <w:vMerge w:val="continue"/>
                  <w:noWrap w:val="0"/>
                  <w:vAlign w:val="center"/>
                </w:tcPr>
                <w:p w14:paraId="4FBABB5A">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b/>
                      <w:kern w:val="0"/>
                      <w:sz w:val="21"/>
                      <w:szCs w:val="21"/>
                    </w:rPr>
                  </w:pPr>
                </w:p>
              </w:tc>
              <w:tc>
                <w:tcPr>
                  <w:tcW w:w="935" w:type="dxa"/>
                  <w:vMerge w:val="continue"/>
                  <w:noWrap w:val="0"/>
                  <w:vAlign w:val="center"/>
                </w:tcPr>
                <w:p w14:paraId="4BC64508">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b/>
                      <w:kern w:val="0"/>
                      <w:sz w:val="21"/>
                      <w:szCs w:val="21"/>
                    </w:rPr>
                  </w:pPr>
                </w:p>
              </w:tc>
              <w:tc>
                <w:tcPr>
                  <w:tcW w:w="886" w:type="dxa"/>
                  <w:noWrap w:val="0"/>
                  <w:vAlign w:val="center"/>
                </w:tcPr>
                <w:p w14:paraId="2E789AF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浓度mg/L</w:t>
                  </w:r>
                </w:p>
              </w:tc>
              <w:tc>
                <w:tcPr>
                  <w:tcW w:w="983" w:type="dxa"/>
                  <w:noWrap w:val="0"/>
                  <w:vAlign w:val="center"/>
                </w:tcPr>
                <w:p w14:paraId="28BC3D5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产生量t/a</w:t>
                  </w:r>
                </w:p>
              </w:tc>
              <w:tc>
                <w:tcPr>
                  <w:tcW w:w="778" w:type="dxa"/>
                  <w:vMerge w:val="continue"/>
                  <w:noWrap w:val="0"/>
                  <w:vAlign w:val="center"/>
                </w:tcPr>
                <w:p w14:paraId="607D943C">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b/>
                      <w:kern w:val="0"/>
                      <w:sz w:val="21"/>
                      <w:szCs w:val="21"/>
                    </w:rPr>
                  </w:pPr>
                </w:p>
              </w:tc>
              <w:tc>
                <w:tcPr>
                  <w:tcW w:w="953" w:type="dxa"/>
                  <w:noWrap w:val="0"/>
                  <w:vAlign w:val="center"/>
                </w:tcPr>
                <w:p w14:paraId="25194FD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浓度mg/L</w:t>
                  </w:r>
                </w:p>
              </w:tc>
              <w:tc>
                <w:tcPr>
                  <w:tcW w:w="936" w:type="dxa"/>
                  <w:noWrap w:val="0"/>
                  <w:vAlign w:val="center"/>
                </w:tcPr>
                <w:p w14:paraId="75CC413C">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排放量t/a</w:t>
                  </w:r>
                </w:p>
              </w:tc>
              <w:tc>
                <w:tcPr>
                  <w:tcW w:w="938" w:type="dxa"/>
                  <w:vMerge w:val="continue"/>
                  <w:noWrap w:val="0"/>
                  <w:vAlign w:val="center"/>
                </w:tcPr>
                <w:p w14:paraId="41ABDAC6">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b/>
                      <w:kern w:val="0"/>
                      <w:sz w:val="21"/>
                      <w:szCs w:val="21"/>
                    </w:rPr>
                  </w:pPr>
                </w:p>
              </w:tc>
              <w:tc>
                <w:tcPr>
                  <w:tcW w:w="1095" w:type="dxa"/>
                  <w:vMerge w:val="continue"/>
                  <w:noWrap w:val="0"/>
                  <w:vAlign w:val="center"/>
                </w:tcPr>
                <w:p w14:paraId="1FF708A8">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b/>
                      <w:kern w:val="0"/>
                      <w:sz w:val="21"/>
                      <w:szCs w:val="21"/>
                    </w:rPr>
                  </w:pPr>
                </w:p>
              </w:tc>
            </w:tr>
            <w:tr w14:paraId="28DED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715" w:type="dxa"/>
                  <w:vMerge w:val="restart"/>
                  <w:noWrap w:val="0"/>
                  <w:vAlign w:val="center"/>
                </w:tcPr>
                <w:p w14:paraId="0E6BC21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生活污水</w:t>
                  </w:r>
                </w:p>
              </w:tc>
              <w:tc>
                <w:tcPr>
                  <w:tcW w:w="937" w:type="dxa"/>
                  <w:vMerge w:val="restart"/>
                  <w:noWrap w:val="0"/>
                  <w:vAlign w:val="center"/>
                </w:tcPr>
                <w:p w14:paraId="07239DB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w:t>
                  </w:r>
                  <w:r>
                    <w:rPr>
                      <w:rFonts w:hint="default" w:ascii="Times New Roman" w:hAnsi="Times New Roman" w:cs="Times New Roman" w:eastAsiaTheme="minorEastAsia"/>
                      <w:kern w:val="0"/>
                      <w:sz w:val="21"/>
                      <w:szCs w:val="21"/>
                      <w:lang w:val="en-US" w:eastAsia="zh-CN"/>
                    </w:rPr>
                    <w:t>80</w:t>
                  </w:r>
                </w:p>
              </w:tc>
              <w:tc>
                <w:tcPr>
                  <w:tcW w:w="935" w:type="dxa"/>
                  <w:noWrap w:val="0"/>
                  <w:vAlign w:val="center"/>
                </w:tcPr>
                <w:p w14:paraId="29091AE4">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COD</w:t>
                  </w:r>
                  <w:r>
                    <w:rPr>
                      <w:rFonts w:hint="default" w:ascii="Times New Roman" w:hAnsi="Times New Roman" w:cs="Times New Roman" w:eastAsiaTheme="minorEastAsia"/>
                      <w:sz w:val="21"/>
                      <w:szCs w:val="21"/>
                      <w:vertAlign w:val="subscript"/>
                    </w:rPr>
                    <w:t>Cr</w:t>
                  </w:r>
                </w:p>
              </w:tc>
              <w:tc>
                <w:tcPr>
                  <w:tcW w:w="886" w:type="dxa"/>
                  <w:noWrap w:val="0"/>
                  <w:vAlign w:val="center"/>
                </w:tcPr>
                <w:p w14:paraId="7E41860B">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350</w:t>
                  </w:r>
                </w:p>
              </w:tc>
              <w:tc>
                <w:tcPr>
                  <w:tcW w:w="983" w:type="dxa"/>
                  <w:noWrap w:val="0"/>
                  <w:vAlign w:val="center"/>
                </w:tcPr>
                <w:p w14:paraId="02A3A97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w:t>
                  </w:r>
                  <w:r>
                    <w:rPr>
                      <w:rFonts w:hint="eastAsia" w:ascii="Times New Roman" w:hAnsi="Times New Roman" w:cs="Times New Roman" w:eastAsiaTheme="minorEastAsia"/>
                      <w:sz w:val="21"/>
                      <w:szCs w:val="21"/>
                      <w:lang w:val="en-US" w:eastAsia="zh-CN"/>
                    </w:rPr>
                    <w:t>063</w:t>
                  </w:r>
                </w:p>
              </w:tc>
              <w:tc>
                <w:tcPr>
                  <w:tcW w:w="778" w:type="dxa"/>
                  <w:noWrap w:val="0"/>
                  <w:vAlign w:val="center"/>
                </w:tcPr>
                <w:p w14:paraId="73E3252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953" w:type="dxa"/>
                  <w:noWrap w:val="0"/>
                  <w:vAlign w:val="center"/>
                </w:tcPr>
                <w:p w14:paraId="519AC562">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350</w:t>
                  </w:r>
                </w:p>
              </w:tc>
              <w:tc>
                <w:tcPr>
                  <w:tcW w:w="936" w:type="dxa"/>
                  <w:noWrap w:val="0"/>
                  <w:vAlign w:val="center"/>
                </w:tcPr>
                <w:p w14:paraId="012C4A4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0.063</w:t>
                  </w:r>
                </w:p>
              </w:tc>
              <w:tc>
                <w:tcPr>
                  <w:tcW w:w="938" w:type="dxa"/>
                  <w:vMerge w:val="restart"/>
                  <w:noWrap w:val="0"/>
                  <w:vAlign w:val="center"/>
                </w:tcPr>
                <w:p w14:paraId="0A1851A1">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化粪池</w:t>
                  </w:r>
                </w:p>
              </w:tc>
              <w:tc>
                <w:tcPr>
                  <w:tcW w:w="1095" w:type="dxa"/>
                  <w:vMerge w:val="restart"/>
                  <w:noWrap w:val="0"/>
                  <w:vAlign w:val="center"/>
                </w:tcPr>
                <w:p w14:paraId="713E3786">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定期委托环卫部门清运</w:t>
                  </w:r>
                </w:p>
              </w:tc>
            </w:tr>
            <w:tr w14:paraId="3360B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15" w:type="dxa"/>
                  <w:vMerge w:val="continue"/>
                  <w:noWrap w:val="0"/>
                  <w:vAlign w:val="center"/>
                </w:tcPr>
                <w:p w14:paraId="76CE29F5">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kern w:val="0"/>
                      <w:sz w:val="21"/>
                      <w:szCs w:val="21"/>
                    </w:rPr>
                  </w:pPr>
                </w:p>
              </w:tc>
              <w:tc>
                <w:tcPr>
                  <w:tcW w:w="937" w:type="dxa"/>
                  <w:vMerge w:val="continue"/>
                  <w:noWrap w:val="0"/>
                  <w:vAlign w:val="center"/>
                </w:tcPr>
                <w:p w14:paraId="076E756E">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kern w:val="0"/>
                      <w:sz w:val="21"/>
                      <w:szCs w:val="21"/>
                    </w:rPr>
                  </w:pPr>
                </w:p>
              </w:tc>
              <w:tc>
                <w:tcPr>
                  <w:tcW w:w="935" w:type="dxa"/>
                  <w:noWrap w:val="0"/>
                  <w:vAlign w:val="center"/>
                </w:tcPr>
                <w:p w14:paraId="58D74DD4">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BOD</w:t>
                  </w:r>
                  <w:r>
                    <w:rPr>
                      <w:rFonts w:hint="default" w:ascii="Times New Roman" w:hAnsi="Times New Roman" w:cs="Times New Roman" w:eastAsiaTheme="minorEastAsia"/>
                      <w:sz w:val="21"/>
                      <w:szCs w:val="21"/>
                      <w:vertAlign w:val="subscript"/>
                    </w:rPr>
                    <w:t>5</w:t>
                  </w:r>
                </w:p>
              </w:tc>
              <w:tc>
                <w:tcPr>
                  <w:tcW w:w="886" w:type="dxa"/>
                  <w:noWrap w:val="0"/>
                  <w:vAlign w:val="center"/>
                </w:tcPr>
                <w:p w14:paraId="319EC37D">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200</w:t>
                  </w:r>
                </w:p>
              </w:tc>
              <w:tc>
                <w:tcPr>
                  <w:tcW w:w="983" w:type="dxa"/>
                  <w:noWrap w:val="0"/>
                  <w:vAlign w:val="center"/>
                </w:tcPr>
                <w:p w14:paraId="288B4455">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0.036</w:t>
                  </w:r>
                </w:p>
              </w:tc>
              <w:tc>
                <w:tcPr>
                  <w:tcW w:w="778" w:type="dxa"/>
                  <w:noWrap w:val="0"/>
                  <w:vAlign w:val="center"/>
                </w:tcPr>
                <w:p w14:paraId="26A27A96">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953" w:type="dxa"/>
                  <w:noWrap w:val="0"/>
                  <w:vAlign w:val="center"/>
                </w:tcPr>
                <w:p w14:paraId="03FFBC7F">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200</w:t>
                  </w:r>
                </w:p>
              </w:tc>
              <w:tc>
                <w:tcPr>
                  <w:tcW w:w="936" w:type="dxa"/>
                  <w:noWrap w:val="0"/>
                  <w:vAlign w:val="center"/>
                </w:tcPr>
                <w:p w14:paraId="090DB59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0.036</w:t>
                  </w:r>
                </w:p>
              </w:tc>
              <w:tc>
                <w:tcPr>
                  <w:tcW w:w="938" w:type="dxa"/>
                  <w:vMerge w:val="continue"/>
                  <w:noWrap w:val="0"/>
                  <w:vAlign w:val="center"/>
                </w:tcPr>
                <w:p w14:paraId="67B5199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sz w:val="21"/>
                      <w:szCs w:val="21"/>
                    </w:rPr>
                  </w:pPr>
                </w:p>
              </w:tc>
              <w:tc>
                <w:tcPr>
                  <w:tcW w:w="1095" w:type="dxa"/>
                  <w:vMerge w:val="continue"/>
                  <w:noWrap w:val="0"/>
                  <w:vAlign w:val="center"/>
                </w:tcPr>
                <w:p w14:paraId="3E768DD0">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cs="Times New Roman" w:eastAsiaTheme="minorEastAsia"/>
                      <w:kern w:val="0"/>
                      <w:sz w:val="21"/>
                      <w:szCs w:val="21"/>
                    </w:rPr>
                  </w:pPr>
                </w:p>
              </w:tc>
            </w:tr>
            <w:tr w14:paraId="0A8BF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715" w:type="dxa"/>
                  <w:vMerge w:val="continue"/>
                  <w:noWrap w:val="0"/>
                  <w:vAlign w:val="center"/>
                </w:tcPr>
                <w:p w14:paraId="34D06627">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kern w:val="0"/>
                      <w:sz w:val="21"/>
                      <w:szCs w:val="21"/>
                    </w:rPr>
                  </w:pPr>
                </w:p>
              </w:tc>
              <w:tc>
                <w:tcPr>
                  <w:tcW w:w="937" w:type="dxa"/>
                  <w:vMerge w:val="continue"/>
                  <w:noWrap w:val="0"/>
                  <w:vAlign w:val="center"/>
                </w:tcPr>
                <w:p w14:paraId="0C0B28C0">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kern w:val="0"/>
                      <w:sz w:val="21"/>
                      <w:szCs w:val="21"/>
                    </w:rPr>
                  </w:pPr>
                </w:p>
              </w:tc>
              <w:tc>
                <w:tcPr>
                  <w:tcW w:w="935" w:type="dxa"/>
                  <w:noWrap w:val="0"/>
                  <w:vAlign w:val="center"/>
                </w:tcPr>
                <w:p w14:paraId="70D0D2ED">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SS</w:t>
                  </w:r>
                </w:p>
              </w:tc>
              <w:tc>
                <w:tcPr>
                  <w:tcW w:w="886" w:type="dxa"/>
                  <w:noWrap w:val="0"/>
                  <w:vAlign w:val="center"/>
                </w:tcPr>
                <w:p w14:paraId="2CE25BA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200</w:t>
                  </w:r>
                </w:p>
              </w:tc>
              <w:tc>
                <w:tcPr>
                  <w:tcW w:w="983" w:type="dxa"/>
                  <w:noWrap w:val="0"/>
                  <w:vAlign w:val="center"/>
                </w:tcPr>
                <w:p w14:paraId="618E7F4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0.036</w:t>
                  </w:r>
                </w:p>
              </w:tc>
              <w:tc>
                <w:tcPr>
                  <w:tcW w:w="778" w:type="dxa"/>
                  <w:noWrap w:val="0"/>
                  <w:vAlign w:val="center"/>
                </w:tcPr>
                <w:p w14:paraId="551CAA5F">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40%</w:t>
                  </w:r>
                </w:p>
              </w:tc>
              <w:tc>
                <w:tcPr>
                  <w:tcW w:w="953" w:type="dxa"/>
                  <w:noWrap w:val="0"/>
                  <w:vAlign w:val="center"/>
                </w:tcPr>
                <w:p w14:paraId="6BBBE11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120</w:t>
                  </w:r>
                </w:p>
              </w:tc>
              <w:tc>
                <w:tcPr>
                  <w:tcW w:w="936" w:type="dxa"/>
                  <w:noWrap w:val="0"/>
                  <w:vAlign w:val="center"/>
                </w:tcPr>
                <w:p w14:paraId="7D0EDB8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0.022</w:t>
                  </w:r>
                </w:p>
              </w:tc>
              <w:tc>
                <w:tcPr>
                  <w:tcW w:w="938" w:type="dxa"/>
                  <w:vMerge w:val="continue"/>
                  <w:noWrap w:val="0"/>
                  <w:vAlign w:val="center"/>
                </w:tcPr>
                <w:p w14:paraId="343D54D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sz w:val="21"/>
                      <w:szCs w:val="21"/>
                    </w:rPr>
                  </w:pPr>
                </w:p>
              </w:tc>
              <w:tc>
                <w:tcPr>
                  <w:tcW w:w="1095" w:type="dxa"/>
                  <w:vMerge w:val="continue"/>
                  <w:noWrap w:val="0"/>
                  <w:vAlign w:val="center"/>
                </w:tcPr>
                <w:p w14:paraId="080DE70C">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cs="Times New Roman" w:eastAsiaTheme="minorEastAsia"/>
                      <w:kern w:val="0"/>
                      <w:sz w:val="21"/>
                      <w:szCs w:val="21"/>
                    </w:rPr>
                  </w:pPr>
                </w:p>
              </w:tc>
            </w:tr>
            <w:tr w14:paraId="36138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715" w:type="dxa"/>
                  <w:vMerge w:val="continue"/>
                  <w:noWrap w:val="0"/>
                  <w:vAlign w:val="center"/>
                </w:tcPr>
                <w:p w14:paraId="579968AC">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kern w:val="0"/>
                      <w:sz w:val="21"/>
                      <w:szCs w:val="21"/>
                    </w:rPr>
                  </w:pPr>
                </w:p>
              </w:tc>
              <w:tc>
                <w:tcPr>
                  <w:tcW w:w="937" w:type="dxa"/>
                  <w:vMerge w:val="continue"/>
                  <w:noWrap w:val="0"/>
                  <w:vAlign w:val="center"/>
                </w:tcPr>
                <w:p w14:paraId="71C72BD7">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kern w:val="0"/>
                      <w:sz w:val="21"/>
                      <w:szCs w:val="21"/>
                    </w:rPr>
                  </w:pPr>
                </w:p>
              </w:tc>
              <w:tc>
                <w:tcPr>
                  <w:tcW w:w="935" w:type="dxa"/>
                  <w:noWrap w:val="0"/>
                  <w:vAlign w:val="center"/>
                </w:tcPr>
                <w:p w14:paraId="479467BB">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氨氮</w:t>
                  </w:r>
                </w:p>
              </w:tc>
              <w:tc>
                <w:tcPr>
                  <w:tcW w:w="886" w:type="dxa"/>
                  <w:noWrap w:val="0"/>
                  <w:vAlign w:val="center"/>
                </w:tcPr>
                <w:p w14:paraId="61837BA2">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w:t>
                  </w:r>
                </w:p>
              </w:tc>
              <w:tc>
                <w:tcPr>
                  <w:tcW w:w="983" w:type="dxa"/>
                  <w:noWrap w:val="0"/>
                  <w:vAlign w:val="center"/>
                </w:tcPr>
                <w:p w14:paraId="4C8C5D2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0.005</w:t>
                  </w:r>
                </w:p>
              </w:tc>
              <w:tc>
                <w:tcPr>
                  <w:tcW w:w="778" w:type="dxa"/>
                  <w:noWrap w:val="0"/>
                  <w:vAlign w:val="center"/>
                </w:tcPr>
                <w:p w14:paraId="3393C58E">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0%</w:t>
                  </w:r>
                </w:p>
              </w:tc>
              <w:tc>
                <w:tcPr>
                  <w:tcW w:w="953" w:type="dxa"/>
                  <w:noWrap w:val="0"/>
                  <w:vAlign w:val="center"/>
                </w:tcPr>
                <w:p w14:paraId="4106EE1C">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w:t>
                  </w:r>
                </w:p>
              </w:tc>
              <w:tc>
                <w:tcPr>
                  <w:tcW w:w="936" w:type="dxa"/>
                  <w:noWrap w:val="0"/>
                  <w:vAlign w:val="center"/>
                </w:tcPr>
                <w:p w14:paraId="623BC99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0.005</w:t>
                  </w:r>
                </w:p>
              </w:tc>
              <w:tc>
                <w:tcPr>
                  <w:tcW w:w="938" w:type="dxa"/>
                  <w:vMerge w:val="continue"/>
                  <w:noWrap w:val="0"/>
                  <w:vAlign w:val="center"/>
                </w:tcPr>
                <w:p w14:paraId="6E90854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sz w:val="21"/>
                      <w:szCs w:val="21"/>
                    </w:rPr>
                  </w:pPr>
                </w:p>
              </w:tc>
              <w:tc>
                <w:tcPr>
                  <w:tcW w:w="1095" w:type="dxa"/>
                  <w:vMerge w:val="continue"/>
                  <w:noWrap w:val="0"/>
                  <w:vAlign w:val="center"/>
                </w:tcPr>
                <w:p w14:paraId="544A0F08">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cs="Times New Roman" w:eastAsiaTheme="minorEastAsia"/>
                      <w:kern w:val="0"/>
                      <w:sz w:val="21"/>
                      <w:szCs w:val="21"/>
                    </w:rPr>
                  </w:pPr>
                </w:p>
              </w:tc>
            </w:tr>
          </w:tbl>
          <w:p w14:paraId="76E85248">
            <w:pPr>
              <w:pStyle w:val="22"/>
              <w:keepNext w:val="0"/>
              <w:keepLines w:val="0"/>
              <w:pageBreakBefore w:val="0"/>
              <w:widowControl w:val="0"/>
              <w:kinsoku/>
              <w:wordWrap/>
              <w:overflowPunct/>
              <w:topLinePunct w:val="0"/>
              <w:autoSpaceDE/>
              <w:autoSpaceDN/>
              <w:bidi w:val="0"/>
              <w:snapToGrid/>
              <w:spacing w:after="0" w:afterLines="0" w:line="360" w:lineRule="auto"/>
              <w:ind w:left="0" w:leftChars="0" w:firstLine="480" w:firstLineChars="200"/>
              <w:textAlignment w:val="auto"/>
              <w:rPr>
                <w:rFonts w:hint="eastAsia" w:ascii="Times New Roman" w:hAnsi="Times New Roman" w:eastAsia="新宋体" w:cs="Times New Roman"/>
                <w:color w:val="auto"/>
                <w:kern w:val="2"/>
                <w:sz w:val="24"/>
                <w:szCs w:val="22"/>
                <w:lang w:val="en-US" w:eastAsia="zh-CN" w:bidi="ar-SA"/>
              </w:rPr>
            </w:pPr>
            <w:r>
              <w:rPr>
                <w:rFonts w:hint="eastAsia" w:ascii="Times New Roman" w:hAnsi="Times New Roman" w:eastAsia="新宋体" w:cs="Times New Roman"/>
                <w:color w:val="auto"/>
                <w:kern w:val="2"/>
                <w:sz w:val="24"/>
                <w:szCs w:val="22"/>
                <w:lang w:val="en-US" w:eastAsia="zh-CN" w:bidi="ar-SA"/>
              </w:rPr>
              <w:t>2.2废水处理可行性分析</w:t>
            </w:r>
          </w:p>
          <w:p w14:paraId="64796F25">
            <w:pPr>
              <w:pStyle w:val="2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ascii="宋体" w:hAnsi="宋体" w:eastAsia="宋体" w:cs="宋体"/>
                <w:color w:val="auto"/>
                <w:sz w:val="24"/>
                <w:szCs w:val="24"/>
              </w:rPr>
            </w:pPr>
            <w:r>
              <w:rPr>
                <w:rFonts w:hint="eastAsia"/>
                <w:color w:val="auto"/>
                <w:sz w:val="24"/>
                <w:lang w:val="en-US" w:eastAsia="zh-CN"/>
              </w:rPr>
              <w:t>本项目生活污水主要污</w:t>
            </w:r>
            <w:r>
              <w:rPr>
                <w:rFonts w:hint="default" w:ascii="Times New Roman" w:hAnsi="Times New Roman" w:cs="Times New Roman"/>
                <w:color w:val="auto"/>
                <w:sz w:val="24"/>
                <w:lang w:val="en-US" w:eastAsia="zh-CN"/>
              </w:rPr>
              <w:t>染物为COD</w:t>
            </w:r>
            <w:r>
              <w:rPr>
                <w:rFonts w:hint="default" w:ascii="Times New Roman" w:hAnsi="Times New Roman" w:cs="Times New Roman"/>
                <w:color w:val="auto"/>
                <w:szCs w:val="20"/>
                <w:lang w:val="en-US" w:eastAsia="zh-CN"/>
              </w:rPr>
              <w:t>cr</w:t>
            </w:r>
            <w:r>
              <w:rPr>
                <w:rFonts w:hint="default" w:ascii="Times New Roman" w:hAnsi="Times New Roman" w:cs="Times New Roman"/>
                <w:color w:val="auto"/>
                <w:sz w:val="24"/>
                <w:lang w:val="en-US" w:eastAsia="zh-CN"/>
              </w:rPr>
              <w:t>、BOD</w:t>
            </w:r>
            <w:r>
              <w:rPr>
                <w:rFonts w:hint="default" w:ascii="Times New Roman" w:hAnsi="Times New Roman" w:cs="Times New Roman"/>
                <w:color w:val="auto"/>
                <w:sz w:val="24"/>
                <w:vertAlign w:val="subscript"/>
                <w:lang w:val="en-US" w:eastAsia="zh-CN"/>
              </w:rPr>
              <w:t>5</w:t>
            </w:r>
            <w:r>
              <w:rPr>
                <w:rFonts w:hint="default" w:ascii="Times New Roman" w:hAnsi="Times New Roman" w:cs="Times New Roman"/>
                <w:color w:val="auto"/>
                <w:sz w:val="24"/>
                <w:lang w:val="en-US" w:eastAsia="zh-CN"/>
              </w:rPr>
              <w:t>、SS、氨氮，水质</w:t>
            </w:r>
            <w:r>
              <w:rPr>
                <w:rFonts w:hint="eastAsia"/>
                <w:color w:val="auto"/>
                <w:sz w:val="24"/>
                <w:lang w:val="en-US" w:eastAsia="zh-CN"/>
              </w:rPr>
              <w:t>较为简单，经厂区化粪池预处理后定期委托环卫部门清运。</w:t>
            </w:r>
            <w:r>
              <w:rPr>
                <w:sz w:val="24"/>
              </w:rPr>
              <w:t>污水进入化粪池经过12~24h的沉淀，可去除</w:t>
            </w:r>
            <w:r>
              <w:rPr>
                <w:rFonts w:hint="eastAsia"/>
                <w:sz w:val="24"/>
                <w:lang w:val="en-US" w:eastAsia="zh-CN"/>
              </w:rPr>
              <w:t>4</w:t>
            </w:r>
            <w:r>
              <w:rPr>
                <w:sz w:val="24"/>
              </w:rPr>
              <w:t>0%的悬浮物。沉淀下来的污泥经过厌氧发酵分解，使污泥中的有机物分解成稳定的无机物，易腐败的生</w:t>
            </w:r>
            <w:r>
              <w:rPr>
                <w:rFonts w:hint="eastAsia"/>
                <w:sz w:val="24"/>
              </w:rPr>
              <w:t>活</w:t>
            </w:r>
            <w:r>
              <w:rPr>
                <w:sz w:val="24"/>
              </w:rPr>
              <w:t>污泥转化为稳定的熟污泥，改变了污泥的结构，降低了污泥的含水率</w:t>
            </w:r>
            <w:r>
              <w:rPr>
                <w:rFonts w:hint="eastAsia"/>
                <w:sz w:val="24"/>
                <w:lang w:eastAsia="zh-CN"/>
              </w:rPr>
              <w:t>。因生活污水水质较简单，经化粪池预处理后不会对环境造成太大污染，</w:t>
            </w:r>
            <w:r>
              <w:rPr>
                <w:rFonts w:hint="eastAsia"/>
                <w:sz w:val="24"/>
                <w:lang w:val="en-US" w:eastAsia="zh-CN"/>
              </w:rPr>
              <w:t>因此</w:t>
            </w:r>
            <w:r>
              <w:rPr>
                <w:rFonts w:hint="default" w:ascii="Times New Roman" w:hAnsi="Times New Roman" w:eastAsia="宋体" w:cs="Times New Roman"/>
                <w:color w:val="auto"/>
                <w:sz w:val="24"/>
                <w:szCs w:val="24"/>
              </w:rPr>
              <w:t>本项目</w:t>
            </w:r>
            <w:r>
              <w:rPr>
                <w:rFonts w:ascii="宋体" w:hAnsi="宋体" w:eastAsia="宋体" w:cs="宋体"/>
                <w:color w:val="auto"/>
                <w:sz w:val="24"/>
                <w:szCs w:val="24"/>
              </w:rPr>
              <w:t>生活污水采用化粪池</w:t>
            </w:r>
            <w:r>
              <w:rPr>
                <w:rFonts w:hint="eastAsia" w:hAnsi="宋体" w:cs="宋体"/>
                <w:color w:val="auto"/>
                <w:sz w:val="24"/>
                <w:szCs w:val="24"/>
                <w:lang w:eastAsia="zh-CN"/>
              </w:rPr>
              <w:t>沉淀</w:t>
            </w:r>
            <w:r>
              <w:rPr>
                <w:rFonts w:ascii="宋体" w:hAnsi="宋体" w:eastAsia="宋体" w:cs="宋体"/>
                <w:color w:val="auto"/>
                <w:sz w:val="24"/>
                <w:szCs w:val="24"/>
              </w:rPr>
              <w:t>处理</w:t>
            </w:r>
            <w:r>
              <w:rPr>
                <w:rFonts w:hint="eastAsia" w:hAnsi="宋体" w:cs="宋体"/>
                <w:color w:val="auto"/>
                <w:sz w:val="24"/>
                <w:szCs w:val="24"/>
                <w:lang w:eastAsia="zh-CN"/>
              </w:rPr>
              <w:t>属于</w:t>
            </w:r>
            <w:r>
              <w:rPr>
                <w:rFonts w:ascii="宋体" w:hAnsi="宋体" w:eastAsia="宋体" w:cs="宋体"/>
                <w:color w:val="auto"/>
                <w:sz w:val="24"/>
                <w:szCs w:val="24"/>
              </w:rPr>
              <w:t>可行性技术。</w:t>
            </w:r>
          </w:p>
          <w:p w14:paraId="75CE0FA6">
            <w:pPr>
              <w:pStyle w:val="22"/>
              <w:keepNext w:val="0"/>
              <w:keepLines w:val="0"/>
              <w:pageBreakBefore w:val="0"/>
              <w:widowControl w:val="0"/>
              <w:kinsoku/>
              <w:wordWrap/>
              <w:overflowPunct/>
              <w:topLinePunct w:val="0"/>
              <w:autoSpaceDE/>
              <w:autoSpaceDN/>
              <w:bidi w:val="0"/>
              <w:snapToGrid/>
              <w:spacing w:after="0" w:afterLines="0" w:line="360" w:lineRule="auto"/>
              <w:ind w:left="0" w:leftChars="0" w:firstLine="480" w:firstLineChars="200"/>
              <w:textAlignment w:val="auto"/>
              <w:rPr>
                <w:rFonts w:hint="eastAsia" w:ascii="Times New Roman" w:hAnsi="Times New Roman" w:eastAsia="新宋体" w:cs="Times New Roman"/>
                <w:color w:val="auto"/>
                <w:kern w:val="2"/>
                <w:sz w:val="24"/>
                <w:szCs w:val="22"/>
                <w:lang w:val="en-US" w:eastAsia="zh-CN" w:bidi="ar-SA"/>
              </w:rPr>
            </w:pPr>
            <w:r>
              <w:rPr>
                <w:rFonts w:hint="eastAsia" w:ascii="Times New Roman" w:hAnsi="Times New Roman" w:eastAsia="新宋体" w:cs="Times New Roman"/>
                <w:color w:val="auto"/>
                <w:kern w:val="2"/>
                <w:sz w:val="24"/>
                <w:szCs w:val="22"/>
                <w:lang w:val="en-US" w:eastAsia="zh-CN" w:bidi="ar-SA"/>
              </w:rPr>
              <w:t>2.4监测计划</w:t>
            </w:r>
          </w:p>
          <w:p w14:paraId="1FFF4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本项目运营期无废水外排，无需进行监测。</w:t>
            </w:r>
          </w:p>
          <w:p w14:paraId="3EF8CCAD">
            <w:pPr>
              <w:adjustRightInd w:val="0"/>
              <w:snapToGrid w:val="0"/>
              <w:spacing w:line="360" w:lineRule="auto"/>
              <w:rPr>
                <w:rFonts w:hint="eastAsia"/>
                <w:b/>
                <w:color w:val="auto"/>
                <w:spacing w:val="-10"/>
                <w:sz w:val="24"/>
              </w:rPr>
            </w:pPr>
            <w:r>
              <w:rPr>
                <w:b/>
                <w:color w:val="auto"/>
                <w:spacing w:val="-10"/>
                <w:sz w:val="24"/>
              </w:rPr>
              <w:t>3</w:t>
            </w:r>
            <w:r>
              <w:rPr>
                <w:rFonts w:hint="eastAsia"/>
                <w:b/>
                <w:color w:val="auto"/>
                <w:spacing w:val="-10"/>
                <w:sz w:val="24"/>
                <w:lang w:eastAsia="zh-CN"/>
              </w:rPr>
              <w:t>、</w:t>
            </w:r>
            <w:r>
              <w:rPr>
                <w:rFonts w:hint="eastAsia"/>
                <w:b/>
                <w:color w:val="auto"/>
                <w:spacing w:val="-10"/>
                <w:sz w:val="24"/>
              </w:rPr>
              <w:t>噪声</w:t>
            </w:r>
          </w:p>
          <w:p w14:paraId="46BCF1B9">
            <w:pPr>
              <w:adjustRightInd w:val="0"/>
              <w:spacing w:line="360" w:lineRule="auto"/>
              <w:ind w:firstLine="480" w:firstLineChars="200"/>
              <w:rPr>
                <w:rFonts w:ascii="Times New Roman" w:hAnsi="Times New Roman" w:eastAsia="新宋体" w:cs="Times New Roman"/>
                <w:color w:val="auto"/>
                <w:sz w:val="24"/>
                <w:szCs w:val="22"/>
              </w:rPr>
            </w:pPr>
            <w:r>
              <w:rPr>
                <w:rFonts w:hint="eastAsia" w:ascii="Times New Roman" w:hAnsi="Times New Roman" w:eastAsia="新宋体" w:cs="Times New Roman"/>
                <w:color w:val="auto"/>
                <w:sz w:val="24"/>
                <w:szCs w:val="22"/>
                <w:lang w:val="en-US" w:eastAsia="zh-CN"/>
              </w:rPr>
              <w:t>3.1</w:t>
            </w:r>
            <w:r>
              <w:rPr>
                <w:rFonts w:ascii="Times New Roman" w:hAnsi="Times New Roman" w:eastAsia="新宋体" w:cs="Times New Roman"/>
                <w:color w:val="auto"/>
                <w:sz w:val="24"/>
                <w:szCs w:val="22"/>
              </w:rPr>
              <w:t>源强分析</w:t>
            </w:r>
          </w:p>
          <w:p w14:paraId="4A2779A2">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szCs w:val="24"/>
              </w:rPr>
              <w:t>本项目运营期间噪声主要来源于</w:t>
            </w:r>
            <w:r>
              <w:rPr>
                <w:rFonts w:hint="eastAsia" w:cs="Times New Roman"/>
                <w:color w:val="auto"/>
                <w:sz w:val="24"/>
                <w:szCs w:val="24"/>
                <w:lang w:val="en-US" w:eastAsia="zh-CN"/>
              </w:rPr>
              <w:t>输送机、提升机</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搅拌罐、包装机</w:t>
            </w:r>
            <w:r>
              <w:rPr>
                <w:rFonts w:hint="eastAsia" w:ascii="Times New Roman" w:hAnsi="Times New Roman" w:cs="Times New Roman"/>
                <w:color w:val="auto"/>
                <w:sz w:val="24"/>
                <w:szCs w:val="24"/>
                <w:lang w:val="en-US" w:eastAsia="zh-CN"/>
              </w:rPr>
              <w:t>以及风机</w:t>
            </w:r>
            <w:r>
              <w:rPr>
                <w:rFonts w:hint="default" w:ascii="Times New Roman" w:hAnsi="Times New Roman" w:cs="Times New Roman"/>
                <w:color w:val="auto"/>
                <w:sz w:val="24"/>
                <w:szCs w:val="24"/>
                <w:lang w:eastAsia="zh-CN"/>
              </w:rPr>
              <w:t>等设备</w:t>
            </w:r>
            <w:r>
              <w:rPr>
                <w:rFonts w:hint="default" w:ascii="Times New Roman" w:hAnsi="Times New Roman" w:cs="Times New Roman"/>
                <w:color w:val="auto"/>
                <w:sz w:val="24"/>
                <w:szCs w:val="24"/>
              </w:rPr>
              <w:t>产生的噪声</w:t>
            </w:r>
            <w:r>
              <w:rPr>
                <w:rFonts w:hint="eastAsia" w:cs="Times New Roman"/>
                <w:color w:val="auto"/>
                <w:sz w:val="24"/>
                <w:szCs w:val="24"/>
                <w:lang w:eastAsia="zh-CN"/>
              </w:rPr>
              <w:t>，</w:t>
            </w:r>
            <w:r>
              <w:rPr>
                <w:rFonts w:hint="default" w:ascii="Times New Roman" w:hAnsi="Times New Roman" w:cs="Times New Roman"/>
                <w:color w:val="auto"/>
                <w:sz w:val="24"/>
                <w:szCs w:val="24"/>
              </w:rPr>
              <w:t>声级约为</w:t>
            </w:r>
            <w:r>
              <w:rPr>
                <w:rFonts w:hint="default" w:ascii="Times New Roman" w:hAnsi="Times New Roman" w:cs="Times New Roman"/>
                <w:color w:val="auto"/>
                <w:sz w:val="24"/>
                <w:szCs w:val="24"/>
                <w:lang w:val="en-US" w:eastAsia="zh-CN"/>
              </w:rPr>
              <w:t>7</w:t>
            </w:r>
            <w:r>
              <w:rPr>
                <w:rFonts w:hint="eastAsia"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85</w:t>
            </w:r>
            <w:r>
              <w:rPr>
                <w:rFonts w:hint="default" w:ascii="Times New Roman" w:hAnsi="Times New Roman" w:cs="Times New Roman"/>
                <w:color w:val="auto"/>
                <w:sz w:val="24"/>
                <w:szCs w:val="24"/>
              </w:rPr>
              <w:t>dB（A）。</w:t>
            </w:r>
            <w:r>
              <w:rPr>
                <w:rFonts w:hint="eastAsia" w:ascii="Times New Roman" w:hAnsi="Times New Roman" w:cs="Times New Roman"/>
                <w:color w:val="auto"/>
                <w:sz w:val="24"/>
                <w:szCs w:val="24"/>
                <w:lang w:eastAsia="zh-CN"/>
              </w:rPr>
              <w:t>噪声</w:t>
            </w:r>
            <w:r>
              <w:rPr>
                <w:rFonts w:hint="default" w:ascii="Times New Roman" w:hAnsi="Times New Roman" w:cs="Times New Roman"/>
                <w:color w:val="auto"/>
                <w:sz w:val="24"/>
                <w:szCs w:val="24"/>
              </w:rPr>
              <w:t>防护措施主要通过建筑物隔声、合理布局等削减设备噪声，加强房间门窗密闭性，经常保养和维护设备，避免设备在不良状态下运行</w:t>
            </w:r>
            <w:r>
              <w:rPr>
                <w:rFonts w:hint="default" w:ascii="Times New Roman" w:hAnsi="Times New Roman" w:eastAsia="宋体" w:cs="Times New Roman"/>
                <w:color w:val="auto"/>
                <w:sz w:val="24"/>
              </w:rPr>
              <w:t>。</w:t>
            </w:r>
          </w:p>
          <w:p w14:paraId="7A2BDAF9">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b/>
                <w:color w:val="auto"/>
                <w:sz w:val="24"/>
              </w:rPr>
              <w:t>表</w:t>
            </w:r>
            <w:r>
              <w:rPr>
                <w:rFonts w:hint="eastAsia"/>
                <w:b/>
                <w:color w:val="auto"/>
                <w:sz w:val="24"/>
                <w:lang w:val="en-US" w:eastAsia="zh-CN"/>
              </w:rPr>
              <w:t xml:space="preserve">4-7 </w:t>
            </w:r>
            <w:r>
              <w:rPr>
                <w:rFonts w:cs="Times New Roman" w:asciiTheme="minorEastAsia" w:hAnsiTheme="minorEastAsia" w:eastAsiaTheme="minorEastAsia"/>
                <w:b/>
                <w:bCs/>
                <w:lang w:eastAsia="zh-CN"/>
              </w:rPr>
              <w:t>工业企业噪声源强调查清单（室外声源）</w:t>
            </w:r>
          </w:p>
          <w:tbl>
            <w:tblPr>
              <w:tblStyle w:val="33"/>
              <w:tblW w:w="9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48"/>
              <w:gridCol w:w="827"/>
              <w:gridCol w:w="675"/>
              <w:gridCol w:w="680"/>
              <w:gridCol w:w="1845"/>
              <w:gridCol w:w="1576"/>
              <w:gridCol w:w="1557"/>
            </w:tblGrid>
            <w:tr w14:paraId="78D0F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vMerge w:val="restart"/>
                  <w:tcBorders>
                    <w:tl2br w:val="nil"/>
                    <w:tr2bl w:val="nil"/>
                  </w:tcBorders>
                  <w:vAlign w:val="center"/>
                </w:tcPr>
                <w:p w14:paraId="0126B58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序号</w:t>
                  </w:r>
                </w:p>
              </w:tc>
              <w:tc>
                <w:tcPr>
                  <w:tcW w:w="1348" w:type="dxa"/>
                  <w:vMerge w:val="restart"/>
                  <w:tcBorders>
                    <w:tl2br w:val="nil"/>
                    <w:tr2bl w:val="nil"/>
                  </w:tcBorders>
                  <w:vAlign w:val="center"/>
                </w:tcPr>
                <w:p w14:paraId="41C4C7A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声源名称</w:t>
                  </w:r>
                </w:p>
              </w:tc>
              <w:tc>
                <w:tcPr>
                  <w:tcW w:w="2182" w:type="dxa"/>
                  <w:gridSpan w:val="3"/>
                  <w:tcBorders>
                    <w:tl2br w:val="nil"/>
                    <w:tr2bl w:val="nil"/>
                  </w:tcBorders>
                  <w:vAlign w:val="center"/>
                </w:tcPr>
                <w:p w14:paraId="7A49FDC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空间相对位置/m</w:t>
                  </w:r>
                </w:p>
              </w:tc>
              <w:tc>
                <w:tcPr>
                  <w:tcW w:w="1845" w:type="dxa"/>
                  <w:tcBorders>
                    <w:tl2br w:val="nil"/>
                    <w:tr2bl w:val="nil"/>
                  </w:tcBorders>
                  <w:vAlign w:val="center"/>
                </w:tcPr>
                <w:p w14:paraId="0AF629F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sz w:val="21"/>
                      <w:szCs w:val="21"/>
                      <w:lang w:eastAsia="zh-CN"/>
                    </w:rPr>
                    <w:t>声源源强</w:t>
                  </w:r>
                </w:p>
              </w:tc>
              <w:tc>
                <w:tcPr>
                  <w:tcW w:w="1576" w:type="dxa"/>
                  <w:vMerge w:val="restart"/>
                  <w:tcBorders>
                    <w:tl2br w:val="nil"/>
                    <w:tr2bl w:val="nil"/>
                  </w:tcBorders>
                  <w:vAlign w:val="center"/>
                </w:tcPr>
                <w:p w14:paraId="3836F0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b/>
                      <w:sz w:val="21"/>
                      <w:szCs w:val="21"/>
                      <w:lang w:val="en-US" w:eastAsia="zh-CN"/>
                    </w:rPr>
                  </w:pPr>
                  <w:r>
                    <w:rPr>
                      <w:rFonts w:hint="default" w:ascii="Times New Roman" w:hAnsi="Times New Roman" w:cs="Times New Roman" w:eastAsiaTheme="minorEastAsia"/>
                      <w:b/>
                      <w:sz w:val="21"/>
                      <w:szCs w:val="21"/>
                      <w:lang w:val="en-US" w:eastAsia="zh-CN"/>
                    </w:rPr>
                    <w:t>声源控制措施</w:t>
                  </w:r>
                </w:p>
              </w:tc>
              <w:tc>
                <w:tcPr>
                  <w:tcW w:w="1557" w:type="dxa"/>
                  <w:vMerge w:val="restart"/>
                  <w:tcBorders>
                    <w:tl2br w:val="nil"/>
                    <w:tr2bl w:val="nil"/>
                  </w:tcBorders>
                  <w:vAlign w:val="center"/>
                </w:tcPr>
                <w:p w14:paraId="00B8516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运行时段</w:t>
                  </w:r>
                </w:p>
              </w:tc>
            </w:tr>
            <w:tr w14:paraId="09287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vMerge w:val="continue"/>
                  <w:tcBorders>
                    <w:tl2br w:val="nil"/>
                    <w:tr2bl w:val="nil"/>
                  </w:tcBorders>
                  <w:shd w:val="clear" w:color="auto" w:fill="FFFFFF"/>
                  <w:vAlign w:val="center"/>
                </w:tcPr>
                <w:p w14:paraId="46C9FD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rPr>
                  </w:pPr>
                </w:p>
              </w:tc>
              <w:tc>
                <w:tcPr>
                  <w:tcW w:w="1348" w:type="dxa"/>
                  <w:vMerge w:val="continue"/>
                  <w:tcBorders>
                    <w:tl2br w:val="nil"/>
                    <w:tr2bl w:val="nil"/>
                  </w:tcBorders>
                  <w:shd w:val="clear" w:color="auto" w:fill="FFFFFF"/>
                  <w:vAlign w:val="center"/>
                </w:tcPr>
                <w:p w14:paraId="087F06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rPr>
                  </w:pPr>
                </w:p>
              </w:tc>
              <w:tc>
                <w:tcPr>
                  <w:tcW w:w="827" w:type="dxa"/>
                  <w:tcBorders>
                    <w:tl2br w:val="nil"/>
                    <w:tr2bl w:val="nil"/>
                  </w:tcBorders>
                  <w:shd w:val="clear" w:color="auto" w:fill="FFFFFF"/>
                  <w:vAlign w:val="center"/>
                </w:tcPr>
                <w:p w14:paraId="4433671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X</w:t>
                  </w:r>
                </w:p>
              </w:tc>
              <w:tc>
                <w:tcPr>
                  <w:tcW w:w="675" w:type="dxa"/>
                  <w:tcBorders>
                    <w:tl2br w:val="nil"/>
                    <w:tr2bl w:val="nil"/>
                  </w:tcBorders>
                  <w:shd w:val="clear" w:color="auto" w:fill="FFFFFF"/>
                  <w:vAlign w:val="center"/>
                </w:tcPr>
                <w:p w14:paraId="20FC543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Y</w:t>
                  </w:r>
                </w:p>
              </w:tc>
              <w:tc>
                <w:tcPr>
                  <w:tcW w:w="680" w:type="dxa"/>
                  <w:tcBorders>
                    <w:tl2br w:val="nil"/>
                    <w:tr2bl w:val="nil"/>
                  </w:tcBorders>
                  <w:shd w:val="clear" w:color="auto" w:fill="FFFFFF"/>
                  <w:vAlign w:val="center"/>
                </w:tcPr>
                <w:p w14:paraId="75D1413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Z</w:t>
                  </w:r>
                </w:p>
              </w:tc>
              <w:tc>
                <w:tcPr>
                  <w:tcW w:w="1845" w:type="dxa"/>
                  <w:tcBorders>
                    <w:tl2br w:val="nil"/>
                    <w:tr2bl w:val="nil"/>
                  </w:tcBorders>
                  <w:shd w:val="clear" w:color="auto" w:fill="FFFFFF"/>
                  <w:vAlign w:val="center"/>
                </w:tcPr>
                <w:p w14:paraId="71F58DB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声功率级/dB(A)</w:t>
                  </w:r>
                </w:p>
              </w:tc>
              <w:tc>
                <w:tcPr>
                  <w:tcW w:w="1576" w:type="dxa"/>
                  <w:vMerge w:val="continue"/>
                  <w:tcBorders>
                    <w:tl2br w:val="nil"/>
                    <w:tr2bl w:val="nil"/>
                  </w:tcBorders>
                  <w:shd w:val="clear" w:color="auto" w:fill="FFFFFF"/>
                  <w:vAlign w:val="center"/>
                </w:tcPr>
                <w:p w14:paraId="5B713DC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rPr>
                  </w:pPr>
                </w:p>
              </w:tc>
              <w:tc>
                <w:tcPr>
                  <w:tcW w:w="1557" w:type="dxa"/>
                  <w:vMerge w:val="continue"/>
                  <w:tcBorders>
                    <w:tl2br w:val="nil"/>
                    <w:tr2bl w:val="nil"/>
                  </w:tcBorders>
                  <w:shd w:val="clear" w:color="auto" w:fill="FFFFFF"/>
                  <w:vAlign w:val="center"/>
                </w:tcPr>
                <w:p w14:paraId="103F91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rPr>
                  </w:pPr>
                </w:p>
              </w:tc>
            </w:tr>
            <w:tr w14:paraId="5ED76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trPr>
              <w:tc>
                <w:tcPr>
                  <w:tcW w:w="809" w:type="dxa"/>
                  <w:tcBorders>
                    <w:tl2br w:val="nil"/>
                    <w:tr2bl w:val="nil"/>
                  </w:tcBorders>
                  <w:shd w:val="clear" w:color="auto" w:fill="FFFFFF"/>
                  <w:vAlign w:val="center"/>
                </w:tcPr>
                <w:p w14:paraId="1D35EC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w:t>
                  </w:r>
                </w:p>
              </w:tc>
              <w:tc>
                <w:tcPr>
                  <w:tcW w:w="1348" w:type="dxa"/>
                  <w:tcBorders>
                    <w:tl2br w:val="nil"/>
                    <w:tr2bl w:val="nil"/>
                  </w:tcBorders>
                  <w:shd w:val="clear" w:color="auto" w:fill="FFFFFF"/>
                  <w:vAlign w:val="center"/>
                </w:tcPr>
                <w:p w14:paraId="5D91EE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引风机</w:t>
                  </w:r>
                </w:p>
              </w:tc>
              <w:tc>
                <w:tcPr>
                  <w:tcW w:w="827" w:type="dxa"/>
                  <w:tcBorders>
                    <w:tl2br w:val="nil"/>
                    <w:tr2bl w:val="nil"/>
                  </w:tcBorders>
                  <w:shd w:val="clear" w:color="auto" w:fill="FFFFFF"/>
                  <w:vAlign w:val="center"/>
                </w:tcPr>
                <w:p w14:paraId="59E694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18.7</w:t>
                  </w:r>
                </w:p>
              </w:tc>
              <w:tc>
                <w:tcPr>
                  <w:tcW w:w="675" w:type="dxa"/>
                  <w:tcBorders>
                    <w:tl2br w:val="nil"/>
                    <w:tr2bl w:val="nil"/>
                  </w:tcBorders>
                  <w:shd w:val="clear" w:color="auto" w:fill="FFFFFF"/>
                  <w:vAlign w:val="center"/>
                </w:tcPr>
                <w:p w14:paraId="0851F3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7.8</w:t>
                  </w:r>
                </w:p>
              </w:tc>
              <w:tc>
                <w:tcPr>
                  <w:tcW w:w="680" w:type="dxa"/>
                  <w:tcBorders>
                    <w:tl2br w:val="nil"/>
                    <w:tr2bl w:val="nil"/>
                  </w:tcBorders>
                  <w:shd w:val="clear" w:color="auto" w:fill="FFFFFF"/>
                  <w:vAlign w:val="center"/>
                </w:tcPr>
                <w:p w14:paraId="4D4096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1.2</w:t>
                  </w:r>
                </w:p>
              </w:tc>
              <w:tc>
                <w:tcPr>
                  <w:tcW w:w="1845" w:type="dxa"/>
                  <w:tcBorders>
                    <w:tl2br w:val="nil"/>
                    <w:tr2bl w:val="nil"/>
                  </w:tcBorders>
                  <w:shd w:val="clear" w:color="auto" w:fill="FFFFFF"/>
                  <w:vAlign w:val="center"/>
                </w:tcPr>
                <w:p w14:paraId="70564B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85</w:t>
                  </w:r>
                </w:p>
              </w:tc>
              <w:tc>
                <w:tcPr>
                  <w:tcW w:w="1576" w:type="dxa"/>
                  <w:tcBorders>
                    <w:tl2br w:val="nil"/>
                    <w:tr2bl w:val="nil"/>
                  </w:tcBorders>
                  <w:shd w:val="clear" w:color="auto" w:fill="FFFFFF"/>
                  <w:vAlign w:val="center"/>
                </w:tcPr>
                <w:p w14:paraId="3976FA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隔声、减振</w:t>
                  </w:r>
                </w:p>
              </w:tc>
              <w:tc>
                <w:tcPr>
                  <w:tcW w:w="1557" w:type="dxa"/>
                  <w:tcBorders>
                    <w:tl2br w:val="nil"/>
                    <w:tr2bl w:val="nil"/>
                  </w:tcBorders>
                  <w:shd w:val="clear" w:color="auto" w:fill="FFFFFF"/>
                  <w:vAlign w:val="center"/>
                </w:tcPr>
                <w:p w14:paraId="0C5410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48</w:t>
                  </w:r>
                  <w:r>
                    <w:rPr>
                      <w:rFonts w:hint="default" w:ascii="Times New Roman" w:hAnsi="Times New Roman" w:cs="Times New Roman" w:eastAsiaTheme="minorEastAsia"/>
                      <w:color w:val="auto"/>
                      <w:sz w:val="21"/>
                      <w:szCs w:val="21"/>
                      <w:lang w:val="en-US" w:eastAsia="zh-CN"/>
                    </w:rPr>
                    <w:t>00h</w:t>
                  </w:r>
                </w:p>
              </w:tc>
            </w:tr>
          </w:tbl>
          <w:p w14:paraId="384432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Cs w:val="21"/>
              </w:rPr>
            </w:pPr>
            <w:r>
              <w:rPr>
                <w:b/>
                <w:color w:val="auto"/>
                <w:sz w:val="24"/>
              </w:rPr>
              <w:t>表</w:t>
            </w:r>
            <w:r>
              <w:rPr>
                <w:rFonts w:hint="eastAsia"/>
                <w:b/>
                <w:color w:val="auto"/>
                <w:sz w:val="24"/>
                <w:lang w:val="en-US" w:eastAsia="zh-CN"/>
              </w:rPr>
              <w:t xml:space="preserve">4-8 </w:t>
            </w:r>
            <w:r>
              <w:rPr>
                <w:rFonts w:cs="Times New Roman" w:asciiTheme="minorEastAsia" w:hAnsiTheme="minorEastAsia" w:eastAsiaTheme="minorEastAsia"/>
                <w:b/>
                <w:bCs/>
                <w:lang w:eastAsia="zh-CN"/>
              </w:rPr>
              <w:t>工业企业噪声源强调查清单（室内声源）</w:t>
            </w:r>
          </w:p>
          <w:tbl>
            <w:tblPr>
              <w:tblStyle w:val="33"/>
              <w:tblW w:w="93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
              <w:gridCol w:w="386"/>
              <w:gridCol w:w="368"/>
              <w:gridCol w:w="442"/>
              <w:gridCol w:w="377"/>
              <w:gridCol w:w="417"/>
              <w:gridCol w:w="417"/>
              <w:gridCol w:w="427"/>
              <w:gridCol w:w="346"/>
              <w:gridCol w:w="346"/>
              <w:gridCol w:w="346"/>
              <w:gridCol w:w="354"/>
              <w:gridCol w:w="342"/>
              <w:gridCol w:w="342"/>
              <w:gridCol w:w="342"/>
              <w:gridCol w:w="351"/>
              <w:gridCol w:w="295"/>
              <w:gridCol w:w="328"/>
              <w:gridCol w:w="328"/>
              <w:gridCol w:w="328"/>
              <w:gridCol w:w="341"/>
              <w:gridCol w:w="351"/>
              <w:gridCol w:w="351"/>
              <w:gridCol w:w="351"/>
              <w:gridCol w:w="351"/>
              <w:gridCol w:w="504"/>
            </w:tblGrid>
            <w:tr w14:paraId="0C5E3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 w:type="dxa"/>
                  <w:vMerge w:val="restart"/>
                  <w:tcBorders>
                    <w:tl2br w:val="nil"/>
                    <w:tr2bl w:val="nil"/>
                  </w:tcBorders>
                  <w:vAlign w:val="center"/>
                </w:tcPr>
                <w:p w14:paraId="311E4A2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bookmarkStart w:id="4" w:name="PT_6"/>
                  <w:r>
                    <w:rPr>
                      <w:rFonts w:hint="default" w:ascii="Times New Roman" w:hAnsi="Times New Roman" w:cs="Times New Roman" w:eastAsiaTheme="minorEastAsia"/>
                      <w:b/>
                      <w:sz w:val="21"/>
                      <w:szCs w:val="21"/>
                    </w:rPr>
                    <w:t>序号</w:t>
                  </w:r>
                </w:p>
              </w:tc>
              <w:tc>
                <w:tcPr>
                  <w:tcW w:w="386" w:type="dxa"/>
                  <w:vMerge w:val="restart"/>
                  <w:tcBorders>
                    <w:tl2br w:val="nil"/>
                    <w:tr2bl w:val="nil"/>
                  </w:tcBorders>
                  <w:vAlign w:val="center"/>
                </w:tcPr>
                <w:p w14:paraId="5EF3FEE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建筑物名称</w:t>
                  </w:r>
                </w:p>
              </w:tc>
              <w:tc>
                <w:tcPr>
                  <w:tcW w:w="368" w:type="dxa"/>
                  <w:vMerge w:val="restart"/>
                  <w:tcBorders>
                    <w:tl2br w:val="nil"/>
                    <w:tr2bl w:val="nil"/>
                  </w:tcBorders>
                  <w:vAlign w:val="center"/>
                </w:tcPr>
                <w:p w14:paraId="786E626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声源名称</w:t>
                  </w:r>
                </w:p>
              </w:tc>
              <w:tc>
                <w:tcPr>
                  <w:tcW w:w="442" w:type="dxa"/>
                  <w:tcBorders>
                    <w:tl2br w:val="nil"/>
                    <w:tr2bl w:val="nil"/>
                  </w:tcBorders>
                  <w:vAlign w:val="center"/>
                </w:tcPr>
                <w:p w14:paraId="1D979B0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sz w:val="21"/>
                      <w:szCs w:val="21"/>
                      <w:lang w:eastAsia="zh-CN"/>
                    </w:rPr>
                    <w:t>声源源强</w:t>
                  </w:r>
                </w:p>
              </w:tc>
              <w:tc>
                <w:tcPr>
                  <w:tcW w:w="377" w:type="dxa"/>
                  <w:vMerge w:val="restart"/>
                  <w:tcBorders>
                    <w:tl2br w:val="nil"/>
                    <w:tr2bl w:val="nil"/>
                  </w:tcBorders>
                  <w:vAlign w:val="center"/>
                </w:tcPr>
                <w:p w14:paraId="0E8944C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声源控制措施</w:t>
                  </w:r>
                </w:p>
              </w:tc>
              <w:tc>
                <w:tcPr>
                  <w:tcW w:w="1261" w:type="dxa"/>
                  <w:gridSpan w:val="3"/>
                  <w:tcBorders>
                    <w:tl2br w:val="nil"/>
                    <w:tr2bl w:val="nil"/>
                  </w:tcBorders>
                  <w:vAlign w:val="center"/>
                </w:tcPr>
                <w:p w14:paraId="487B7D6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空间相对位置/m</w:t>
                  </w:r>
                </w:p>
              </w:tc>
              <w:tc>
                <w:tcPr>
                  <w:tcW w:w="1392" w:type="dxa"/>
                  <w:gridSpan w:val="4"/>
                  <w:tcBorders>
                    <w:tl2br w:val="nil"/>
                    <w:tr2bl w:val="nil"/>
                  </w:tcBorders>
                  <w:vAlign w:val="center"/>
                </w:tcPr>
                <w:p w14:paraId="61FD4F2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距室内边界距离/m</w:t>
                  </w:r>
                </w:p>
              </w:tc>
              <w:tc>
                <w:tcPr>
                  <w:tcW w:w="1377" w:type="dxa"/>
                  <w:gridSpan w:val="4"/>
                  <w:tcBorders>
                    <w:tl2br w:val="nil"/>
                    <w:tr2bl w:val="nil"/>
                  </w:tcBorders>
                  <w:vAlign w:val="center"/>
                </w:tcPr>
                <w:p w14:paraId="60D1B80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室内边界声级/dB(A)</w:t>
                  </w:r>
                </w:p>
              </w:tc>
              <w:tc>
                <w:tcPr>
                  <w:tcW w:w="295" w:type="dxa"/>
                  <w:vMerge w:val="restart"/>
                  <w:tcBorders>
                    <w:tl2br w:val="nil"/>
                    <w:tr2bl w:val="nil"/>
                  </w:tcBorders>
                  <w:vAlign w:val="center"/>
                </w:tcPr>
                <w:p w14:paraId="305CCD0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运行时段</w:t>
                  </w:r>
                </w:p>
              </w:tc>
              <w:tc>
                <w:tcPr>
                  <w:tcW w:w="1325" w:type="dxa"/>
                  <w:gridSpan w:val="4"/>
                  <w:tcBorders>
                    <w:tl2br w:val="nil"/>
                    <w:tr2bl w:val="nil"/>
                  </w:tcBorders>
                  <w:vAlign w:val="center"/>
                </w:tcPr>
                <w:p w14:paraId="749C385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建筑物插入损失 / dB(A)</w:t>
                  </w:r>
                  <w:bookmarkStart w:id="5" w:name="PT_10"/>
                  <w:bookmarkEnd w:id="5"/>
                </w:p>
              </w:tc>
              <w:tc>
                <w:tcPr>
                  <w:tcW w:w="1908" w:type="dxa"/>
                  <w:gridSpan w:val="5"/>
                  <w:tcBorders>
                    <w:tl2br w:val="nil"/>
                    <w:tr2bl w:val="nil"/>
                  </w:tcBorders>
                  <w:vAlign w:val="center"/>
                </w:tcPr>
                <w:p w14:paraId="66AEC47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sz w:val="21"/>
                      <w:szCs w:val="21"/>
                    </w:rPr>
                  </w:pPr>
                  <w:r>
                    <w:rPr>
                      <w:rFonts w:hint="default" w:ascii="Times New Roman" w:hAnsi="Times New Roman" w:cs="Times New Roman" w:eastAsiaTheme="minorEastAsia"/>
                      <w:b/>
                      <w:bCs w:val="0"/>
                      <w:sz w:val="21"/>
                      <w:szCs w:val="21"/>
                    </w:rPr>
                    <w:t>建筑物外噪声声压级/dB(A)</w:t>
                  </w:r>
                </w:p>
              </w:tc>
            </w:tr>
            <w:tr w14:paraId="397A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262" w:type="dxa"/>
                  <w:vMerge w:val="continue"/>
                  <w:tcBorders>
                    <w:tl2br w:val="nil"/>
                    <w:tr2bl w:val="nil"/>
                  </w:tcBorders>
                  <w:shd w:val="clear" w:color="auto" w:fill="FFFFFF"/>
                  <w:tcMar>
                    <w:top w:w="0" w:type="dxa"/>
                    <w:left w:w="0" w:type="dxa"/>
                    <w:bottom w:w="0" w:type="dxa"/>
                    <w:right w:w="0" w:type="dxa"/>
                  </w:tcMar>
                  <w:vAlign w:val="center"/>
                </w:tcPr>
                <w:p w14:paraId="0BC86AE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p>
              </w:tc>
              <w:tc>
                <w:tcPr>
                  <w:tcW w:w="386" w:type="dxa"/>
                  <w:vMerge w:val="continue"/>
                  <w:tcBorders>
                    <w:tl2br w:val="nil"/>
                    <w:tr2bl w:val="nil"/>
                  </w:tcBorders>
                  <w:shd w:val="clear" w:color="auto" w:fill="FFFFFF"/>
                  <w:tcMar>
                    <w:top w:w="0" w:type="dxa"/>
                    <w:left w:w="0" w:type="dxa"/>
                    <w:bottom w:w="0" w:type="dxa"/>
                    <w:right w:w="0" w:type="dxa"/>
                  </w:tcMar>
                  <w:vAlign w:val="center"/>
                </w:tcPr>
                <w:p w14:paraId="68C2AC9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368" w:type="dxa"/>
                  <w:vMerge w:val="continue"/>
                  <w:tcBorders>
                    <w:tl2br w:val="nil"/>
                    <w:tr2bl w:val="nil"/>
                  </w:tcBorders>
                  <w:shd w:val="clear" w:color="auto" w:fill="FFFFFF"/>
                  <w:tcMar>
                    <w:top w:w="0" w:type="dxa"/>
                    <w:left w:w="0" w:type="dxa"/>
                    <w:bottom w:w="0" w:type="dxa"/>
                    <w:right w:w="0" w:type="dxa"/>
                  </w:tcMar>
                  <w:vAlign w:val="center"/>
                </w:tcPr>
                <w:p w14:paraId="269A39E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442" w:type="dxa"/>
                  <w:tcBorders>
                    <w:tl2br w:val="nil"/>
                    <w:tr2bl w:val="nil"/>
                  </w:tcBorders>
                  <w:shd w:val="clear" w:color="auto" w:fill="FFFFFF"/>
                  <w:tcMar>
                    <w:top w:w="0" w:type="dxa"/>
                    <w:left w:w="0" w:type="dxa"/>
                    <w:bottom w:w="0" w:type="dxa"/>
                    <w:right w:w="0" w:type="dxa"/>
                  </w:tcMar>
                  <w:vAlign w:val="center"/>
                </w:tcPr>
                <w:p w14:paraId="4247E90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声功率级/dB(A)</w:t>
                  </w:r>
                </w:p>
              </w:tc>
              <w:tc>
                <w:tcPr>
                  <w:tcW w:w="377" w:type="dxa"/>
                  <w:vMerge w:val="continue"/>
                  <w:tcBorders>
                    <w:tl2br w:val="nil"/>
                    <w:tr2bl w:val="nil"/>
                  </w:tcBorders>
                  <w:shd w:val="clear" w:color="auto" w:fill="FFFFFF"/>
                  <w:tcMar>
                    <w:top w:w="0" w:type="dxa"/>
                    <w:left w:w="0" w:type="dxa"/>
                    <w:bottom w:w="0" w:type="dxa"/>
                    <w:right w:w="0" w:type="dxa"/>
                  </w:tcMar>
                  <w:vAlign w:val="center"/>
                </w:tcPr>
                <w:p w14:paraId="7101EA8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417" w:type="dxa"/>
                  <w:tcBorders>
                    <w:tl2br w:val="nil"/>
                    <w:tr2bl w:val="nil"/>
                  </w:tcBorders>
                  <w:shd w:val="clear" w:color="auto" w:fill="FFFFFF"/>
                  <w:tcMar>
                    <w:top w:w="0" w:type="dxa"/>
                    <w:left w:w="0" w:type="dxa"/>
                    <w:bottom w:w="0" w:type="dxa"/>
                    <w:right w:w="0" w:type="dxa"/>
                  </w:tcMar>
                  <w:vAlign w:val="center"/>
                </w:tcPr>
                <w:p w14:paraId="50217A2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X</w:t>
                  </w:r>
                </w:p>
              </w:tc>
              <w:tc>
                <w:tcPr>
                  <w:tcW w:w="417" w:type="dxa"/>
                  <w:tcBorders>
                    <w:tl2br w:val="nil"/>
                    <w:tr2bl w:val="nil"/>
                  </w:tcBorders>
                  <w:shd w:val="clear" w:color="auto" w:fill="FFFFFF"/>
                  <w:tcMar>
                    <w:top w:w="0" w:type="dxa"/>
                    <w:left w:w="0" w:type="dxa"/>
                    <w:bottom w:w="0" w:type="dxa"/>
                    <w:right w:w="0" w:type="dxa"/>
                  </w:tcMar>
                  <w:vAlign w:val="center"/>
                </w:tcPr>
                <w:p w14:paraId="16BDC30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Y</w:t>
                  </w:r>
                </w:p>
              </w:tc>
              <w:tc>
                <w:tcPr>
                  <w:tcW w:w="427" w:type="dxa"/>
                  <w:tcBorders>
                    <w:tl2br w:val="nil"/>
                    <w:tr2bl w:val="nil"/>
                  </w:tcBorders>
                  <w:shd w:val="clear" w:color="auto" w:fill="FFFFFF"/>
                  <w:tcMar>
                    <w:top w:w="0" w:type="dxa"/>
                    <w:left w:w="0" w:type="dxa"/>
                    <w:bottom w:w="0" w:type="dxa"/>
                    <w:right w:w="0" w:type="dxa"/>
                  </w:tcMar>
                  <w:vAlign w:val="center"/>
                </w:tcPr>
                <w:p w14:paraId="61BF8FA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Z</w:t>
                  </w:r>
                </w:p>
              </w:tc>
              <w:tc>
                <w:tcPr>
                  <w:tcW w:w="346" w:type="dxa"/>
                  <w:tcBorders>
                    <w:tl2br w:val="nil"/>
                    <w:tr2bl w:val="nil"/>
                  </w:tcBorders>
                  <w:shd w:val="clear" w:color="auto" w:fill="FFFFFF"/>
                  <w:tcMar>
                    <w:top w:w="0" w:type="dxa"/>
                    <w:left w:w="0" w:type="dxa"/>
                    <w:bottom w:w="0" w:type="dxa"/>
                    <w:right w:w="0" w:type="dxa"/>
                  </w:tcMar>
                  <w:vAlign w:val="center"/>
                </w:tcPr>
                <w:p w14:paraId="2AADDD6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东</w:t>
                  </w:r>
                </w:p>
              </w:tc>
              <w:tc>
                <w:tcPr>
                  <w:tcW w:w="346" w:type="dxa"/>
                  <w:tcBorders>
                    <w:tl2br w:val="nil"/>
                    <w:tr2bl w:val="nil"/>
                  </w:tcBorders>
                  <w:shd w:val="clear" w:color="auto" w:fill="FFFFFF"/>
                  <w:tcMar>
                    <w:top w:w="0" w:type="dxa"/>
                    <w:left w:w="0" w:type="dxa"/>
                    <w:bottom w:w="0" w:type="dxa"/>
                    <w:right w:w="0" w:type="dxa"/>
                  </w:tcMar>
                  <w:vAlign w:val="center"/>
                </w:tcPr>
                <w:p w14:paraId="47F2ACC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南</w:t>
                  </w:r>
                </w:p>
              </w:tc>
              <w:tc>
                <w:tcPr>
                  <w:tcW w:w="346" w:type="dxa"/>
                  <w:tcBorders>
                    <w:tl2br w:val="nil"/>
                    <w:tr2bl w:val="nil"/>
                  </w:tcBorders>
                  <w:shd w:val="clear" w:color="auto" w:fill="FFFFFF"/>
                  <w:tcMar>
                    <w:top w:w="0" w:type="dxa"/>
                    <w:left w:w="0" w:type="dxa"/>
                    <w:bottom w:w="0" w:type="dxa"/>
                    <w:right w:w="0" w:type="dxa"/>
                  </w:tcMar>
                  <w:vAlign w:val="center"/>
                </w:tcPr>
                <w:p w14:paraId="1F579B3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西</w:t>
                  </w:r>
                </w:p>
              </w:tc>
              <w:tc>
                <w:tcPr>
                  <w:tcW w:w="354" w:type="dxa"/>
                  <w:tcBorders>
                    <w:tl2br w:val="nil"/>
                    <w:tr2bl w:val="nil"/>
                  </w:tcBorders>
                  <w:shd w:val="clear" w:color="auto" w:fill="FFFFFF"/>
                  <w:tcMar>
                    <w:top w:w="0" w:type="dxa"/>
                    <w:left w:w="0" w:type="dxa"/>
                    <w:bottom w:w="0" w:type="dxa"/>
                    <w:right w:w="0" w:type="dxa"/>
                  </w:tcMar>
                  <w:vAlign w:val="center"/>
                </w:tcPr>
                <w:p w14:paraId="496C588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北</w:t>
                  </w:r>
                </w:p>
              </w:tc>
              <w:tc>
                <w:tcPr>
                  <w:tcW w:w="342" w:type="dxa"/>
                  <w:tcBorders>
                    <w:tl2br w:val="nil"/>
                    <w:tr2bl w:val="nil"/>
                  </w:tcBorders>
                  <w:shd w:val="clear" w:color="auto" w:fill="FFFFFF"/>
                  <w:tcMar>
                    <w:top w:w="0" w:type="dxa"/>
                    <w:left w:w="0" w:type="dxa"/>
                    <w:bottom w:w="0" w:type="dxa"/>
                    <w:right w:w="0" w:type="dxa"/>
                  </w:tcMar>
                  <w:vAlign w:val="center"/>
                </w:tcPr>
                <w:p w14:paraId="218EB93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东</w:t>
                  </w:r>
                </w:p>
              </w:tc>
              <w:tc>
                <w:tcPr>
                  <w:tcW w:w="342" w:type="dxa"/>
                  <w:tcBorders>
                    <w:tl2br w:val="nil"/>
                    <w:tr2bl w:val="nil"/>
                  </w:tcBorders>
                  <w:shd w:val="clear" w:color="auto" w:fill="FFFFFF"/>
                  <w:tcMar>
                    <w:top w:w="0" w:type="dxa"/>
                    <w:left w:w="0" w:type="dxa"/>
                    <w:bottom w:w="0" w:type="dxa"/>
                    <w:right w:w="0" w:type="dxa"/>
                  </w:tcMar>
                  <w:vAlign w:val="center"/>
                </w:tcPr>
                <w:p w14:paraId="66E0319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南</w:t>
                  </w:r>
                </w:p>
              </w:tc>
              <w:tc>
                <w:tcPr>
                  <w:tcW w:w="342" w:type="dxa"/>
                  <w:tcBorders>
                    <w:tl2br w:val="nil"/>
                    <w:tr2bl w:val="nil"/>
                  </w:tcBorders>
                  <w:shd w:val="clear" w:color="auto" w:fill="FFFFFF"/>
                  <w:tcMar>
                    <w:top w:w="0" w:type="dxa"/>
                    <w:left w:w="0" w:type="dxa"/>
                    <w:bottom w:w="0" w:type="dxa"/>
                    <w:right w:w="0" w:type="dxa"/>
                  </w:tcMar>
                  <w:vAlign w:val="center"/>
                </w:tcPr>
                <w:p w14:paraId="092AFB4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西</w:t>
                  </w:r>
                </w:p>
              </w:tc>
              <w:tc>
                <w:tcPr>
                  <w:tcW w:w="351" w:type="dxa"/>
                  <w:tcBorders>
                    <w:tl2br w:val="nil"/>
                    <w:tr2bl w:val="nil"/>
                  </w:tcBorders>
                  <w:shd w:val="clear" w:color="auto" w:fill="FFFFFF"/>
                  <w:tcMar>
                    <w:top w:w="0" w:type="dxa"/>
                    <w:left w:w="0" w:type="dxa"/>
                    <w:bottom w:w="0" w:type="dxa"/>
                    <w:right w:w="0" w:type="dxa"/>
                  </w:tcMar>
                  <w:vAlign w:val="center"/>
                </w:tcPr>
                <w:p w14:paraId="2D2C14F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北</w:t>
                  </w:r>
                </w:p>
              </w:tc>
              <w:tc>
                <w:tcPr>
                  <w:tcW w:w="295" w:type="dxa"/>
                  <w:vMerge w:val="continue"/>
                  <w:tcBorders>
                    <w:tl2br w:val="nil"/>
                    <w:tr2bl w:val="nil"/>
                  </w:tcBorders>
                  <w:shd w:val="clear" w:color="auto" w:fill="FFFFFF"/>
                  <w:tcMar>
                    <w:top w:w="0" w:type="dxa"/>
                    <w:left w:w="0" w:type="dxa"/>
                    <w:bottom w:w="0" w:type="dxa"/>
                    <w:right w:w="0" w:type="dxa"/>
                  </w:tcMar>
                  <w:vAlign w:val="center"/>
                </w:tcPr>
                <w:p w14:paraId="6A8FB10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328" w:type="dxa"/>
                  <w:tcBorders>
                    <w:tl2br w:val="nil"/>
                    <w:tr2bl w:val="nil"/>
                  </w:tcBorders>
                  <w:shd w:val="clear" w:color="auto" w:fill="FFFFFF"/>
                  <w:tcMar>
                    <w:top w:w="0" w:type="dxa"/>
                    <w:left w:w="0" w:type="dxa"/>
                    <w:bottom w:w="0" w:type="dxa"/>
                    <w:right w:w="0" w:type="dxa"/>
                  </w:tcMar>
                  <w:vAlign w:val="center"/>
                </w:tcPr>
                <w:p w14:paraId="7148801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东</w:t>
                  </w:r>
                </w:p>
              </w:tc>
              <w:tc>
                <w:tcPr>
                  <w:tcW w:w="328" w:type="dxa"/>
                  <w:tcBorders>
                    <w:tl2br w:val="nil"/>
                    <w:tr2bl w:val="nil"/>
                  </w:tcBorders>
                  <w:shd w:val="clear" w:color="auto" w:fill="FFFFFF"/>
                  <w:tcMar>
                    <w:top w:w="0" w:type="dxa"/>
                    <w:left w:w="0" w:type="dxa"/>
                    <w:bottom w:w="0" w:type="dxa"/>
                    <w:right w:w="0" w:type="dxa"/>
                  </w:tcMar>
                  <w:vAlign w:val="center"/>
                </w:tcPr>
                <w:p w14:paraId="4C5328E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南</w:t>
                  </w:r>
                </w:p>
              </w:tc>
              <w:tc>
                <w:tcPr>
                  <w:tcW w:w="328" w:type="dxa"/>
                  <w:tcBorders>
                    <w:tl2br w:val="nil"/>
                    <w:tr2bl w:val="nil"/>
                  </w:tcBorders>
                  <w:shd w:val="clear" w:color="auto" w:fill="FFFFFF"/>
                  <w:tcMar>
                    <w:top w:w="0" w:type="dxa"/>
                    <w:left w:w="0" w:type="dxa"/>
                    <w:bottom w:w="0" w:type="dxa"/>
                    <w:right w:w="0" w:type="dxa"/>
                  </w:tcMar>
                  <w:vAlign w:val="center"/>
                </w:tcPr>
                <w:p w14:paraId="6F68516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西</w:t>
                  </w:r>
                </w:p>
              </w:tc>
              <w:tc>
                <w:tcPr>
                  <w:tcW w:w="341" w:type="dxa"/>
                  <w:tcBorders>
                    <w:tl2br w:val="nil"/>
                    <w:tr2bl w:val="nil"/>
                  </w:tcBorders>
                  <w:shd w:val="clear" w:color="auto" w:fill="FFFFFF"/>
                  <w:tcMar>
                    <w:top w:w="0" w:type="dxa"/>
                    <w:left w:w="0" w:type="dxa"/>
                    <w:bottom w:w="0" w:type="dxa"/>
                    <w:right w:w="0" w:type="dxa"/>
                  </w:tcMar>
                  <w:vAlign w:val="center"/>
                </w:tcPr>
                <w:p w14:paraId="7030DC1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北</w:t>
                  </w:r>
                </w:p>
              </w:tc>
              <w:tc>
                <w:tcPr>
                  <w:tcW w:w="351" w:type="dxa"/>
                  <w:tcBorders>
                    <w:tl2br w:val="nil"/>
                    <w:tr2bl w:val="nil"/>
                  </w:tcBorders>
                  <w:shd w:val="clear" w:color="auto" w:fill="FFFFFF"/>
                  <w:tcMar>
                    <w:top w:w="0" w:type="dxa"/>
                    <w:left w:w="0" w:type="dxa"/>
                    <w:bottom w:w="0" w:type="dxa"/>
                    <w:right w:w="0" w:type="dxa"/>
                  </w:tcMar>
                  <w:vAlign w:val="center"/>
                </w:tcPr>
                <w:p w14:paraId="70A64A3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东</w:t>
                  </w:r>
                </w:p>
              </w:tc>
              <w:tc>
                <w:tcPr>
                  <w:tcW w:w="351" w:type="dxa"/>
                  <w:tcBorders>
                    <w:tl2br w:val="nil"/>
                    <w:tr2bl w:val="nil"/>
                  </w:tcBorders>
                  <w:shd w:val="clear" w:color="auto" w:fill="FFFFFF"/>
                  <w:tcMar>
                    <w:top w:w="0" w:type="dxa"/>
                    <w:left w:w="0" w:type="dxa"/>
                    <w:bottom w:w="0" w:type="dxa"/>
                    <w:right w:w="0" w:type="dxa"/>
                  </w:tcMar>
                  <w:vAlign w:val="center"/>
                </w:tcPr>
                <w:p w14:paraId="58A365D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南</w:t>
                  </w:r>
                </w:p>
              </w:tc>
              <w:tc>
                <w:tcPr>
                  <w:tcW w:w="351" w:type="dxa"/>
                  <w:tcBorders>
                    <w:tl2br w:val="nil"/>
                    <w:tr2bl w:val="nil"/>
                  </w:tcBorders>
                  <w:shd w:val="clear" w:color="auto" w:fill="FFFFFF"/>
                  <w:tcMar>
                    <w:top w:w="0" w:type="dxa"/>
                    <w:left w:w="0" w:type="dxa"/>
                    <w:bottom w:w="0" w:type="dxa"/>
                    <w:right w:w="0" w:type="dxa"/>
                  </w:tcMar>
                  <w:vAlign w:val="center"/>
                </w:tcPr>
                <w:p w14:paraId="3053FF3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西</w:t>
                  </w:r>
                </w:p>
              </w:tc>
              <w:tc>
                <w:tcPr>
                  <w:tcW w:w="351" w:type="dxa"/>
                  <w:tcBorders>
                    <w:tl2br w:val="nil"/>
                    <w:tr2bl w:val="nil"/>
                  </w:tcBorders>
                  <w:shd w:val="clear" w:color="auto" w:fill="FFFFFF"/>
                  <w:tcMar>
                    <w:top w:w="0" w:type="dxa"/>
                    <w:left w:w="0" w:type="dxa"/>
                    <w:bottom w:w="0" w:type="dxa"/>
                    <w:right w:w="0" w:type="dxa"/>
                  </w:tcMar>
                  <w:vAlign w:val="center"/>
                </w:tcPr>
                <w:p w14:paraId="628014A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北</w:t>
                  </w:r>
                </w:p>
              </w:tc>
              <w:tc>
                <w:tcPr>
                  <w:tcW w:w="504" w:type="dxa"/>
                  <w:tcBorders>
                    <w:tl2br w:val="nil"/>
                    <w:tr2bl w:val="nil"/>
                  </w:tcBorders>
                  <w:shd w:val="clear" w:color="auto" w:fill="FFFFFF"/>
                  <w:tcMar>
                    <w:top w:w="0" w:type="dxa"/>
                    <w:left w:w="0" w:type="dxa"/>
                    <w:bottom w:w="0" w:type="dxa"/>
                    <w:right w:w="0" w:type="dxa"/>
                  </w:tcMar>
                  <w:vAlign w:val="center"/>
                </w:tcPr>
                <w:p w14:paraId="768A4F1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建筑物外距离</w:t>
                  </w:r>
                </w:p>
              </w:tc>
            </w:tr>
            <w:tr w14:paraId="0657E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262" w:type="dxa"/>
                  <w:tcBorders>
                    <w:tl2br w:val="nil"/>
                    <w:tr2bl w:val="nil"/>
                  </w:tcBorders>
                  <w:shd w:val="clear" w:color="auto" w:fill="FFFFFF"/>
                  <w:tcMar>
                    <w:top w:w="0" w:type="dxa"/>
                    <w:left w:w="0" w:type="dxa"/>
                    <w:bottom w:w="0" w:type="dxa"/>
                    <w:right w:w="0" w:type="dxa"/>
                  </w:tcMar>
                  <w:vAlign w:val="center"/>
                </w:tcPr>
                <w:p w14:paraId="4153E77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386" w:type="dxa"/>
                  <w:vMerge w:val="restart"/>
                  <w:tcBorders>
                    <w:tl2br w:val="nil"/>
                    <w:tr2bl w:val="nil"/>
                  </w:tcBorders>
                  <w:shd w:val="clear" w:color="auto" w:fill="FFFFFF"/>
                  <w:tcMar>
                    <w:top w:w="0" w:type="dxa"/>
                    <w:left w:w="0" w:type="dxa"/>
                    <w:bottom w:w="0" w:type="dxa"/>
                    <w:right w:w="0" w:type="dxa"/>
                  </w:tcMar>
                  <w:vAlign w:val="center"/>
                </w:tcPr>
                <w:p w14:paraId="33D8A6C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生产车间</w:t>
                  </w:r>
                </w:p>
              </w:tc>
              <w:tc>
                <w:tcPr>
                  <w:tcW w:w="368" w:type="dxa"/>
                  <w:tcBorders>
                    <w:tl2br w:val="nil"/>
                    <w:tr2bl w:val="nil"/>
                  </w:tcBorders>
                  <w:shd w:val="clear" w:color="auto" w:fill="FFFFFF"/>
                  <w:tcMar>
                    <w:top w:w="0" w:type="dxa"/>
                    <w:left w:w="0" w:type="dxa"/>
                    <w:bottom w:w="0" w:type="dxa"/>
                    <w:right w:w="0" w:type="dxa"/>
                  </w:tcMar>
                  <w:vAlign w:val="center"/>
                </w:tcPr>
                <w:p w14:paraId="4FF1062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计量称,2台</w:t>
                  </w:r>
                </w:p>
              </w:tc>
              <w:tc>
                <w:tcPr>
                  <w:tcW w:w="442" w:type="dxa"/>
                  <w:tcBorders>
                    <w:tl2br w:val="nil"/>
                    <w:tr2bl w:val="nil"/>
                  </w:tcBorders>
                  <w:shd w:val="clear" w:color="auto" w:fill="FFFFFF"/>
                  <w:tcMar>
                    <w:top w:w="0" w:type="dxa"/>
                    <w:left w:w="0" w:type="dxa"/>
                    <w:bottom w:w="0" w:type="dxa"/>
                    <w:right w:w="0" w:type="dxa"/>
                  </w:tcMar>
                  <w:vAlign w:val="center"/>
                </w:tcPr>
                <w:p w14:paraId="21B0E8A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70（等效后：73.0)</w:t>
                  </w:r>
                </w:p>
              </w:tc>
              <w:tc>
                <w:tcPr>
                  <w:tcW w:w="377" w:type="dxa"/>
                  <w:vMerge w:val="restart"/>
                  <w:tcBorders>
                    <w:tl2br w:val="nil"/>
                    <w:tr2bl w:val="nil"/>
                  </w:tcBorders>
                  <w:shd w:val="clear" w:color="auto" w:fill="FFFFFF"/>
                  <w:tcMar>
                    <w:top w:w="0" w:type="dxa"/>
                    <w:left w:w="0" w:type="dxa"/>
                    <w:bottom w:w="0" w:type="dxa"/>
                    <w:right w:w="0" w:type="dxa"/>
                  </w:tcMar>
                  <w:vAlign w:val="center"/>
                </w:tcPr>
                <w:p w14:paraId="1C2062E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厂房隔</w:t>
                  </w:r>
                </w:p>
                <w:p w14:paraId="5B706EE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eastAsia="宋体" w:cs="Times New Roman"/>
                      <w:color w:val="auto"/>
                      <w:sz w:val="21"/>
                      <w:szCs w:val="21"/>
                      <w:lang w:val="en-US" w:eastAsia="zh-CN"/>
                    </w:rPr>
                    <w:t>声，室</w:t>
                  </w:r>
                  <w:r>
                    <w:rPr>
                      <w:rFonts w:hint="default" w:ascii="Times New Roman" w:hAnsi="Times New Roman" w:eastAsia="宋体" w:cs="Times New Roman"/>
                      <w:color w:val="auto"/>
                      <w:sz w:val="21"/>
                      <w:szCs w:val="21"/>
                    </w:rPr>
                    <w:t>内</w:t>
                  </w:r>
                  <w:r>
                    <w:rPr>
                      <w:rFonts w:hint="default" w:ascii="Times New Roman" w:hAnsi="Times New Roman" w:eastAsia="宋体" w:cs="Times New Roman"/>
                      <w:color w:val="auto"/>
                      <w:sz w:val="21"/>
                      <w:szCs w:val="21"/>
                      <w:lang w:eastAsia="zh-CN"/>
                    </w:rPr>
                    <w:t>合理布置，</w:t>
                  </w:r>
                  <w:r>
                    <w:rPr>
                      <w:rFonts w:hint="default" w:ascii="Times New Roman" w:hAnsi="Times New Roman" w:eastAsia="宋体" w:cs="Times New Roman"/>
                      <w:color w:val="auto"/>
                      <w:sz w:val="21"/>
                      <w:szCs w:val="21"/>
                    </w:rPr>
                    <w:t>基础减振</w:t>
                  </w:r>
                  <w:r>
                    <w:rPr>
                      <w:rFonts w:hint="default" w:ascii="Times New Roman" w:hAnsi="Times New Roman" w:eastAsia="宋体" w:cs="Times New Roman"/>
                      <w:color w:val="auto"/>
                      <w:sz w:val="21"/>
                      <w:szCs w:val="21"/>
                      <w:lang w:eastAsia="zh-CN"/>
                    </w:rPr>
                    <w:t>等</w:t>
                  </w:r>
                </w:p>
              </w:tc>
              <w:tc>
                <w:tcPr>
                  <w:tcW w:w="417" w:type="dxa"/>
                  <w:tcBorders>
                    <w:tl2br w:val="nil"/>
                    <w:tr2bl w:val="nil"/>
                  </w:tcBorders>
                  <w:shd w:val="clear" w:color="auto" w:fill="FFFFFF"/>
                  <w:tcMar>
                    <w:top w:w="0" w:type="dxa"/>
                    <w:left w:w="0" w:type="dxa"/>
                    <w:bottom w:w="0" w:type="dxa"/>
                    <w:right w:w="0" w:type="dxa"/>
                  </w:tcMar>
                  <w:vAlign w:val="center"/>
                </w:tcPr>
                <w:p w14:paraId="2A6983B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417" w:type="dxa"/>
                  <w:tcBorders>
                    <w:tl2br w:val="nil"/>
                    <w:tr2bl w:val="nil"/>
                  </w:tcBorders>
                  <w:shd w:val="clear" w:color="auto" w:fill="FFFFFF"/>
                  <w:tcMar>
                    <w:top w:w="0" w:type="dxa"/>
                    <w:left w:w="0" w:type="dxa"/>
                    <w:bottom w:w="0" w:type="dxa"/>
                    <w:right w:w="0" w:type="dxa"/>
                  </w:tcMar>
                  <w:vAlign w:val="center"/>
                </w:tcPr>
                <w:p w14:paraId="30EC0F2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0.6</w:t>
                  </w:r>
                </w:p>
              </w:tc>
              <w:tc>
                <w:tcPr>
                  <w:tcW w:w="427" w:type="dxa"/>
                  <w:tcBorders>
                    <w:tl2br w:val="nil"/>
                    <w:tr2bl w:val="nil"/>
                  </w:tcBorders>
                  <w:shd w:val="clear" w:color="auto" w:fill="FFFFFF"/>
                  <w:tcMar>
                    <w:top w:w="0" w:type="dxa"/>
                    <w:left w:w="0" w:type="dxa"/>
                    <w:bottom w:w="0" w:type="dxa"/>
                    <w:right w:w="0" w:type="dxa"/>
                  </w:tcMar>
                  <w:vAlign w:val="center"/>
                </w:tcPr>
                <w:p w14:paraId="6B59637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346" w:type="dxa"/>
                  <w:tcBorders>
                    <w:tl2br w:val="nil"/>
                    <w:tr2bl w:val="nil"/>
                  </w:tcBorders>
                  <w:shd w:val="clear" w:color="auto" w:fill="FFFFFF"/>
                  <w:tcMar>
                    <w:top w:w="0" w:type="dxa"/>
                    <w:left w:w="0" w:type="dxa"/>
                    <w:bottom w:w="0" w:type="dxa"/>
                    <w:right w:w="0" w:type="dxa"/>
                  </w:tcMar>
                  <w:vAlign w:val="center"/>
                </w:tcPr>
                <w:p w14:paraId="3638915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33.2</w:t>
                  </w:r>
                </w:p>
              </w:tc>
              <w:tc>
                <w:tcPr>
                  <w:tcW w:w="346" w:type="dxa"/>
                  <w:tcBorders>
                    <w:tl2br w:val="nil"/>
                    <w:tr2bl w:val="nil"/>
                  </w:tcBorders>
                  <w:shd w:val="clear" w:color="auto" w:fill="FFFFFF"/>
                  <w:tcMar>
                    <w:top w:w="0" w:type="dxa"/>
                    <w:left w:w="0" w:type="dxa"/>
                    <w:bottom w:w="0" w:type="dxa"/>
                    <w:right w:w="0" w:type="dxa"/>
                  </w:tcMar>
                  <w:vAlign w:val="center"/>
                </w:tcPr>
                <w:p w14:paraId="3FA5AFD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11.8</w:t>
                  </w:r>
                </w:p>
              </w:tc>
              <w:tc>
                <w:tcPr>
                  <w:tcW w:w="346" w:type="dxa"/>
                  <w:tcBorders>
                    <w:tl2br w:val="nil"/>
                    <w:tr2bl w:val="nil"/>
                  </w:tcBorders>
                  <w:shd w:val="clear" w:color="auto" w:fill="FFFFFF"/>
                  <w:tcMar>
                    <w:top w:w="0" w:type="dxa"/>
                    <w:left w:w="0" w:type="dxa"/>
                    <w:bottom w:w="0" w:type="dxa"/>
                    <w:right w:w="0" w:type="dxa"/>
                  </w:tcMar>
                  <w:vAlign w:val="center"/>
                </w:tcPr>
                <w:p w14:paraId="4009340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26.8</w:t>
                  </w:r>
                </w:p>
              </w:tc>
              <w:tc>
                <w:tcPr>
                  <w:tcW w:w="354" w:type="dxa"/>
                  <w:tcBorders>
                    <w:tl2br w:val="nil"/>
                    <w:tr2bl w:val="nil"/>
                  </w:tcBorders>
                  <w:shd w:val="clear" w:color="auto" w:fill="FFFFFF"/>
                  <w:tcMar>
                    <w:top w:w="0" w:type="dxa"/>
                    <w:left w:w="0" w:type="dxa"/>
                    <w:bottom w:w="0" w:type="dxa"/>
                    <w:right w:w="0" w:type="dxa"/>
                  </w:tcMar>
                  <w:vAlign w:val="center"/>
                </w:tcPr>
                <w:p w14:paraId="7958B93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11.7</w:t>
                  </w:r>
                </w:p>
              </w:tc>
              <w:tc>
                <w:tcPr>
                  <w:tcW w:w="342" w:type="dxa"/>
                  <w:tcBorders>
                    <w:tl2br w:val="nil"/>
                    <w:tr2bl w:val="nil"/>
                  </w:tcBorders>
                  <w:shd w:val="clear" w:color="auto" w:fill="FFFFFF"/>
                  <w:tcMar>
                    <w:top w:w="0" w:type="dxa"/>
                    <w:left w:w="0" w:type="dxa"/>
                    <w:bottom w:w="0" w:type="dxa"/>
                    <w:right w:w="0" w:type="dxa"/>
                  </w:tcMar>
                  <w:vAlign w:val="center"/>
                </w:tcPr>
                <w:p w14:paraId="09A788E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59.7</w:t>
                  </w:r>
                </w:p>
              </w:tc>
              <w:tc>
                <w:tcPr>
                  <w:tcW w:w="342" w:type="dxa"/>
                  <w:tcBorders>
                    <w:tl2br w:val="nil"/>
                    <w:tr2bl w:val="nil"/>
                  </w:tcBorders>
                  <w:shd w:val="clear" w:color="auto" w:fill="FFFFFF"/>
                  <w:tcMar>
                    <w:top w:w="0" w:type="dxa"/>
                    <w:left w:w="0" w:type="dxa"/>
                    <w:bottom w:w="0" w:type="dxa"/>
                    <w:right w:w="0" w:type="dxa"/>
                  </w:tcMar>
                  <w:vAlign w:val="center"/>
                </w:tcPr>
                <w:p w14:paraId="70CE892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59.8</w:t>
                  </w:r>
                </w:p>
              </w:tc>
              <w:tc>
                <w:tcPr>
                  <w:tcW w:w="342" w:type="dxa"/>
                  <w:tcBorders>
                    <w:tl2br w:val="nil"/>
                    <w:tr2bl w:val="nil"/>
                  </w:tcBorders>
                  <w:shd w:val="clear" w:color="auto" w:fill="FFFFFF"/>
                  <w:tcMar>
                    <w:top w:w="0" w:type="dxa"/>
                    <w:left w:w="0" w:type="dxa"/>
                    <w:bottom w:w="0" w:type="dxa"/>
                    <w:right w:w="0" w:type="dxa"/>
                  </w:tcMar>
                  <w:vAlign w:val="center"/>
                </w:tcPr>
                <w:p w14:paraId="606DDD2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59.7</w:t>
                  </w:r>
                </w:p>
              </w:tc>
              <w:tc>
                <w:tcPr>
                  <w:tcW w:w="351" w:type="dxa"/>
                  <w:tcBorders>
                    <w:tl2br w:val="nil"/>
                    <w:tr2bl w:val="nil"/>
                  </w:tcBorders>
                  <w:shd w:val="clear" w:color="auto" w:fill="FFFFFF"/>
                  <w:tcMar>
                    <w:top w:w="0" w:type="dxa"/>
                    <w:left w:w="0" w:type="dxa"/>
                    <w:bottom w:w="0" w:type="dxa"/>
                    <w:right w:w="0" w:type="dxa"/>
                  </w:tcMar>
                  <w:vAlign w:val="center"/>
                </w:tcPr>
                <w:p w14:paraId="7508E3D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59.8</w:t>
                  </w:r>
                </w:p>
              </w:tc>
              <w:tc>
                <w:tcPr>
                  <w:tcW w:w="295" w:type="dxa"/>
                  <w:vMerge w:val="restart"/>
                  <w:tcBorders>
                    <w:tl2br w:val="nil"/>
                    <w:tr2bl w:val="nil"/>
                  </w:tcBorders>
                  <w:shd w:val="clear" w:color="auto" w:fill="FFFFFF"/>
                  <w:tcMar>
                    <w:top w:w="0" w:type="dxa"/>
                    <w:left w:w="0" w:type="dxa"/>
                    <w:bottom w:w="0" w:type="dxa"/>
                    <w:right w:w="0" w:type="dxa"/>
                  </w:tcMar>
                  <w:vAlign w:val="center"/>
                </w:tcPr>
                <w:p w14:paraId="1842C03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4800</w:t>
                  </w:r>
                  <w:r>
                    <w:rPr>
                      <w:rFonts w:hint="eastAsia" w:ascii="Times New Roman" w:hAnsi="Times New Roman" w:cs="Times New Roman" w:eastAsiaTheme="minorEastAsia"/>
                      <w:sz w:val="21"/>
                      <w:szCs w:val="21"/>
                      <w:lang w:val="en-US" w:eastAsia="zh-CN"/>
                    </w:rPr>
                    <w:t>h</w:t>
                  </w:r>
                </w:p>
              </w:tc>
              <w:tc>
                <w:tcPr>
                  <w:tcW w:w="328" w:type="dxa"/>
                  <w:tcBorders>
                    <w:tl2br w:val="nil"/>
                    <w:tr2bl w:val="nil"/>
                  </w:tcBorders>
                  <w:shd w:val="clear" w:color="auto" w:fill="FFFFFF"/>
                  <w:tcMar>
                    <w:top w:w="0" w:type="dxa"/>
                    <w:left w:w="0" w:type="dxa"/>
                    <w:bottom w:w="0" w:type="dxa"/>
                    <w:right w:w="0" w:type="dxa"/>
                  </w:tcMar>
                  <w:vAlign w:val="center"/>
                </w:tcPr>
                <w:p w14:paraId="70CD0FA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28" w:type="dxa"/>
                  <w:tcBorders>
                    <w:tl2br w:val="nil"/>
                    <w:tr2bl w:val="nil"/>
                  </w:tcBorders>
                  <w:shd w:val="clear" w:color="auto" w:fill="FFFFFF"/>
                  <w:tcMar>
                    <w:top w:w="0" w:type="dxa"/>
                    <w:left w:w="0" w:type="dxa"/>
                    <w:bottom w:w="0" w:type="dxa"/>
                    <w:right w:w="0" w:type="dxa"/>
                  </w:tcMar>
                  <w:vAlign w:val="center"/>
                </w:tcPr>
                <w:p w14:paraId="0B2AD00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28" w:type="dxa"/>
                  <w:tcBorders>
                    <w:tl2br w:val="nil"/>
                    <w:tr2bl w:val="nil"/>
                  </w:tcBorders>
                  <w:shd w:val="clear" w:color="auto" w:fill="FFFFFF"/>
                  <w:tcMar>
                    <w:top w:w="0" w:type="dxa"/>
                    <w:left w:w="0" w:type="dxa"/>
                    <w:bottom w:w="0" w:type="dxa"/>
                    <w:right w:w="0" w:type="dxa"/>
                  </w:tcMar>
                  <w:vAlign w:val="center"/>
                </w:tcPr>
                <w:p w14:paraId="6325C73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41" w:type="dxa"/>
                  <w:tcBorders>
                    <w:tl2br w:val="nil"/>
                    <w:tr2bl w:val="nil"/>
                  </w:tcBorders>
                  <w:shd w:val="clear" w:color="auto" w:fill="FFFFFF"/>
                  <w:tcMar>
                    <w:top w:w="0" w:type="dxa"/>
                    <w:left w:w="0" w:type="dxa"/>
                    <w:bottom w:w="0" w:type="dxa"/>
                    <w:right w:w="0" w:type="dxa"/>
                  </w:tcMar>
                  <w:vAlign w:val="center"/>
                </w:tcPr>
                <w:p w14:paraId="46F4E41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51" w:type="dxa"/>
                  <w:tcBorders>
                    <w:tl2br w:val="nil"/>
                    <w:tr2bl w:val="nil"/>
                  </w:tcBorders>
                  <w:shd w:val="clear" w:color="auto" w:fill="FFFFFF"/>
                  <w:tcMar>
                    <w:top w:w="0" w:type="dxa"/>
                    <w:left w:w="0" w:type="dxa"/>
                    <w:bottom w:w="0" w:type="dxa"/>
                    <w:right w:w="0" w:type="dxa"/>
                  </w:tcMar>
                  <w:vAlign w:val="center"/>
                </w:tcPr>
                <w:p w14:paraId="7C067C6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34.7</w:t>
                  </w:r>
                </w:p>
              </w:tc>
              <w:tc>
                <w:tcPr>
                  <w:tcW w:w="351" w:type="dxa"/>
                  <w:tcBorders>
                    <w:tl2br w:val="nil"/>
                    <w:tr2bl w:val="nil"/>
                  </w:tcBorders>
                  <w:shd w:val="clear" w:color="auto" w:fill="FFFFFF"/>
                  <w:tcMar>
                    <w:top w:w="0" w:type="dxa"/>
                    <w:left w:w="0" w:type="dxa"/>
                    <w:bottom w:w="0" w:type="dxa"/>
                    <w:right w:w="0" w:type="dxa"/>
                  </w:tcMar>
                  <w:vAlign w:val="center"/>
                </w:tcPr>
                <w:p w14:paraId="6CE6FC4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34.8</w:t>
                  </w:r>
                </w:p>
              </w:tc>
              <w:tc>
                <w:tcPr>
                  <w:tcW w:w="351" w:type="dxa"/>
                  <w:tcBorders>
                    <w:tl2br w:val="nil"/>
                    <w:tr2bl w:val="nil"/>
                  </w:tcBorders>
                  <w:shd w:val="clear" w:color="auto" w:fill="FFFFFF"/>
                  <w:tcMar>
                    <w:top w:w="0" w:type="dxa"/>
                    <w:left w:w="0" w:type="dxa"/>
                    <w:bottom w:w="0" w:type="dxa"/>
                    <w:right w:w="0" w:type="dxa"/>
                  </w:tcMar>
                  <w:vAlign w:val="center"/>
                </w:tcPr>
                <w:p w14:paraId="57865E7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34.7</w:t>
                  </w:r>
                </w:p>
              </w:tc>
              <w:tc>
                <w:tcPr>
                  <w:tcW w:w="351" w:type="dxa"/>
                  <w:tcBorders>
                    <w:tl2br w:val="nil"/>
                    <w:tr2bl w:val="nil"/>
                  </w:tcBorders>
                  <w:shd w:val="clear" w:color="auto" w:fill="FFFFFF"/>
                  <w:tcMar>
                    <w:top w:w="0" w:type="dxa"/>
                    <w:left w:w="0" w:type="dxa"/>
                    <w:bottom w:w="0" w:type="dxa"/>
                    <w:right w:w="0" w:type="dxa"/>
                  </w:tcMar>
                  <w:vAlign w:val="center"/>
                </w:tcPr>
                <w:p w14:paraId="0B67C35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34.8</w:t>
                  </w:r>
                </w:p>
              </w:tc>
              <w:tc>
                <w:tcPr>
                  <w:tcW w:w="504" w:type="dxa"/>
                  <w:tcBorders>
                    <w:tl2br w:val="nil"/>
                    <w:tr2bl w:val="nil"/>
                  </w:tcBorders>
                  <w:shd w:val="clear" w:color="auto" w:fill="FFFFFF"/>
                  <w:tcMar>
                    <w:top w:w="0" w:type="dxa"/>
                    <w:left w:w="0" w:type="dxa"/>
                    <w:bottom w:w="0" w:type="dxa"/>
                    <w:right w:w="0" w:type="dxa"/>
                  </w:tcMar>
                  <w:vAlign w:val="center"/>
                </w:tcPr>
                <w:p w14:paraId="75A7FDE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r>
            <w:tr w14:paraId="455C2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262" w:type="dxa"/>
                  <w:tcBorders>
                    <w:tl2br w:val="nil"/>
                    <w:tr2bl w:val="nil"/>
                  </w:tcBorders>
                  <w:shd w:val="clear" w:color="auto" w:fill="FFFFFF"/>
                  <w:tcMar>
                    <w:top w:w="0" w:type="dxa"/>
                    <w:left w:w="0" w:type="dxa"/>
                    <w:bottom w:w="0" w:type="dxa"/>
                    <w:right w:w="0" w:type="dxa"/>
                  </w:tcMar>
                  <w:vAlign w:val="center"/>
                </w:tcPr>
                <w:p w14:paraId="2C113F4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386" w:type="dxa"/>
                  <w:vMerge w:val="continue"/>
                  <w:tcBorders>
                    <w:tl2br w:val="nil"/>
                    <w:tr2bl w:val="nil"/>
                  </w:tcBorders>
                  <w:shd w:val="clear" w:color="auto" w:fill="FFFFFF"/>
                  <w:tcMar>
                    <w:top w:w="0" w:type="dxa"/>
                    <w:left w:w="0" w:type="dxa"/>
                    <w:bottom w:w="0" w:type="dxa"/>
                    <w:right w:w="0" w:type="dxa"/>
                  </w:tcMar>
                  <w:vAlign w:val="center"/>
                </w:tcPr>
                <w:p w14:paraId="253C222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368" w:type="dxa"/>
                  <w:tcBorders>
                    <w:tl2br w:val="nil"/>
                    <w:tr2bl w:val="nil"/>
                  </w:tcBorders>
                  <w:shd w:val="clear" w:color="auto" w:fill="FFFFFF"/>
                  <w:tcMar>
                    <w:top w:w="0" w:type="dxa"/>
                    <w:left w:w="0" w:type="dxa"/>
                    <w:bottom w:w="0" w:type="dxa"/>
                    <w:right w:w="0" w:type="dxa"/>
                  </w:tcMar>
                  <w:vAlign w:val="center"/>
                </w:tcPr>
                <w:p w14:paraId="4A12E07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输送机,2台</w:t>
                  </w:r>
                </w:p>
              </w:tc>
              <w:tc>
                <w:tcPr>
                  <w:tcW w:w="442" w:type="dxa"/>
                  <w:tcBorders>
                    <w:tl2br w:val="nil"/>
                    <w:tr2bl w:val="nil"/>
                  </w:tcBorders>
                  <w:shd w:val="clear" w:color="auto" w:fill="FFFFFF"/>
                  <w:tcMar>
                    <w:top w:w="0" w:type="dxa"/>
                    <w:left w:w="0" w:type="dxa"/>
                    <w:bottom w:w="0" w:type="dxa"/>
                    <w:right w:w="0" w:type="dxa"/>
                  </w:tcMar>
                  <w:vAlign w:val="center"/>
                </w:tcPr>
                <w:p w14:paraId="3176B85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70（等效后：73.0)</w:t>
                  </w:r>
                </w:p>
              </w:tc>
              <w:tc>
                <w:tcPr>
                  <w:tcW w:w="377" w:type="dxa"/>
                  <w:vMerge w:val="continue"/>
                  <w:tcBorders>
                    <w:tl2br w:val="nil"/>
                    <w:tr2bl w:val="nil"/>
                  </w:tcBorders>
                  <w:shd w:val="clear" w:color="auto" w:fill="FFFFFF"/>
                  <w:tcMar>
                    <w:top w:w="0" w:type="dxa"/>
                    <w:left w:w="0" w:type="dxa"/>
                    <w:bottom w:w="0" w:type="dxa"/>
                    <w:right w:w="0" w:type="dxa"/>
                  </w:tcMar>
                  <w:vAlign w:val="center"/>
                </w:tcPr>
                <w:p w14:paraId="0092655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417" w:type="dxa"/>
                  <w:tcBorders>
                    <w:tl2br w:val="nil"/>
                    <w:tr2bl w:val="nil"/>
                  </w:tcBorders>
                  <w:shd w:val="clear" w:color="auto" w:fill="FFFFFF"/>
                  <w:tcMar>
                    <w:top w:w="0" w:type="dxa"/>
                    <w:left w:w="0" w:type="dxa"/>
                    <w:bottom w:w="0" w:type="dxa"/>
                    <w:right w:w="0" w:type="dxa"/>
                  </w:tcMar>
                  <w:vAlign w:val="center"/>
                </w:tcPr>
                <w:p w14:paraId="4E5A4E0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0.6</w:t>
                  </w:r>
                </w:p>
              </w:tc>
              <w:tc>
                <w:tcPr>
                  <w:tcW w:w="417" w:type="dxa"/>
                  <w:tcBorders>
                    <w:tl2br w:val="nil"/>
                    <w:tr2bl w:val="nil"/>
                  </w:tcBorders>
                  <w:shd w:val="clear" w:color="auto" w:fill="FFFFFF"/>
                  <w:tcMar>
                    <w:top w:w="0" w:type="dxa"/>
                    <w:left w:w="0" w:type="dxa"/>
                    <w:bottom w:w="0" w:type="dxa"/>
                    <w:right w:w="0" w:type="dxa"/>
                  </w:tcMar>
                  <w:vAlign w:val="center"/>
                </w:tcPr>
                <w:p w14:paraId="3AF4F0E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0.5</w:t>
                  </w:r>
                </w:p>
              </w:tc>
              <w:tc>
                <w:tcPr>
                  <w:tcW w:w="427" w:type="dxa"/>
                  <w:tcBorders>
                    <w:tl2br w:val="nil"/>
                    <w:tr2bl w:val="nil"/>
                  </w:tcBorders>
                  <w:shd w:val="clear" w:color="auto" w:fill="FFFFFF"/>
                  <w:tcMar>
                    <w:top w:w="0" w:type="dxa"/>
                    <w:left w:w="0" w:type="dxa"/>
                    <w:bottom w:w="0" w:type="dxa"/>
                    <w:right w:w="0" w:type="dxa"/>
                  </w:tcMar>
                  <w:vAlign w:val="center"/>
                </w:tcPr>
                <w:p w14:paraId="6B0CDE3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346" w:type="dxa"/>
                  <w:tcBorders>
                    <w:tl2br w:val="nil"/>
                    <w:tr2bl w:val="nil"/>
                  </w:tcBorders>
                  <w:shd w:val="clear" w:color="auto" w:fill="FFFFFF"/>
                  <w:tcMar>
                    <w:top w:w="0" w:type="dxa"/>
                    <w:left w:w="0" w:type="dxa"/>
                    <w:bottom w:w="0" w:type="dxa"/>
                    <w:right w:w="0" w:type="dxa"/>
                  </w:tcMar>
                  <w:vAlign w:val="center"/>
                </w:tcPr>
                <w:p w14:paraId="252DB31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29.6</w:t>
                  </w:r>
                </w:p>
              </w:tc>
              <w:tc>
                <w:tcPr>
                  <w:tcW w:w="346" w:type="dxa"/>
                  <w:tcBorders>
                    <w:tl2br w:val="nil"/>
                    <w:tr2bl w:val="nil"/>
                  </w:tcBorders>
                  <w:shd w:val="clear" w:color="auto" w:fill="FFFFFF"/>
                  <w:tcMar>
                    <w:top w:w="0" w:type="dxa"/>
                    <w:left w:w="0" w:type="dxa"/>
                    <w:bottom w:w="0" w:type="dxa"/>
                    <w:right w:w="0" w:type="dxa"/>
                  </w:tcMar>
                  <w:vAlign w:val="center"/>
                </w:tcPr>
                <w:p w14:paraId="5ADAF8C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12.7</w:t>
                  </w:r>
                </w:p>
              </w:tc>
              <w:tc>
                <w:tcPr>
                  <w:tcW w:w="346" w:type="dxa"/>
                  <w:tcBorders>
                    <w:tl2br w:val="nil"/>
                    <w:tr2bl w:val="nil"/>
                  </w:tcBorders>
                  <w:shd w:val="clear" w:color="auto" w:fill="FFFFFF"/>
                  <w:tcMar>
                    <w:top w:w="0" w:type="dxa"/>
                    <w:left w:w="0" w:type="dxa"/>
                    <w:bottom w:w="0" w:type="dxa"/>
                    <w:right w:w="0" w:type="dxa"/>
                  </w:tcMar>
                  <w:vAlign w:val="center"/>
                </w:tcPr>
                <w:p w14:paraId="4A95FFF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30.3</w:t>
                  </w:r>
                </w:p>
              </w:tc>
              <w:tc>
                <w:tcPr>
                  <w:tcW w:w="354" w:type="dxa"/>
                  <w:tcBorders>
                    <w:tl2br w:val="nil"/>
                    <w:tr2bl w:val="nil"/>
                  </w:tcBorders>
                  <w:shd w:val="clear" w:color="auto" w:fill="FFFFFF"/>
                  <w:tcMar>
                    <w:top w:w="0" w:type="dxa"/>
                    <w:left w:w="0" w:type="dxa"/>
                    <w:bottom w:w="0" w:type="dxa"/>
                    <w:right w:w="0" w:type="dxa"/>
                  </w:tcMar>
                  <w:vAlign w:val="center"/>
                </w:tcPr>
                <w:p w14:paraId="01FE1F7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10.8</w:t>
                  </w:r>
                </w:p>
              </w:tc>
              <w:tc>
                <w:tcPr>
                  <w:tcW w:w="342" w:type="dxa"/>
                  <w:tcBorders>
                    <w:tl2br w:val="nil"/>
                    <w:tr2bl w:val="nil"/>
                  </w:tcBorders>
                  <w:shd w:val="clear" w:color="auto" w:fill="FFFFFF"/>
                  <w:tcMar>
                    <w:top w:w="0" w:type="dxa"/>
                    <w:left w:w="0" w:type="dxa"/>
                    <w:bottom w:w="0" w:type="dxa"/>
                    <w:right w:w="0" w:type="dxa"/>
                  </w:tcMar>
                  <w:vAlign w:val="center"/>
                </w:tcPr>
                <w:p w14:paraId="43148AB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59.7</w:t>
                  </w:r>
                </w:p>
              </w:tc>
              <w:tc>
                <w:tcPr>
                  <w:tcW w:w="342" w:type="dxa"/>
                  <w:tcBorders>
                    <w:tl2br w:val="nil"/>
                    <w:tr2bl w:val="nil"/>
                  </w:tcBorders>
                  <w:shd w:val="clear" w:color="auto" w:fill="FFFFFF"/>
                  <w:tcMar>
                    <w:top w:w="0" w:type="dxa"/>
                    <w:left w:w="0" w:type="dxa"/>
                    <w:bottom w:w="0" w:type="dxa"/>
                    <w:right w:w="0" w:type="dxa"/>
                  </w:tcMar>
                  <w:vAlign w:val="center"/>
                </w:tcPr>
                <w:p w14:paraId="5B6808E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59.8</w:t>
                  </w:r>
                </w:p>
              </w:tc>
              <w:tc>
                <w:tcPr>
                  <w:tcW w:w="342" w:type="dxa"/>
                  <w:tcBorders>
                    <w:tl2br w:val="nil"/>
                    <w:tr2bl w:val="nil"/>
                  </w:tcBorders>
                  <w:shd w:val="clear" w:color="auto" w:fill="FFFFFF"/>
                  <w:tcMar>
                    <w:top w:w="0" w:type="dxa"/>
                    <w:left w:w="0" w:type="dxa"/>
                    <w:bottom w:w="0" w:type="dxa"/>
                    <w:right w:w="0" w:type="dxa"/>
                  </w:tcMar>
                  <w:vAlign w:val="center"/>
                </w:tcPr>
                <w:p w14:paraId="16D0490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59.7</w:t>
                  </w:r>
                </w:p>
              </w:tc>
              <w:tc>
                <w:tcPr>
                  <w:tcW w:w="351" w:type="dxa"/>
                  <w:tcBorders>
                    <w:tl2br w:val="nil"/>
                    <w:tr2bl w:val="nil"/>
                  </w:tcBorders>
                  <w:shd w:val="clear" w:color="auto" w:fill="FFFFFF"/>
                  <w:tcMar>
                    <w:top w:w="0" w:type="dxa"/>
                    <w:left w:w="0" w:type="dxa"/>
                    <w:bottom w:w="0" w:type="dxa"/>
                    <w:right w:w="0" w:type="dxa"/>
                  </w:tcMar>
                  <w:vAlign w:val="center"/>
                </w:tcPr>
                <w:p w14:paraId="3E29016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59.8</w:t>
                  </w:r>
                </w:p>
              </w:tc>
              <w:tc>
                <w:tcPr>
                  <w:tcW w:w="295" w:type="dxa"/>
                  <w:vMerge w:val="continue"/>
                  <w:tcBorders>
                    <w:tl2br w:val="nil"/>
                    <w:tr2bl w:val="nil"/>
                  </w:tcBorders>
                  <w:shd w:val="clear" w:color="auto" w:fill="FFFFFF"/>
                  <w:tcMar>
                    <w:top w:w="0" w:type="dxa"/>
                    <w:left w:w="0" w:type="dxa"/>
                    <w:bottom w:w="0" w:type="dxa"/>
                    <w:right w:w="0" w:type="dxa"/>
                  </w:tcMar>
                  <w:vAlign w:val="center"/>
                </w:tcPr>
                <w:p w14:paraId="78442F9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328" w:type="dxa"/>
                  <w:tcBorders>
                    <w:tl2br w:val="nil"/>
                    <w:tr2bl w:val="nil"/>
                  </w:tcBorders>
                  <w:shd w:val="clear" w:color="auto" w:fill="FFFFFF"/>
                  <w:tcMar>
                    <w:top w:w="0" w:type="dxa"/>
                    <w:left w:w="0" w:type="dxa"/>
                    <w:bottom w:w="0" w:type="dxa"/>
                    <w:right w:w="0" w:type="dxa"/>
                  </w:tcMar>
                  <w:vAlign w:val="center"/>
                </w:tcPr>
                <w:p w14:paraId="6C32760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28" w:type="dxa"/>
                  <w:tcBorders>
                    <w:tl2br w:val="nil"/>
                    <w:tr2bl w:val="nil"/>
                  </w:tcBorders>
                  <w:shd w:val="clear" w:color="auto" w:fill="FFFFFF"/>
                  <w:tcMar>
                    <w:top w:w="0" w:type="dxa"/>
                    <w:left w:w="0" w:type="dxa"/>
                    <w:bottom w:w="0" w:type="dxa"/>
                    <w:right w:w="0" w:type="dxa"/>
                  </w:tcMar>
                  <w:vAlign w:val="center"/>
                </w:tcPr>
                <w:p w14:paraId="5DFCD14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28" w:type="dxa"/>
                  <w:tcBorders>
                    <w:tl2br w:val="nil"/>
                    <w:tr2bl w:val="nil"/>
                  </w:tcBorders>
                  <w:shd w:val="clear" w:color="auto" w:fill="FFFFFF"/>
                  <w:tcMar>
                    <w:top w:w="0" w:type="dxa"/>
                    <w:left w:w="0" w:type="dxa"/>
                    <w:bottom w:w="0" w:type="dxa"/>
                    <w:right w:w="0" w:type="dxa"/>
                  </w:tcMar>
                  <w:vAlign w:val="center"/>
                </w:tcPr>
                <w:p w14:paraId="006A954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41" w:type="dxa"/>
                  <w:tcBorders>
                    <w:tl2br w:val="nil"/>
                    <w:tr2bl w:val="nil"/>
                  </w:tcBorders>
                  <w:shd w:val="clear" w:color="auto" w:fill="FFFFFF"/>
                  <w:tcMar>
                    <w:top w:w="0" w:type="dxa"/>
                    <w:left w:w="0" w:type="dxa"/>
                    <w:bottom w:w="0" w:type="dxa"/>
                    <w:right w:w="0" w:type="dxa"/>
                  </w:tcMar>
                  <w:vAlign w:val="center"/>
                </w:tcPr>
                <w:p w14:paraId="51B49DF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51" w:type="dxa"/>
                  <w:tcBorders>
                    <w:tl2br w:val="nil"/>
                    <w:tr2bl w:val="nil"/>
                  </w:tcBorders>
                  <w:shd w:val="clear" w:color="auto" w:fill="FFFFFF"/>
                  <w:tcMar>
                    <w:top w:w="0" w:type="dxa"/>
                    <w:left w:w="0" w:type="dxa"/>
                    <w:bottom w:w="0" w:type="dxa"/>
                    <w:right w:w="0" w:type="dxa"/>
                  </w:tcMar>
                  <w:vAlign w:val="center"/>
                </w:tcPr>
                <w:p w14:paraId="78DBA3D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34.7</w:t>
                  </w:r>
                </w:p>
              </w:tc>
              <w:tc>
                <w:tcPr>
                  <w:tcW w:w="351" w:type="dxa"/>
                  <w:tcBorders>
                    <w:tl2br w:val="nil"/>
                    <w:tr2bl w:val="nil"/>
                  </w:tcBorders>
                  <w:shd w:val="clear" w:color="auto" w:fill="FFFFFF"/>
                  <w:tcMar>
                    <w:top w:w="0" w:type="dxa"/>
                    <w:left w:w="0" w:type="dxa"/>
                    <w:bottom w:w="0" w:type="dxa"/>
                    <w:right w:w="0" w:type="dxa"/>
                  </w:tcMar>
                  <w:vAlign w:val="center"/>
                </w:tcPr>
                <w:p w14:paraId="01AE5AD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34.8</w:t>
                  </w:r>
                </w:p>
              </w:tc>
              <w:tc>
                <w:tcPr>
                  <w:tcW w:w="351" w:type="dxa"/>
                  <w:tcBorders>
                    <w:tl2br w:val="nil"/>
                    <w:tr2bl w:val="nil"/>
                  </w:tcBorders>
                  <w:shd w:val="clear" w:color="auto" w:fill="FFFFFF"/>
                  <w:tcMar>
                    <w:top w:w="0" w:type="dxa"/>
                    <w:left w:w="0" w:type="dxa"/>
                    <w:bottom w:w="0" w:type="dxa"/>
                    <w:right w:w="0" w:type="dxa"/>
                  </w:tcMar>
                  <w:vAlign w:val="center"/>
                </w:tcPr>
                <w:p w14:paraId="6A80C10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34.7</w:t>
                  </w:r>
                </w:p>
              </w:tc>
              <w:tc>
                <w:tcPr>
                  <w:tcW w:w="351" w:type="dxa"/>
                  <w:tcBorders>
                    <w:tl2br w:val="nil"/>
                    <w:tr2bl w:val="nil"/>
                  </w:tcBorders>
                  <w:shd w:val="clear" w:color="auto" w:fill="FFFFFF"/>
                  <w:tcMar>
                    <w:top w:w="0" w:type="dxa"/>
                    <w:left w:w="0" w:type="dxa"/>
                    <w:bottom w:w="0" w:type="dxa"/>
                    <w:right w:w="0" w:type="dxa"/>
                  </w:tcMar>
                  <w:vAlign w:val="center"/>
                </w:tcPr>
                <w:p w14:paraId="6BB7FE5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34.8</w:t>
                  </w:r>
                </w:p>
              </w:tc>
              <w:tc>
                <w:tcPr>
                  <w:tcW w:w="504" w:type="dxa"/>
                  <w:tcBorders>
                    <w:tl2br w:val="nil"/>
                    <w:tr2bl w:val="nil"/>
                  </w:tcBorders>
                  <w:shd w:val="clear" w:color="auto" w:fill="FFFFFF"/>
                  <w:tcMar>
                    <w:top w:w="0" w:type="dxa"/>
                    <w:left w:w="0" w:type="dxa"/>
                    <w:bottom w:w="0" w:type="dxa"/>
                    <w:right w:w="0" w:type="dxa"/>
                  </w:tcMar>
                  <w:vAlign w:val="center"/>
                </w:tcPr>
                <w:p w14:paraId="3CBA151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r>
            <w:tr w14:paraId="06B60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262" w:type="dxa"/>
                  <w:tcBorders>
                    <w:tl2br w:val="nil"/>
                    <w:tr2bl w:val="nil"/>
                  </w:tcBorders>
                  <w:shd w:val="clear" w:color="auto" w:fill="FFFFFF"/>
                  <w:tcMar>
                    <w:top w:w="0" w:type="dxa"/>
                    <w:left w:w="0" w:type="dxa"/>
                    <w:bottom w:w="0" w:type="dxa"/>
                    <w:right w:w="0" w:type="dxa"/>
                  </w:tcMar>
                  <w:vAlign w:val="center"/>
                </w:tcPr>
                <w:p w14:paraId="1856FD1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386" w:type="dxa"/>
                  <w:vMerge w:val="continue"/>
                  <w:tcBorders>
                    <w:tl2br w:val="nil"/>
                    <w:tr2bl w:val="nil"/>
                  </w:tcBorders>
                  <w:shd w:val="clear" w:color="auto" w:fill="FFFFFF"/>
                  <w:tcMar>
                    <w:top w:w="0" w:type="dxa"/>
                    <w:left w:w="0" w:type="dxa"/>
                    <w:bottom w:w="0" w:type="dxa"/>
                    <w:right w:w="0" w:type="dxa"/>
                  </w:tcMar>
                  <w:vAlign w:val="center"/>
                </w:tcPr>
                <w:p w14:paraId="1A56309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368" w:type="dxa"/>
                  <w:tcBorders>
                    <w:tl2br w:val="nil"/>
                    <w:tr2bl w:val="nil"/>
                  </w:tcBorders>
                  <w:shd w:val="clear" w:color="auto" w:fill="FFFFFF"/>
                  <w:tcMar>
                    <w:top w:w="0" w:type="dxa"/>
                    <w:left w:w="0" w:type="dxa"/>
                    <w:bottom w:w="0" w:type="dxa"/>
                    <w:right w:w="0" w:type="dxa"/>
                  </w:tcMar>
                  <w:vAlign w:val="center"/>
                </w:tcPr>
                <w:p w14:paraId="10943E9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提升机,4台</w:t>
                  </w:r>
                </w:p>
              </w:tc>
              <w:tc>
                <w:tcPr>
                  <w:tcW w:w="442" w:type="dxa"/>
                  <w:tcBorders>
                    <w:tl2br w:val="nil"/>
                    <w:tr2bl w:val="nil"/>
                  </w:tcBorders>
                  <w:shd w:val="clear" w:color="auto" w:fill="FFFFFF"/>
                  <w:tcMar>
                    <w:top w:w="0" w:type="dxa"/>
                    <w:left w:w="0" w:type="dxa"/>
                    <w:bottom w:w="0" w:type="dxa"/>
                    <w:right w:w="0" w:type="dxa"/>
                  </w:tcMar>
                  <w:vAlign w:val="center"/>
                </w:tcPr>
                <w:p w14:paraId="3B97EB1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75（等效后：81.0)</w:t>
                  </w:r>
                </w:p>
              </w:tc>
              <w:tc>
                <w:tcPr>
                  <w:tcW w:w="377" w:type="dxa"/>
                  <w:vMerge w:val="continue"/>
                  <w:tcBorders>
                    <w:tl2br w:val="nil"/>
                    <w:tr2bl w:val="nil"/>
                  </w:tcBorders>
                  <w:shd w:val="clear" w:color="auto" w:fill="FFFFFF"/>
                  <w:tcMar>
                    <w:top w:w="0" w:type="dxa"/>
                    <w:left w:w="0" w:type="dxa"/>
                    <w:bottom w:w="0" w:type="dxa"/>
                    <w:right w:w="0" w:type="dxa"/>
                  </w:tcMar>
                  <w:vAlign w:val="center"/>
                </w:tcPr>
                <w:p w14:paraId="268EC78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417" w:type="dxa"/>
                  <w:tcBorders>
                    <w:tl2br w:val="nil"/>
                    <w:tr2bl w:val="nil"/>
                  </w:tcBorders>
                  <w:shd w:val="clear" w:color="auto" w:fill="FFFFFF"/>
                  <w:tcMar>
                    <w:top w:w="0" w:type="dxa"/>
                    <w:left w:w="0" w:type="dxa"/>
                    <w:bottom w:w="0" w:type="dxa"/>
                    <w:right w:w="0" w:type="dxa"/>
                  </w:tcMar>
                  <w:vAlign w:val="center"/>
                </w:tcPr>
                <w:p w14:paraId="20E6104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417" w:type="dxa"/>
                  <w:tcBorders>
                    <w:tl2br w:val="nil"/>
                    <w:tr2bl w:val="nil"/>
                  </w:tcBorders>
                  <w:shd w:val="clear" w:color="auto" w:fill="FFFFFF"/>
                  <w:tcMar>
                    <w:top w:w="0" w:type="dxa"/>
                    <w:left w:w="0" w:type="dxa"/>
                    <w:bottom w:w="0" w:type="dxa"/>
                    <w:right w:w="0" w:type="dxa"/>
                  </w:tcMar>
                  <w:vAlign w:val="center"/>
                </w:tcPr>
                <w:p w14:paraId="45A0709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-0.5</w:t>
                  </w:r>
                </w:p>
              </w:tc>
              <w:tc>
                <w:tcPr>
                  <w:tcW w:w="427" w:type="dxa"/>
                  <w:tcBorders>
                    <w:tl2br w:val="nil"/>
                    <w:tr2bl w:val="nil"/>
                  </w:tcBorders>
                  <w:shd w:val="clear" w:color="auto" w:fill="FFFFFF"/>
                  <w:tcMar>
                    <w:top w:w="0" w:type="dxa"/>
                    <w:left w:w="0" w:type="dxa"/>
                    <w:bottom w:w="0" w:type="dxa"/>
                    <w:right w:w="0" w:type="dxa"/>
                  </w:tcMar>
                  <w:vAlign w:val="center"/>
                </w:tcPr>
                <w:p w14:paraId="1B3DB8A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346" w:type="dxa"/>
                  <w:tcBorders>
                    <w:tl2br w:val="nil"/>
                    <w:tr2bl w:val="nil"/>
                  </w:tcBorders>
                  <w:shd w:val="clear" w:color="auto" w:fill="FFFFFF"/>
                  <w:tcMar>
                    <w:top w:w="0" w:type="dxa"/>
                    <w:left w:w="0" w:type="dxa"/>
                    <w:bottom w:w="0" w:type="dxa"/>
                    <w:right w:w="0" w:type="dxa"/>
                  </w:tcMar>
                  <w:vAlign w:val="center"/>
                </w:tcPr>
                <w:p w14:paraId="6521FDC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25.1</w:t>
                  </w:r>
                </w:p>
              </w:tc>
              <w:tc>
                <w:tcPr>
                  <w:tcW w:w="346" w:type="dxa"/>
                  <w:tcBorders>
                    <w:tl2br w:val="nil"/>
                    <w:tr2bl w:val="nil"/>
                  </w:tcBorders>
                  <w:shd w:val="clear" w:color="auto" w:fill="FFFFFF"/>
                  <w:tcMar>
                    <w:top w:w="0" w:type="dxa"/>
                    <w:left w:w="0" w:type="dxa"/>
                    <w:bottom w:w="0" w:type="dxa"/>
                    <w:right w:w="0" w:type="dxa"/>
                  </w:tcMar>
                  <w:vAlign w:val="center"/>
                </w:tcPr>
                <w:p w14:paraId="6653EE3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13.1</w:t>
                  </w:r>
                </w:p>
              </w:tc>
              <w:tc>
                <w:tcPr>
                  <w:tcW w:w="346" w:type="dxa"/>
                  <w:tcBorders>
                    <w:tl2br w:val="nil"/>
                    <w:tr2bl w:val="nil"/>
                  </w:tcBorders>
                  <w:shd w:val="clear" w:color="auto" w:fill="FFFFFF"/>
                  <w:tcMar>
                    <w:top w:w="0" w:type="dxa"/>
                    <w:left w:w="0" w:type="dxa"/>
                    <w:bottom w:w="0" w:type="dxa"/>
                    <w:right w:w="0" w:type="dxa"/>
                  </w:tcMar>
                  <w:vAlign w:val="center"/>
                </w:tcPr>
                <w:p w14:paraId="1DDBBB6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34.8</w:t>
                  </w:r>
                </w:p>
              </w:tc>
              <w:tc>
                <w:tcPr>
                  <w:tcW w:w="354" w:type="dxa"/>
                  <w:tcBorders>
                    <w:tl2br w:val="nil"/>
                    <w:tr2bl w:val="nil"/>
                  </w:tcBorders>
                  <w:shd w:val="clear" w:color="auto" w:fill="FFFFFF"/>
                  <w:tcMar>
                    <w:top w:w="0" w:type="dxa"/>
                    <w:left w:w="0" w:type="dxa"/>
                    <w:bottom w:w="0" w:type="dxa"/>
                    <w:right w:w="0" w:type="dxa"/>
                  </w:tcMar>
                  <w:vAlign w:val="center"/>
                </w:tcPr>
                <w:p w14:paraId="47C7B27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10.6</w:t>
                  </w:r>
                </w:p>
              </w:tc>
              <w:tc>
                <w:tcPr>
                  <w:tcW w:w="342" w:type="dxa"/>
                  <w:tcBorders>
                    <w:tl2br w:val="nil"/>
                    <w:tr2bl w:val="nil"/>
                  </w:tcBorders>
                  <w:shd w:val="clear" w:color="auto" w:fill="FFFFFF"/>
                  <w:tcMar>
                    <w:top w:w="0" w:type="dxa"/>
                    <w:left w:w="0" w:type="dxa"/>
                    <w:bottom w:w="0" w:type="dxa"/>
                    <w:right w:w="0" w:type="dxa"/>
                  </w:tcMar>
                  <w:vAlign w:val="center"/>
                </w:tcPr>
                <w:p w14:paraId="6772EFC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53.0</w:t>
                  </w:r>
                </w:p>
              </w:tc>
              <w:tc>
                <w:tcPr>
                  <w:tcW w:w="342" w:type="dxa"/>
                  <w:tcBorders>
                    <w:tl2br w:val="nil"/>
                    <w:tr2bl w:val="nil"/>
                  </w:tcBorders>
                  <w:shd w:val="clear" w:color="auto" w:fill="FFFFFF"/>
                  <w:tcMar>
                    <w:top w:w="0" w:type="dxa"/>
                    <w:left w:w="0" w:type="dxa"/>
                    <w:bottom w:w="0" w:type="dxa"/>
                    <w:right w:w="0" w:type="dxa"/>
                  </w:tcMar>
                  <w:vAlign w:val="center"/>
                </w:tcPr>
                <w:p w14:paraId="0A8B583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58.6</w:t>
                  </w:r>
                </w:p>
              </w:tc>
              <w:tc>
                <w:tcPr>
                  <w:tcW w:w="342" w:type="dxa"/>
                  <w:tcBorders>
                    <w:tl2br w:val="nil"/>
                    <w:tr2bl w:val="nil"/>
                  </w:tcBorders>
                  <w:shd w:val="clear" w:color="auto" w:fill="FFFFFF"/>
                  <w:tcMar>
                    <w:top w:w="0" w:type="dxa"/>
                    <w:left w:w="0" w:type="dxa"/>
                    <w:bottom w:w="0" w:type="dxa"/>
                    <w:right w:w="0" w:type="dxa"/>
                  </w:tcMar>
                  <w:vAlign w:val="center"/>
                </w:tcPr>
                <w:p w14:paraId="76B86CE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50.1</w:t>
                  </w:r>
                </w:p>
              </w:tc>
              <w:tc>
                <w:tcPr>
                  <w:tcW w:w="351" w:type="dxa"/>
                  <w:tcBorders>
                    <w:tl2br w:val="nil"/>
                    <w:tr2bl w:val="nil"/>
                  </w:tcBorders>
                  <w:shd w:val="clear" w:color="auto" w:fill="FFFFFF"/>
                  <w:tcMar>
                    <w:top w:w="0" w:type="dxa"/>
                    <w:left w:w="0" w:type="dxa"/>
                    <w:bottom w:w="0" w:type="dxa"/>
                    <w:right w:w="0" w:type="dxa"/>
                  </w:tcMar>
                  <w:vAlign w:val="center"/>
                </w:tcPr>
                <w:p w14:paraId="0AEB316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60.4</w:t>
                  </w:r>
                </w:p>
              </w:tc>
              <w:tc>
                <w:tcPr>
                  <w:tcW w:w="295" w:type="dxa"/>
                  <w:vMerge w:val="continue"/>
                  <w:tcBorders>
                    <w:tl2br w:val="nil"/>
                    <w:tr2bl w:val="nil"/>
                  </w:tcBorders>
                  <w:shd w:val="clear" w:color="auto" w:fill="FFFFFF"/>
                  <w:tcMar>
                    <w:top w:w="0" w:type="dxa"/>
                    <w:left w:w="0" w:type="dxa"/>
                    <w:bottom w:w="0" w:type="dxa"/>
                    <w:right w:w="0" w:type="dxa"/>
                  </w:tcMar>
                  <w:vAlign w:val="center"/>
                </w:tcPr>
                <w:p w14:paraId="2B14EC8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328" w:type="dxa"/>
                  <w:tcBorders>
                    <w:tl2br w:val="nil"/>
                    <w:tr2bl w:val="nil"/>
                  </w:tcBorders>
                  <w:shd w:val="clear" w:color="auto" w:fill="FFFFFF"/>
                  <w:tcMar>
                    <w:top w:w="0" w:type="dxa"/>
                    <w:left w:w="0" w:type="dxa"/>
                    <w:bottom w:w="0" w:type="dxa"/>
                    <w:right w:w="0" w:type="dxa"/>
                  </w:tcMar>
                  <w:vAlign w:val="center"/>
                </w:tcPr>
                <w:p w14:paraId="118CDC2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28" w:type="dxa"/>
                  <w:tcBorders>
                    <w:tl2br w:val="nil"/>
                    <w:tr2bl w:val="nil"/>
                  </w:tcBorders>
                  <w:shd w:val="clear" w:color="auto" w:fill="FFFFFF"/>
                  <w:tcMar>
                    <w:top w:w="0" w:type="dxa"/>
                    <w:left w:w="0" w:type="dxa"/>
                    <w:bottom w:w="0" w:type="dxa"/>
                    <w:right w:w="0" w:type="dxa"/>
                  </w:tcMar>
                  <w:vAlign w:val="center"/>
                </w:tcPr>
                <w:p w14:paraId="4CC9FD7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28" w:type="dxa"/>
                  <w:tcBorders>
                    <w:tl2br w:val="nil"/>
                    <w:tr2bl w:val="nil"/>
                  </w:tcBorders>
                  <w:shd w:val="clear" w:color="auto" w:fill="FFFFFF"/>
                  <w:tcMar>
                    <w:top w:w="0" w:type="dxa"/>
                    <w:left w:w="0" w:type="dxa"/>
                    <w:bottom w:w="0" w:type="dxa"/>
                    <w:right w:w="0" w:type="dxa"/>
                  </w:tcMar>
                  <w:vAlign w:val="center"/>
                </w:tcPr>
                <w:p w14:paraId="22BD92F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41" w:type="dxa"/>
                  <w:tcBorders>
                    <w:tl2br w:val="nil"/>
                    <w:tr2bl w:val="nil"/>
                  </w:tcBorders>
                  <w:shd w:val="clear" w:color="auto" w:fill="FFFFFF"/>
                  <w:tcMar>
                    <w:top w:w="0" w:type="dxa"/>
                    <w:left w:w="0" w:type="dxa"/>
                    <w:bottom w:w="0" w:type="dxa"/>
                    <w:right w:w="0" w:type="dxa"/>
                  </w:tcMar>
                  <w:vAlign w:val="center"/>
                </w:tcPr>
                <w:p w14:paraId="6D37AA3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51" w:type="dxa"/>
                  <w:tcBorders>
                    <w:tl2br w:val="nil"/>
                    <w:tr2bl w:val="nil"/>
                  </w:tcBorders>
                  <w:shd w:val="clear" w:color="auto" w:fill="FFFFFF"/>
                  <w:tcMar>
                    <w:top w:w="0" w:type="dxa"/>
                    <w:left w:w="0" w:type="dxa"/>
                    <w:bottom w:w="0" w:type="dxa"/>
                    <w:right w:w="0" w:type="dxa"/>
                  </w:tcMar>
                  <w:vAlign w:val="center"/>
                </w:tcPr>
                <w:p w14:paraId="29EC31E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42.7</w:t>
                  </w:r>
                </w:p>
              </w:tc>
              <w:tc>
                <w:tcPr>
                  <w:tcW w:w="351" w:type="dxa"/>
                  <w:tcBorders>
                    <w:tl2br w:val="nil"/>
                    <w:tr2bl w:val="nil"/>
                  </w:tcBorders>
                  <w:shd w:val="clear" w:color="auto" w:fill="FFFFFF"/>
                  <w:tcMar>
                    <w:top w:w="0" w:type="dxa"/>
                    <w:left w:w="0" w:type="dxa"/>
                    <w:bottom w:w="0" w:type="dxa"/>
                    <w:right w:w="0" w:type="dxa"/>
                  </w:tcMar>
                  <w:vAlign w:val="center"/>
                </w:tcPr>
                <w:p w14:paraId="0DD36BD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42.7</w:t>
                  </w:r>
                </w:p>
              </w:tc>
              <w:tc>
                <w:tcPr>
                  <w:tcW w:w="351" w:type="dxa"/>
                  <w:tcBorders>
                    <w:tl2br w:val="nil"/>
                    <w:tr2bl w:val="nil"/>
                  </w:tcBorders>
                  <w:shd w:val="clear" w:color="auto" w:fill="FFFFFF"/>
                  <w:tcMar>
                    <w:top w:w="0" w:type="dxa"/>
                    <w:left w:w="0" w:type="dxa"/>
                    <w:bottom w:w="0" w:type="dxa"/>
                    <w:right w:w="0" w:type="dxa"/>
                  </w:tcMar>
                  <w:vAlign w:val="center"/>
                </w:tcPr>
                <w:p w14:paraId="748EF5B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42.7</w:t>
                  </w:r>
                </w:p>
              </w:tc>
              <w:tc>
                <w:tcPr>
                  <w:tcW w:w="351" w:type="dxa"/>
                  <w:tcBorders>
                    <w:tl2br w:val="nil"/>
                    <w:tr2bl w:val="nil"/>
                  </w:tcBorders>
                  <w:shd w:val="clear" w:color="auto" w:fill="FFFFFF"/>
                  <w:tcMar>
                    <w:top w:w="0" w:type="dxa"/>
                    <w:left w:w="0" w:type="dxa"/>
                    <w:bottom w:w="0" w:type="dxa"/>
                    <w:right w:w="0" w:type="dxa"/>
                  </w:tcMar>
                  <w:vAlign w:val="center"/>
                </w:tcPr>
                <w:p w14:paraId="3E958A5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42.8</w:t>
                  </w:r>
                </w:p>
              </w:tc>
              <w:tc>
                <w:tcPr>
                  <w:tcW w:w="504" w:type="dxa"/>
                  <w:tcBorders>
                    <w:tl2br w:val="nil"/>
                    <w:tr2bl w:val="nil"/>
                  </w:tcBorders>
                  <w:shd w:val="clear" w:color="auto" w:fill="FFFFFF"/>
                  <w:tcMar>
                    <w:top w:w="0" w:type="dxa"/>
                    <w:left w:w="0" w:type="dxa"/>
                    <w:bottom w:w="0" w:type="dxa"/>
                    <w:right w:w="0" w:type="dxa"/>
                  </w:tcMar>
                  <w:vAlign w:val="center"/>
                </w:tcPr>
                <w:p w14:paraId="4630239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r>
            <w:tr w14:paraId="1BC90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262" w:type="dxa"/>
                  <w:tcBorders>
                    <w:tl2br w:val="nil"/>
                    <w:tr2bl w:val="nil"/>
                  </w:tcBorders>
                  <w:shd w:val="clear" w:color="auto" w:fill="FFFFFF"/>
                  <w:tcMar>
                    <w:top w:w="0" w:type="dxa"/>
                    <w:left w:w="0" w:type="dxa"/>
                    <w:bottom w:w="0" w:type="dxa"/>
                    <w:right w:w="0" w:type="dxa"/>
                  </w:tcMar>
                  <w:vAlign w:val="center"/>
                </w:tcPr>
                <w:p w14:paraId="032CCCB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386" w:type="dxa"/>
                  <w:vMerge w:val="continue"/>
                  <w:tcBorders>
                    <w:tl2br w:val="nil"/>
                    <w:tr2bl w:val="nil"/>
                  </w:tcBorders>
                  <w:shd w:val="clear" w:color="auto" w:fill="FFFFFF"/>
                  <w:tcMar>
                    <w:top w:w="0" w:type="dxa"/>
                    <w:left w:w="0" w:type="dxa"/>
                    <w:bottom w:w="0" w:type="dxa"/>
                    <w:right w:w="0" w:type="dxa"/>
                  </w:tcMar>
                  <w:vAlign w:val="center"/>
                </w:tcPr>
                <w:p w14:paraId="6C255B3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368" w:type="dxa"/>
                  <w:tcBorders>
                    <w:tl2br w:val="nil"/>
                    <w:tr2bl w:val="nil"/>
                  </w:tcBorders>
                  <w:shd w:val="clear" w:color="auto" w:fill="FFFFFF"/>
                  <w:tcMar>
                    <w:top w:w="0" w:type="dxa"/>
                    <w:left w:w="0" w:type="dxa"/>
                    <w:bottom w:w="0" w:type="dxa"/>
                    <w:right w:w="0" w:type="dxa"/>
                  </w:tcMar>
                  <w:vAlign w:val="center"/>
                </w:tcPr>
                <w:p w14:paraId="23D5159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搅拌罐,4台</w:t>
                  </w:r>
                </w:p>
              </w:tc>
              <w:tc>
                <w:tcPr>
                  <w:tcW w:w="442" w:type="dxa"/>
                  <w:tcBorders>
                    <w:tl2br w:val="nil"/>
                    <w:tr2bl w:val="nil"/>
                  </w:tcBorders>
                  <w:shd w:val="clear" w:color="auto" w:fill="FFFFFF"/>
                  <w:tcMar>
                    <w:top w:w="0" w:type="dxa"/>
                    <w:left w:w="0" w:type="dxa"/>
                    <w:bottom w:w="0" w:type="dxa"/>
                    <w:right w:w="0" w:type="dxa"/>
                  </w:tcMar>
                  <w:vAlign w:val="center"/>
                </w:tcPr>
                <w:p w14:paraId="43FFD1D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80（等效后：86.0)</w:t>
                  </w:r>
                </w:p>
              </w:tc>
              <w:tc>
                <w:tcPr>
                  <w:tcW w:w="377" w:type="dxa"/>
                  <w:vMerge w:val="continue"/>
                  <w:tcBorders>
                    <w:tl2br w:val="nil"/>
                    <w:tr2bl w:val="nil"/>
                  </w:tcBorders>
                  <w:shd w:val="clear" w:color="auto" w:fill="FFFFFF"/>
                  <w:tcMar>
                    <w:top w:w="0" w:type="dxa"/>
                    <w:left w:w="0" w:type="dxa"/>
                    <w:bottom w:w="0" w:type="dxa"/>
                    <w:right w:w="0" w:type="dxa"/>
                  </w:tcMar>
                  <w:vAlign w:val="center"/>
                </w:tcPr>
                <w:p w14:paraId="5100C15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417" w:type="dxa"/>
                  <w:tcBorders>
                    <w:tl2br w:val="nil"/>
                    <w:tr2bl w:val="nil"/>
                  </w:tcBorders>
                  <w:shd w:val="clear" w:color="auto" w:fill="FFFFFF"/>
                  <w:tcMar>
                    <w:top w:w="0" w:type="dxa"/>
                    <w:left w:w="0" w:type="dxa"/>
                    <w:bottom w:w="0" w:type="dxa"/>
                    <w:right w:w="0" w:type="dxa"/>
                  </w:tcMar>
                  <w:vAlign w:val="center"/>
                </w:tcPr>
                <w:p w14:paraId="56EFF11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w:t>
                  </w:r>
                </w:p>
              </w:tc>
              <w:tc>
                <w:tcPr>
                  <w:tcW w:w="417" w:type="dxa"/>
                  <w:tcBorders>
                    <w:tl2br w:val="nil"/>
                    <w:tr2bl w:val="nil"/>
                  </w:tcBorders>
                  <w:shd w:val="clear" w:color="auto" w:fill="FFFFFF"/>
                  <w:tcMar>
                    <w:top w:w="0" w:type="dxa"/>
                    <w:left w:w="0" w:type="dxa"/>
                    <w:bottom w:w="0" w:type="dxa"/>
                    <w:right w:w="0" w:type="dxa"/>
                  </w:tcMar>
                  <w:vAlign w:val="center"/>
                </w:tcPr>
                <w:p w14:paraId="4354954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-0.6</w:t>
                  </w:r>
                </w:p>
              </w:tc>
              <w:tc>
                <w:tcPr>
                  <w:tcW w:w="427" w:type="dxa"/>
                  <w:tcBorders>
                    <w:tl2br w:val="nil"/>
                    <w:tr2bl w:val="nil"/>
                  </w:tcBorders>
                  <w:shd w:val="clear" w:color="auto" w:fill="FFFFFF"/>
                  <w:tcMar>
                    <w:top w:w="0" w:type="dxa"/>
                    <w:left w:w="0" w:type="dxa"/>
                    <w:bottom w:w="0" w:type="dxa"/>
                    <w:right w:w="0" w:type="dxa"/>
                  </w:tcMar>
                  <w:vAlign w:val="center"/>
                </w:tcPr>
                <w:p w14:paraId="4AABB2B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346" w:type="dxa"/>
                  <w:tcBorders>
                    <w:tl2br w:val="nil"/>
                    <w:tr2bl w:val="nil"/>
                  </w:tcBorders>
                  <w:shd w:val="clear" w:color="auto" w:fill="FFFFFF"/>
                  <w:tcMar>
                    <w:top w:w="0" w:type="dxa"/>
                    <w:left w:w="0" w:type="dxa"/>
                    <w:bottom w:w="0" w:type="dxa"/>
                    <w:right w:w="0" w:type="dxa"/>
                  </w:tcMar>
                  <w:vAlign w:val="center"/>
                </w:tcPr>
                <w:p w14:paraId="1D2F859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22.1</w:t>
                  </w:r>
                </w:p>
              </w:tc>
              <w:tc>
                <w:tcPr>
                  <w:tcW w:w="346" w:type="dxa"/>
                  <w:tcBorders>
                    <w:tl2br w:val="nil"/>
                    <w:tr2bl w:val="nil"/>
                  </w:tcBorders>
                  <w:shd w:val="clear" w:color="auto" w:fill="FFFFFF"/>
                  <w:tcMar>
                    <w:top w:w="0" w:type="dxa"/>
                    <w:left w:w="0" w:type="dxa"/>
                    <w:bottom w:w="0" w:type="dxa"/>
                    <w:right w:w="0" w:type="dxa"/>
                  </w:tcMar>
                  <w:vAlign w:val="center"/>
                </w:tcPr>
                <w:p w14:paraId="13DDFAF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13.9</w:t>
                  </w:r>
                </w:p>
              </w:tc>
              <w:tc>
                <w:tcPr>
                  <w:tcW w:w="346" w:type="dxa"/>
                  <w:tcBorders>
                    <w:tl2br w:val="nil"/>
                    <w:tr2bl w:val="nil"/>
                  </w:tcBorders>
                  <w:shd w:val="clear" w:color="auto" w:fill="FFFFFF"/>
                  <w:tcMar>
                    <w:top w:w="0" w:type="dxa"/>
                    <w:left w:w="0" w:type="dxa"/>
                    <w:bottom w:w="0" w:type="dxa"/>
                    <w:right w:w="0" w:type="dxa"/>
                  </w:tcMar>
                  <w:vAlign w:val="center"/>
                </w:tcPr>
                <w:p w14:paraId="20AA8C5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37.7</w:t>
                  </w:r>
                </w:p>
              </w:tc>
              <w:tc>
                <w:tcPr>
                  <w:tcW w:w="354" w:type="dxa"/>
                  <w:tcBorders>
                    <w:tl2br w:val="nil"/>
                    <w:tr2bl w:val="nil"/>
                  </w:tcBorders>
                  <w:shd w:val="clear" w:color="auto" w:fill="FFFFFF"/>
                  <w:tcMar>
                    <w:top w:w="0" w:type="dxa"/>
                    <w:left w:w="0" w:type="dxa"/>
                    <w:bottom w:w="0" w:type="dxa"/>
                    <w:right w:w="0" w:type="dxa"/>
                  </w:tcMar>
                  <w:vAlign w:val="center"/>
                </w:tcPr>
                <w:p w14:paraId="25C9B84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9.9</w:t>
                  </w:r>
                </w:p>
              </w:tc>
              <w:tc>
                <w:tcPr>
                  <w:tcW w:w="342" w:type="dxa"/>
                  <w:tcBorders>
                    <w:tl2br w:val="nil"/>
                    <w:tr2bl w:val="nil"/>
                  </w:tcBorders>
                  <w:shd w:val="clear" w:color="auto" w:fill="FFFFFF"/>
                  <w:tcMar>
                    <w:top w:w="0" w:type="dxa"/>
                    <w:left w:w="0" w:type="dxa"/>
                    <w:bottom w:w="0" w:type="dxa"/>
                    <w:right w:w="0" w:type="dxa"/>
                  </w:tcMar>
                  <w:vAlign w:val="center"/>
                </w:tcPr>
                <w:p w14:paraId="4A33E92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59.1</w:t>
                  </w:r>
                </w:p>
              </w:tc>
              <w:tc>
                <w:tcPr>
                  <w:tcW w:w="342" w:type="dxa"/>
                  <w:tcBorders>
                    <w:tl2br w:val="nil"/>
                    <w:tr2bl w:val="nil"/>
                  </w:tcBorders>
                  <w:shd w:val="clear" w:color="auto" w:fill="FFFFFF"/>
                  <w:tcMar>
                    <w:top w:w="0" w:type="dxa"/>
                    <w:left w:w="0" w:type="dxa"/>
                    <w:bottom w:w="0" w:type="dxa"/>
                    <w:right w:w="0" w:type="dxa"/>
                  </w:tcMar>
                  <w:vAlign w:val="center"/>
                </w:tcPr>
                <w:p w14:paraId="7BC0235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63.1</w:t>
                  </w:r>
                </w:p>
              </w:tc>
              <w:tc>
                <w:tcPr>
                  <w:tcW w:w="342" w:type="dxa"/>
                  <w:tcBorders>
                    <w:tl2br w:val="nil"/>
                    <w:tr2bl w:val="nil"/>
                  </w:tcBorders>
                  <w:shd w:val="clear" w:color="auto" w:fill="FFFFFF"/>
                  <w:tcMar>
                    <w:top w:w="0" w:type="dxa"/>
                    <w:left w:w="0" w:type="dxa"/>
                    <w:bottom w:w="0" w:type="dxa"/>
                    <w:right w:w="0" w:type="dxa"/>
                  </w:tcMar>
                  <w:vAlign w:val="center"/>
                </w:tcPr>
                <w:p w14:paraId="3B2DE51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54.4</w:t>
                  </w:r>
                </w:p>
              </w:tc>
              <w:tc>
                <w:tcPr>
                  <w:tcW w:w="351" w:type="dxa"/>
                  <w:tcBorders>
                    <w:tl2br w:val="nil"/>
                    <w:tr2bl w:val="nil"/>
                  </w:tcBorders>
                  <w:shd w:val="clear" w:color="auto" w:fill="FFFFFF"/>
                  <w:tcMar>
                    <w:top w:w="0" w:type="dxa"/>
                    <w:left w:w="0" w:type="dxa"/>
                    <w:bottom w:w="0" w:type="dxa"/>
                    <w:right w:w="0" w:type="dxa"/>
                  </w:tcMar>
                  <w:vAlign w:val="center"/>
                </w:tcPr>
                <w:p w14:paraId="492AF91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66.0</w:t>
                  </w:r>
                </w:p>
              </w:tc>
              <w:tc>
                <w:tcPr>
                  <w:tcW w:w="295" w:type="dxa"/>
                  <w:vMerge w:val="continue"/>
                  <w:tcBorders>
                    <w:tl2br w:val="nil"/>
                    <w:tr2bl w:val="nil"/>
                  </w:tcBorders>
                  <w:shd w:val="clear" w:color="auto" w:fill="FFFFFF"/>
                  <w:tcMar>
                    <w:top w:w="0" w:type="dxa"/>
                    <w:left w:w="0" w:type="dxa"/>
                    <w:bottom w:w="0" w:type="dxa"/>
                    <w:right w:w="0" w:type="dxa"/>
                  </w:tcMar>
                  <w:vAlign w:val="center"/>
                </w:tcPr>
                <w:p w14:paraId="7E23195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328" w:type="dxa"/>
                  <w:tcBorders>
                    <w:tl2br w:val="nil"/>
                    <w:tr2bl w:val="nil"/>
                  </w:tcBorders>
                  <w:shd w:val="clear" w:color="auto" w:fill="FFFFFF"/>
                  <w:tcMar>
                    <w:top w:w="0" w:type="dxa"/>
                    <w:left w:w="0" w:type="dxa"/>
                    <w:bottom w:w="0" w:type="dxa"/>
                    <w:right w:w="0" w:type="dxa"/>
                  </w:tcMar>
                  <w:vAlign w:val="center"/>
                </w:tcPr>
                <w:p w14:paraId="6F7579D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28" w:type="dxa"/>
                  <w:tcBorders>
                    <w:tl2br w:val="nil"/>
                    <w:tr2bl w:val="nil"/>
                  </w:tcBorders>
                  <w:shd w:val="clear" w:color="auto" w:fill="FFFFFF"/>
                  <w:tcMar>
                    <w:top w:w="0" w:type="dxa"/>
                    <w:left w:w="0" w:type="dxa"/>
                    <w:bottom w:w="0" w:type="dxa"/>
                    <w:right w:w="0" w:type="dxa"/>
                  </w:tcMar>
                  <w:vAlign w:val="center"/>
                </w:tcPr>
                <w:p w14:paraId="7D0F48C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28" w:type="dxa"/>
                  <w:tcBorders>
                    <w:tl2br w:val="nil"/>
                    <w:tr2bl w:val="nil"/>
                  </w:tcBorders>
                  <w:shd w:val="clear" w:color="auto" w:fill="FFFFFF"/>
                  <w:tcMar>
                    <w:top w:w="0" w:type="dxa"/>
                    <w:left w:w="0" w:type="dxa"/>
                    <w:bottom w:w="0" w:type="dxa"/>
                    <w:right w:w="0" w:type="dxa"/>
                  </w:tcMar>
                  <w:vAlign w:val="center"/>
                </w:tcPr>
                <w:p w14:paraId="61C4FAC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41" w:type="dxa"/>
                  <w:tcBorders>
                    <w:tl2br w:val="nil"/>
                    <w:tr2bl w:val="nil"/>
                  </w:tcBorders>
                  <w:shd w:val="clear" w:color="auto" w:fill="FFFFFF"/>
                  <w:tcMar>
                    <w:top w:w="0" w:type="dxa"/>
                    <w:left w:w="0" w:type="dxa"/>
                    <w:bottom w:w="0" w:type="dxa"/>
                    <w:right w:w="0" w:type="dxa"/>
                  </w:tcMar>
                  <w:vAlign w:val="center"/>
                </w:tcPr>
                <w:p w14:paraId="2024F7B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51" w:type="dxa"/>
                  <w:tcBorders>
                    <w:tl2br w:val="nil"/>
                    <w:tr2bl w:val="nil"/>
                  </w:tcBorders>
                  <w:shd w:val="clear" w:color="auto" w:fill="FFFFFF"/>
                  <w:tcMar>
                    <w:top w:w="0" w:type="dxa"/>
                    <w:left w:w="0" w:type="dxa"/>
                    <w:bottom w:w="0" w:type="dxa"/>
                    <w:right w:w="0" w:type="dxa"/>
                  </w:tcMar>
                  <w:vAlign w:val="center"/>
                </w:tcPr>
                <w:p w14:paraId="7E6BC96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34.1</w:t>
                  </w:r>
                </w:p>
              </w:tc>
              <w:tc>
                <w:tcPr>
                  <w:tcW w:w="351" w:type="dxa"/>
                  <w:tcBorders>
                    <w:tl2br w:val="nil"/>
                    <w:tr2bl w:val="nil"/>
                  </w:tcBorders>
                  <w:shd w:val="clear" w:color="auto" w:fill="FFFFFF"/>
                  <w:tcMar>
                    <w:top w:w="0" w:type="dxa"/>
                    <w:left w:w="0" w:type="dxa"/>
                    <w:bottom w:w="0" w:type="dxa"/>
                    <w:right w:w="0" w:type="dxa"/>
                  </w:tcMar>
                  <w:vAlign w:val="center"/>
                </w:tcPr>
                <w:p w14:paraId="25A53F0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38.1</w:t>
                  </w:r>
                </w:p>
              </w:tc>
              <w:tc>
                <w:tcPr>
                  <w:tcW w:w="351" w:type="dxa"/>
                  <w:tcBorders>
                    <w:tl2br w:val="nil"/>
                    <w:tr2bl w:val="nil"/>
                  </w:tcBorders>
                  <w:shd w:val="clear" w:color="auto" w:fill="FFFFFF"/>
                  <w:tcMar>
                    <w:top w:w="0" w:type="dxa"/>
                    <w:left w:w="0" w:type="dxa"/>
                    <w:bottom w:w="0" w:type="dxa"/>
                    <w:right w:w="0" w:type="dxa"/>
                  </w:tcMar>
                  <w:vAlign w:val="center"/>
                </w:tcPr>
                <w:p w14:paraId="0311F6B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29.4</w:t>
                  </w:r>
                </w:p>
              </w:tc>
              <w:tc>
                <w:tcPr>
                  <w:tcW w:w="351" w:type="dxa"/>
                  <w:tcBorders>
                    <w:tl2br w:val="nil"/>
                    <w:tr2bl w:val="nil"/>
                  </w:tcBorders>
                  <w:shd w:val="clear" w:color="auto" w:fill="FFFFFF"/>
                  <w:tcMar>
                    <w:top w:w="0" w:type="dxa"/>
                    <w:left w:w="0" w:type="dxa"/>
                    <w:bottom w:w="0" w:type="dxa"/>
                    <w:right w:w="0" w:type="dxa"/>
                  </w:tcMar>
                  <w:vAlign w:val="center"/>
                </w:tcPr>
                <w:p w14:paraId="456C952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41.0</w:t>
                  </w:r>
                </w:p>
              </w:tc>
              <w:tc>
                <w:tcPr>
                  <w:tcW w:w="504" w:type="dxa"/>
                  <w:tcBorders>
                    <w:tl2br w:val="nil"/>
                    <w:tr2bl w:val="nil"/>
                  </w:tcBorders>
                  <w:shd w:val="clear" w:color="auto" w:fill="FFFFFF"/>
                  <w:tcMar>
                    <w:top w:w="0" w:type="dxa"/>
                    <w:left w:w="0" w:type="dxa"/>
                    <w:bottom w:w="0" w:type="dxa"/>
                    <w:right w:w="0" w:type="dxa"/>
                  </w:tcMar>
                  <w:vAlign w:val="center"/>
                </w:tcPr>
                <w:p w14:paraId="7487E80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r>
            <w:tr w14:paraId="1D3E5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262" w:type="dxa"/>
                  <w:tcBorders>
                    <w:tl2br w:val="nil"/>
                    <w:tr2bl w:val="nil"/>
                  </w:tcBorders>
                  <w:shd w:val="clear" w:color="auto" w:fill="FFFFFF"/>
                  <w:tcMar>
                    <w:top w:w="0" w:type="dxa"/>
                    <w:left w:w="0" w:type="dxa"/>
                    <w:bottom w:w="0" w:type="dxa"/>
                    <w:right w:w="0" w:type="dxa"/>
                  </w:tcMar>
                  <w:vAlign w:val="center"/>
                </w:tcPr>
                <w:p w14:paraId="029EC3E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386" w:type="dxa"/>
                  <w:vMerge w:val="continue"/>
                  <w:tcBorders>
                    <w:tl2br w:val="nil"/>
                    <w:tr2bl w:val="nil"/>
                  </w:tcBorders>
                  <w:shd w:val="clear" w:color="auto" w:fill="FFFFFF"/>
                  <w:tcMar>
                    <w:top w:w="0" w:type="dxa"/>
                    <w:left w:w="0" w:type="dxa"/>
                    <w:bottom w:w="0" w:type="dxa"/>
                    <w:right w:w="0" w:type="dxa"/>
                  </w:tcMar>
                  <w:vAlign w:val="center"/>
                </w:tcPr>
                <w:p w14:paraId="3240846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368" w:type="dxa"/>
                  <w:tcBorders>
                    <w:tl2br w:val="nil"/>
                    <w:tr2bl w:val="nil"/>
                  </w:tcBorders>
                  <w:shd w:val="clear" w:color="auto" w:fill="FFFFFF"/>
                  <w:tcMar>
                    <w:top w:w="0" w:type="dxa"/>
                    <w:left w:w="0" w:type="dxa"/>
                    <w:bottom w:w="0" w:type="dxa"/>
                    <w:right w:w="0" w:type="dxa"/>
                  </w:tcMar>
                  <w:vAlign w:val="center"/>
                </w:tcPr>
                <w:p w14:paraId="2594FC7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包装机,8台</w:t>
                  </w:r>
                </w:p>
              </w:tc>
              <w:tc>
                <w:tcPr>
                  <w:tcW w:w="442" w:type="dxa"/>
                  <w:tcBorders>
                    <w:tl2br w:val="nil"/>
                    <w:tr2bl w:val="nil"/>
                  </w:tcBorders>
                  <w:shd w:val="clear" w:color="auto" w:fill="FFFFFF"/>
                  <w:tcMar>
                    <w:top w:w="0" w:type="dxa"/>
                    <w:left w:w="0" w:type="dxa"/>
                    <w:bottom w:w="0" w:type="dxa"/>
                    <w:right w:w="0" w:type="dxa"/>
                  </w:tcMar>
                  <w:vAlign w:val="center"/>
                </w:tcPr>
                <w:p w14:paraId="7DCAD87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75（等效后：84.0)</w:t>
                  </w:r>
                </w:p>
              </w:tc>
              <w:tc>
                <w:tcPr>
                  <w:tcW w:w="377" w:type="dxa"/>
                  <w:vMerge w:val="continue"/>
                  <w:tcBorders>
                    <w:tl2br w:val="nil"/>
                    <w:tr2bl w:val="nil"/>
                  </w:tcBorders>
                  <w:shd w:val="clear" w:color="auto" w:fill="FFFFFF"/>
                  <w:tcMar>
                    <w:top w:w="0" w:type="dxa"/>
                    <w:left w:w="0" w:type="dxa"/>
                    <w:bottom w:w="0" w:type="dxa"/>
                    <w:right w:w="0" w:type="dxa"/>
                  </w:tcMar>
                  <w:vAlign w:val="center"/>
                </w:tcPr>
                <w:p w14:paraId="58896FC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417" w:type="dxa"/>
                  <w:tcBorders>
                    <w:tl2br w:val="nil"/>
                    <w:tr2bl w:val="nil"/>
                  </w:tcBorders>
                  <w:shd w:val="clear" w:color="auto" w:fill="FFFFFF"/>
                  <w:tcMar>
                    <w:top w:w="0" w:type="dxa"/>
                    <w:left w:w="0" w:type="dxa"/>
                    <w:bottom w:w="0" w:type="dxa"/>
                    <w:right w:w="0" w:type="dxa"/>
                  </w:tcMar>
                  <w:vAlign w:val="center"/>
                </w:tcPr>
                <w:p w14:paraId="0ECFDAB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14.2</w:t>
                  </w:r>
                </w:p>
              </w:tc>
              <w:tc>
                <w:tcPr>
                  <w:tcW w:w="417" w:type="dxa"/>
                  <w:tcBorders>
                    <w:tl2br w:val="nil"/>
                    <w:tr2bl w:val="nil"/>
                  </w:tcBorders>
                  <w:shd w:val="clear" w:color="auto" w:fill="FFFFFF"/>
                  <w:tcMar>
                    <w:top w:w="0" w:type="dxa"/>
                    <w:left w:w="0" w:type="dxa"/>
                    <w:bottom w:w="0" w:type="dxa"/>
                    <w:right w:w="0" w:type="dxa"/>
                  </w:tcMar>
                  <w:vAlign w:val="center"/>
                </w:tcPr>
                <w:p w14:paraId="535EAAE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-2.7</w:t>
                  </w:r>
                </w:p>
              </w:tc>
              <w:tc>
                <w:tcPr>
                  <w:tcW w:w="427" w:type="dxa"/>
                  <w:tcBorders>
                    <w:tl2br w:val="nil"/>
                    <w:tr2bl w:val="nil"/>
                  </w:tcBorders>
                  <w:shd w:val="clear" w:color="auto" w:fill="FFFFFF"/>
                  <w:tcMar>
                    <w:top w:w="0" w:type="dxa"/>
                    <w:left w:w="0" w:type="dxa"/>
                    <w:bottom w:w="0" w:type="dxa"/>
                    <w:right w:w="0" w:type="dxa"/>
                  </w:tcMar>
                  <w:vAlign w:val="center"/>
                </w:tcPr>
                <w:p w14:paraId="69CDAE5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346" w:type="dxa"/>
                  <w:tcBorders>
                    <w:tl2br w:val="nil"/>
                    <w:tr2bl w:val="nil"/>
                  </w:tcBorders>
                  <w:shd w:val="clear" w:color="auto" w:fill="FFFFFF"/>
                  <w:tcMar>
                    <w:top w:w="0" w:type="dxa"/>
                    <w:left w:w="0" w:type="dxa"/>
                    <w:bottom w:w="0" w:type="dxa"/>
                    <w:right w:w="0" w:type="dxa"/>
                  </w:tcMar>
                  <w:vAlign w:val="center"/>
                </w:tcPr>
                <w:p w14:paraId="76A1EF8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15.6</w:t>
                  </w:r>
                </w:p>
              </w:tc>
              <w:tc>
                <w:tcPr>
                  <w:tcW w:w="346" w:type="dxa"/>
                  <w:tcBorders>
                    <w:tl2br w:val="nil"/>
                    <w:tr2bl w:val="nil"/>
                  </w:tcBorders>
                  <w:shd w:val="clear" w:color="auto" w:fill="FFFFFF"/>
                  <w:tcMar>
                    <w:top w:w="0" w:type="dxa"/>
                    <w:left w:w="0" w:type="dxa"/>
                    <w:bottom w:w="0" w:type="dxa"/>
                    <w:right w:w="0" w:type="dxa"/>
                  </w:tcMar>
                  <w:vAlign w:val="center"/>
                </w:tcPr>
                <w:p w14:paraId="50E3264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13.7</w:t>
                  </w:r>
                </w:p>
              </w:tc>
              <w:tc>
                <w:tcPr>
                  <w:tcW w:w="346" w:type="dxa"/>
                  <w:tcBorders>
                    <w:tl2br w:val="nil"/>
                    <w:tr2bl w:val="nil"/>
                  </w:tcBorders>
                  <w:shd w:val="clear" w:color="auto" w:fill="FFFFFF"/>
                  <w:tcMar>
                    <w:top w:w="0" w:type="dxa"/>
                    <w:left w:w="0" w:type="dxa"/>
                    <w:bottom w:w="0" w:type="dxa"/>
                    <w:right w:w="0" w:type="dxa"/>
                  </w:tcMar>
                  <w:vAlign w:val="center"/>
                </w:tcPr>
                <w:p w14:paraId="7031BE0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44.2</w:t>
                  </w:r>
                </w:p>
              </w:tc>
              <w:tc>
                <w:tcPr>
                  <w:tcW w:w="354" w:type="dxa"/>
                  <w:tcBorders>
                    <w:tl2br w:val="nil"/>
                    <w:tr2bl w:val="nil"/>
                  </w:tcBorders>
                  <w:shd w:val="clear" w:color="auto" w:fill="FFFFFF"/>
                  <w:tcMar>
                    <w:top w:w="0" w:type="dxa"/>
                    <w:left w:w="0" w:type="dxa"/>
                    <w:bottom w:w="0" w:type="dxa"/>
                    <w:right w:w="0" w:type="dxa"/>
                  </w:tcMar>
                  <w:vAlign w:val="center"/>
                </w:tcPr>
                <w:p w14:paraId="0387089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10.3</w:t>
                  </w:r>
                </w:p>
              </w:tc>
              <w:tc>
                <w:tcPr>
                  <w:tcW w:w="342" w:type="dxa"/>
                  <w:tcBorders>
                    <w:tl2br w:val="nil"/>
                    <w:tr2bl w:val="nil"/>
                  </w:tcBorders>
                  <w:shd w:val="clear" w:color="auto" w:fill="FFFFFF"/>
                  <w:tcMar>
                    <w:top w:w="0" w:type="dxa"/>
                    <w:left w:w="0" w:type="dxa"/>
                    <w:bottom w:w="0" w:type="dxa"/>
                    <w:right w:w="0" w:type="dxa"/>
                  </w:tcMar>
                  <w:vAlign w:val="center"/>
                </w:tcPr>
                <w:p w14:paraId="69DA899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70.7</w:t>
                  </w:r>
                </w:p>
              </w:tc>
              <w:tc>
                <w:tcPr>
                  <w:tcW w:w="342" w:type="dxa"/>
                  <w:tcBorders>
                    <w:tl2br w:val="nil"/>
                    <w:tr2bl w:val="nil"/>
                  </w:tcBorders>
                  <w:shd w:val="clear" w:color="auto" w:fill="FFFFFF"/>
                  <w:tcMar>
                    <w:top w:w="0" w:type="dxa"/>
                    <w:left w:w="0" w:type="dxa"/>
                    <w:bottom w:w="0" w:type="dxa"/>
                    <w:right w:w="0" w:type="dxa"/>
                  </w:tcMar>
                  <w:vAlign w:val="center"/>
                </w:tcPr>
                <w:p w14:paraId="066BA84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70.7</w:t>
                  </w:r>
                </w:p>
              </w:tc>
              <w:tc>
                <w:tcPr>
                  <w:tcW w:w="342" w:type="dxa"/>
                  <w:tcBorders>
                    <w:tl2br w:val="nil"/>
                    <w:tr2bl w:val="nil"/>
                  </w:tcBorders>
                  <w:shd w:val="clear" w:color="auto" w:fill="FFFFFF"/>
                  <w:tcMar>
                    <w:top w:w="0" w:type="dxa"/>
                    <w:left w:w="0" w:type="dxa"/>
                    <w:bottom w:w="0" w:type="dxa"/>
                    <w:right w:w="0" w:type="dxa"/>
                  </w:tcMar>
                  <w:vAlign w:val="center"/>
                </w:tcPr>
                <w:p w14:paraId="1007E82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70.7</w:t>
                  </w:r>
                </w:p>
              </w:tc>
              <w:tc>
                <w:tcPr>
                  <w:tcW w:w="351" w:type="dxa"/>
                  <w:tcBorders>
                    <w:tl2br w:val="nil"/>
                    <w:tr2bl w:val="nil"/>
                  </w:tcBorders>
                  <w:shd w:val="clear" w:color="auto" w:fill="FFFFFF"/>
                  <w:tcMar>
                    <w:top w:w="0" w:type="dxa"/>
                    <w:left w:w="0" w:type="dxa"/>
                    <w:bottom w:w="0" w:type="dxa"/>
                    <w:right w:w="0" w:type="dxa"/>
                  </w:tcMar>
                  <w:vAlign w:val="center"/>
                </w:tcPr>
                <w:p w14:paraId="39D462F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70.8</w:t>
                  </w:r>
                </w:p>
              </w:tc>
              <w:tc>
                <w:tcPr>
                  <w:tcW w:w="295" w:type="dxa"/>
                  <w:vMerge w:val="continue"/>
                  <w:tcBorders>
                    <w:tl2br w:val="nil"/>
                    <w:tr2bl w:val="nil"/>
                  </w:tcBorders>
                  <w:shd w:val="clear" w:color="auto" w:fill="FFFFFF"/>
                  <w:tcMar>
                    <w:top w:w="0" w:type="dxa"/>
                    <w:left w:w="0" w:type="dxa"/>
                    <w:bottom w:w="0" w:type="dxa"/>
                    <w:right w:w="0" w:type="dxa"/>
                  </w:tcMar>
                  <w:vAlign w:val="center"/>
                </w:tcPr>
                <w:p w14:paraId="3C5C2A0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328" w:type="dxa"/>
                  <w:tcBorders>
                    <w:tl2br w:val="nil"/>
                    <w:tr2bl w:val="nil"/>
                  </w:tcBorders>
                  <w:shd w:val="clear" w:color="auto" w:fill="FFFFFF"/>
                  <w:tcMar>
                    <w:top w:w="0" w:type="dxa"/>
                    <w:left w:w="0" w:type="dxa"/>
                    <w:bottom w:w="0" w:type="dxa"/>
                    <w:right w:w="0" w:type="dxa"/>
                  </w:tcMar>
                  <w:vAlign w:val="center"/>
                </w:tcPr>
                <w:p w14:paraId="0DFFB5B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28" w:type="dxa"/>
                  <w:tcBorders>
                    <w:tl2br w:val="nil"/>
                    <w:tr2bl w:val="nil"/>
                  </w:tcBorders>
                  <w:shd w:val="clear" w:color="auto" w:fill="FFFFFF"/>
                  <w:tcMar>
                    <w:top w:w="0" w:type="dxa"/>
                    <w:left w:w="0" w:type="dxa"/>
                    <w:bottom w:w="0" w:type="dxa"/>
                    <w:right w:w="0" w:type="dxa"/>
                  </w:tcMar>
                  <w:vAlign w:val="center"/>
                </w:tcPr>
                <w:p w14:paraId="5E98227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28" w:type="dxa"/>
                  <w:tcBorders>
                    <w:tl2br w:val="nil"/>
                    <w:tr2bl w:val="nil"/>
                  </w:tcBorders>
                  <w:shd w:val="clear" w:color="auto" w:fill="FFFFFF"/>
                  <w:tcMar>
                    <w:top w:w="0" w:type="dxa"/>
                    <w:left w:w="0" w:type="dxa"/>
                    <w:bottom w:w="0" w:type="dxa"/>
                    <w:right w:w="0" w:type="dxa"/>
                  </w:tcMar>
                  <w:vAlign w:val="center"/>
                </w:tcPr>
                <w:p w14:paraId="429A3B4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41" w:type="dxa"/>
                  <w:tcBorders>
                    <w:tl2br w:val="nil"/>
                    <w:tr2bl w:val="nil"/>
                  </w:tcBorders>
                  <w:shd w:val="clear" w:color="auto" w:fill="FFFFFF"/>
                  <w:tcMar>
                    <w:top w:w="0" w:type="dxa"/>
                    <w:left w:w="0" w:type="dxa"/>
                    <w:bottom w:w="0" w:type="dxa"/>
                    <w:right w:w="0" w:type="dxa"/>
                  </w:tcMar>
                  <w:vAlign w:val="center"/>
                </w:tcPr>
                <w:p w14:paraId="3701CAB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351" w:type="dxa"/>
                  <w:tcBorders>
                    <w:tl2br w:val="nil"/>
                    <w:tr2bl w:val="nil"/>
                  </w:tcBorders>
                  <w:shd w:val="clear" w:color="auto" w:fill="FFFFFF"/>
                  <w:tcMar>
                    <w:top w:w="0" w:type="dxa"/>
                    <w:left w:w="0" w:type="dxa"/>
                    <w:bottom w:w="0" w:type="dxa"/>
                    <w:right w:w="0" w:type="dxa"/>
                  </w:tcMar>
                  <w:vAlign w:val="center"/>
                </w:tcPr>
                <w:p w14:paraId="559ED59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45.7</w:t>
                  </w:r>
                </w:p>
              </w:tc>
              <w:tc>
                <w:tcPr>
                  <w:tcW w:w="351" w:type="dxa"/>
                  <w:tcBorders>
                    <w:tl2br w:val="nil"/>
                    <w:tr2bl w:val="nil"/>
                  </w:tcBorders>
                  <w:shd w:val="clear" w:color="auto" w:fill="FFFFFF"/>
                  <w:tcMar>
                    <w:top w:w="0" w:type="dxa"/>
                    <w:left w:w="0" w:type="dxa"/>
                    <w:bottom w:w="0" w:type="dxa"/>
                    <w:right w:w="0" w:type="dxa"/>
                  </w:tcMar>
                  <w:vAlign w:val="center"/>
                </w:tcPr>
                <w:p w14:paraId="0637BA9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45.7</w:t>
                  </w:r>
                </w:p>
              </w:tc>
              <w:tc>
                <w:tcPr>
                  <w:tcW w:w="351" w:type="dxa"/>
                  <w:tcBorders>
                    <w:tl2br w:val="nil"/>
                    <w:tr2bl w:val="nil"/>
                  </w:tcBorders>
                  <w:shd w:val="clear" w:color="auto" w:fill="FFFFFF"/>
                  <w:tcMar>
                    <w:top w:w="0" w:type="dxa"/>
                    <w:left w:w="0" w:type="dxa"/>
                    <w:bottom w:w="0" w:type="dxa"/>
                    <w:right w:w="0" w:type="dxa"/>
                  </w:tcMar>
                  <w:vAlign w:val="center"/>
                </w:tcPr>
                <w:p w14:paraId="04F9DC8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45.7</w:t>
                  </w:r>
                </w:p>
              </w:tc>
              <w:tc>
                <w:tcPr>
                  <w:tcW w:w="351" w:type="dxa"/>
                  <w:tcBorders>
                    <w:tl2br w:val="nil"/>
                    <w:tr2bl w:val="nil"/>
                  </w:tcBorders>
                  <w:shd w:val="clear" w:color="auto" w:fill="FFFFFF"/>
                  <w:tcMar>
                    <w:top w:w="0" w:type="dxa"/>
                    <w:left w:w="0" w:type="dxa"/>
                    <w:bottom w:w="0" w:type="dxa"/>
                    <w:right w:w="0" w:type="dxa"/>
                  </w:tcMar>
                  <w:vAlign w:val="center"/>
                </w:tcPr>
                <w:p w14:paraId="54A46EB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45.8</w:t>
                  </w:r>
                </w:p>
              </w:tc>
              <w:tc>
                <w:tcPr>
                  <w:tcW w:w="504" w:type="dxa"/>
                  <w:tcBorders>
                    <w:tl2br w:val="nil"/>
                    <w:tr2bl w:val="nil"/>
                  </w:tcBorders>
                  <w:shd w:val="clear" w:color="auto" w:fill="FFFFFF"/>
                  <w:tcMar>
                    <w:top w:w="0" w:type="dxa"/>
                    <w:left w:w="0" w:type="dxa"/>
                    <w:bottom w:w="0" w:type="dxa"/>
                    <w:right w:w="0" w:type="dxa"/>
                  </w:tcMar>
                  <w:vAlign w:val="center"/>
                </w:tcPr>
                <w:p w14:paraId="7934CD6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r>
            <w:bookmarkEnd w:id="4"/>
          </w:tbl>
          <w:p w14:paraId="3B5DB4BB">
            <w:pPr>
              <w:spacing w:line="360" w:lineRule="auto"/>
              <w:ind w:left="0" w:leftChars="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3.2治理措施</w:t>
            </w:r>
          </w:p>
          <w:p w14:paraId="6A7680AA">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项目优先选用低噪声设备，噪声设备全部布置在车间内，对高噪声设备采取隔声、减振及合理布置等措施，并对设备所在厂房采取适当的隔声等降噪措施，厂区合理布局，具体如下：</w:t>
            </w:r>
            <w:bookmarkStart w:id="7" w:name="_GoBack"/>
            <w:bookmarkEnd w:id="7"/>
          </w:p>
          <w:p w14:paraId="29AEE043">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①定期检修维护设备，使其处于良好运行状态，对高噪声设备安装消声器，在设备基础与地面之间安装减振垫，减少机械振动产生的噪声污染。</w:t>
            </w:r>
          </w:p>
          <w:p w14:paraId="42C2F013">
            <w:pPr>
              <w:keepLines w:val="0"/>
              <w:pageBreakBefore w:val="0"/>
              <w:widowControl w:val="0"/>
              <w:kinsoku/>
              <w:wordWrap/>
              <w:topLinePunct w:val="0"/>
              <w:autoSpaceDE/>
              <w:autoSpaceDN/>
              <w:bidi w:val="0"/>
              <w:adjustRightInd/>
              <w:spacing w:line="360" w:lineRule="auto"/>
              <w:ind w:left="0" w:leftChars="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②加强车间的隔音措施，如适当增加车间墙壁厚度，并安装隔声门窗。尽量少开启门窗。对工人采取适当的劳动保护措施，减小职业伤害。</w:t>
            </w:r>
          </w:p>
          <w:p w14:paraId="75703EE8">
            <w:pPr>
              <w:keepLines w:val="0"/>
              <w:pageBreakBefore w:val="0"/>
              <w:widowControl w:val="0"/>
              <w:kinsoku/>
              <w:wordWrap/>
              <w:topLinePunct w:val="0"/>
              <w:autoSpaceDE/>
              <w:autoSpaceDN/>
              <w:bidi w:val="0"/>
              <w:adjustRightInd/>
              <w:spacing w:line="360" w:lineRule="auto"/>
              <w:ind w:left="0" w:leftChars="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③合理布局，合理布置厂内各功能区的位置及车间内部设备的位置，将高噪声设备尽量安置在厂区中间位置以增加其距离衰减量，减少对周围环境的影响。</w:t>
            </w:r>
          </w:p>
          <w:p w14:paraId="67DD4F55">
            <w:pPr>
              <w:pStyle w:val="11"/>
              <w:keepLines w:val="0"/>
              <w:pageBreakBefore w:val="0"/>
              <w:widowControl w:val="0"/>
              <w:kinsoku/>
              <w:wordWrap/>
              <w:topLinePunct w:val="0"/>
              <w:autoSpaceDE/>
              <w:autoSpaceDN/>
              <w:bidi w:val="0"/>
              <w:adjustRightInd/>
              <w:spacing w:before="0"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④加强车间周围绿化，降低噪声。</w:t>
            </w:r>
          </w:p>
          <w:p w14:paraId="7FDE467C">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3.3</w:t>
            </w:r>
            <w:r>
              <w:rPr>
                <w:rFonts w:ascii="Times New Roman" w:hAnsi="Times New Roman" w:eastAsia="宋体" w:cs="Times New Roman"/>
                <w:color w:val="auto"/>
                <w:sz w:val="24"/>
              </w:rPr>
              <w:t>预测模式的选择</w:t>
            </w:r>
          </w:p>
          <w:p w14:paraId="48E6F13E">
            <w:pPr>
              <w:widowControl w:val="0"/>
              <w:spacing w:before="3" w:line="360" w:lineRule="auto"/>
              <w:ind w:right="91" w:firstLine="480" w:firstLineChars="200"/>
              <w:jc w:val="left"/>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本次评价采用《环境影响评价技术导则</w:t>
            </w:r>
            <w:r>
              <w:rPr>
                <w:rFonts w:hint="default" w:ascii="Times New Roman" w:hAnsi="Times New Roman" w:eastAsia="Times New Roman" w:cs="Times New Roman"/>
                <w:kern w:val="0"/>
                <w:sz w:val="24"/>
                <w:szCs w:val="24"/>
                <w:lang w:val="en-US" w:eastAsia="zh-CN" w:bidi="ar-SA"/>
              </w:rPr>
              <w:t>—</w:t>
            </w:r>
            <w:r>
              <w:rPr>
                <w:rFonts w:hint="default" w:ascii="Times New Roman" w:hAnsi="Times New Roman" w:eastAsia="宋体" w:cs="Times New Roman"/>
                <w:kern w:val="0"/>
                <w:sz w:val="24"/>
                <w:szCs w:val="24"/>
                <w:lang w:val="en-US" w:eastAsia="zh-CN" w:bidi="ar-SA"/>
              </w:rPr>
              <w:t>声环境》</w:t>
            </w:r>
            <w:r>
              <w:rPr>
                <w:rFonts w:hint="default" w:ascii="Times New Roman" w:hAnsi="Times New Roman" w:eastAsia="Times New Roman" w:cs="Times New Roman"/>
                <w:kern w:val="0"/>
                <w:sz w:val="24"/>
                <w:szCs w:val="24"/>
                <w:lang w:val="en-US" w:eastAsia="zh-CN" w:bidi="ar-SA"/>
              </w:rPr>
              <w:t>(HJ2.4-2021)</w:t>
            </w:r>
            <w:r>
              <w:rPr>
                <w:rFonts w:hint="default" w:ascii="Times New Roman" w:hAnsi="Times New Roman" w:eastAsia="宋体" w:cs="Times New Roman"/>
                <w:kern w:val="0"/>
                <w:sz w:val="24"/>
                <w:szCs w:val="24"/>
                <w:lang w:val="en-US" w:eastAsia="zh-CN" w:bidi="ar-SA"/>
              </w:rPr>
              <w:t>中推荐模式进行预测，用</w:t>
            </w:r>
            <w:r>
              <w:rPr>
                <w:rFonts w:hint="default" w:ascii="Times New Roman" w:hAnsi="Times New Roman" w:eastAsia="Times New Roman" w:cs="Times New Roman"/>
                <w:kern w:val="0"/>
                <w:sz w:val="24"/>
                <w:szCs w:val="24"/>
                <w:lang w:val="en-US" w:eastAsia="zh-CN" w:bidi="ar-SA"/>
              </w:rPr>
              <w:t>A</w:t>
            </w:r>
            <w:r>
              <w:rPr>
                <w:rFonts w:hint="default" w:ascii="Times New Roman" w:hAnsi="Times New Roman" w:eastAsia="宋体" w:cs="Times New Roman"/>
                <w:kern w:val="0"/>
                <w:sz w:val="24"/>
                <w:szCs w:val="24"/>
                <w:lang w:val="en-US" w:eastAsia="zh-CN" w:bidi="ar-SA"/>
              </w:rPr>
              <w:t>声级计算，模式如下：</w:t>
            </w:r>
          </w:p>
          <w:p w14:paraId="7E4B1CBA">
            <w:pPr>
              <w:keepNext w:val="0"/>
              <w:keepLines w:val="0"/>
              <w:pageBreakBefore w:val="0"/>
              <w:kinsoku/>
              <w:wordWrap/>
              <w:overflowPunct/>
              <w:topLinePunct w:val="0"/>
              <w:autoSpaceDE/>
              <w:autoSpaceDN/>
              <w:bidi w:val="0"/>
              <w:snapToGrid w:val="0"/>
              <w:spacing w:line="358"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①</w:t>
            </w:r>
            <w:r>
              <w:rPr>
                <w:rFonts w:hint="default" w:ascii="Times New Roman" w:hAnsi="Times New Roman" w:eastAsia="宋体" w:cs="Times New Roman"/>
                <w:sz w:val="24"/>
                <w:szCs w:val="24"/>
              </w:rPr>
              <w:t>噪声户外传播A声级衰减模式</w:t>
            </w:r>
          </w:p>
          <w:p w14:paraId="000C6757">
            <w:pPr>
              <w:keepNext w:val="0"/>
              <w:keepLines w:val="0"/>
              <w:pageBreakBefore w:val="0"/>
              <w:widowControl/>
              <w:kinsoku/>
              <w:wordWrap/>
              <w:overflowPunct/>
              <w:topLinePunct w:val="0"/>
              <w:autoSpaceDE/>
              <w:autoSpaceDN/>
              <w:bidi w:val="0"/>
              <w:snapToGrid w:val="0"/>
              <w:spacing w:line="358"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i/>
                <w:iCs/>
                <w:color w:val="000000"/>
                <w:kern w:val="0"/>
                <w:sz w:val="24"/>
                <w:szCs w:val="24"/>
              </w:rPr>
              <w:t>Lp</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i/>
                <w:iCs/>
                <w:color w:val="000000"/>
                <w:kern w:val="0"/>
                <w:sz w:val="24"/>
                <w:szCs w:val="24"/>
              </w:rPr>
              <w:t>r</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i/>
                <w:iCs/>
                <w:color w:val="000000"/>
                <w:kern w:val="0"/>
                <w:sz w:val="24"/>
                <w:szCs w:val="24"/>
              </w:rPr>
              <w:t>Lp</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i/>
                <w:iCs/>
                <w:color w:val="000000"/>
                <w:kern w:val="0"/>
                <w:sz w:val="24"/>
                <w:szCs w:val="24"/>
              </w:rPr>
              <w:t>r</w:t>
            </w:r>
            <w:r>
              <w:rPr>
                <w:rFonts w:hint="default" w:ascii="Times New Roman" w:hAnsi="Times New Roman" w:eastAsia="宋体" w:cs="Times New Roman"/>
                <w:color w:val="000000"/>
                <w:kern w:val="0"/>
                <w:sz w:val="24"/>
                <w:szCs w:val="24"/>
              </w:rPr>
              <w:t>0)+</w:t>
            </w:r>
            <w:r>
              <w:rPr>
                <w:rFonts w:hint="default" w:ascii="Times New Roman" w:hAnsi="Times New Roman" w:eastAsia="宋体" w:cs="Times New Roman"/>
                <w:i/>
                <w:iCs/>
                <w:color w:val="000000"/>
                <w:kern w:val="0"/>
                <w:sz w:val="24"/>
                <w:szCs w:val="24"/>
              </w:rPr>
              <w:t>D</w:t>
            </w:r>
            <w:r>
              <w:rPr>
                <w:rFonts w:hint="default" w:ascii="Times New Roman" w:hAnsi="Times New Roman" w:eastAsia="宋体" w:cs="Times New Roman"/>
                <w:color w:val="000000"/>
                <w:kern w:val="0"/>
                <w:sz w:val="24"/>
                <w:szCs w:val="24"/>
              </w:rPr>
              <w:t>C－(</w:t>
            </w:r>
            <w:r>
              <w:rPr>
                <w:rFonts w:hint="default" w:ascii="Times New Roman" w:hAnsi="Times New Roman" w:eastAsia="宋体" w:cs="Times New Roman"/>
                <w:i/>
                <w:iCs/>
                <w:color w:val="000000"/>
                <w:kern w:val="0"/>
                <w:sz w:val="24"/>
                <w:szCs w:val="24"/>
              </w:rPr>
              <w:t>A</w:t>
            </w:r>
            <w:r>
              <w:rPr>
                <w:rFonts w:hint="default" w:ascii="Times New Roman" w:hAnsi="Times New Roman" w:eastAsia="宋体" w:cs="Times New Roman"/>
                <w:color w:val="000000"/>
                <w:kern w:val="0"/>
                <w:sz w:val="24"/>
                <w:szCs w:val="24"/>
              </w:rPr>
              <w:t>div＋</w:t>
            </w:r>
            <w:r>
              <w:rPr>
                <w:rFonts w:hint="default" w:ascii="Times New Roman" w:hAnsi="Times New Roman" w:eastAsia="宋体" w:cs="Times New Roman"/>
                <w:i/>
                <w:iCs/>
                <w:color w:val="000000"/>
                <w:kern w:val="0"/>
                <w:sz w:val="24"/>
                <w:szCs w:val="24"/>
              </w:rPr>
              <w:t>A</w:t>
            </w:r>
            <w:r>
              <w:rPr>
                <w:rFonts w:hint="default" w:ascii="Times New Roman" w:hAnsi="Times New Roman" w:eastAsia="宋体" w:cs="Times New Roman"/>
                <w:color w:val="000000"/>
                <w:kern w:val="0"/>
                <w:sz w:val="24"/>
                <w:szCs w:val="24"/>
              </w:rPr>
              <w:t>atm＋</w:t>
            </w:r>
            <w:r>
              <w:rPr>
                <w:rFonts w:hint="default" w:ascii="Times New Roman" w:hAnsi="Times New Roman" w:eastAsia="宋体" w:cs="Times New Roman"/>
                <w:i/>
                <w:iCs/>
                <w:color w:val="000000"/>
                <w:kern w:val="0"/>
                <w:sz w:val="24"/>
                <w:szCs w:val="24"/>
              </w:rPr>
              <w:t>A</w:t>
            </w:r>
            <w:r>
              <w:rPr>
                <w:rFonts w:hint="default" w:ascii="Times New Roman" w:hAnsi="Times New Roman" w:eastAsia="宋体" w:cs="Times New Roman"/>
                <w:color w:val="000000"/>
                <w:kern w:val="0"/>
                <w:sz w:val="24"/>
                <w:szCs w:val="24"/>
              </w:rPr>
              <w:t>gr＋</w:t>
            </w:r>
            <w:r>
              <w:rPr>
                <w:rFonts w:hint="default" w:ascii="Times New Roman" w:hAnsi="Times New Roman" w:eastAsia="宋体" w:cs="Times New Roman"/>
                <w:i/>
                <w:iCs/>
                <w:color w:val="000000"/>
                <w:kern w:val="0"/>
                <w:sz w:val="24"/>
                <w:szCs w:val="24"/>
              </w:rPr>
              <w:t>A</w:t>
            </w:r>
            <w:r>
              <w:rPr>
                <w:rFonts w:hint="default" w:ascii="Times New Roman" w:hAnsi="Times New Roman" w:eastAsia="宋体" w:cs="Times New Roman"/>
                <w:color w:val="000000"/>
                <w:kern w:val="0"/>
                <w:sz w:val="24"/>
                <w:szCs w:val="24"/>
              </w:rPr>
              <w:t>bar＋</w:t>
            </w:r>
            <w:r>
              <w:rPr>
                <w:rFonts w:hint="default" w:ascii="Times New Roman" w:hAnsi="Times New Roman" w:eastAsia="宋体" w:cs="Times New Roman"/>
                <w:i/>
                <w:iCs/>
                <w:color w:val="000000"/>
                <w:kern w:val="0"/>
                <w:sz w:val="24"/>
                <w:szCs w:val="24"/>
              </w:rPr>
              <w:t>A</w:t>
            </w:r>
            <w:r>
              <w:rPr>
                <w:rFonts w:hint="default" w:ascii="Times New Roman" w:hAnsi="Times New Roman" w:eastAsia="宋体" w:cs="Times New Roman"/>
                <w:color w:val="000000"/>
                <w:kern w:val="0"/>
                <w:sz w:val="24"/>
                <w:szCs w:val="24"/>
              </w:rPr>
              <w:t>misc)</w:t>
            </w:r>
          </w:p>
          <w:p w14:paraId="54765117">
            <w:pPr>
              <w:keepNext w:val="0"/>
              <w:keepLines w:val="0"/>
              <w:pageBreakBefore w:val="0"/>
              <w:widowControl/>
              <w:kinsoku/>
              <w:wordWrap/>
              <w:overflowPunct/>
              <w:topLinePunct w:val="0"/>
              <w:autoSpaceDE/>
              <w:autoSpaceDN/>
              <w:bidi w:val="0"/>
              <w:snapToGrid w:val="0"/>
              <w:spacing w:line="358" w:lineRule="auto"/>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kern w:val="0"/>
                <w:sz w:val="24"/>
                <w:szCs w:val="24"/>
              </w:rPr>
              <w:t>式中：</w:t>
            </w:r>
            <w:r>
              <w:rPr>
                <w:rFonts w:hint="default" w:ascii="Times New Roman" w:hAnsi="Times New Roman" w:eastAsia="宋体" w:cs="Times New Roman"/>
                <w:i/>
                <w:iCs/>
                <w:color w:val="000000"/>
                <w:kern w:val="0"/>
                <w:sz w:val="24"/>
                <w:szCs w:val="24"/>
              </w:rPr>
              <w:t>Lp</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i/>
                <w:iCs/>
                <w:color w:val="000000"/>
                <w:kern w:val="0"/>
                <w:sz w:val="24"/>
                <w:szCs w:val="24"/>
              </w:rPr>
              <w:t>r</w:t>
            </w:r>
            <w:r>
              <w:rPr>
                <w:rFonts w:hint="default" w:ascii="Times New Roman" w:hAnsi="Times New Roman" w:eastAsia="宋体" w:cs="Times New Roman"/>
                <w:color w:val="000000"/>
                <w:kern w:val="0"/>
                <w:sz w:val="24"/>
                <w:szCs w:val="24"/>
              </w:rPr>
              <w:t>)——预测点处声压级，dB；</w:t>
            </w:r>
          </w:p>
          <w:p w14:paraId="2EFF3F39">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i/>
                <w:iCs/>
                <w:color w:val="000000"/>
                <w:kern w:val="0"/>
                <w:sz w:val="24"/>
                <w:szCs w:val="24"/>
              </w:rPr>
              <w:t>Lp</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i/>
                <w:iCs/>
                <w:color w:val="000000"/>
                <w:kern w:val="0"/>
                <w:sz w:val="24"/>
                <w:szCs w:val="24"/>
              </w:rPr>
              <w:t>r</w:t>
            </w:r>
            <w:r>
              <w:rPr>
                <w:rFonts w:hint="default" w:ascii="Times New Roman" w:hAnsi="Times New Roman" w:eastAsia="宋体" w:cs="Times New Roman"/>
                <w:color w:val="000000"/>
                <w:kern w:val="0"/>
                <w:sz w:val="24"/>
                <w:szCs w:val="24"/>
              </w:rPr>
              <w:t>0)——参考位置</w:t>
            </w:r>
            <w:r>
              <w:rPr>
                <w:rFonts w:hint="default" w:ascii="Times New Roman" w:hAnsi="Times New Roman" w:eastAsia="宋体" w:cs="Times New Roman"/>
                <w:i/>
                <w:iCs/>
                <w:color w:val="000000"/>
                <w:kern w:val="0"/>
                <w:sz w:val="24"/>
                <w:szCs w:val="24"/>
              </w:rPr>
              <w:t>r</w:t>
            </w:r>
            <w:r>
              <w:rPr>
                <w:rFonts w:hint="default" w:ascii="Times New Roman" w:hAnsi="Times New Roman" w:eastAsia="宋体" w:cs="Times New Roman"/>
                <w:color w:val="000000"/>
                <w:kern w:val="0"/>
                <w:sz w:val="24"/>
                <w:szCs w:val="24"/>
              </w:rPr>
              <w:t>0处的声压级，dB；</w:t>
            </w:r>
          </w:p>
          <w:p w14:paraId="261E7A86">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i/>
                <w:iCs/>
                <w:color w:val="000000"/>
                <w:kern w:val="0"/>
                <w:sz w:val="24"/>
                <w:szCs w:val="24"/>
              </w:rPr>
              <w:t>D</w:t>
            </w:r>
            <w:r>
              <w:rPr>
                <w:rFonts w:hint="default" w:ascii="Times New Roman" w:hAnsi="Times New Roman" w:eastAsia="宋体" w:cs="Times New Roman"/>
                <w:color w:val="000000"/>
                <w:kern w:val="0"/>
                <w:sz w:val="24"/>
                <w:szCs w:val="24"/>
              </w:rPr>
              <w:t>C——指向性校正，它描述点声源的等效连续声压级与产生声功率级</w:t>
            </w:r>
            <w:r>
              <w:rPr>
                <w:rFonts w:hint="default" w:ascii="Times New Roman" w:hAnsi="Times New Roman" w:eastAsia="宋体" w:cs="Times New Roman"/>
                <w:i/>
                <w:iCs/>
                <w:color w:val="000000"/>
                <w:kern w:val="0"/>
                <w:sz w:val="24"/>
                <w:szCs w:val="24"/>
              </w:rPr>
              <w:t>Lw</w:t>
            </w:r>
            <w:r>
              <w:rPr>
                <w:rFonts w:hint="default" w:ascii="Times New Roman" w:hAnsi="Times New Roman" w:eastAsia="宋体" w:cs="Times New Roman"/>
                <w:color w:val="000000"/>
                <w:kern w:val="0"/>
                <w:sz w:val="24"/>
                <w:szCs w:val="24"/>
              </w:rPr>
              <w:t>的全向点声源在规定方向的声级的偏差程度，dB；</w:t>
            </w:r>
          </w:p>
          <w:p w14:paraId="2032E7EB">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i/>
                <w:iCs/>
                <w:color w:val="000000"/>
                <w:kern w:val="0"/>
                <w:sz w:val="24"/>
                <w:szCs w:val="24"/>
              </w:rPr>
              <w:t>A</w:t>
            </w:r>
            <w:r>
              <w:rPr>
                <w:rFonts w:hint="default" w:ascii="Times New Roman" w:hAnsi="Times New Roman" w:eastAsia="宋体" w:cs="Times New Roman"/>
                <w:color w:val="000000"/>
                <w:kern w:val="0"/>
                <w:sz w:val="24"/>
                <w:szCs w:val="24"/>
              </w:rPr>
              <w:t>div——几何发散引起的衰减，dB；</w:t>
            </w:r>
          </w:p>
          <w:p w14:paraId="2816786F">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i/>
                <w:iCs/>
                <w:color w:val="000000"/>
                <w:kern w:val="0"/>
                <w:sz w:val="24"/>
                <w:szCs w:val="24"/>
              </w:rPr>
              <w:t>A</w:t>
            </w:r>
            <w:r>
              <w:rPr>
                <w:rFonts w:hint="default" w:ascii="Times New Roman" w:hAnsi="Times New Roman" w:eastAsia="宋体" w:cs="Times New Roman"/>
                <w:color w:val="000000"/>
                <w:kern w:val="0"/>
                <w:sz w:val="24"/>
                <w:szCs w:val="24"/>
              </w:rPr>
              <w:t>atm——大气吸收引起的衰减，dB；</w:t>
            </w:r>
          </w:p>
          <w:p w14:paraId="3A76FB5B">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i/>
                <w:iCs/>
                <w:color w:val="000000"/>
                <w:kern w:val="0"/>
                <w:sz w:val="24"/>
                <w:szCs w:val="24"/>
              </w:rPr>
              <w:t>A</w:t>
            </w:r>
            <w:r>
              <w:rPr>
                <w:rFonts w:hint="default" w:ascii="Times New Roman" w:hAnsi="Times New Roman" w:eastAsia="宋体" w:cs="Times New Roman"/>
                <w:color w:val="000000"/>
                <w:kern w:val="0"/>
                <w:sz w:val="24"/>
                <w:szCs w:val="24"/>
              </w:rPr>
              <w:t>gr——地面效应引起的衰减，dB；</w:t>
            </w:r>
          </w:p>
          <w:p w14:paraId="2AA48DBB">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i/>
                <w:iCs/>
                <w:color w:val="000000"/>
                <w:kern w:val="0"/>
                <w:sz w:val="24"/>
                <w:szCs w:val="24"/>
              </w:rPr>
              <w:t>A</w:t>
            </w:r>
            <w:r>
              <w:rPr>
                <w:rFonts w:hint="default" w:ascii="Times New Roman" w:hAnsi="Times New Roman" w:eastAsia="宋体" w:cs="Times New Roman"/>
                <w:color w:val="000000"/>
                <w:kern w:val="0"/>
                <w:sz w:val="24"/>
                <w:szCs w:val="24"/>
              </w:rPr>
              <w:t>bar——障碍物屏蔽引起的衰减，dB；</w:t>
            </w:r>
          </w:p>
          <w:p w14:paraId="4696B1D4">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i/>
                <w:iCs/>
                <w:color w:val="000000"/>
                <w:kern w:val="0"/>
                <w:sz w:val="24"/>
                <w:szCs w:val="24"/>
              </w:rPr>
              <w:t>A</w:t>
            </w:r>
            <w:r>
              <w:rPr>
                <w:rFonts w:hint="default" w:ascii="Times New Roman" w:hAnsi="Times New Roman" w:eastAsia="宋体" w:cs="Times New Roman"/>
                <w:color w:val="000000"/>
                <w:kern w:val="0"/>
                <w:sz w:val="24"/>
                <w:szCs w:val="24"/>
              </w:rPr>
              <w:t>misc——其他多方面效应引起的衰减，dB。</w:t>
            </w:r>
          </w:p>
          <w:p w14:paraId="5D6F55B8">
            <w:pPr>
              <w:keepNext w:val="0"/>
              <w:keepLines w:val="0"/>
              <w:pageBreakBefore w:val="0"/>
              <w:widowControl/>
              <w:kinsoku/>
              <w:wordWrap/>
              <w:overflowPunct/>
              <w:topLinePunct w:val="0"/>
              <w:autoSpaceDE/>
              <w:autoSpaceDN/>
              <w:bidi w:val="0"/>
              <w:snapToGrid w:val="0"/>
              <w:spacing w:line="358"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②</w:t>
            </w:r>
            <w:r>
              <w:rPr>
                <w:rFonts w:hint="default" w:ascii="Times New Roman" w:hAnsi="Times New Roman" w:eastAsia="宋体" w:cs="Times New Roman"/>
                <w:sz w:val="24"/>
                <w:szCs w:val="24"/>
              </w:rPr>
              <w:t>室内声源在预测点的声压级计算</w:t>
            </w:r>
          </w:p>
          <w:p w14:paraId="0175D067">
            <w:pPr>
              <w:keepNext w:val="0"/>
              <w:keepLines w:val="0"/>
              <w:pageBreakBefore w:val="0"/>
              <w:widowControl/>
              <w:kinsoku/>
              <w:wordWrap/>
              <w:overflowPunct/>
              <w:topLinePunct w:val="0"/>
              <w:autoSpaceDE/>
              <w:autoSpaceDN/>
              <w:bidi w:val="0"/>
              <w:snapToGrid w:val="0"/>
              <w:spacing w:line="358"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a.首先计算出室内靠近围护结构处的倍频带声压级</w:t>
            </w:r>
          </w:p>
          <w:p w14:paraId="53EFA558">
            <w:pPr>
              <w:keepNext w:val="0"/>
              <w:keepLines w:val="0"/>
              <w:pageBreakBefore w:val="0"/>
              <w:kinsoku/>
              <w:wordWrap/>
              <w:overflowPunct/>
              <w:topLinePunct w:val="0"/>
              <w:autoSpaceDE/>
              <w:autoSpaceDN/>
              <w:bidi w:val="0"/>
              <w:snapToGrid w:val="0"/>
              <w:spacing w:line="358"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2304415" cy="567055"/>
                  <wp:effectExtent l="0" t="0" r="63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2304415" cy="567055"/>
                          </a:xfrm>
                          <a:prstGeom prst="rect">
                            <a:avLst/>
                          </a:prstGeom>
                          <a:noFill/>
                          <a:ln>
                            <a:noFill/>
                          </a:ln>
                        </pic:spPr>
                      </pic:pic>
                    </a:graphicData>
                  </a:graphic>
                </wp:inline>
              </w:drawing>
            </w:r>
          </w:p>
          <w:p w14:paraId="1AF41678">
            <w:pPr>
              <w:keepNext w:val="0"/>
              <w:keepLines w:val="0"/>
              <w:pageBreakBefore w:val="0"/>
              <w:kinsoku/>
              <w:wordWrap/>
              <w:overflowPunct/>
              <w:topLinePunct w:val="0"/>
              <w:autoSpaceDE/>
              <w:autoSpaceDN/>
              <w:bidi w:val="0"/>
              <w:snapToGrid w:val="0"/>
              <w:spacing w:line="358" w:lineRule="auto"/>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式中：Lp1——靠近开口处（或窗户）室内某倍频带的声压级或A声级，dB</w:t>
            </w:r>
            <w:r>
              <w:rPr>
                <w:rFonts w:hint="default" w:ascii="Times New Roman" w:hAnsi="Times New Roman" w:eastAsia="宋体" w:cs="Times New Roman"/>
                <w:sz w:val="24"/>
                <w:szCs w:val="24"/>
                <w:lang w:eastAsia="zh-CN"/>
              </w:rPr>
              <w:t>；</w:t>
            </w:r>
          </w:p>
          <w:p w14:paraId="1C6CA98B">
            <w:pPr>
              <w:keepNext w:val="0"/>
              <w:keepLines w:val="0"/>
              <w:pageBreakBefore w:val="0"/>
              <w:kinsoku/>
              <w:wordWrap/>
              <w:overflowPunct/>
              <w:topLinePunct w:val="0"/>
              <w:autoSpaceDE/>
              <w:autoSpaceDN/>
              <w:bidi w:val="0"/>
              <w:snapToGrid w:val="0"/>
              <w:spacing w:line="358" w:lineRule="auto"/>
              <w:ind w:firstLine="1200" w:firstLineChars="5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Lw——点声源声功率级（A计权或倍频带），dB；</w:t>
            </w:r>
          </w:p>
          <w:p w14:paraId="5464C077">
            <w:pPr>
              <w:keepNext w:val="0"/>
              <w:keepLines w:val="0"/>
              <w:pageBreakBefore w:val="0"/>
              <w:kinsoku/>
              <w:wordWrap/>
              <w:overflowPunct/>
              <w:topLinePunct w:val="0"/>
              <w:autoSpaceDE/>
              <w:autoSpaceDN/>
              <w:bidi w:val="0"/>
              <w:snapToGrid w:val="0"/>
              <w:spacing w:line="358" w:lineRule="auto"/>
              <w:ind w:firstLine="1200" w:firstLineChars="500"/>
              <w:jc w:val="both"/>
              <w:textAlignment w:val="auto"/>
              <w:rPr>
                <w:rFonts w:hint="default" w:ascii="Times New Roman" w:hAnsi="Times New Roman" w:eastAsia="宋体" w:cs="Times New Roman"/>
                <w:spacing w:val="-6"/>
                <w:sz w:val="24"/>
                <w:szCs w:val="24"/>
              </w:rPr>
            </w:pPr>
            <w:r>
              <w:rPr>
                <w:rFonts w:hint="default" w:ascii="Times New Roman" w:hAnsi="Times New Roman" w:eastAsia="宋体" w:cs="Times New Roman"/>
                <w:sz w:val="24"/>
                <w:szCs w:val="24"/>
              </w:rPr>
              <w:t>Q——</w:t>
            </w:r>
            <w:r>
              <w:rPr>
                <w:rFonts w:hint="default" w:ascii="Times New Roman" w:hAnsi="Times New Roman" w:eastAsia="宋体" w:cs="Times New Roman"/>
                <w:spacing w:val="-6"/>
                <w:sz w:val="24"/>
                <w:szCs w:val="24"/>
              </w:rPr>
              <w:t>指向性因数；通常对无指向性声源，当声源放在房间中心时，Q=1；当放在一面墙的中心时，Q=2；当放在两面墙夹角处时，Q=4；当放在三面墙夹角处时，Q=8；</w:t>
            </w:r>
          </w:p>
          <w:p w14:paraId="337798E0">
            <w:pPr>
              <w:keepNext w:val="0"/>
              <w:keepLines w:val="0"/>
              <w:pageBreakBefore w:val="0"/>
              <w:kinsoku/>
              <w:wordWrap/>
              <w:overflowPunct/>
              <w:topLinePunct w:val="0"/>
              <w:autoSpaceDE/>
              <w:autoSpaceDN/>
              <w:bidi w:val="0"/>
              <w:snapToGrid w:val="0"/>
              <w:spacing w:line="358" w:lineRule="auto"/>
              <w:ind w:firstLine="1200" w:firstLineChars="5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R——房间常数；R=Sα/（1-α），S为房间内表面面积，m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；α为平均吸声系数；</w:t>
            </w:r>
          </w:p>
          <w:p w14:paraId="256C64BB">
            <w:pPr>
              <w:keepNext w:val="0"/>
              <w:keepLines w:val="0"/>
              <w:pageBreakBefore w:val="0"/>
              <w:kinsoku/>
              <w:wordWrap/>
              <w:overflowPunct/>
              <w:topLinePunct w:val="0"/>
              <w:autoSpaceDE/>
              <w:autoSpaceDN/>
              <w:bidi w:val="0"/>
              <w:snapToGrid w:val="0"/>
              <w:spacing w:line="358" w:lineRule="auto"/>
              <w:ind w:firstLine="1200" w:firstLineChars="500"/>
              <w:textAlignment w:val="auto"/>
              <w:rPr>
                <w:rFonts w:hint="default" w:ascii="Times New Roman" w:hAnsi="Times New Roman" w:eastAsia="宋体" w:cs="Times New Roman"/>
              </w:rPr>
            </w:pPr>
            <w:r>
              <w:rPr>
                <w:rFonts w:hint="default" w:ascii="Times New Roman" w:hAnsi="Times New Roman" w:eastAsia="宋体" w:cs="Times New Roman"/>
                <w:sz w:val="24"/>
                <w:szCs w:val="24"/>
              </w:rPr>
              <w:t>r——声源到靠近围护结构某点处的距离，m。</w:t>
            </w:r>
          </w:p>
          <w:p w14:paraId="79AF68F3">
            <w:pPr>
              <w:keepNext w:val="0"/>
              <w:keepLines w:val="0"/>
              <w:pageBreakBefore w:val="0"/>
              <w:kinsoku/>
              <w:wordWrap/>
              <w:overflowPunct/>
              <w:topLinePunct w:val="0"/>
              <w:autoSpaceDE/>
              <w:autoSpaceDN/>
              <w:bidi w:val="0"/>
              <w:snapToGrid w:val="0"/>
              <w:spacing w:line="358"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rPr>
              <w:t>计算出所有室内声源靠近围护结构处产生的总倍频带声压级</w:t>
            </w:r>
          </w:p>
          <w:p w14:paraId="160267A0">
            <w:pPr>
              <w:keepNext w:val="0"/>
              <w:keepLines w:val="0"/>
              <w:pageBreakBefore w:val="0"/>
              <w:kinsoku/>
              <w:wordWrap/>
              <w:overflowPunct/>
              <w:topLinePunct w:val="0"/>
              <w:autoSpaceDE/>
              <w:autoSpaceDN/>
              <w:bidi w:val="0"/>
              <w:snapToGrid w:val="0"/>
              <w:spacing w:line="358"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2157730" cy="658495"/>
                  <wp:effectExtent l="0" t="0" r="13970" b="825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4"/>
                          <a:stretch>
                            <a:fillRect/>
                          </a:stretch>
                        </pic:blipFill>
                        <pic:spPr>
                          <a:xfrm>
                            <a:off x="0" y="0"/>
                            <a:ext cx="2157730" cy="658495"/>
                          </a:xfrm>
                          <a:prstGeom prst="rect">
                            <a:avLst/>
                          </a:prstGeom>
                          <a:noFill/>
                          <a:ln>
                            <a:noFill/>
                          </a:ln>
                        </pic:spPr>
                      </pic:pic>
                    </a:graphicData>
                  </a:graphic>
                </wp:inline>
              </w:drawing>
            </w:r>
          </w:p>
          <w:p w14:paraId="67A057F9">
            <w:pPr>
              <w:keepNext w:val="0"/>
              <w:keepLines w:val="0"/>
              <w:pageBreakBefore w:val="0"/>
              <w:kinsoku/>
              <w:wordWrap/>
              <w:overflowPunct/>
              <w:topLinePunct w:val="0"/>
              <w:autoSpaceDE/>
              <w:autoSpaceDN/>
              <w:bidi w:val="0"/>
              <w:snapToGrid w:val="0"/>
              <w:spacing w:line="358"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rPr>
              <w:t>计算出所有室内声源在靠近围护结构处产生的总倍频带声压级</w:t>
            </w:r>
          </w:p>
          <w:p w14:paraId="0C16C498">
            <w:pPr>
              <w:keepNext w:val="0"/>
              <w:keepLines w:val="0"/>
              <w:pageBreakBefore w:val="0"/>
              <w:kinsoku/>
              <w:wordWrap/>
              <w:overflowPunct/>
              <w:topLinePunct w:val="0"/>
              <w:autoSpaceDE/>
              <w:autoSpaceDN/>
              <w:bidi w:val="0"/>
              <w:snapToGrid w:val="0"/>
              <w:spacing w:line="358"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2212975" cy="328930"/>
                  <wp:effectExtent l="0" t="0" r="15875" b="1397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5"/>
                          <a:stretch>
                            <a:fillRect/>
                          </a:stretch>
                        </pic:blipFill>
                        <pic:spPr>
                          <a:xfrm>
                            <a:off x="0" y="0"/>
                            <a:ext cx="2212975" cy="328930"/>
                          </a:xfrm>
                          <a:prstGeom prst="rect">
                            <a:avLst/>
                          </a:prstGeom>
                          <a:noFill/>
                          <a:ln>
                            <a:noFill/>
                          </a:ln>
                        </pic:spPr>
                      </pic:pic>
                    </a:graphicData>
                  </a:graphic>
                </wp:inline>
              </w:drawing>
            </w:r>
          </w:p>
          <w:p w14:paraId="040C0C87">
            <w:pPr>
              <w:keepNext w:val="0"/>
              <w:keepLines w:val="0"/>
              <w:pageBreakBefore w:val="0"/>
              <w:kinsoku/>
              <w:wordWrap/>
              <w:overflowPunct/>
              <w:topLinePunct w:val="0"/>
              <w:autoSpaceDE/>
              <w:autoSpaceDN/>
              <w:bidi w:val="0"/>
              <w:snapToGrid w:val="0"/>
              <w:spacing w:line="358" w:lineRule="auto"/>
              <w:ind w:firstLine="720" w:firstLineChars="3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rPr>
              <w:t>将室外声级</w:t>
            </w:r>
            <w:r>
              <w:rPr>
                <w:rFonts w:hint="default" w:ascii="Times New Roman" w:hAnsi="Times New Roman" w:eastAsia="宋体" w:cs="Times New Roman"/>
                <w:i/>
                <w:iCs/>
                <w:color w:val="000000"/>
                <w:kern w:val="0"/>
                <w:sz w:val="24"/>
                <w:szCs w:val="24"/>
              </w:rPr>
              <w:t>L</w:t>
            </w:r>
            <w:r>
              <w:rPr>
                <w:rFonts w:hint="default" w:ascii="Times New Roman" w:hAnsi="Times New Roman" w:eastAsia="宋体" w:cs="Times New Roman"/>
                <w:i/>
                <w:iCs/>
                <w:color w:val="000000"/>
                <w:kern w:val="0"/>
                <w:sz w:val="24"/>
                <w:szCs w:val="24"/>
                <w:vertAlign w:val="subscript"/>
              </w:rPr>
              <w:t>oct</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sz w:val="24"/>
                <w:szCs w:val="24"/>
                <w:vertAlign w:val="subscript"/>
              </w:rPr>
              <w:t>2</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i/>
                <w:iCs/>
                <w:color w:val="000000"/>
                <w:kern w:val="0"/>
                <w:sz w:val="24"/>
                <w:szCs w:val="24"/>
              </w:rPr>
              <w:t>T</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sz w:val="24"/>
                <w:szCs w:val="24"/>
              </w:rPr>
              <w:t>和透声面积换算成等效的室外声源，计算出等效声源第</w:t>
            </w:r>
            <w:r>
              <w:rPr>
                <w:rFonts w:hint="default" w:ascii="Times New Roman" w:hAnsi="Times New Roman" w:eastAsia="宋体" w:cs="Times New Roman"/>
                <w:color w:val="000000"/>
                <w:kern w:val="0"/>
                <w:sz w:val="24"/>
                <w:szCs w:val="24"/>
              </w:rPr>
              <w:t>i个</w:t>
            </w:r>
            <w:r>
              <w:rPr>
                <w:rFonts w:hint="default" w:ascii="Times New Roman" w:hAnsi="Times New Roman" w:eastAsia="宋体" w:cs="Times New Roman"/>
                <w:sz w:val="24"/>
                <w:szCs w:val="24"/>
              </w:rPr>
              <w:t>倍频带的声功率级</w:t>
            </w:r>
            <w:r>
              <w:rPr>
                <w:rFonts w:hint="default" w:ascii="Times New Roman" w:hAnsi="Times New Roman" w:eastAsia="宋体" w:cs="Times New Roman"/>
                <w:i/>
                <w:iCs/>
                <w:color w:val="000000"/>
                <w:kern w:val="0"/>
                <w:sz w:val="24"/>
                <w:szCs w:val="24"/>
              </w:rPr>
              <w:t>L</w:t>
            </w:r>
            <w:r>
              <w:rPr>
                <w:rFonts w:hint="default" w:ascii="Times New Roman" w:hAnsi="Times New Roman" w:eastAsia="宋体" w:cs="Times New Roman"/>
                <w:i/>
                <w:iCs/>
                <w:color w:val="000000"/>
                <w:kern w:val="0"/>
                <w:sz w:val="24"/>
                <w:szCs w:val="24"/>
                <w:vertAlign w:val="subscript"/>
              </w:rPr>
              <w:t>woct</w:t>
            </w:r>
          </w:p>
          <w:p w14:paraId="5542739D">
            <w:pPr>
              <w:keepNext w:val="0"/>
              <w:keepLines w:val="0"/>
              <w:pageBreakBefore w:val="0"/>
              <w:kinsoku/>
              <w:wordWrap/>
              <w:overflowPunct/>
              <w:topLinePunct w:val="0"/>
              <w:autoSpaceDE/>
              <w:autoSpaceDN/>
              <w:bidi w:val="0"/>
              <w:snapToGrid w:val="0"/>
              <w:spacing w:line="358"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1554480" cy="311150"/>
                  <wp:effectExtent l="0" t="0" r="7620" b="1270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6"/>
                          <a:stretch>
                            <a:fillRect/>
                          </a:stretch>
                        </pic:blipFill>
                        <pic:spPr>
                          <a:xfrm>
                            <a:off x="0" y="0"/>
                            <a:ext cx="1554480" cy="311150"/>
                          </a:xfrm>
                          <a:prstGeom prst="rect">
                            <a:avLst/>
                          </a:prstGeom>
                          <a:noFill/>
                          <a:ln>
                            <a:noFill/>
                          </a:ln>
                        </pic:spPr>
                      </pic:pic>
                    </a:graphicData>
                  </a:graphic>
                </wp:inline>
              </w:drawing>
            </w:r>
          </w:p>
          <w:p w14:paraId="358ACAF2">
            <w:pPr>
              <w:keepNext w:val="0"/>
              <w:keepLines w:val="0"/>
              <w:pageBreakBefore w:val="0"/>
              <w:kinsoku/>
              <w:wordWrap/>
              <w:overflowPunct/>
              <w:topLinePunct w:val="0"/>
              <w:autoSpaceDE/>
              <w:autoSpaceDN/>
              <w:bidi w:val="0"/>
              <w:snapToGrid w:val="0"/>
              <w:spacing w:line="358"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式中：S为透声面积，m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p w14:paraId="752CA35A">
            <w:pPr>
              <w:keepNext w:val="0"/>
              <w:keepLines w:val="0"/>
              <w:pageBreakBefore w:val="0"/>
              <w:widowControl/>
              <w:kinsoku/>
              <w:wordWrap/>
              <w:overflowPunct/>
              <w:topLinePunct w:val="0"/>
              <w:autoSpaceDE/>
              <w:autoSpaceDN/>
              <w:bidi w:val="0"/>
              <w:snapToGrid w:val="0"/>
              <w:spacing w:line="358" w:lineRule="auto"/>
              <w:ind w:firstLine="480" w:firstLineChars="2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kern w:val="0"/>
                <w:sz w:val="24"/>
                <w:szCs w:val="24"/>
                <w:lang w:val="en-US" w:eastAsia="zh-CN"/>
              </w:rPr>
              <w:t>③</w:t>
            </w:r>
            <w:r>
              <w:rPr>
                <w:rFonts w:hint="default" w:ascii="Times New Roman" w:hAnsi="Times New Roman" w:eastAsia="宋体" w:cs="Times New Roman"/>
                <w:color w:val="000000"/>
                <w:kern w:val="0"/>
                <w:sz w:val="24"/>
                <w:szCs w:val="24"/>
              </w:rPr>
              <w:t>总声压级的计算</w:t>
            </w:r>
          </w:p>
          <w:p w14:paraId="0960D642">
            <w:pPr>
              <w:keepNext w:val="0"/>
              <w:keepLines w:val="0"/>
              <w:pageBreakBefore w:val="0"/>
              <w:widowControl/>
              <w:kinsoku/>
              <w:wordWrap/>
              <w:overflowPunct/>
              <w:topLinePunct w:val="0"/>
              <w:autoSpaceDE/>
              <w:autoSpaceDN/>
              <w:bidi w:val="0"/>
              <w:snapToGrid w:val="0"/>
              <w:spacing w:line="358" w:lineRule="auto"/>
              <w:ind w:firstLine="480" w:firstLineChars="2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kern w:val="0"/>
                <w:sz w:val="24"/>
                <w:szCs w:val="24"/>
              </w:rPr>
              <w:t>设第i个室外声源在预测点产生的A声级为</w:t>
            </w:r>
            <w:r>
              <w:rPr>
                <w:rFonts w:hint="default" w:ascii="Times New Roman" w:hAnsi="Times New Roman" w:eastAsia="宋体" w:cs="Times New Roman"/>
                <w:i/>
                <w:iCs/>
                <w:color w:val="000000"/>
                <w:kern w:val="0"/>
                <w:sz w:val="24"/>
                <w:szCs w:val="24"/>
              </w:rPr>
              <w:t>LAi</w:t>
            </w:r>
            <w:r>
              <w:rPr>
                <w:rFonts w:hint="default" w:ascii="Times New Roman" w:hAnsi="Times New Roman" w:eastAsia="宋体" w:cs="Times New Roman"/>
                <w:color w:val="000000"/>
                <w:kern w:val="0"/>
                <w:sz w:val="24"/>
                <w:szCs w:val="24"/>
              </w:rPr>
              <w:t>,在T时间内该声源工作时为</w:t>
            </w:r>
            <w:r>
              <w:rPr>
                <w:rFonts w:hint="default" w:ascii="Times New Roman" w:hAnsi="Times New Roman" w:eastAsia="宋体" w:cs="Times New Roman"/>
                <w:i/>
                <w:iCs/>
                <w:color w:val="000000"/>
                <w:kern w:val="0"/>
                <w:sz w:val="24"/>
                <w:szCs w:val="24"/>
              </w:rPr>
              <w:t>ti</w:t>
            </w:r>
            <w:r>
              <w:rPr>
                <w:rFonts w:hint="default" w:ascii="Times New Roman" w:hAnsi="Times New Roman" w:eastAsia="宋体" w:cs="Times New Roman"/>
                <w:color w:val="000000"/>
                <w:kern w:val="0"/>
                <w:sz w:val="24"/>
                <w:szCs w:val="24"/>
              </w:rPr>
              <w:t>；</w:t>
            </w:r>
          </w:p>
          <w:p w14:paraId="788B4D64">
            <w:pPr>
              <w:keepNext w:val="0"/>
              <w:keepLines w:val="0"/>
              <w:pageBreakBefore w:val="0"/>
              <w:widowControl/>
              <w:kinsoku/>
              <w:wordWrap/>
              <w:overflowPunct/>
              <w:topLinePunct w:val="0"/>
              <w:autoSpaceDE/>
              <w:autoSpaceDN/>
              <w:bidi w:val="0"/>
              <w:snapToGrid w:val="0"/>
              <w:spacing w:line="358" w:lineRule="auto"/>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kern w:val="0"/>
                <w:sz w:val="24"/>
                <w:szCs w:val="24"/>
              </w:rPr>
              <w:t>第j个等效室外声源在预测点产生的A声级为</w:t>
            </w:r>
            <w:r>
              <w:rPr>
                <w:rFonts w:hint="default" w:ascii="Times New Roman" w:hAnsi="Times New Roman" w:eastAsia="宋体" w:cs="Times New Roman"/>
                <w:i/>
                <w:iCs/>
                <w:color w:val="000000"/>
                <w:kern w:val="0"/>
                <w:sz w:val="24"/>
                <w:szCs w:val="24"/>
              </w:rPr>
              <w:t>LA,j</w:t>
            </w:r>
            <w:r>
              <w:rPr>
                <w:rFonts w:hint="default" w:ascii="Times New Roman" w:hAnsi="Times New Roman" w:eastAsia="宋体" w:cs="Times New Roman"/>
                <w:color w:val="000000"/>
                <w:kern w:val="0"/>
                <w:sz w:val="24"/>
                <w:szCs w:val="24"/>
              </w:rPr>
              <w:t>,在T时间内该声源工作时为</w:t>
            </w:r>
            <w:r>
              <w:rPr>
                <w:rFonts w:hint="default" w:ascii="Times New Roman" w:hAnsi="Times New Roman" w:eastAsia="宋体" w:cs="Times New Roman"/>
                <w:i/>
                <w:iCs/>
                <w:color w:val="000000"/>
                <w:kern w:val="0"/>
                <w:sz w:val="24"/>
                <w:szCs w:val="24"/>
              </w:rPr>
              <w:t>t,j，</w:t>
            </w:r>
          </w:p>
          <w:p w14:paraId="099208A2">
            <w:pPr>
              <w:keepNext w:val="0"/>
              <w:keepLines w:val="0"/>
              <w:pageBreakBefore w:val="0"/>
              <w:widowControl/>
              <w:kinsoku/>
              <w:wordWrap/>
              <w:overflowPunct/>
              <w:topLinePunct w:val="0"/>
              <w:autoSpaceDE/>
              <w:autoSpaceDN/>
              <w:bidi w:val="0"/>
              <w:snapToGrid w:val="0"/>
              <w:spacing w:line="358" w:lineRule="auto"/>
              <w:jc w:val="left"/>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sz w:val="24"/>
                <w:szCs w:val="24"/>
              </w:rPr>
              <w:t>则拟建工程声源对预测点产生的贡献值（Leqg）为：</w:t>
            </w:r>
          </w:p>
          <w:p w14:paraId="530496AF">
            <w:pPr>
              <w:keepNext w:val="0"/>
              <w:keepLines w:val="0"/>
              <w:pageBreakBefore w:val="0"/>
              <w:widowControl/>
              <w:kinsoku/>
              <w:wordWrap/>
              <w:overflowPunct/>
              <w:topLinePunct w:val="0"/>
              <w:autoSpaceDE/>
              <w:autoSpaceDN/>
              <w:bidi w:val="0"/>
              <w:snapToGrid w:val="0"/>
              <w:spacing w:line="358"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3181985" cy="621665"/>
                  <wp:effectExtent l="0" t="0" r="18415" b="698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7"/>
                          <a:stretch>
                            <a:fillRect/>
                          </a:stretch>
                        </pic:blipFill>
                        <pic:spPr>
                          <a:xfrm>
                            <a:off x="0" y="0"/>
                            <a:ext cx="3181985" cy="621665"/>
                          </a:xfrm>
                          <a:prstGeom prst="rect">
                            <a:avLst/>
                          </a:prstGeom>
                          <a:noFill/>
                          <a:ln>
                            <a:noFill/>
                          </a:ln>
                        </pic:spPr>
                      </pic:pic>
                    </a:graphicData>
                  </a:graphic>
                </wp:inline>
              </w:drawing>
            </w:r>
          </w:p>
          <w:p w14:paraId="6D174D48">
            <w:pPr>
              <w:widowControl/>
              <w:spacing w:line="360" w:lineRule="auto"/>
              <w:jc w:val="center"/>
              <w:rPr>
                <w:color w:val="auto"/>
              </w:rPr>
            </w:pPr>
            <w:r>
              <w:rPr>
                <w:rFonts w:hint="default" w:ascii="Times New Roman" w:hAnsi="Times New Roman" w:eastAsia="宋体" w:cs="Times New Roman"/>
              </w:rPr>
              <w:drawing>
                <wp:inline distT="0" distB="0" distL="114300" distR="114300">
                  <wp:extent cx="4681855" cy="1334770"/>
                  <wp:effectExtent l="0" t="0" r="4445"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rcRect t="4546" b="3896"/>
                          <a:stretch>
                            <a:fillRect/>
                          </a:stretch>
                        </pic:blipFill>
                        <pic:spPr>
                          <a:xfrm>
                            <a:off x="0" y="0"/>
                            <a:ext cx="4681855" cy="1334770"/>
                          </a:xfrm>
                          <a:prstGeom prst="rect">
                            <a:avLst/>
                          </a:prstGeom>
                          <a:noFill/>
                          <a:ln>
                            <a:noFill/>
                          </a:ln>
                        </pic:spPr>
                      </pic:pic>
                    </a:graphicData>
                  </a:graphic>
                </wp:inline>
              </w:drawing>
            </w:r>
          </w:p>
          <w:p w14:paraId="67279928">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3.4</w:t>
            </w:r>
            <w:r>
              <w:rPr>
                <w:rFonts w:hint="eastAsia" w:cs="Times New Roman"/>
                <w:color w:val="auto"/>
                <w:sz w:val="24"/>
                <w:lang w:val="en-US" w:eastAsia="zh-CN"/>
              </w:rPr>
              <w:t>噪声预测结果</w:t>
            </w:r>
          </w:p>
          <w:p w14:paraId="40E436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lang w:val="en-US" w:eastAsia="zh-CN"/>
              </w:rPr>
            </w:pPr>
            <w:r>
              <w:rPr>
                <w:b/>
                <w:bCs/>
                <w:color w:val="auto"/>
                <w:sz w:val="24"/>
                <w:szCs w:val="32"/>
              </w:rPr>
              <w:t>表</w:t>
            </w:r>
            <w:r>
              <w:rPr>
                <w:rFonts w:hint="eastAsia"/>
                <w:b/>
                <w:bCs/>
                <w:color w:val="auto"/>
                <w:sz w:val="24"/>
                <w:szCs w:val="32"/>
              </w:rPr>
              <w:t>4-</w:t>
            </w:r>
            <w:r>
              <w:rPr>
                <w:rFonts w:hint="eastAsia"/>
                <w:b/>
                <w:bCs/>
                <w:color w:val="auto"/>
                <w:sz w:val="24"/>
                <w:szCs w:val="32"/>
                <w:lang w:val="en-US" w:eastAsia="zh-CN"/>
              </w:rPr>
              <w:t xml:space="preserve">9 </w:t>
            </w:r>
            <w:r>
              <w:rPr>
                <w:rFonts w:cs="Times New Roman" w:asciiTheme="minorEastAsia" w:hAnsiTheme="minorEastAsia" w:eastAsiaTheme="minorEastAsia"/>
                <w:b/>
                <w:sz w:val="24"/>
                <w:szCs w:val="24"/>
                <w:lang w:eastAsia="zh-CN"/>
              </w:rPr>
              <w:t xml:space="preserve"> 厂界噪声预测结果与达标分析表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875"/>
              <w:gridCol w:w="875"/>
              <w:gridCol w:w="877"/>
              <w:gridCol w:w="1082"/>
              <w:gridCol w:w="1545"/>
              <w:gridCol w:w="1546"/>
              <w:gridCol w:w="1295"/>
            </w:tblGrid>
            <w:tr w14:paraId="3FB89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0" w:type="dxa"/>
                  <w:vMerge w:val="restart"/>
                  <w:tcBorders>
                    <w:tl2br w:val="nil"/>
                    <w:tr2bl w:val="nil"/>
                  </w:tcBorders>
                  <w:vAlign w:val="center"/>
                </w:tcPr>
                <w:p w14:paraId="71C56D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预测方位</w:t>
                  </w:r>
                </w:p>
              </w:tc>
              <w:tc>
                <w:tcPr>
                  <w:tcW w:w="2627" w:type="dxa"/>
                  <w:gridSpan w:val="3"/>
                  <w:tcBorders>
                    <w:tl2br w:val="nil"/>
                    <w:tr2bl w:val="nil"/>
                  </w:tcBorders>
                  <w:vAlign w:val="center"/>
                </w:tcPr>
                <w:p w14:paraId="0B1633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b/>
                      <w:sz w:val="21"/>
                      <w:szCs w:val="21"/>
                      <w:lang w:val="en-US" w:eastAsia="zh-CN"/>
                    </w:rPr>
                    <w:t>最大值点</w:t>
                  </w:r>
                  <w:r>
                    <w:rPr>
                      <w:rFonts w:ascii="Times New Roman" w:hAnsi="Times New Roman" w:cs="Times New Roman" w:eastAsiaTheme="minorEastAsia"/>
                      <w:b/>
                      <w:sz w:val="21"/>
                      <w:szCs w:val="21"/>
                    </w:rPr>
                    <w:t>空间相对位置/m</w:t>
                  </w:r>
                </w:p>
              </w:tc>
              <w:tc>
                <w:tcPr>
                  <w:tcW w:w="1082" w:type="dxa"/>
                  <w:vMerge w:val="restart"/>
                  <w:tcBorders>
                    <w:tl2br w:val="nil"/>
                    <w:tr2bl w:val="nil"/>
                  </w:tcBorders>
                  <w:vAlign w:val="center"/>
                </w:tcPr>
                <w:p w14:paraId="0B0BE3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时段</w:t>
                  </w:r>
                </w:p>
              </w:tc>
              <w:tc>
                <w:tcPr>
                  <w:tcW w:w="1545" w:type="dxa"/>
                  <w:vMerge w:val="restart"/>
                  <w:tcBorders>
                    <w:tl2br w:val="nil"/>
                    <w:tr2bl w:val="nil"/>
                  </w:tcBorders>
                  <w:vAlign w:val="center"/>
                </w:tcPr>
                <w:p w14:paraId="0439B9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b/>
                      <w:sz w:val="21"/>
                      <w:szCs w:val="21"/>
                    </w:rPr>
                    <w:t>贡献值</w:t>
                  </w:r>
                  <w:r>
                    <w:rPr>
                      <w:rFonts w:ascii="Times New Roman" w:hAnsi="Times New Roman" w:cs="Times New Roman" w:eastAsiaTheme="minorEastAsia"/>
                      <w:b/>
                      <w:sz w:val="21"/>
                      <w:szCs w:val="21"/>
                    </w:rPr>
                    <w:t>（dB(A)）</w:t>
                  </w:r>
                </w:p>
              </w:tc>
              <w:tc>
                <w:tcPr>
                  <w:tcW w:w="1546" w:type="dxa"/>
                  <w:vMerge w:val="restart"/>
                  <w:tcBorders>
                    <w:tl2br w:val="nil"/>
                    <w:tr2bl w:val="nil"/>
                  </w:tcBorders>
                  <w:vAlign w:val="center"/>
                </w:tcPr>
                <w:p w14:paraId="4B8789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标准限值（dB(A)）</w:t>
                  </w:r>
                </w:p>
              </w:tc>
              <w:tc>
                <w:tcPr>
                  <w:tcW w:w="1295" w:type="dxa"/>
                  <w:vMerge w:val="restart"/>
                  <w:tcBorders>
                    <w:tl2br w:val="nil"/>
                    <w:tr2bl w:val="nil"/>
                  </w:tcBorders>
                  <w:vAlign w:val="center"/>
                </w:tcPr>
                <w:p w14:paraId="05D26A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达标情况</w:t>
                  </w:r>
                </w:p>
              </w:tc>
            </w:tr>
            <w:tr w14:paraId="0224F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0" w:type="dxa"/>
                  <w:vMerge w:val="continue"/>
                  <w:tcBorders>
                    <w:tl2br w:val="nil"/>
                    <w:tr2bl w:val="nil"/>
                  </w:tcBorders>
                  <w:shd w:val="clear" w:color="auto" w:fill="FFFFFF"/>
                  <w:vAlign w:val="center"/>
                </w:tcPr>
                <w:p w14:paraId="1CFCCC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p>
              </w:tc>
              <w:tc>
                <w:tcPr>
                  <w:tcW w:w="875" w:type="dxa"/>
                  <w:tcBorders>
                    <w:tl2br w:val="nil"/>
                    <w:tr2bl w:val="nil"/>
                  </w:tcBorders>
                  <w:shd w:val="clear" w:color="auto" w:fill="FFFFFF"/>
                  <w:vAlign w:val="center"/>
                </w:tcPr>
                <w:p w14:paraId="6CE69C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X</w:t>
                  </w:r>
                </w:p>
              </w:tc>
              <w:tc>
                <w:tcPr>
                  <w:tcW w:w="875" w:type="dxa"/>
                  <w:tcBorders>
                    <w:tl2br w:val="nil"/>
                    <w:tr2bl w:val="nil"/>
                  </w:tcBorders>
                  <w:shd w:val="clear" w:color="auto" w:fill="FFFFFF"/>
                  <w:vAlign w:val="center"/>
                </w:tcPr>
                <w:p w14:paraId="71C657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Y</w:t>
                  </w:r>
                </w:p>
              </w:tc>
              <w:tc>
                <w:tcPr>
                  <w:tcW w:w="877" w:type="dxa"/>
                  <w:tcBorders>
                    <w:tl2br w:val="nil"/>
                    <w:tr2bl w:val="nil"/>
                  </w:tcBorders>
                  <w:shd w:val="clear" w:color="auto" w:fill="FFFFFF"/>
                  <w:vAlign w:val="center"/>
                </w:tcPr>
                <w:p w14:paraId="21B826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Z</w:t>
                  </w:r>
                </w:p>
              </w:tc>
              <w:tc>
                <w:tcPr>
                  <w:tcW w:w="1082" w:type="dxa"/>
                  <w:vMerge w:val="continue"/>
                  <w:tcBorders>
                    <w:tl2br w:val="nil"/>
                    <w:tr2bl w:val="nil"/>
                  </w:tcBorders>
                  <w:shd w:val="clear" w:color="auto" w:fill="FFFFFF"/>
                  <w:vAlign w:val="center"/>
                </w:tcPr>
                <w:p w14:paraId="34270C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p>
              </w:tc>
              <w:tc>
                <w:tcPr>
                  <w:tcW w:w="1545" w:type="dxa"/>
                  <w:vMerge w:val="continue"/>
                  <w:tcBorders>
                    <w:tl2br w:val="nil"/>
                    <w:tr2bl w:val="nil"/>
                  </w:tcBorders>
                  <w:shd w:val="clear" w:color="auto" w:fill="FFFFFF"/>
                  <w:vAlign w:val="center"/>
                </w:tcPr>
                <w:p w14:paraId="5ABFBB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p>
              </w:tc>
              <w:tc>
                <w:tcPr>
                  <w:tcW w:w="1546" w:type="dxa"/>
                  <w:vMerge w:val="continue"/>
                  <w:tcBorders>
                    <w:tl2br w:val="nil"/>
                    <w:tr2bl w:val="nil"/>
                  </w:tcBorders>
                  <w:shd w:val="clear" w:color="auto" w:fill="FFFFFF"/>
                  <w:vAlign w:val="center"/>
                </w:tcPr>
                <w:p w14:paraId="58E52E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p>
              </w:tc>
              <w:tc>
                <w:tcPr>
                  <w:tcW w:w="1295" w:type="dxa"/>
                  <w:vMerge w:val="continue"/>
                  <w:tcBorders>
                    <w:tl2br w:val="nil"/>
                    <w:tr2bl w:val="nil"/>
                  </w:tcBorders>
                  <w:shd w:val="clear" w:color="auto" w:fill="FFFFFF"/>
                  <w:vAlign w:val="center"/>
                </w:tcPr>
                <w:p w14:paraId="3E028C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sz w:val="21"/>
                      <w:szCs w:val="21"/>
                    </w:rPr>
                  </w:pPr>
                </w:p>
              </w:tc>
            </w:tr>
            <w:tr w14:paraId="1F49B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PrEx>
              <w:trPr>
                <w:trHeight w:val="397" w:hRule="atLeast"/>
                <w:jc w:val="center"/>
              </w:trPr>
              <w:tc>
                <w:tcPr>
                  <w:tcW w:w="1200" w:type="dxa"/>
                  <w:vMerge w:val="restart"/>
                  <w:tcBorders>
                    <w:tl2br w:val="nil"/>
                    <w:tr2bl w:val="nil"/>
                  </w:tcBorders>
                  <w:shd w:val="clear" w:color="auto" w:fill="FFFFFF"/>
                  <w:vAlign w:val="center"/>
                </w:tcPr>
                <w:p w14:paraId="503C29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东侧</w:t>
                  </w:r>
                </w:p>
              </w:tc>
              <w:tc>
                <w:tcPr>
                  <w:tcW w:w="875" w:type="dxa"/>
                  <w:tcBorders>
                    <w:tl2br w:val="nil"/>
                    <w:tr2bl w:val="nil"/>
                  </w:tcBorders>
                  <w:shd w:val="clear" w:color="auto" w:fill="FFFFFF"/>
                  <w:vAlign w:val="center"/>
                </w:tcPr>
                <w:p w14:paraId="74B631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32</w:t>
                  </w:r>
                </w:p>
              </w:tc>
              <w:tc>
                <w:tcPr>
                  <w:tcW w:w="875" w:type="dxa"/>
                  <w:tcBorders>
                    <w:tl2br w:val="nil"/>
                    <w:tr2bl w:val="nil"/>
                  </w:tcBorders>
                  <w:shd w:val="clear" w:color="auto" w:fill="FFFFFF"/>
                  <w:vAlign w:val="center"/>
                </w:tcPr>
                <w:p w14:paraId="391B3A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4</w:t>
                  </w:r>
                </w:p>
              </w:tc>
              <w:tc>
                <w:tcPr>
                  <w:tcW w:w="877" w:type="dxa"/>
                  <w:tcBorders>
                    <w:tl2br w:val="nil"/>
                    <w:tr2bl w:val="nil"/>
                  </w:tcBorders>
                  <w:shd w:val="clear" w:color="auto" w:fill="FFFFFF"/>
                  <w:vAlign w:val="center"/>
                </w:tcPr>
                <w:p w14:paraId="70F5D2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1.2</w:t>
                  </w:r>
                </w:p>
              </w:tc>
              <w:tc>
                <w:tcPr>
                  <w:tcW w:w="1082" w:type="dxa"/>
                  <w:tcBorders>
                    <w:tl2br w:val="nil"/>
                    <w:tr2bl w:val="nil"/>
                  </w:tcBorders>
                  <w:shd w:val="clear" w:color="auto" w:fill="FFFFFF"/>
                  <w:vAlign w:val="center"/>
                </w:tcPr>
                <w:p w14:paraId="3C9DAA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昼间</w:t>
                  </w:r>
                </w:p>
              </w:tc>
              <w:tc>
                <w:tcPr>
                  <w:tcW w:w="1545" w:type="dxa"/>
                  <w:tcBorders>
                    <w:tl2br w:val="nil"/>
                    <w:tr2bl w:val="nil"/>
                  </w:tcBorders>
                  <w:shd w:val="clear" w:color="auto" w:fill="FFFFFF"/>
                  <w:vAlign w:val="center"/>
                </w:tcPr>
                <w:p w14:paraId="5AB793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lang w:val="en-US" w:eastAsia="zh-CN"/>
                    </w:rPr>
                  </w:pPr>
                  <w:r>
                    <w:rPr>
                      <w:rFonts w:hint="eastAsia"/>
                      <w:lang w:val="en-US" w:eastAsia="zh-CN"/>
                    </w:rPr>
                    <w:t>47</w:t>
                  </w:r>
                </w:p>
              </w:tc>
              <w:tc>
                <w:tcPr>
                  <w:tcW w:w="1546" w:type="dxa"/>
                  <w:tcBorders>
                    <w:tl2br w:val="nil"/>
                    <w:tr2bl w:val="nil"/>
                  </w:tcBorders>
                  <w:shd w:val="clear" w:color="auto" w:fill="FFFFFF"/>
                  <w:vAlign w:val="center"/>
                </w:tcPr>
                <w:p w14:paraId="5EDE5E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60</w:t>
                  </w:r>
                </w:p>
              </w:tc>
              <w:tc>
                <w:tcPr>
                  <w:tcW w:w="1295" w:type="dxa"/>
                  <w:tcBorders>
                    <w:tl2br w:val="nil"/>
                    <w:tr2bl w:val="nil"/>
                  </w:tcBorders>
                  <w:shd w:val="clear" w:color="auto" w:fill="FFFFFF"/>
                  <w:vAlign w:val="center"/>
                </w:tcPr>
                <w:p w14:paraId="31482C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达标</w:t>
                  </w:r>
                </w:p>
              </w:tc>
            </w:tr>
            <w:tr w14:paraId="21EBC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200" w:type="dxa"/>
                  <w:vMerge w:val="continue"/>
                  <w:tcBorders>
                    <w:tl2br w:val="nil"/>
                    <w:tr2bl w:val="nil"/>
                  </w:tcBorders>
                  <w:shd w:val="clear" w:color="auto" w:fill="FFFFFF"/>
                  <w:vAlign w:val="center"/>
                </w:tcPr>
                <w:p w14:paraId="325421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东侧</w:t>
                  </w:r>
                </w:p>
              </w:tc>
              <w:tc>
                <w:tcPr>
                  <w:tcW w:w="875" w:type="dxa"/>
                  <w:tcBorders>
                    <w:tl2br w:val="nil"/>
                    <w:tr2bl w:val="nil"/>
                  </w:tcBorders>
                  <w:shd w:val="clear" w:color="auto" w:fill="FFFFFF"/>
                  <w:vAlign w:val="center"/>
                </w:tcPr>
                <w:p w14:paraId="5BAD72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32</w:t>
                  </w:r>
                </w:p>
              </w:tc>
              <w:tc>
                <w:tcPr>
                  <w:tcW w:w="875" w:type="dxa"/>
                  <w:tcBorders>
                    <w:tl2br w:val="nil"/>
                    <w:tr2bl w:val="nil"/>
                  </w:tcBorders>
                  <w:shd w:val="clear" w:color="auto" w:fill="FFFFFF"/>
                  <w:vAlign w:val="center"/>
                </w:tcPr>
                <w:p w14:paraId="248DC3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4</w:t>
                  </w:r>
                </w:p>
              </w:tc>
              <w:tc>
                <w:tcPr>
                  <w:tcW w:w="877" w:type="dxa"/>
                  <w:tcBorders>
                    <w:tl2br w:val="nil"/>
                    <w:tr2bl w:val="nil"/>
                  </w:tcBorders>
                  <w:shd w:val="clear" w:color="auto" w:fill="FFFFFF"/>
                  <w:vAlign w:val="center"/>
                </w:tcPr>
                <w:p w14:paraId="37462F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1.2</w:t>
                  </w:r>
                </w:p>
              </w:tc>
              <w:tc>
                <w:tcPr>
                  <w:tcW w:w="1082" w:type="dxa"/>
                  <w:tcBorders>
                    <w:tl2br w:val="nil"/>
                    <w:tr2bl w:val="nil"/>
                  </w:tcBorders>
                  <w:shd w:val="clear" w:color="auto" w:fill="FFFFFF"/>
                  <w:vAlign w:val="center"/>
                </w:tcPr>
                <w:p w14:paraId="064681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夜间</w:t>
                  </w:r>
                </w:p>
              </w:tc>
              <w:tc>
                <w:tcPr>
                  <w:tcW w:w="1545" w:type="dxa"/>
                  <w:tcBorders>
                    <w:tl2br w:val="nil"/>
                    <w:tr2bl w:val="nil"/>
                  </w:tcBorders>
                  <w:shd w:val="clear" w:color="auto" w:fill="FFFFFF"/>
                  <w:vAlign w:val="center"/>
                </w:tcPr>
                <w:p w14:paraId="7133FA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lang w:val="en-US" w:eastAsia="zh-CN"/>
                    </w:rPr>
                  </w:pPr>
                  <w:r>
                    <w:rPr>
                      <w:rFonts w:hint="eastAsia" w:ascii="Arial" w:hAnsi="Arial" w:cs="Arial"/>
                      <w:sz w:val="20"/>
                      <w:lang w:val="en-US" w:eastAsia="zh-CN"/>
                    </w:rPr>
                    <w:t>47</w:t>
                  </w:r>
                </w:p>
              </w:tc>
              <w:tc>
                <w:tcPr>
                  <w:tcW w:w="1546" w:type="dxa"/>
                  <w:tcBorders>
                    <w:tl2br w:val="nil"/>
                    <w:tr2bl w:val="nil"/>
                  </w:tcBorders>
                  <w:shd w:val="clear" w:color="auto" w:fill="FFFFFF"/>
                  <w:vAlign w:val="center"/>
                </w:tcPr>
                <w:p w14:paraId="1DD979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50</w:t>
                  </w:r>
                </w:p>
              </w:tc>
              <w:tc>
                <w:tcPr>
                  <w:tcW w:w="1295" w:type="dxa"/>
                  <w:tcBorders>
                    <w:tl2br w:val="nil"/>
                    <w:tr2bl w:val="nil"/>
                  </w:tcBorders>
                  <w:shd w:val="clear" w:color="auto" w:fill="FFFFFF"/>
                  <w:vAlign w:val="center"/>
                </w:tcPr>
                <w:p w14:paraId="0FB9F6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达标</w:t>
                  </w:r>
                </w:p>
              </w:tc>
            </w:tr>
            <w:tr w14:paraId="060B0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200" w:type="dxa"/>
                  <w:vMerge w:val="restart"/>
                  <w:tcBorders>
                    <w:tl2br w:val="nil"/>
                    <w:tr2bl w:val="nil"/>
                  </w:tcBorders>
                  <w:shd w:val="clear" w:color="auto" w:fill="FFFFFF"/>
                  <w:vAlign w:val="center"/>
                </w:tcPr>
                <w:p w14:paraId="7D8193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南侧</w:t>
                  </w:r>
                </w:p>
              </w:tc>
              <w:tc>
                <w:tcPr>
                  <w:tcW w:w="875" w:type="dxa"/>
                  <w:tcBorders>
                    <w:tl2br w:val="nil"/>
                    <w:tr2bl w:val="nil"/>
                  </w:tcBorders>
                  <w:shd w:val="clear" w:color="auto" w:fill="FFFFFF"/>
                  <w:vAlign w:val="center"/>
                </w:tcPr>
                <w:p w14:paraId="23D260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3.3</w:t>
                  </w:r>
                </w:p>
              </w:tc>
              <w:tc>
                <w:tcPr>
                  <w:tcW w:w="875" w:type="dxa"/>
                  <w:tcBorders>
                    <w:tl2br w:val="nil"/>
                    <w:tr2bl w:val="nil"/>
                  </w:tcBorders>
                  <w:shd w:val="clear" w:color="auto" w:fill="FFFFFF"/>
                  <w:vAlign w:val="center"/>
                </w:tcPr>
                <w:p w14:paraId="3C2241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-14</w:t>
                  </w:r>
                </w:p>
              </w:tc>
              <w:tc>
                <w:tcPr>
                  <w:tcW w:w="877" w:type="dxa"/>
                  <w:tcBorders>
                    <w:tl2br w:val="nil"/>
                    <w:tr2bl w:val="nil"/>
                  </w:tcBorders>
                  <w:shd w:val="clear" w:color="auto" w:fill="FFFFFF"/>
                  <w:vAlign w:val="center"/>
                </w:tcPr>
                <w:p w14:paraId="5FE4A2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1.2</w:t>
                  </w:r>
                </w:p>
              </w:tc>
              <w:tc>
                <w:tcPr>
                  <w:tcW w:w="1082" w:type="dxa"/>
                  <w:tcBorders>
                    <w:tl2br w:val="nil"/>
                    <w:tr2bl w:val="nil"/>
                  </w:tcBorders>
                  <w:shd w:val="clear" w:color="auto" w:fill="FFFFFF"/>
                  <w:vAlign w:val="center"/>
                </w:tcPr>
                <w:p w14:paraId="2B8A42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昼间</w:t>
                  </w:r>
                </w:p>
              </w:tc>
              <w:tc>
                <w:tcPr>
                  <w:tcW w:w="1545" w:type="dxa"/>
                  <w:tcBorders>
                    <w:tl2br w:val="nil"/>
                    <w:tr2bl w:val="nil"/>
                  </w:tcBorders>
                  <w:shd w:val="clear" w:color="auto" w:fill="FFFFFF"/>
                  <w:vAlign w:val="center"/>
                </w:tcPr>
                <w:p w14:paraId="3FB4C3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lang w:val="en-US" w:eastAsia="zh-CN"/>
                    </w:rPr>
                  </w:pPr>
                  <w:r>
                    <w:rPr>
                      <w:rFonts w:hint="eastAsia" w:ascii="Arial" w:hAnsi="Arial" w:eastAsia="宋体" w:cs="Arial"/>
                      <w:sz w:val="20"/>
                      <w:lang w:val="en-US" w:eastAsia="zh-CN"/>
                    </w:rPr>
                    <w:t>40</w:t>
                  </w:r>
                </w:p>
              </w:tc>
              <w:tc>
                <w:tcPr>
                  <w:tcW w:w="1546" w:type="dxa"/>
                  <w:tcBorders>
                    <w:tl2br w:val="nil"/>
                    <w:tr2bl w:val="nil"/>
                  </w:tcBorders>
                  <w:shd w:val="clear" w:color="auto" w:fill="FFFFFF"/>
                  <w:vAlign w:val="center"/>
                </w:tcPr>
                <w:p w14:paraId="0D6BC5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60</w:t>
                  </w:r>
                </w:p>
              </w:tc>
              <w:tc>
                <w:tcPr>
                  <w:tcW w:w="1295" w:type="dxa"/>
                  <w:tcBorders>
                    <w:tl2br w:val="nil"/>
                    <w:tr2bl w:val="nil"/>
                  </w:tcBorders>
                  <w:shd w:val="clear" w:color="auto" w:fill="FFFFFF"/>
                  <w:vAlign w:val="center"/>
                </w:tcPr>
                <w:p w14:paraId="56C7B7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达标</w:t>
                  </w:r>
                </w:p>
              </w:tc>
            </w:tr>
            <w:tr w14:paraId="025BA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200" w:type="dxa"/>
                  <w:vMerge w:val="continue"/>
                  <w:tcBorders>
                    <w:tl2br w:val="nil"/>
                    <w:tr2bl w:val="nil"/>
                  </w:tcBorders>
                  <w:shd w:val="clear" w:color="auto" w:fill="FFFFFF"/>
                  <w:vAlign w:val="center"/>
                </w:tcPr>
                <w:p w14:paraId="2C4BAC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南侧</w:t>
                  </w:r>
                </w:p>
              </w:tc>
              <w:tc>
                <w:tcPr>
                  <w:tcW w:w="875" w:type="dxa"/>
                  <w:tcBorders>
                    <w:tl2br w:val="nil"/>
                    <w:tr2bl w:val="nil"/>
                  </w:tcBorders>
                  <w:shd w:val="clear" w:color="auto" w:fill="FFFFFF"/>
                  <w:vAlign w:val="center"/>
                </w:tcPr>
                <w:p w14:paraId="48003A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3.3</w:t>
                  </w:r>
                </w:p>
              </w:tc>
              <w:tc>
                <w:tcPr>
                  <w:tcW w:w="875" w:type="dxa"/>
                  <w:tcBorders>
                    <w:tl2br w:val="nil"/>
                    <w:tr2bl w:val="nil"/>
                  </w:tcBorders>
                  <w:shd w:val="clear" w:color="auto" w:fill="FFFFFF"/>
                  <w:vAlign w:val="center"/>
                </w:tcPr>
                <w:p w14:paraId="72C9C5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-14</w:t>
                  </w:r>
                </w:p>
              </w:tc>
              <w:tc>
                <w:tcPr>
                  <w:tcW w:w="877" w:type="dxa"/>
                  <w:tcBorders>
                    <w:tl2br w:val="nil"/>
                    <w:tr2bl w:val="nil"/>
                  </w:tcBorders>
                  <w:shd w:val="clear" w:color="auto" w:fill="FFFFFF"/>
                  <w:vAlign w:val="center"/>
                </w:tcPr>
                <w:p w14:paraId="735F27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1.2</w:t>
                  </w:r>
                </w:p>
              </w:tc>
              <w:tc>
                <w:tcPr>
                  <w:tcW w:w="1082" w:type="dxa"/>
                  <w:tcBorders>
                    <w:tl2br w:val="nil"/>
                    <w:tr2bl w:val="nil"/>
                  </w:tcBorders>
                  <w:shd w:val="clear" w:color="auto" w:fill="FFFFFF"/>
                  <w:vAlign w:val="center"/>
                </w:tcPr>
                <w:p w14:paraId="6A8C1C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夜间</w:t>
                  </w:r>
                </w:p>
              </w:tc>
              <w:tc>
                <w:tcPr>
                  <w:tcW w:w="1545" w:type="dxa"/>
                  <w:tcBorders>
                    <w:tl2br w:val="nil"/>
                    <w:tr2bl w:val="nil"/>
                  </w:tcBorders>
                  <w:shd w:val="clear" w:color="auto" w:fill="FFFFFF"/>
                  <w:vAlign w:val="center"/>
                </w:tcPr>
                <w:p w14:paraId="465E42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lang w:val="en-US" w:eastAsia="zh-CN"/>
                    </w:rPr>
                  </w:pPr>
                  <w:r>
                    <w:rPr>
                      <w:rFonts w:hint="eastAsia" w:ascii="Arial" w:hAnsi="Arial" w:cs="Arial"/>
                      <w:sz w:val="20"/>
                      <w:lang w:val="en-US" w:eastAsia="zh-CN"/>
                    </w:rPr>
                    <w:t>40</w:t>
                  </w:r>
                </w:p>
              </w:tc>
              <w:tc>
                <w:tcPr>
                  <w:tcW w:w="1546" w:type="dxa"/>
                  <w:tcBorders>
                    <w:tl2br w:val="nil"/>
                    <w:tr2bl w:val="nil"/>
                  </w:tcBorders>
                  <w:shd w:val="clear" w:color="auto" w:fill="FFFFFF"/>
                  <w:vAlign w:val="center"/>
                </w:tcPr>
                <w:p w14:paraId="33EEE3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50</w:t>
                  </w:r>
                </w:p>
              </w:tc>
              <w:tc>
                <w:tcPr>
                  <w:tcW w:w="1295" w:type="dxa"/>
                  <w:tcBorders>
                    <w:tl2br w:val="nil"/>
                    <w:tr2bl w:val="nil"/>
                  </w:tcBorders>
                  <w:shd w:val="clear" w:color="auto" w:fill="FFFFFF"/>
                  <w:vAlign w:val="center"/>
                </w:tcPr>
                <w:p w14:paraId="6E9F47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达标</w:t>
                  </w:r>
                </w:p>
              </w:tc>
            </w:tr>
            <w:tr w14:paraId="26622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200" w:type="dxa"/>
                  <w:vMerge w:val="restart"/>
                  <w:tcBorders>
                    <w:tl2br w:val="nil"/>
                    <w:tr2bl w:val="nil"/>
                  </w:tcBorders>
                  <w:shd w:val="clear" w:color="auto" w:fill="FFFFFF"/>
                  <w:vAlign w:val="center"/>
                </w:tcPr>
                <w:p w14:paraId="2BFC99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西侧</w:t>
                  </w:r>
                </w:p>
              </w:tc>
              <w:tc>
                <w:tcPr>
                  <w:tcW w:w="875" w:type="dxa"/>
                  <w:tcBorders>
                    <w:tl2br w:val="nil"/>
                    <w:tr2bl w:val="nil"/>
                  </w:tcBorders>
                  <w:shd w:val="clear" w:color="auto" w:fill="FFFFFF"/>
                  <w:vAlign w:val="center"/>
                </w:tcPr>
                <w:p w14:paraId="6C1667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-29.7</w:t>
                  </w:r>
                </w:p>
              </w:tc>
              <w:tc>
                <w:tcPr>
                  <w:tcW w:w="875" w:type="dxa"/>
                  <w:tcBorders>
                    <w:tl2br w:val="nil"/>
                    <w:tr2bl w:val="nil"/>
                  </w:tcBorders>
                  <w:shd w:val="clear" w:color="auto" w:fill="FFFFFF"/>
                  <w:vAlign w:val="center"/>
                </w:tcPr>
                <w:p w14:paraId="495557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8.8</w:t>
                  </w:r>
                </w:p>
              </w:tc>
              <w:tc>
                <w:tcPr>
                  <w:tcW w:w="877" w:type="dxa"/>
                  <w:tcBorders>
                    <w:tl2br w:val="nil"/>
                    <w:tr2bl w:val="nil"/>
                  </w:tcBorders>
                  <w:shd w:val="clear" w:color="auto" w:fill="FFFFFF"/>
                  <w:vAlign w:val="center"/>
                </w:tcPr>
                <w:p w14:paraId="5F8BA3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1.2</w:t>
                  </w:r>
                </w:p>
              </w:tc>
              <w:tc>
                <w:tcPr>
                  <w:tcW w:w="1082" w:type="dxa"/>
                  <w:tcBorders>
                    <w:tl2br w:val="nil"/>
                    <w:tr2bl w:val="nil"/>
                  </w:tcBorders>
                  <w:shd w:val="clear" w:color="auto" w:fill="FFFFFF"/>
                  <w:vAlign w:val="center"/>
                </w:tcPr>
                <w:p w14:paraId="1C86FA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昼间</w:t>
                  </w:r>
                </w:p>
              </w:tc>
              <w:tc>
                <w:tcPr>
                  <w:tcW w:w="1545" w:type="dxa"/>
                  <w:tcBorders>
                    <w:tl2br w:val="nil"/>
                    <w:tr2bl w:val="nil"/>
                  </w:tcBorders>
                  <w:shd w:val="clear" w:color="auto" w:fill="FFFFFF"/>
                  <w:vAlign w:val="center"/>
                </w:tcPr>
                <w:p w14:paraId="47CAE0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42.3</w:t>
                  </w:r>
                </w:p>
              </w:tc>
              <w:tc>
                <w:tcPr>
                  <w:tcW w:w="1546" w:type="dxa"/>
                  <w:tcBorders>
                    <w:tl2br w:val="nil"/>
                    <w:tr2bl w:val="nil"/>
                  </w:tcBorders>
                  <w:shd w:val="clear" w:color="auto" w:fill="FFFFFF"/>
                  <w:vAlign w:val="center"/>
                </w:tcPr>
                <w:p w14:paraId="65C9A4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60</w:t>
                  </w:r>
                </w:p>
              </w:tc>
              <w:tc>
                <w:tcPr>
                  <w:tcW w:w="1295" w:type="dxa"/>
                  <w:tcBorders>
                    <w:tl2br w:val="nil"/>
                    <w:tr2bl w:val="nil"/>
                  </w:tcBorders>
                  <w:shd w:val="clear" w:color="auto" w:fill="FFFFFF"/>
                  <w:vAlign w:val="center"/>
                </w:tcPr>
                <w:p w14:paraId="36CF14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达标</w:t>
                  </w:r>
                </w:p>
              </w:tc>
            </w:tr>
            <w:tr w14:paraId="6A0EA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200" w:type="dxa"/>
                  <w:vMerge w:val="continue"/>
                  <w:tcBorders>
                    <w:tl2br w:val="nil"/>
                    <w:tr2bl w:val="nil"/>
                  </w:tcBorders>
                  <w:shd w:val="clear" w:color="auto" w:fill="FFFFFF"/>
                  <w:vAlign w:val="center"/>
                </w:tcPr>
                <w:p w14:paraId="5EB8F7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西侧</w:t>
                  </w:r>
                </w:p>
              </w:tc>
              <w:tc>
                <w:tcPr>
                  <w:tcW w:w="875" w:type="dxa"/>
                  <w:tcBorders>
                    <w:tl2br w:val="nil"/>
                    <w:tr2bl w:val="nil"/>
                  </w:tcBorders>
                  <w:shd w:val="clear" w:color="auto" w:fill="FFFFFF"/>
                  <w:vAlign w:val="center"/>
                </w:tcPr>
                <w:p w14:paraId="37BB90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-29.7</w:t>
                  </w:r>
                </w:p>
              </w:tc>
              <w:tc>
                <w:tcPr>
                  <w:tcW w:w="875" w:type="dxa"/>
                  <w:tcBorders>
                    <w:tl2br w:val="nil"/>
                    <w:tr2bl w:val="nil"/>
                  </w:tcBorders>
                  <w:shd w:val="clear" w:color="auto" w:fill="FFFFFF"/>
                  <w:vAlign w:val="center"/>
                </w:tcPr>
                <w:p w14:paraId="7E4841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8.8</w:t>
                  </w:r>
                </w:p>
              </w:tc>
              <w:tc>
                <w:tcPr>
                  <w:tcW w:w="877" w:type="dxa"/>
                  <w:tcBorders>
                    <w:tl2br w:val="nil"/>
                    <w:tr2bl w:val="nil"/>
                  </w:tcBorders>
                  <w:shd w:val="clear" w:color="auto" w:fill="FFFFFF"/>
                  <w:vAlign w:val="center"/>
                </w:tcPr>
                <w:p w14:paraId="2632B5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1.2</w:t>
                  </w:r>
                </w:p>
              </w:tc>
              <w:tc>
                <w:tcPr>
                  <w:tcW w:w="1082" w:type="dxa"/>
                  <w:tcBorders>
                    <w:tl2br w:val="nil"/>
                    <w:tr2bl w:val="nil"/>
                  </w:tcBorders>
                  <w:shd w:val="clear" w:color="auto" w:fill="FFFFFF"/>
                  <w:vAlign w:val="center"/>
                </w:tcPr>
                <w:p w14:paraId="15BBE5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夜间</w:t>
                  </w:r>
                </w:p>
              </w:tc>
              <w:tc>
                <w:tcPr>
                  <w:tcW w:w="1545" w:type="dxa"/>
                  <w:tcBorders>
                    <w:tl2br w:val="nil"/>
                    <w:tr2bl w:val="nil"/>
                  </w:tcBorders>
                  <w:shd w:val="clear" w:color="auto" w:fill="FFFFFF"/>
                  <w:vAlign w:val="center"/>
                </w:tcPr>
                <w:p w14:paraId="7E07B2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42.3</w:t>
                  </w:r>
                </w:p>
              </w:tc>
              <w:tc>
                <w:tcPr>
                  <w:tcW w:w="1546" w:type="dxa"/>
                  <w:tcBorders>
                    <w:tl2br w:val="nil"/>
                    <w:tr2bl w:val="nil"/>
                  </w:tcBorders>
                  <w:shd w:val="clear" w:color="auto" w:fill="FFFFFF"/>
                  <w:vAlign w:val="center"/>
                </w:tcPr>
                <w:p w14:paraId="39204B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50</w:t>
                  </w:r>
                </w:p>
              </w:tc>
              <w:tc>
                <w:tcPr>
                  <w:tcW w:w="1295" w:type="dxa"/>
                  <w:tcBorders>
                    <w:tl2br w:val="nil"/>
                    <w:tr2bl w:val="nil"/>
                  </w:tcBorders>
                  <w:shd w:val="clear" w:color="auto" w:fill="FFFFFF"/>
                  <w:vAlign w:val="center"/>
                </w:tcPr>
                <w:p w14:paraId="1A4CE6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达标</w:t>
                  </w:r>
                </w:p>
              </w:tc>
            </w:tr>
            <w:tr w14:paraId="3C3F5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200" w:type="dxa"/>
                  <w:vMerge w:val="restart"/>
                  <w:tcBorders>
                    <w:tl2br w:val="nil"/>
                    <w:tr2bl w:val="nil"/>
                  </w:tcBorders>
                  <w:shd w:val="clear" w:color="auto" w:fill="FFFFFF"/>
                  <w:vAlign w:val="center"/>
                </w:tcPr>
                <w:p w14:paraId="20F939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北侧</w:t>
                  </w:r>
                </w:p>
              </w:tc>
              <w:tc>
                <w:tcPr>
                  <w:tcW w:w="875" w:type="dxa"/>
                  <w:tcBorders>
                    <w:tl2br w:val="nil"/>
                    <w:tr2bl w:val="nil"/>
                  </w:tcBorders>
                  <w:shd w:val="clear" w:color="auto" w:fill="FFFFFF"/>
                  <w:vAlign w:val="center"/>
                </w:tcPr>
                <w:p w14:paraId="53A435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19.9</w:t>
                  </w:r>
                </w:p>
              </w:tc>
              <w:tc>
                <w:tcPr>
                  <w:tcW w:w="875" w:type="dxa"/>
                  <w:tcBorders>
                    <w:tl2br w:val="nil"/>
                    <w:tr2bl w:val="nil"/>
                  </w:tcBorders>
                  <w:shd w:val="clear" w:color="auto" w:fill="FFFFFF"/>
                  <w:vAlign w:val="center"/>
                </w:tcPr>
                <w:p w14:paraId="6EBC9A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7.4</w:t>
                  </w:r>
                </w:p>
              </w:tc>
              <w:tc>
                <w:tcPr>
                  <w:tcW w:w="877" w:type="dxa"/>
                  <w:tcBorders>
                    <w:tl2br w:val="nil"/>
                    <w:tr2bl w:val="nil"/>
                  </w:tcBorders>
                  <w:shd w:val="clear" w:color="auto" w:fill="FFFFFF"/>
                  <w:vAlign w:val="center"/>
                </w:tcPr>
                <w:p w14:paraId="112A55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1.2</w:t>
                  </w:r>
                </w:p>
              </w:tc>
              <w:tc>
                <w:tcPr>
                  <w:tcW w:w="1082" w:type="dxa"/>
                  <w:tcBorders>
                    <w:tl2br w:val="nil"/>
                    <w:tr2bl w:val="nil"/>
                  </w:tcBorders>
                  <w:shd w:val="clear" w:color="auto" w:fill="FFFFFF"/>
                  <w:vAlign w:val="center"/>
                </w:tcPr>
                <w:p w14:paraId="1E40A5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昼间</w:t>
                  </w:r>
                </w:p>
              </w:tc>
              <w:tc>
                <w:tcPr>
                  <w:tcW w:w="1545" w:type="dxa"/>
                  <w:tcBorders>
                    <w:tl2br w:val="nil"/>
                    <w:tr2bl w:val="nil"/>
                  </w:tcBorders>
                  <w:shd w:val="clear" w:color="auto" w:fill="FFFFFF"/>
                  <w:vAlign w:val="center"/>
                </w:tcPr>
                <w:p w14:paraId="103466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hint="eastAsia" w:ascii="Arial" w:hAnsi="Arial" w:cs="Arial"/>
                      <w:sz w:val="20"/>
                      <w:lang w:val="en-US" w:eastAsia="zh-CN"/>
                    </w:rPr>
                    <w:t>5</w:t>
                  </w:r>
                  <w:r>
                    <w:rPr>
                      <w:rFonts w:ascii="Arial" w:hAnsi="Arial" w:eastAsia="Arial" w:cs="Arial"/>
                      <w:sz w:val="20"/>
                    </w:rPr>
                    <w:t>2.9</w:t>
                  </w:r>
                </w:p>
              </w:tc>
              <w:tc>
                <w:tcPr>
                  <w:tcW w:w="1546" w:type="dxa"/>
                  <w:tcBorders>
                    <w:tl2br w:val="nil"/>
                    <w:tr2bl w:val="nil"/>
                  </w:tcBorders>
                  <w:shd w:val="clear" w:color="auto" w:fill="FFFFFF"/>
                  <w:vAlign w:val="center"/>
                </w:tcPr>
                <w:p w14:paraId="35219C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60</w:t>
                  </w:r>
                </w:p>
              </w:tc>
              <w:tc>
                <w:tcPr>
                  <w:tcW w:w="1295" w:type="dxa"/>
                  <w:tcBorders>
                    <w:tl2br w:val="nil"/>
                    <w:tr2bl w:val="nil"/>
                  </w:tcBorders>
                  <w:shd w:val="clear" w:color="auto" w:fill="FFFFFF"/>
                  <w:vAlign w:val="center"/>
                </w:tcPr>
                <w:p w14:paraId="7CEB7A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达标</w:t>
                  </w:r>
                </w:p>
              </w:tc>
            </w:tr>
            <w:tr w14:paraId="0F78E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200" w:type="dxa"/>
                  <w:vMerge w:val="continue"/>
                  <w:tcBorders>
                    <w:tl2br w:val="nil"/>
                    <w:tr2bl w:val="nil"/>
                  </w:tcBorders>
                  <w:shd w:val="clear" w:color="auto" w:fill="FFFFFF"/>
                  <w:vAlign w:val="center"/>
                </w:tcPr>
                <w:p w14:paraId="691805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北侧</w:t>
                  </w:r>
                </w:p>
              </w:tc>
              <w:tc>
                <w:tcPr>
                  <w:tcW w:w="875" w:type="dxa"/>
                  <w:tcBorders>
                    <w:tl2br w:val="nil"/>
                    <w:tr2bl w:val="nil"/>
                  </w:tcBorders>
                  <w:shd w:val="clear" w:color="auto" w:fill="FFFFFF"/>
                  <w:vAlign w:val="center"/>
                </w:tcPr>
                <w:p w14:paraId="544812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19.9</w:t>
                  </w:r>
                </w:p>
              </w:tc>
              <w:tc>
                <w:tcPr>
                  <w:tcW w:w="875" w:type="dxa"/>
                  <w:tcBorders>
                    <w:tl2br w:val="nil"/>
                    <w:tr2bl w:val="nil"/>
                  </w:tcBorders>
                  <w:shd w:val="clear" w:color="auto" w:fill="FFFFFF"/>
                  <w:vAlign w:val="center"/>
                </w:tcPr>
                <w:p w14:paraId="6B1DAC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7.4</w:t>
                  </w:r>
                </w:p>
              </w:tc>
              <w:tc>
                <w:tcPr>
                  <w:tcW w:w="877" w:type="dxa"/>
                  <w:tcBorders>
                    <w:tl2br w:val="nil"/>
                    <w:tr2bl w:val="nil"/>
                  </w:tcBorders>
                  <w:shd w:val="clear" w:color="auto" w:fill="FFFFFF"/>
                  <w:vAlign w:val="center"/>
                </w:tcPr>
                <w:p w14:paraId="30B4FD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1.2</w:t>
                  </w:r>
                </w:p>
              </w:tc>
              <w:tc>
                <w:tcPr>
                  <w:tcW w:w="1082" w:type="dxa"/>
                  <w:tcBorders>
                    <w:tl2br w:val="nil"/>
                    <w:tr2bl w:val="nil"/>
                  </w:tcBorders>
                  <w:shd w:val="clear" w:color="auto" w:fill="FFFFFF"/>
                  <w:vAlign w:val="center"/>
                </w:tcPr>
                <w:p w14:paraId="2E34B6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夜间</w:t>
                  </w:r>
                </w:p>
              </w:tc>
              <w:tc>
                <w:tcPr>
                  <w:tcW w:w="1545" w:type="dxa"/>
                  <w:tcBorders>
                    <w:tl2br w:val="nil"/>
                    <w:tr2bl w:val="nil"/>
                  </w:tcBorders>
                  <w:shd w:val="clear" w:color="auto" w:fill="FFFFFF"/>
                  <w:vAlign w:val="center"/>
                </w:tcPr>
                <w:p w14:paraId="16F232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hint="eastAsia" w:ascii="Arial" w:hAnsi="Arial" w:cs="Arial"/>
                      <w:sz w:val="20"/>
                      <w:lang w:val="en-US" w:eastAsia="zh-CN"/>
                    </w:rPr>
                    <w:t>5</w:t>
                  </w:r>
                  <w:r>
                    <w:rPr>
                      <w:rFonts w:ascii="Arial" w:hAnsi="Arial" w:eastAsia="Arial" w:cs="Arial"/>
                      <w:sz w:val="20"/>
                    </w:rPr>
                    <w:t>2.9</w:t>
                  </w:r>
                </w:p>
              </w:tc>
              <w:tc>
                <w:tcPr>
                  <w:tcW w:w="1546" w:type="dxa"/>
                  <w:tcBorders>
                    <w:tl2br w:val="nil"/>
                    <w:tr2bl w:val="nil"/>
                  </w:tcBorders>
                  <w:shd w:val="clear" w:color="auto" w:fill="FFFFFF"/>
                  <w:vAlign w:val="center"/>
                </w:tcPr>
                <w:p w14:paraId="3FBBBA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50</w:t>
                  </w:r>
                </w:p>
              </w:tc>
              <w:tc>
                <w:tcPr>
                  <w:tcW w:w="1295" w:type="dxa"/>
                  <w:tcBorders>
                    <w:tl2br w:val="nil"/>
                    <w:tr2bl w:val="nil"/>
                  </w:tcBorders>
                  <w:shd w:val="clear" w:color="auto" w:fill="FFFFFF"/>
                  <w:vAlign w:val="center"/>
                </w:tcPr>
                <w:p w14:paraId="12B2DF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r>
                    <w:rPr>
                      <w:rFonts w:ascii="Arial" w:hAnsi="Arial" w:eastAsia="Arial" w:cs="Arial"/>
                      <w:sz w:val="20"/>
                    </w:rPr>
                    <w:t>达标</w:t>
                  </w:r>
                </w:p>
              </w:tc>
            </w:tr>
          </w:tbl>
          <w:p w14:paraId="6C99ED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szCs w:val="20"/>
              </w:rPr>
              <w:t>由上表可见，设备</w:t>
            </w:r>
            <w:r>
              <w:rPr>
                <w:rFonts w:hint="eastAsia"/>
                <w:color w:val="auto"/>
                <w:sz w:val="24"/>
                <w:szCs w:val="20"/>
                <w:lang w:eastAsia="zh-CN"/>
              </w:rPr>
              <w:t>运行</w:t>
            </w:r>
            <w:r>
              <w:rPr>
                <w:color w:val="auto"/>
                <w:sz w:val="24"/>
                <w:szCs w:val="20"/>
              </w:rPr>
              <w:t>噪声</w:t>
            </w:r>
            <w:r>
              <w:rPr>
                <w:rFonts w:hint="eastAsia"/>
                <w:color w:val="auto"/>
                <w:sz w:val="24"/>
                <w:szCs w:val="20"/>
                <w:lang w:eastAsia="zh-CN"/>
              </w:rPr>
              <w:t>经</w:t>
            </w:r>
            <w:r>
              <w:rPr>
                <w:color w:val="auto"/>
                <w:sz w:val="24"/>
                <w:szCs w:val="20"/>
              </w:rPr>
              <w:t>隔声、</w:t>
            </w:r>
            <w:r>
              <w:rPr>
                <w:rFonts w:hint="eastAsia"/>
                <w:color w:val="auto"/>
                <w:sz w:val="24"/>
                <w:szCs w:val="20"/>
                <w:lang w:val="en-US" w:eastAsia="zh-CN"/>
              </w:rPr>
              <w:t>减振</w:t>
            </w:r>
            <w:r>
              <w:rPr>
                <w:rFonts w:hint="eastAsia"/>
                <w:color w:val="auto"/>
                <w:sz w:val="24"/>
                <w:szCs w:val="20"/>
                <w:lang w:eastAsia="zh-CN"/>
              </w:rPr>
              <w:t>、</w:t>
            </w:r>
            <w:r>
              <w:rPr>
                <w:bCs/>
                <w:color w:val="auto"/>
                <w:sz w:val="24"/>
                <w:szCs w:val="20"/>
              </w:rPr>
              <w:t>厂区距离衰减</w:t>
            </w:r>
            <w:r>
              <w:rPr>
                <w:rFonts w:hint="eastAsia"/>
                <w:bCs/>
                <w:color w:val="auto"/>
                <w:sz w:val="24"/>
                <w:szCs w:val="20"/>
                <w:lang w:eastAsia="zh-CN"/>
              </w:rPr>
              <w:t>后</w:t>
            </w:r>
            <w:r>
              <w:rPr>
                <w:bCs/>
                <w:color w:val="auto"/>
                <w:sz w:val="24"/>
                <w:szCs w:val="20"/>
              </w:rPr>
              <w:t>，</w:t>
            </w:r>
            <w:r>
              <w:rPr>
                <w:color w:val="auto"/>
                <w:sz w:val="24"/>
                <w:szCs w:val="20"/>
              </w:rPr>
              <w:t>厂界</w:t>
            </w:r>
            <w:r>
              <w:rPr>
                <w:rFonts w:hint="eastAsia"/>
                <w:color w:val="auto"/>
                <w:sz w:val="24"/>
                <w:szCs w:val="20"/>
                <w:lang w:eastAsia="zh-CN"/>
              </w:rPr>
              <w:t>昼</w:t>
            </w:r>
            <w:r>
              <w:rPr>
                <w:rFonts w:hint="eastAsia"/>
                <w:color w:val="auto"/>
                <w:sz w:val="24"/>
                <w:szCs w:val="20"/>
                <w:lang w:val="en-US" w:eastAsia="zh-CN"/>
              </w:rPr>
              <w:t>夜间</w:t>
            </w:r>
            <w:r>
              <w:rPr>
                <w:color w:val="auto"/>
                <w:sz w:val="24"/>
                <w:szCs w:val="20"/>
              </w:rPr>
              <w:t>噪声满足《工业企业厂界环境噪声排放标准》（GB12348-2008）</w:t>
            </w:r>
            <w:r>
              <w:rPr>
                <w:rFonts w:hint="eastAsia"/>
                <w:color w:val="auto"/>
                <w:sz w:val="24"/>
                <w:szCs w:val="20"/>
                <w:lang w:val="en-US" w:eastAsia="zh-CN"/>
              </w:rPr>
              <w:t>2</w:t>
            </w:r>
            <w:r>
              <w:rPr>
                <w:color w:val="auto"/>
                <w:sz w:val="24"/>
                <w:szCs w:val="20"/>
              </w:rPr>
              <w:t>类标准要求</w:t>
            </w:r>
            <w:r>
              <w:rPr>
                <w:rFonts w:hint="eastAsia"/>
                <w:color w:val="auto"/>
                <w:sz w:val="24"/>
                <w:szCs w:val="20"/>
                <w:lang w:val="en-US" w:eastAsia="zh-CN"/>
              </w:rPr>
              <w:t>，</w:t>
            </w:r>
            <w:r>
              <w:rPr>
                <w:rFonts w:hint="default" w:ascii="Times New Roman" w:hAnsi="Times New Roman" w:eastAsia="宋体" w:cs="Times New Roman"/>
                <w:color w:val="auto"/>
                <w:sz w:val="24"/>
                <w:szCs w:val="20"/>
                <w:lang w:val="en-US" w:eastAsia="zh-CN"/>
              </w:rPr>
              <w:t>本项目噪声对周边敏感目标的影响较小。</w:t>
            </w:r>
          </w:p>
          <w:p w14:paraId="694085A2">
            <w:pPr>
              <w:autoSpaceDE w:val="0"/>
              <w:autoSpaceDN w:val="0"/>
              <w:adjustRightInd w:val="0"/>
              <w:snapToGrid w:val="0"/>
              <w:spacing w:line="360" w:lineRule="auto"/>
              <w:ind w:firstLine="480" w:firstLineChars="200"/>
              <w:rPr>
                <w:rFonts w:hint="eastAsia" w:eastAsia="宋体"/>
                <w:color w:val="auto"/>
                <w:sz w:val="24"/>
                <w:lang w:val="en-US" w:eastAsia="zh-CN"/>
              </w:rPr>
            </w:pPr>
            <w:r>
              <w:rPr>
                <w:rFonts w:hint="eastAsia" w:ascii="Times New Roman" w:hAnsi="Times New Roman" w:eastAsia="宋体" w:cs="Times New Roman"/>
                <w:color w:val="auto"/>
                <w:sz w:val="24"/>
                <w:lang w:val="en-US" w:eastAsia="zh-CN"/>
              </w:rPr>
              <w:t>3.</w:t>
            </w:r>
            <w:r>
              <w:rPr>
                <w:rFonts w:hint="eastAsia" w:cs="Times New Roman"/>
                <w:color w:val="auto"/>
                <w:sz w:val="24"/>
                <w:lang w:val="en-US" w:eastAsia="zh-CN"/>
              </w:rPr>
              <w:t>5</w:t>
            </w:r>
            <w:r>
              <w:rPr>
                <w:rFonts w:hint="eastAsia"/>
                <w:color w:val="auto"/>
                <w:sz w:val="24"/>
                <w:lang w:val="en-US" w:eastAsia="zh-CN"/>
              </w:rPr>
              <w:t>环境监测计划</w:t>
            </w:r>
          </w:p>
          <w:p w14:paraId="1E61AAF9">
            <w:pPr>
              <w:autoSpaceDE w:val="0"/>
              <w:autoSpaceDN w:val="0"/>
              <w:adjustRightInd w:val="0"/>
              <w:snapToGrid w:val="0"/>
              <w:spacing w:line="360" w:lineRule="auto"/>
              <w:ind w:firstLine="480" w:firstLineChars="200"/>
              <w:rPr>
                <w:rFonts w:hint="eastAsia"/>
                <w:color w:val="auto"/>
                <w:sz w:val="24"/>
              </w:rPr>
            </w:pPr>
            <w:r>
              <w:rPr>
                <w:rFonts w:hint="eastAsia"/>
                <w:color w:val="auto"/>
                <w:sz w:val="24"/>
              </w:rPr>
              <w:t>根据</w:t>
            </w:r>
            <w:r>
              <w:rPr>
                <w:rFonts w:hint="eastAsia"/>
                <w:color w:val="auto"/>
                <w:sz w:val="24"/>
                <w:lang w:val="en-US" w:eastAsia="zh-CN"/>
              </w:rPr>
              <w:t>《排污单位自行监测技术指南总则》（HJ819-2017）</w:t>
            </w:r>
            <w:r>
              <w:rPr>
                <w:rFonts w:hint="eastAsia"/>
                <w:color w:val="auto"/>
                <w:sz w:val="24"/>
              </w:rPr>
              <w:t>，本项目噪声监测计划见下表。</w:t>
            </w:r>
          </w:p>
          <w:p w14:paraId="1212711E">
            <w:pPr>
              <w:keepNext/>
              <w:keepLines/>
              <w:pageBreakBefore w:val="0"/>
              <w:widowControl w:val="0"/>
              <w:kinsoku/>
              <w:wordWrap/>
              <w:overflowPunct/>
              <w:topLinePunct w:val="0"/>
              <w:autoSpaceDE w:val="0"/>
              <w:autoSpaceDN w:val="0"/>
              <w:bidi w:val="0"/>
              <w:adjustRightInd/>
              <w:snapToGrid/>
              <w:spacing w:line="240" w:lineRule="auto"/>
              <w:ind w:firstLine="482" w:firstLineChars="200"/>
              <w:jc w:val="center"/>
              <w:textAlignment w:val="auto"/>
              <w:outlineLvl w:val="2"/>
              <w:rPr>
                <w:bCs/>
                <w:snapToGrid w:val="0"/>
                <w:color w:val="auto"/>
                <w:kern w:val="0"/>
                <w:sz w:val="24"/>
              </w:rPr>
            </w:pPr>
            <w:r>
              <w:rPr>
                <w:b/>
                <w:color w:val="auto"/>
                <w:kern w:val="0"/>
                <w:sz w:val="24"/>
              </w:rPr>
              <w:t>表</w:t>
            </w:r>
            <w:r>
              <w:rPr>
                <w:rFonts w:hint="eastAsia"/>
                <w:b/>
                <w:color w:val="auto"/>
                <w:kern w:val="0"/>
                <w:sz w:val="24"/>
              </w:rPr>
              <w:t>4-</w:t>
            </w:r>
            <w:r>
              <w:rPr>
                <w:rFonts w:hint="eastAsia"/>
                <w:b/>
                <w:color w:val="auto"/>
                <w:kern w:val="0"/>
                <w:sz w:val="24"/>
                <w:lang w:val="en-US" w:eastAsia="zh-CN"/>
              </w:rPr>
              <w:t xml:space="preserve">10 </w:t>
            </w:r>
            <w:r>
              <w:rPr>
                <w:b/>
                <w:color w:val="auto"/>
                <w:kern w:val="0"/>
                <w:sz w:val="24"/>
              </w:rPr>
              <w:t>项目噪声监测计划</w:t>
            </w:r>
          </w:p>
          <w:tbl>
            <w:tblPr>
              <w:tblStyle w:val="33"/>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01"/>
              <w:gridCol w:w="1040"/>
              <w:gridCol w:w="989"/>
              <w:gridCol w:w="2057"/>
              <w:gridCol w:w="1331"/>
              <w:gridCol w:w="2953"/>
            </w:tblGrid>
            <w:tr w14:paraId="67180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386" w:type="pct"/>
                  <w:noWrap w:val="0"/>
                  <w:vAlign w:val="center"/>
                </w:tcPr>
                <w:p w14:paraId="4C45BE1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color w:val="auto"/>
                      <w:sz w:val="22"/>
                      <w:szCs w:val="22"/>
                    </w:rPr>
                  </w:pPr>
                  <w:r>
                    <w:rPr>
                      <w:b/>
                      <w:bCs/>
                      <w:color w:val="auto"/>
                      <w:sz w:val="22"/>
                      <w:szCs w:val="22"/>
                    </w:rPr>
                    <w:t>类别</w:t>
                  </w:r>
                </w:p>
              </w:tc>
              <w:tc>
                <w:tcPr>
                  <w:tcW w:w="573" w:type="pct"/>
                  <w:noWrap w:val="0"/>
                  <w:vAlign w:val="center"/>
                </w:tcPr>
                <w:p w14:paraId="28B0528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color w:val="auto"/>
                      <w:sz w:val="22"/>
                      <w:szCs w:val="22"/>
                    </w:rPr>
                  </w:pPr>
                  <w:r>
                    <w:rPr>
                      <w:b/>
                      <w:bCs/>
                      <w:color w:val="auto"/>
                      <w:sz w:val="22"/>
                      <w:szCs w:val="22"/>
                    </w:rPr>
                    <w:t>监测</w:t>
                  </w:r>
                </w:p>
                <w:p w14:paraId="6D7CA3E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color w:val="auto"/>
                      <w:sz w:val="22"/>
                      <w:szCs w:val="22"/>
                    </w:rPr>
                  </w:pPr>
                  <w:r>
                    <w:rPr>
                      <w:b/>
                      <w:bCs/>
                      <w:color w:val="auto"/>
                      <w:sz w:val="22"/>
                      <w:szCs w:val="22"/>
                    </w:rPr>
                    <w:t>项目</w:t>
                  </w:r>
                </w:p>
              </w:tc>
              <w:tc>
                <w:tcPr>
                  <w:tcW w:w="545" w:type="pct"/>
                  <w:noWrap w:val="0"/>
                  <w:vAlign w:val="center"/>
                </w:tcPr>
                <w:p w14:paraId="1BF709B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color w:val="auto"/>
                      <w:sz w:val="22"/>
                      <w:szCs w:val="22"/>
                    </w:rPr>
                  </w:pPr>
                  <w:r>
                    <w:rPr>
                      <w:b/>
                      <w:bCs/>
                      <w:color w:val="auto"/>
                      <w:sz w:val="22"/>
                      <w:szCs w:val="22"/>
                    </w:rPr>
                    <w:t>监测因子</w:t>
                  </w:r>
                </w:p>
              </w:tc>
              <w:tc>
                <w:tcPr>
                  <w:tcW w:w="1133" w:type="pct"/>
                  <w:noWrap w:val="0"/>
                  <w:vAlign w:val="center"/>
                </w:tcPr>
                <w:p w14:paraId="79104F8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color w:val="auto"/>
                      <w:sz w:val="22"/>
                      <w:szCs w:val="22"/>
                    </w:rPr>
                  </w:pPr>
                  <w:r>
                    <w:rPr>
                      <w:b/>
                      <w:bCs/>
                      <w:color w:val="auto"/>
                      <w:sz w:val="22"/>
                      <w:szCs w:val="22"/>
                    </w:rPr>
                    <w:t>监测点位置</w:t>
                  </w:r>
                </w:p>
              </w:tc>
              <w:tc>
                <w:tcPr>
                  <w:tcW w:w="733" w:type="pct"/>
                  <w:noWrap w:val="0"/>
                  <w:vAlign w:val="center"/>
                </w:tcPr>
                <w:p w14:paraId="03BBB7B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color w:val="auto"/>
                      <w:sz w:val="22"/>
                      <w:szCs w:val="22"/>
                    </w:rPr>
                  </w:pPr>
                  <w:r>
                    <w:rPr>
                      <w:b/>
                      <w:bCs/>
                      <w:color w:val="auto"/>
                      <w:sz w:val="22"/>
                      <w:szCs w:val="22"/>
                    </w:rPr>
                    <w:t>最低监测频率</w:t>
                  </w:r>
                </w:p>
              </w:tc>
              <w:tc>
                <w:tcPr>
                  <w:tcW w:w="1627" w:type="pct"/>
                  <w:noWrap w:val="0"/>
                  <w:vAlign w:val="center"/>
                </w:tcPr>
                <w:p w14:paraId="75BBAF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bCs/>
                      <w:color w:val="auto"/>
                      <w:sz w:val="22"/>
                      <w:szCs w:val="22"/>
                    </w:rPr>
                  </w:pPr>
                  <w:r>
                    <w:rPr>
                      <w:b/>
                      <w:bCs/>
                      <w:color w:val="auto"/>
                      <w:sz w:val="22"/>
                      <w:szCs w:val="22"/>
                    </w:rPr>
                    <w:t>执行标准</w:t>
                  </w:r>
                </w:p>
              </w:tc>
            </w:tr>
            <w:tr w14:paraId="2C1FF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386" w:type="pct"/>
                  <w:noWrap w:val="0"/>
                  <w:vAlign w:val="center"/>
                </w:tcPr>
                <w:p w14:paraId="43CCA9A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噪声</w:t>
                  </w:r>
                </w:p>
              </w:tc>
              <w:tc>
                <w:tcPr>
                  <w:tcW w:w="573" w:type="pct"/>
                  <w:noWrap w:val="0"/>
                  <w:vAlign w:val="center"/>
                </w:tcPr>
                <w:p w14:paraId="3B25EA6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2"/>
                      <w:szCs w:val="22"/>
                      <w:lang w:eastAsia="zh-CN"/>
                    </w:rPr>
                  </w:pPr>
                  <w:r>
                    <w:rPr>
                      <w:color w:val="auto"/>
                      <w:sz w:val="22"/>
                      <w:szCs w:val="22"/>
                    </w:rPr>
                    <w:t>厂界</w:t>
                  </w:r>
                  <w:r>
                    <w:rPr>
                      <w:rFonts w:hint="eastAsia"/>
                      <w:color w:val="auto"/>
                      <w:sz w:val="22"/>
                      <w:szCs w:val="22"/>
                      <w:lang w:eastAsia="zh-CN"/>
                    </w:rPr>
                    <w:t>噪声</w:t>
                  </w:r>
                </w:p>
              </w:tc>
              <w:tc>
                <w:tcPr>
                  <w:tcW w:w="545" w:type="pct"/>
                  <w:noWrap w:val="0"/>
                  <w:vAlign w:val="center"/>
                </w:tcPr>
                <w:p w14:paraId="6F629A2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L</w:t>
                  </w:r>
                  <w:r>
                    <w:rPr>
                      <w:color w:val="auto"/>
                      <w:sz w:val="22"/>
                      <w:szCs w:val="22"/>
                      <w:vertAlign w:val="subscript"/>
                    </w:rPr>
                    <w:t>Aeq</w:t>
                  </w:r>
                </w:p>
              </w:tc>
              <w:tc>
                <w:tcPr>
                  <w:tcW w:w="1133" w:type="pct"/>
                  <w:noWrap w:val="0"/>
                  <w:vAlign w:val="center"/>
                </w:tcPr>
                <w:p w14:paraId="3818EE2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2"/>
                      <w:szCs w:val="22"/>
                      <w:lang w:val="en-US"/>
                    </w:rPr>
                  </w:pPr>
                  <w:r>
                    <w:rPr>
                      <w:rFonts w:hint="eastAsia"/>
                      <w:color w:val="auto"/>
                      <w:sz w:val="22"/>
                      <w:szCs w:val="22"/>
                      <w:lang w:val="en-US" w:eastAsia="zh-CN"/>
                    </w:rPr>
                    <w:t>项目所在厂区外1m处</w:t>
                  </w:r>
                </w:p>
              </w:tc>
              <w:tc>
                <w:tcPr>
                  <w:tcW w:w="733" w:type="pct"/>
                  <w:noWrap w:val="0"/>
                  <w:vAlign w:val="center"/>
                </w:tcPr>
                <w:p w14:paraId="782A5B1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每季度</w:t>
                  </w:r>
                  <w:r>
                    <w:rPr>
                      <w:rFonts w:hint="eastAsia"/>
                      <w:color w:val="auto"/>
                      <w:sz w:val="22"/>
                      <w:szCs w:val="22"/>
                      <w:lang w:eastAsia="zh-CN"/>
                    </w:rPr>
                    <w:t>昼</w:t>
                  </w:r>
                  <w:r>
                    <w:rPr>
                      <w:rFonts w:hint="eastAsia"/>
                      <w:color w:val="auto"/>
                      <w:sz w:val="22"/>
                      <w:szCs w:val="22"/>
                      <w:lang w:val="en-US" w:eastAsia="zh-CN"/>
                    </w:rPr>
                    <w:t>/夜</w:t>
                  </w:r>
                  <w:r>
                    <w:rPr>
                      <w:rFonts w:hint="eastAsia"/>
                      <w:color w:val="auto"/>
                      <w:sz w:val="22"/>
                      <w:szCs w:val="22"/>
                      <w:lang w:eastAsia="zh-CN"/>
                    </w:rPr>
                    <w:t>间</w:t>
                  </w:r>
                  <w:r>
                    <w:rPr>
                      <w:color w:val="auto"/>
                      <w:sz w:val="22"/>
                      <w:szCs w:val="22"/>
                    </w:rPr>
                    <w:t>一次</w:t>
                  </w:r>
                </w:p>
              </w:tc>
              <w:tc>
                <w:tcPr>
                  <w:tcW w:w="1627" w:type="pct"/>
                  <w:noWrap w:val="0"/>
                  <w:vAlign w:val="center"/>
                </w:tcPr>
                <w:p w14:paraId="4BE5FE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《工业企业厂界环境噪声排放标准》（GB12348-2008）</w:t>
                  </w:r>
                  <w:r>
                    <w:rPr>
                      <w:rFonts w:hint="eastAsia"/>
                      <w:color w:val="auto"/>
                      <w:sz w:val="22"/>
                      <w:szCs w:val="22"/>
                      <w:lang w:val="en-US" w:eastAsia="zh-CN"/>
                    </w:rPr>
                    <w:t>2</w:t>
                  </w:r>
                  <w:r>
                    <w:rPr>
                      <w:color w:val="auto"/>
                      <w:sz w:val="22"/>
                      <w:szCs w:val="22"/>
                    </w:rPr>
                    <w:t>类标准</w:t>
                  </w:r>
                </w:p>
              </w:tc>
            </w:tr>
          </w:tbl>
          <w:p w14:paraId="58BF74B7">
            <w:pPr>
              <w:numPr>
                <w:ilvl w:val="0"/>
                <w:numId w:val="0"/>
              </w:numPr>
              <w:adjustRightInd w:val="0"/>
              <w:snapToGrid w:val="0"/>
              <w:spacing w:line="360" w:lineRule="auto"/>
              <w:ind w:firstLine="442" w:firstLineChars="200"/>
              <w:rPr>
                <w:rFonts w:hint="eastAsia"/>
                <w:b/>
                <w:color w:val="auto"/>
                <w:sz w:val="24"/>
              </w:rPr>
            </w:pPr>
            <w:r>
              <w:rPr>
                <w:rFonts w:hint="eastAsia"/>
                <w:b/>
                <w:color w:val="auto"/>
                <w:spacing w:val="-10"/>
                <w:sz w:val="24"/>
                <w:lang w:val="en-US" w:eastAsia="zh-CN"/>
              </w:rPr>
              <w:t>4</w:t>
            </w:r>
            <w:r>
              <w:rPr>
                <w:rFonts w:hint="eastAsia"/>
                <w:b/>
                <w:color w:val="auto"/>
                <w:spacing w:val="-10"/>
                <w:sz w:val="24"/>
                <w:lang w:eastAsia="zh-CN"/>
              </w:rPr>
              <w:t>、</w:t>
            </w:r>
            <w:r>
              <w:rPr>
                <w:rFonts w:hint="eastAsia"/>
                <w:b/>
                <w:color w:val="auto"/>
                <w:spacing w:val="-10"/>
                <w:sz w:val="24"/>
              </w:rPr>
              <w:t>固体废物</w:t>
            </w:r>
          </w:p>
          <w:p w14:paraId="27C760C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w:t>
            </w:r>
            <w:r>
              <w:rPr>
                <w:rFonts w:hint="eastAsia" w:cs="Times New Roman"/>
                <w:color w:val="auto"/>
                <w:sz w:val="24"/>
                <w:lang w:val="en-US" w:eastAsia="zh-CN"/>
              </w:rPr>
              <w:t>产生的</w:t>
            </w:r>
            <w:r>
              <w:rPr>
                <w:rFonts w:hint="default" w:ascii="Times New Roman" w:hAnsi="Times New Roman" w:eastAsia="宋体" w:cs="Times New Roman"/>
                <w:color w:val="auto"/>
                <w:sz w:val="24"/>
                <w:lang w:val="en-US" w:eastAsia="zh-CN"/>
              </w:rPr>
              <w:t>固废主要是</w:t>
            </w:r>
            <w:r>
              <w:rPr>
                <w:rFonts w:hint="eastAsia" w:cs="Times New Roman"/>
                <w:color w:val="auto"/>
                <w:sz w:val="24"/>
                <w:lang w:val="en-US" w:eastAsia="zh-CN"/>
              </w:rPr>
              <w:t>废原料包装袋、沉淀池沉渣、收集的粉尘</w:t>
            </w:r>
            <w:r>
              <w:rPr>
                <w:rFonts w:hint="default" w:ascii="Times New Roman" w:hAnsi="Times New Roman" w:eastAsia="宋体" w:cs="Times New Roman"/>
                <w:color w:val="auto"/>
                <w:sz w:val="24"/>
                <w:lang w:val="en-US" w:eastAsia="zh-CN"/>
              </w:rPr>
              <w:t>、</w:t>
            </w:r>
            <w:r>
              <w:rPr>
                <w:rFonts w:hint="eastAsia" w:cs="Times New Roman"/>
                <w:color w:val="auto"/>
                <w:sz w:val="24"/>
                <w:lang w:val="en-US" w:eastAsia="zh-CN"/>
              </w:rPr>
              <w:t>废布袋、</w:t>
            </w:r>
            <w:r>
              <w:rPr>
                <w:rFonts w:hint="default" w:ascii="Times New Roman" w:hAnsi="Times New Roman" w:eastAsia="宋体" w:cs="Times New Roman"/>
                <w:color w:val="auto"/>
                <w:sz w:val="24"/>
                <w:lang w:val="en-US" w:eastAsia="zh-CN"/>
              </w:rPr>
              <w:t>员工生活垃圾。</w:t>
            </w:r>
          </w:p>
          <w:p w14:paraId="10B93E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rPr>
              <w:t>①</w:t>
            </w:r>
            <w:r>
              <w:rPr>
                <w:rFonts w:hint="default" w:ascii="Times New Roman" w:hAnsi="Times New Roman" w:eastAsia="宋体" w:cs="Times New Roman"/>
                <w:color w:val="auto"/>
                <w:sz w:val="24"/>
                <w:szCs w:val="22"/>
                <w:lang w:val="en-US" w:eastAsia="zh-CN"/>
              </w:rPr>
              <w:t>废</w:t>
            </w:r>
            <w:r>
              <w:rPr>
                <w:rFonts w:hint="eastAsia" w:cs="Times New Roman"/>
                <w:color w:val="auto"/>
                <w:sz w:val="24"/>
                <w:szCs w:val="22"/>
                <w:lang w:val="en-US" w:eastAsia="zh-CN"/>
              </w:rPr>
              <w:t>原料</w:t>
            </w:r>
            <w:r>
              <w:rPr>
                <w:rFonts w:hint="default" w:ascii="Times New Roman" w:hAnsi="Times New Roman" w:eastAsia="宋体" w:cs="Times New Roman"/>
                <w:color w:val="auto"/>
                <w:sz w:val="24"/>
                <w:szCs w:val="22"/>
                <w:lang w:val="en-US" w:eastAsia="zh-CN"/>
              </w:rPr>
              <w:t>包装袋</w:t>
            </w:r>
          </w:p>
          <w:p w14:paraId="456168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本项目</w:t>
            </w:r>
            <w:r>
              <w:rPr>
                <w:rFonts w:hint="eastAsia" w:cs="Times New Roman"/>
                <w:color w:val="auto"/>
                <w:sz w:val="24"/>
                <w:szCs w:val="22"/>
                <w:lang w:val="en-US" w:eastAsia="zh-CN"/>
              </w:rPr>
              <w:t>原料均为</w:t>
            </w:r>
            <w:r>
              <w:rPr>
                <w:rFonts w:hint="default" w:ascii="Times New Roman" w:hAnsi="Times New Roman" w:eastAsia="宋体" w:cs="Times New Roman"/>
                <w:color w:val="auto"/>
                <w:sz w:val="24"/>
                <w:szCs w:val="22"/>
              </w:rPr>
              <w:t>袋装，使用过程会产生废包装袋，根据企业提供资料，产生量约为</w:t>
            </w:r>
            <w:r>
              <w:rPr>
                <w:rFonts w:hint="eastAsia" w:cs="Times New Roman"/>
                <w:color w:val="auto"/>
                <w:sz w:val="24"/>
                <w:szCs w:val="22"/>
                <w:lang w:val="en-US" w:eastAsia="zh-CN"/>
              </w:rPr>
              <w:t>0.5</w:t>
            </w:r>
            <w:r>
              <w:rPr>
                <w:rFonts w:hint="default" w:ascii="Times New Roman" w:hAnsi="Times New Roman" w:eastAsia="宋体" w:cs="Times New Roman"/>
                <w:color w:val="auto"/>
                <w:sz w:val="24"/>
                <w:szCs w:val="22"/>
              </w:rPr>
              <w:t>t/a，</w:t>
            </w:r>
            <w:r>
              <w:rPr>
                <w:rFonts w:hint="eastAsia" w:cs="Times New Roman"/>
                <w:color w:val="auto"/>
                <w:sz w:val="24"/>
                <w:szCs w:val="22"/>
                <w:lang w:eastAsia="zh-CN"/>
              </w:rPr>
              <w:t>属于</w:t>
            </w:r>
            <w:r>
              <w:rPr>
                <w:rFonts w:hint="default" w:ascii="Times New Roman" w:hAnsi="Times New Roman" w:eastAsia="宋体" w:cs="Times New Roman"/>
                <w:color w:val="auto"/>
                <w:sz w:val="24"/>
                <w:szCs w:val="22"/>
              </w:rPr>
              <w:t>一般</w:t>
            </w:r>
            <w:r>
              <w:rPr>
                <w:rFonts w:hint="eastAsia" w:cs="Times New Roman"/>
                <w:color w:val="auto"/>
                <w:sz w:val="24"/>
                <w:szCs w:val="22"/>
                <w:lang w:eastAsia="zh-CN"/>
              </w:rPr>
              <w:t>固体废物</w:t>
            </w:r>
            <w:r>
              <w:rPr>
                <w:rFonts w:hint="default" w:ascii="Times New Roman" w:hAnsi="Times New Roman" w:eastAsia="宋体" w:cs="Times New Roman"/>
                <w:color w:val="auto"/>
                <w:sz w:val="24"/>
                <w:szCs w:val="22"/>
                <w:lang w:eastAsia="zh-CN"/>
              </w:rPr>
              <w:t>。</w:t>
            </w:r>
            <w:r>
              <w:rPr>
                <w:rFonts w:hint="default" w:ascii="Times New Roman" w:hAnsi="Times New Roman" w:eastAsia="宋体" w:cs="Times New Roman"/>
                <w:color w:val="auto"/>
                <w:sz w:val="24"/>
                <w:szCs w:val="22"/>
              </w:rPr>
              <w:t>根据《固体废物分类与代码目录》</w:t>
            </w:r>
            <w:r>
              <w:rPr>
                <w:rFonts w:hint="eastAsia" w:ascii="Times New Roman" w:hAnsi="Times New Roman" w:eastAsia="宋体" w:cs="Times New Roman"/>
                <w:color w:val="auto"/>
                <w:sz w:val="24"/>
                <w:szCs w:val="24"/>
                <w:lang w:val="en-US" w:eastAsia="zh-CN"/>
              </w:rPr>
              <w:t>（2024）</w:t>
            </w:r>
            <w:r>
              <w:rPr>
                <w:rFonts w:hint="default" w:ascii="Times New Roman" w:hAnsi="Times New Roman" w:eastAsia="宋体" w:cs="Times New Roman"/>
                <w:color w:val="auto"/>
                <w:sz w:val="24"/>
                <w:szCs w:val="22"/>
              </w:rPr>
              <w:t>，固废编码为900-00</w:t>
            </w:r>
            <w:r>
              <w:rPr>
                <w:rFonts w:hint="eastAsia" w:cs="Times New Roman"/>
                <w:color w:val="auto"/>
                <w:sz w:val="24"/>
                <w:szCs w:val="22"/>
                <w:lang w:val="en-US" w:eastAsia="zh-CN"/>
              </w:rPr>
              <w:t>3</w:t>
            </w:r>
            <w:r>
              <w:rPr>
                <w:rFonts w:hint="default" w:ascii="Times New Roman" w:hAnsi="Times New Roman" w:eastAsia="宋体" w:cs="Times New Roman"/>
                <w:color w:val="auto"/>
                <w:sz w:val="24"/>
                <w:szCs w:val="22"/>
              </w:rPr>
              <w:t>-S17，</w:t>
            </w:r>
            <w:r>
              <w:rPr>
                <w:rFonts w:hint="default" w:ascii="Times New Roman" w:hAnsi="Times New Roman" w:eastAsia="宋体" w:cs="Times New Roman"/>
                <w:color w:val="auto"/>
                <w:sz w:val="24"/>
                <w:szCs w:val="22"/>
                <w:lang w:val="en-US" w:eastAsia="zh-CN"/>
              </w:rPr>
              <w:t>厂区集中</w:t>
            </w:r>
            <w:r>
              <w:rPr>
                <w:rFonts w:hint="default" w:ascii="Times New Roman" w:hAnsi="Times New Roman" w:eastAsia="宋体" w:cs="Times New Roman"/>
                <w:color w:val="auto"/>
                <w:sz w:val="24"/>
                <w:szCs w:val="22"/>
              </w:rPr>
              <w:t>收集后</w:t>
            </w:r>
            <w:r>
              <w:rPr>
                <w:rFonts w:hint="default" w:ascii="Times New Roman" w:hAnsi="Times New Roman" w:eastAsia="宋体" w:cs="Times New Roman"/>
                <w:color w:val="auto"/>
                <w:sz w:val="24"/>
                <w:szCs w:val="22"/>
                <w:lang w:eastAsia="zh-CN"/>
              </w:rPr>
              <w:t>外售物资回收部门</w:t>
            </w:r>
            <w:r>
              <w:rPr>
                <w:rFonts w:hint="default" w:ascii="Times New Roman" w:hAnsi="Times New Roman" w:eastAsia="宋体" w:cs="Times New Roman"/>
                <w:color w:val="auto"/>
                <w:sz w:val="24"/>
                <w:szCs w:val="22"/>
              </w:rPr>
              <w:t>。</w:t>
            </w:r>
          </w:p>
          <w:p w14:paraId="0B997B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rPr>
              <w:t>②</w:t>
            </w:r>
            <w:r>
              <w:rPr>
                <w:rFonts w:hint="eastAsia" w:cs="Times New Roman"/>
                <w:color w:val="auto"/>
                <w:sz w:val="24"/>
                <w:szCs w:val="22"/>
                <w:lang w:val="en-US" w:eastAsia="zh-CN"/>
              </w:rPr>
              <w:t>沉淀池沉渣</w:t>
            </w:r>
          </w:p>
          <w:p w14:paraId="15E76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2"/>
                <w:lang w:eastAsia="zh-CN"/>
              </w:rPr>
            </w:pPr>
            <w:r>
              <w:rPr>
                <w:rFonts w:hint="eastAsia" w:ascii="宋体" w:hAnsi="宋体" w:eastAsia="宋体" w:cs="宋体"/>
                <w:color w:val="000000"/>
                <w:kern w:val="0"/>
                <w:sz w:val="24"/>
                <w:szCs w:val="24"/>
                <w:lang w:val="en-US" w:eastAsia="zh-CN" w:bidi="ar"/>
              </w:rPr>
              <w:t>本项目洗车用水循环使用，定期清理沉淀池沉渣，根据建设单位提供资料，项目沉淀池沉渣产生量约5.0</w:t>
            </w:r>
            <w:r>
              <w:rPr>
                <w:rFonts w:hint="default" w:ascii="Times New Roman" w:hAnsi="Times New Roman" w:eastAsia="宋体" w:cs="Times New Roman"/>
                <w:color w:val="000000"/>
                <w:kern w:val="0"/>
                <w:sz w:val="24"/>
                <w:szCs w:val="24"/>
                <w:lang w:val="en-US" w:eastAsia="zh-CN" w:bidi="ar"/>
              </w:rPr>
              <w:t>t/a</w:t>
            </w:r>
            <w:r>
              <w:rPr>
                <w:rFonts w:hint="eastAsia" w:ascii="Times New Roman" w:hAnsi="Times New Roman" w:eastAsia="宋体" w:cs="Times New Roman"/>
                <w:color w:val="000000"/>
                <w:kern w:val="0"/>
                <w:sz w:val="24"/>
                <w:szCs w:val="24"/>
                <w:lang w:val="en-US" w:eastAsia="zh-CN" w:bidi="ar"/>
              </w:rPr>
              <w:t>，属于一般固体废物</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auto"/>
                <w:sz w:val="24"/>
                <w:szCs w:val="22"/>
              </w:rPr>
              <w:t>根据《固体废物分类与代码目录》</w:t>
            </w:r>
            <w:r>
              <w:rPr>
                <w:rFonts w:hint="eastAsia" w:ascii="Times New Roman" w:hAnsi="Times New Roman" w:eastAsia="宋体" w:cs="Times New Roman"/>
                <w:color w:val="auto"/>
                <w:sz w:val="24"/>
                <w:szCs w:val="24"/>
                <w:lang w:val="en-US" w:eastAsia="zh-CN"/>
              </w:rPr>
              <w:t>（2024）</w:t>
            </w:r>
            <w:r>
              <w:rPr>
                <w:rFonts w:hint="default" w:ascii="Times New Roman" w:hAnsi="Times New Roman" w:eastAsia="宋体" w:cs="Times New Roman"/>
                <w:color w:val="auto"/>
                <w:sz w:val="24"/>
                <w:szCs w:val="22"/>
              </w:rPr>
              <w:t>，固废编码为900-099-S07</w:t>
            </w:r>
            <w:r>
              <w:rPr>
                <w:rFonts w:hint="eastAsia" w:ascii="宋体" w:hAnsi="宋体" w:eastAsia="宋体" w:cs="宋体"/>
                <w:color w:val="000000"/>
                <w:kern w:val="0"/>
                <w:sz w:val="24"/>
                <w:szCs w:val="24"/>
                <w:lang w:val="en-US" w:eastAsia="zh-CN" w:bidi="ar"/>
              </w:rPr>
              <w:t>，收集后外售综合利用</w:t>
            </w:r>
            <w:r>
              <w:rPr>
                <w:rFonts w:hint="eastAsia" w:ascii="Times New Roman" w:hAnsi="Times New Roman" w:eastAsia="宋体" w:cs="Times New Roman"/>
                <w:color w:val="auto"/>
                <w:sz w:val="24"/>
                <w:szCs w:val="22"/>
                <w:lang w:eastAsia="zh-CN"/>
              </w:rPr>
              <w:t>。</w:t>
            </w:r>
          </w:p>
          <w:p w14:paraId="2FB8434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eastAsia="宋体"/>
                <w:color w:val="auto"/>
                <w:sz w:val="24"/>
                <w:szCs w:val="22"/>
                <w:lang w:eastAsia="zh-CN"/>
              </w:rPr>
            </w:pPr>
            <w:r>
              <w:rPr>
                <w:rFonts w:hint="eastAsia" w:ascii="宋体" w:hAnsi="宋体" w:eastAsia="宋体" w:cs="宋体"/>
                <w:bCs/>
                <w:color w:val="auto"/>
                <w:sz w:val="24"/>
              </w:rPr>
              <w:t>③</w:t>
            </w:r>
            <w:r>
              <w:rPr>
                <w:rFonts w:hint="eastAsia" w:ascii="宋体" w:hAnsi="宋体" w:eastAsia="宋体" w:cs="宋体"/>
                <w:bCs/>
                <w:color w:val="auto"/>
                <w:sz w:val="24"/>
                <w:lang w:val="en-US" w:eastAsia="zh-CN"/>
              </w:rPr>
              <w:t>收集</w:t>
            </w:r>
            <w:r>
              <w:rPr>
                <w:rFonts w:hint="eastAsia" w:ascii="宋体" w:hAnsi="宋体" w:cs="宋体"/>
                <w:bCs/>
                <w:color w:val="auto"/>
                <w:sz w:val="24"/>
                <w:lang w:val="en-US" w:eastAsia="zh-CN"/>
              </w:rPr>
              <w:t>的</w:t>
            </w:r>
            <w:r>
              <w:rPr>
                <w:rFonts w:hint="eastAsia" w:ascii="宋体" w:hAnsi="宋体" w:eastAsia="宋体" w:cs="宋体"/>
                <w:bCs/>
                <w:color w:val="auto"/>
                <w:sz w:val="24"/>
                <w:lang w:val="en-US" w:eastAsia="zh-CN"/>
              </w:rPr>
              <w:t>粉尘</w:t>
            </w:r>
          </w:p>
          <w:p w14:paraId="75CCF18C">
            <w:pPr>
              <w:adjustRightIn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rPr>
              <w:t>根据物料核算，本项目</w:t>
            </w:r>
            <w:r>
              <w:rPr>
                <w:rFonts w:hint="default" w:ascii="Times New Roman" w:hAnsi="Times New Roman" w:eastAsia="宋体" w:cs="Times New Roman"/>
                <w:color w:val="auto"/>
                <w:sz w:val="24"/>
                <w:szCs w:val="24"/>
                <w:lang w:eastAsia="zh-CN"/>
              </w:rPr>
              <w:t>混合搅拌、包装</w:t>
            </w:r>
            <w:r>
              <w:rPr>
                <w:rFonts w:hint="eastAsia" w:cs="Times New Roman"/>
                <w:color w:val="auto"/>
                <w:sz w:val="24"/>
                <w:szCs w:val="24"/>
                <w:lang w:val="en-US" w:eastAsia="zh-CN"/>
              </w:rPr>
              <w:t>等</w:t>
            </w:r>
            <w:r>
              <w:rPr>
                <w:rFonts w:hint="default" w:ascii="Times New Roman" w:hAnsi="Times New Roman" w:eastAsia="宋体" w:cs="Times New Roman"/>
                <w:color w:val="auto"/>
                <w:sz w:val="24"/>
                <w:szCs w:val="24"/>
              </w:rPr>
              <w:t>工序除尘器收尘总量</w:t>
            </w:r>
            <w:r>
              <w:rPr>
                <w:rFonts w:hint="default" w:ascii="Times New Roman" w:hAnsi="Times New Roman" w:eastAsia="宋体" w:cs="Times New Roman"/>
                <w:color w:val="0000FF"/>
                <w:sz w:val="24"/>
                <w:szCs w:val="24"/>
              </w:rPr>
              <w:t>约</w:t>
            </w:r>
            <w:r>
              <w:rPr>
                <w:rFonts w:hint="eastAsia" w:cs="Times New Roman"/>
                <w:color w:val="0000FF"/>
                <w:sz w:val="24"/>
                <w:szCs w:val="24"/>
                <w:lang w:val="en-US" w:eastAsia="zh-CN"/>
              </w:rPr>
              <w:t>57.915</w:t>
            </w:r>
            <w:r>
              <w:rPr>
                <w:rFonts w:hint="default" w:ascii="Times New Roman" w:hAnsi="Times New Roman" w:eastAsia="宋体" w:cs="Times New Roman"/>
                <w:color w:val="0000FF"/>
                <w:sz w:val="24"/>
                <w:szCs w:val="24"/>
                <w:lang w:val="en-US" w:eastAsia="zh-CN"/>
              </w:rPr>
              <w:t>t</w:t>
            </w:r>
            <w:r>
              <w:rPr>
                <w:rFonts w:hint="default" w:ascii="Times New Roman" w:hAnsi="Times New Roman" w:eastAsia="宋体" w:cs="Times New Roman"/>
                <w:color w:val="0000FF"/>
                <w:sz w:val="24"/>
                <w:szCs w:val="24"/>
              </w:rPr>
              <w:t>/a</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车间地面收尘量为</w:t>
            </w:r>
            <w:r>
              <w:rPr>
                <w:rFonts w:hint="eastAsia" w:cs="Times New Roman"/>
                <w:color w:val="auto"/>
                <w:sz w:val="24"/>
                <w:szCs w:val="24"/>
                <w:lang w:val="en-US" w:eastAsia="zh-CN"/>
              </w:rPr>
              <w:t>5.85</w:t>
            </w:r>
            <w:r>
              <w:rPr>
                <w:rFonts w:hint="default" w:ascii="Times New Roman" w:hAnsi="Times New Roman" w:eastAsia="宋体" w:cs="Times New Roman"/>
                <w:color w:val="auto"/>
                <w:sz w:val="24"/>
                <w:szCs w:val="24"/>
                <w:lang w:val="en-US" w:eastAsia="zh-CN"/>
              </w:rPr>
              <w:t>t/a，则粉尘收集总量为</w:t>
            </w:r>
            <w:r>
              <w:rPr>
                <w:rFonts w:hint="eastAsia" w:cs="Times New Roman"/>
                <w:color w:val="auto"/>
                <w:sz w:val="24"/>
                <w:szCs w:val="24"/>
                <w:lang w:val="en-US" w:eastAsia="zh-CN"/>
              </w:rPr>
              <w:t>63.765</w:t>
            </w:r>
            <w:r>
              <w:rPr>
                <w:rFonts w:hint="default" w:ascii="Times New Roman" w:hAnsi="Times New Roman" w:eastAsia="宋体" w:cs="Times New Roman"/>
                <w:color w:val="auto"/>
                <w:sz w:val="24"/>
                <w:szCs w:val="24"/>
                <w:lang w:val="en-US" w:eastAsia="zh-CN"/>
              </w:rPr>
              <w:t>t/a。</w:t>
            </w:r>
            <w:r>
              <w:rPr>
                <w:rFonts w:hint="default" w:ascii="Times New Roman" w:hAnsi="Times New Roman" w:eastAsia="宋体" w:cs="Times New Roman"/>
                <w:color w:val="auto"/>
                <w:sz w:val="24"/>
                <w:szCs w:val="22"/>
                <w:lang w:val="en-US" w:eastAsia="zh-CN"/>
              </w:rPr>
              <w:t>根据《固体废物分类与代码目录》（2024），</w:t>
            </w:r>
            <w:r>
              <w:rPr>
                <w:rFonts w:hint="default" w:ascii="Times New Roman" w:hAnsi="Times New Roman" w:eastAsia="宋体" w:cs="Times New Roman"/>
                <w:color w:val="auto"/>
                <w:sz w:val="24"/>
                <w:lang w:val="en-US" w:eastAsia="zh-CN"/>
              </w:rPr>
              <w:t>固废编码为900-099-S59，统一收集后</w:t>
            </w:r>
            <w:r>
              <w:rPr>
                <w:rFonts w:hint="eastAsia" w:ascii="Times New Roman" w:hAnsi="Times New Roman" w:eastAsia="宋体" w:cs="Times New Roman"/>
                <w:color w:val="auto"/>
                <w:sz w:val="24"/>
                <w:lang w:val="en-US" w:eastAsia="zh-CN"/>
              </w:rPr>
              <w:t>作为原料回用</w:t>
            </w:r>
            <w:r>
              <w:rPr>
                <w:rFonts w:hint="default" w:ascii="Times New Roman" w:hAnsi="Times New Roman" w:eastAsia="宋体" w:cs="Times New Roman"/>
                <w:color w:val="auto"/>
                <w:sz w:val="24"/>
                <w:lang w:val="en-US" w:eastAsia="zh-CN"/>
              </w:rPr>
              <w:t>。</w:t>
            </w:r>
          </w:p>
          <w:p w14:paraId="0528284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bCs/>
                <w:color w:val="auto"/>
                <w:sz w:val="24"/>
                <w:lang w:eastAsia="zh-CN"/>
              </w:rPr>
            </w:pPr>
            <w:r>
              <w:rPr>
                <w:rFonts w:hint="eastAsia" w:ascii="宋体" w:hAnsi="宋体" w:eastAsia="宋体" w:cs="宋体"/>
                <w:bCs/>
                <w:color w:val="auto"/>
                <w:sz w:val="24"/>
                <w:lang w:eastAsia="zh-CN"/>
              </w:rPr>
              <w:t>④</w:t>
            </w:r>
            <w:r>
              <w:rPr>
                <w:rFonts w:hint="eastAsia" w:ascii="宋体" w:hAnsi="宋体" w:cs="宋体"/>
                <w:bCs/>
                <w:color w:val="auto"/>
                <w:sz w:val="24"/>
                <w:lang w:eastAsia="zh-CN"/>
              </w:rPr>
              <w:t>废布袋</w:t>
            </w:r>
          </w:p>
          <w:p w14:paraId="492DFBB5">
            <w:pPr>
              <w:pStyle w:val="2"/>
              <w:spacing w:after="0" w:line="360" w:lineRule="auto"/>
              <w:ind w:left="0" w:leftChars="0" w:firstLine="480" w:firstLineChars="200"/>
              <w:rPr>
                <w:rFonts w:hint="eastAsia"/>
                <w:color w:val="auto"/>
                <w:lang w:val="en-US" w:eastAsia="zh-CN"/>
              </w:rPr>
            </w:pPr>
            <w:r>
              <w:rPr>
                <w:rFonts w:hint="eastAsia"/>
                <w:color w:val="auto"/>
                <w:lang w:val="en-US" w:eastAsia="zh-CN"/>
              </w:rPr>
              <w:t>项目脉冲布袋除尘器使用布袋收集粉尘，长时间使用或布袋发生破损时需要及时更换，以保证除尘效率。废布袋产生量约0.5t/a，</w:t>
            </w:r>
            <w:r>
              <w:rPr>
                <w:rFonts w:hint="default" w:ascii="Times New Roman" w:hAnsi="Times New Roman" w:eastAsia="宋体" w:cs="Times New Roman"/>
                <w:color w:val="auto"/>
                <w:sz w:val="24"/>
                <w:szCs w:val="22"/>
                <w:lang w:val="en-US" w:eastAsia="zh-CN"/>
              </w:rPr>
              <w:t>根据《固体废物分类与代码目录》（2024），</w:t>
            </w:r>
            <w:r>
              <w:rPr>
                <w:rFonts w:hint="default" w:ascii="Times New Roman" w:hAnsi="Times New Roman" w:eastAsia="宋体" w:cs="Times New Roman"/>
                <w:color w:val="auto"/>
                <w:sz w:val="24"/>
                <w:lang w:val="en-US" w:eastAsia="zh-CN"/>
              </w:rPr>
              <w:t>固废编码为900-099-S59，</w:t>
            </w:r>
            <w:r>
              <w:rPr>
                <w:rFonts w:hint="eastAsia"/>
                <w:color w:val="auto"/>
                <w:lang w:val="en-US" w:eastAsia="zh-CN"/>
              </w:rPr>
              <w:t>集中收集后外售物资回收部门。</w:t>
            </w:r>
          </w:p>
          <w:p w14:paraId="34FDA34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Cs/>
                <w:color w:val="auto"/>
                <w:sz w:val="24"/>
              </w:rPr>
            </w:pPr>
            <w:r>
              <w:rPr>
                <w:rFonts w:hint="eastAsia" w:ascii="宋体" w:hAnsi="宋体" w:eastAsia="宋体" w:cs="宋体"/>
                <w:bCs/>
                <w:color w:val="auto"/>
                <w:sz w:val="24"/>
              </w:rPr>
              <w:t>⑤</w:t>
            </w:r>
            <w:r>
              <w:rPr>
                <w:rFonts w:hint="default" w:ascii="Times New Roman" w:hAnsi="Times New Roman" w:eastAsia="宋体" w:cs="Times New Roman"/>
                <w:bCs/>
                <w:color w:val="auto"/>
                <w:sz w:val="24"/>
              </w:rPr>
              <w:t>员工生活垃圾</w:t>
            </w:r>
          </w:p>
          <w:p w14:paraId="37A7DCC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项目职工</w:t>
            </w:r>
            <w:r>
              <w:rPr>
                <w:rFonts w:hint="eastAsia" w:ascii="Times New Roman" w:hAnsi="Times New Roman" w:eastAsia="宋体" w:cs="Times New Roman"/>
                <w:bCs/>
                <w:color w:val="auto"/>
                <w:sz w:val="24"/>
                <w:lang w:eastAsia="zh-CN"/>
              </w:rPr>
              <w:t>定员</w:t>
            </w:r>
            <w:r>
              <w:rPr>
                <w:rFonts w:hint="eastAsia" w:cs="Times New Roman"/>
                <w:bCs/>
                <w:color w:val="auto"/>
                <w:sz w:val="24"/>
                <w:lang w:val="en-US" w:eastAsia="zh-CN"/>
              </w:rPr>
              <w:t>15</w:t>
            </w:r>
            <w:r>
              <w:rPr>
                <w:rFonts w:hint="default" w:ascii="Times New Roman" w:hAnsi="Times New Roman" w:eastAsia="宋体" w:cs="Times New Roman"/>
                <w:bCs/>
                <w:color w:val="auto"/>
                <w:sz w:val="24"/>
              </w:rPr>
              <w:t>人，按每人每天产生0.5kg生活垃圾计，员工生活垃圾的产生量为</w:t>
            </w:r>
            <w:r>
              <w:rPr>
                <w:rFonts w:hint="eastAsia" w:cs="Times New Roman"/>
                <w:bCs/>
                <w:color w:val="auto"/>
                <w:sz w:val="24"/>
                <w:lang w:val="en-US" w:eastAsia="zh-CN"/>
              </w:rPr>
              <w:t>2.25</w:t>
            </w:r>
            <w:r>
              <w:rPr>
                <w:rFonts w:hint="default" w:ascii="Times New Roman" w:hAnsi="Times New Roman" w:eastAsia="宋体" w:cs="Times New Roman"/>
                <w:bCs/>
                <w:color w:val="auto"/>
                <w:sz w:val="24"/>
              </w:rPr>
              <w:t>t/a，</w:t>
            </w:r>
            <w:r>
              <w:rPr>
                <w:rFonts w:hint="default" w:ascii="Times New Roman" w:hAnsi="Times New Roman" w:eastAsia="宋体" w:cs="Times New Roman"/>
                <w:color w:val="auto"/>
                <w:sz w:val="24"/>
                <w:szCs w:val="22"/>
                <w:lang w:val="en-US" w:eastAsia="zh-CN"/>
              </w:rPr>
              <w:t>根据《固体废物分类与代码目录》（2024），</w:t>
            </w:r>
            <w:r>
              <w:rPr>
                <w:rFonts w:hint="default" w:ascii="Times New Roman" w:hAnsi="Times New Roman" w:eastAsia="宋体" w:cs="Times New Roman"/>
                <w:color w:val="auto"/>
                <w:sz w:val="24"/>
                <w:lang w:val="en-US" w:eastAsia="zh-CN"/>
              </w:rPr>
              <w:t>固废编码为900-099-S</w:t>
            </w:r>
            <w:r>
              <w:rPr>
                <w:rFonts w:hint="eastAsia" w:ascii="Times New Roman" w:hAnsi="Times New Roman" w:eastAsia="宋体" w:cs="Times New Roman"/>
                <w:color w:val="auto"/>
                <w:sz w:val="24"/>
                <w:lang w:val="en-US" w:eastAsia="zh-CN"/>
              </w:rPr>
              <w:t>64</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bCs/>
                <w:color w:val="auto"/>
                <w:sz w:val="24"/>
              </w:rPr>
              <w:t>集中收集后由环卫部门统一清运。</w:t>
            </w:r>
          </w:p>
          <w:p w14:paraId="66EB2EE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zh-CN"/>
              </w:rPr>
              <w:t>项目固体废物产生排放情况一览见表</w:t>
            </w:r>
            <w:r>
              <w:rPr>
                <w:rFonts w:hint="eastAsia" w:ascii="Times New Roman" w:hAnsi="Times New Roman" w:eastAsia="宋体" w:cs="Times New Roman"/>
                <w:color w:val="auto"/>
                <w:sz w:val="24"/>
                <w:lang w:val="en-US" w:eastAsia="zh-CN"/>
              </w:rPr>
              <w:t>4-1</w:t>
            </w:r>
            <w:r>
              <w:rPr>
                <w:rFonts w:hint="eastAsia" w:cs="Times New Roman"/>
                <w:color w:val="auto"/>
                <w:sz w:val="24"/>
                <w:lang w:val="en-US" w:eastAsia="zh-CN"/>
              </w:rPr>
              <w:t>1</w:t>
            </w:r>
            <w:r>
              <w:rPr>
                <w:rFonts w:hint="default" w:ascii="Times New Roman" w:hAnsi="Times New Roman" w:eastAsia="宋体" w:cs="Times New Roman"/>
                <w:color w:val="auto"/>
                <w:sz w:val="24"/>
                <w:lang w:val="zh-CN"/>
              </w:rPr>
              <w:t>。</w:t>
            </w:r>
          </w:p>
          <w:p w14:paraId="3D4DDE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24"/>
              </w:rPr>
            </w:pPr>
            <w:r>
              <w:rPr>
                <w:rFonts w:ascii="Times New Roman" w:hAnsi="Times New Roman" w:eastAsia="宋体" w:cs="Times New Roman"/>
                <w:b/>
                <w:bCs/>
                <w:color w:val="auto"/>
                <w:sz w:val="24"/>
              </w:rPr>
              <w:t>表</w:t>
            </w:r>
            <w:r>
              <w:rPr>
                <w:rFonts w:hint="eastAsia" w:ascii="Times New Roman" w:hAnsi="Times New Roman" w:eastAsia="宋体" w:cs="Times New Roman"/>
                <w:b/>
                <w:bCs/>
                <w:color w:val="auto"/>
                <w:sz w:val="24"/>
                <w:lang w:val="en-US" w:eastAsia="zh-CN"/>
              </w:rPr>
              <w:t>4-1</w:t>
            </w:r>
            <w:r>
              <w:rPr>
                <w:rFonts w:hint="eastAsia" w:cs="Times New Roman"/>
                <w:b/>
                <w:bCs/>
                <w:color w:val="auto"/>
                <w:sz w:val="24"/>
                <w:lang w:val="en-US" w:eastAsia="zh-CN"/>
              </w:rPr>
              <w:t xml:space="preserve">1 </w:t>
            </w:r>
            <w:r>
              <w:rPr>
                <w:rFonts w:ascii="Times New Roman" w:hAnsi="Times New Roman" w:eastAsia="宋体" w:cs="Times New Roman"/>
                <w:b/>
                <w:bCs/>
                <w:color w:val="auto"/>
                <w:sz w:val="24"/>
              </w:rPr>
              <w:t>项目固体废物产生及治理情况一览表</w:t>
            </w:r>
          </w:p>
          <w:tbl>
            <w:tblPr>
              <w:tblStyle w:val="33"/>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22"/>
              <w:gridCol w:w="715"/>
              <w:gridCol w:w="1101"/>
              <w:gridCol w:w="1148"/>
              <w:gridCol w:w="1058"/>
              <w:gridCol w:w="1100"/>
              <w:gridCol w:w="436"/>
              <w:gridCol w:w="880"/>
              <w:gridCol w:w="1081"/>
              <w:gridCol w:w="1130"/>
            </w:tblGrid>
            <w:tr w14:paraId="175FC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422" w:type="dxa"/>
                  <w:tcBorders>
                    <w:tl2br w:val="nil"/>
                    <w:tr2bl w:val="nil"/>
                  </w:tcBorders>
                  <w:vAlign w:val="center"/>
                </w:tcPr>
                <w:p w14:paraId="28237DFF">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715" w:type="dxa"/>
                  <w:tcBorders>
                    <w:tl2br w:val="nil"/>
                    <w:tr2bl w:val="nil"/>
                  </w:tcBorders>
                  <w:vAlign w:val="center"/>
                </w:tcPr>
                <w:p w14:paraId="602DA0BD">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产生环节</w:t>
                  </w:r>
                </w:p>
              </w:tc>
              <w:tc>
                <w:tcPr>
                  <w:tcW w:w="1101" w:type="dxa"/>
                  <w:tcBorders>
                    <w:tl2br w:val="nil"/>
                    <w:tr2bl w:val="nil"/>
                  </w:tcBorders>
                  <w:vAlign w:val="center"/>
                </w:tcPr>
                <w:p w14:paraId="1EF10ED7">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1148" w:type="dxa"/>
                  <w:tcBorders>
                    <w:tl2br w:val="nil"/>
                    <w:tr2bl w:val="nil"/>
                  </w:tcBorders>
                  <w:vAlign w:val="center"/>
                </w:tcPr>
                <w:p w14:paraId="07D9CA66">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属性</w:t>
                  </w:r>
                </w:p>
              </w:tc>
              <w:tc>
                <w:tcPr>
                  <w:tcW w:w="1058" w:type="dxa"/>
                  <w:tcBorders>
                    <w:tl2br w:val="nil"/>
                    <w:tr2bl w:val="nil"/>
                  </w:tcBorders>
                  <w:vAlign w:val="center"/>
                </w:tcPr>
                <w:p w14:paraId="1416486E">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lang w:eastAsia="zh-CN"/>
                    </w:rPr>
                    <w:t>固废</w:t>
                  </w:r>
                  <w:r>
                    <w:rPr>
                      <w:rFonts w:hint="default" w:ascii="Times New Roman" w:hAnsi="Times New Roman" w:cs="Times New Roman"/>
                      <w:b/>
                      <w:bCs/>
                      <w:color w:val="auto"/>
                      <w:sz w:val="21"/>
                      <w:szCs w:val="21"/>
                    </w:rPr>
                    <w:t>编码</w:t>
                  </w:r>
                </w:p>
              </w:tc>
              <w:tc>
                <w:tcPr>
                  <w:tcW w:w="1100" w:type="dxa"/>
                  <w:tcBorders>
                    <w:tl2br w:val="nil"/>
                    <w:tr2bl w:val="nil"/>
                  </w:tcBorders>
                  <w:vAlign w:val="center"/>
                </w:tcPr>
                <w:p w14:paraId="7890FD8F">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有毒有害物质名称</w:t>
                  </w:r>
                </w:p>
              </w:tc>
              <w:tc>
                <w:tcPr>
                  <w:tcW w:w="436" w:type="dxa"/>
                  <w:tcBorders>
                    <w:tl2br w:val="nil"/>
                    <w:tr2bl w:val="nil"/>
                  </w:tcBorders>
                  <w:vAlign w:val="center"/>
                </w:tcPr>
                <w:p w14:paraId="515577E9">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物理性状</w:t>
                  </w:r>
                </w:p>
              </w:tc>
              <w:tc>
                <w:tcPr>
                  <w:tcW w:w="880" w:type="dxa"/>
                  <w:tcBorders>
                    <w:tl2br w:val="nil"/>
                    <w:tr2bl w:val="nil"/>
                  </w:tcBorders>
                  <w:vAlign w:val="center"/>
                </w:tcPr>
                <w:p w14:paraId="6BC2D757">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产生量</w:t>
                  </w:r>
                </w:p>
              </w:tc>
              <w:tc>
                <w:tcPr>
                  <w:tcW w:w="1081" w:type="dxa"/>
                  <w:tcBorders>
                    <w:tl2br w:val="nil"/>
                    <w:tr2bl w:val="nil"/>
                  </w:tcBorders>
                  <w:vAlign w:val="center"/>
                </w:tcPr>
                <w:p w14:paraId="7122573E">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利用处置方式和去向</w:t>
                  </w:r>
                </w:p>
              </w:tc>
              <w:tc>
                <w:tcPr>
                  <w:tcW w:w="1130" w:type="dxa"/>
                  <w:tcBorders>
                    <w:tl2br w:val="nil"/>
                    <w:tr2bl w:val="nil"/>
                  </w:tcBorders>
                  <w:vAlign w:val="center"/>
                </w:tcPr>
                <w:p w14:paraId="0DF77F41">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利用或处置量</w:t>
                  </w:r>
                </w:p>
              </w:tc>
            </w:tr>
            <w:tr w14:paraId="163D9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2" w:type="dxa"/>
                  <w:tcBorders>
                    <w:tl2br w:val="nil"/>
                    <w:tr2bl w:val="nil"/>
                  </w:tcBorders>
                  <w:vAlign w:val="center"/>
                </w:tcPr>
                <w:p w14:paraId="3B69AE49">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715" w:type="dxa"/>
                  <w:tcBorders>
                    <w:tl2br w:val="nil"/>
                    <w:tr2bl w:val="nil"/>
                  </w:tcBorders>
                  <w:vAlign w:val="center"/>
                </w:tcPr>
                <w:p w14:paraId="073D1DE1">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拆包</w:t>
                  </w:r>
                </w:p>
              </w:tc>
              <w:tc>
                <w:tcPr>
                  <w:tcW w:w="1101" w:type="dxa"/>
                  <w:tcBorders>
                    <w:tl2br w:val="nil"/>
                    <w:tr2bl w:val="nil"/>
                  </w:tcBorders>
                  <w:vAlign w:val="center"/>
                </w:tcPr>
                <w:p w14:paraId="58A01513">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废包装袋</w:t>
                  </w:r>
                </w:p>
              </w:tc>
              <w:tc>
                <w:tcPr>
                  <w:tcW w:w="1148" w:type="dxa"/>
                  <w:tcBorders>
                    <w:tl2br w:val="nil"/>
                    <w:tr2bl w:val="nil"/>
                  </w:tcBorders>
                  <w:vAlign w:val="center"/>
                </w:tcPr>
                <w:p w14:paraId="29A47C56">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1058" w:type="dxa"/>
                  <w:tcBorders>
                    <w:tl2br w:val="nil"/>
                    <w:tr2bl w:val="nil"/>
                  </w:tcBorders>
                  <w:vAlign w:val="center"/>
                </w:tcPr>
                <w:p w14:paraId="24CB3009">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900</w:t>
                  </w:r>
                  <w:r>
                    <w:rPr>
                      <w:rFonts w:hint="default" w:ascii="Times New Roman" w:hAnsi="Times New Roman" w:cs="Times New Roman"/>
                      <w:color w:val="auto"/>
                      <w:sz w:val="21"/>
                      <w:szCs w:val="21"/>
                      <w:lang w:val="en-US"/>
                    </w:rPr>
                    <w:t>-00</w:t>
                  </w:r>
                  <w:r>
                    <w:rPr>
                      <w:rFonts w:hint="eastAsia" w:cs="Times New Roman"/>
                      <w:color w:val="auto"/>
                      <w:sz w:val="21"/>
                      <w:szCs w:val="21"/>
                      <w:lang w:val="en-US" w:eastAsia="zh-CN"/>
                    </w:rPr>
                    <w:t>3</w:t>
                  </w:r>
                  <w:r>
                    <w:rPr>
                      <w:rFonts w:hint="default" w:ascii="Times New Roman" w:hAnsi="Times New Roman" w:cs="Times New Roman"/>
                      <w:color w:val="auto"/>
                      <w:sz w:val="21"/>
                      <w:szCs w:val="21"/>
                      <w:lang w:val="en-US"/>
                    </w:rPr>
                    <w:t>-S17</w:t>
                  </w:r>
                </w:p>
              </w:tc>
              <w:tc>
                <w:tcPr>
                  <w:tcW w:w="1100" w:type="dxa"/>
                  <w:tcBorders>
                    <w:tl2br w:val="nil"/>
                    <w:tr2bl w:val="nil"/>
                  </w:tcBorders>
                  <w:vAlign w:val="center"/>
                </w:tcPr>
                <w:p w14:paraId="6FABBDD9">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436" w:type="dxa"/>
                  <w:tcBorders>
                    <w:tl2br w:val="nil"/>
                    <w:tr2bl w:val="nil"/>
                  </w:tcBorders>
                  <w:vAlign w:val="center"/>
                </w:tcPr>
                <w:p w14:paraId="5000B11F">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w:t>
                  </w:r>
                </w:p>
              </w:tc>
              <w:tc>
                <w:tcPr>
                  <w:tcW w:w="880" w:type="dxa"/>
                  <w:tcBorders>
                    <w:tl2br w:val="nil"/>
                    <w:tr2bl w:val="nil"/>
                  </w:tcBorders>
                  <w:vAlign w:val="center"/>
                </w:tcPr>
                <w:p w14:paraId="2E5A0E46">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5</w:t>
                  </w:r>
                  <w:r>
                    <w:rPr>
                      <w:rFonts w:hint="default" w:ascii="Times New Roman" w:hAnsi="Times New Roman" w:cs="Times New Roman"/>
                      <w:color w:val="auto"/>
                      <w:sz w:val="21"/>
                      <w:szCs w:val="21"/>
                    </w:rPr>
                    <w:t>t/a</w:t>
                  </w:r>
                </w:p>
              </w:tc>
              <w:tc>
                <w:tcPr>
                  <w:tcW w:w="1081" w:type="dxa"/>
                  <w:tcBorders>
                    <w:tl2br w:val="nil"/>
                    <w:tr2bl w:val="nil"/>
                  </w:tcBorders>
                  <w:vAlign w:val="center"/>
                </w:tcPr>
                <w:p w14:paraId="7909608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外售物资回收部门</w:t>
                  </w:r>
                </w:p>
              </w:tc>
              <w:tc>
                <w:tcPr>
                  <w:tcW w:w="1130" w:type="dxa"/>
                  <w:tcBorders>
                    <w:tl2br w:val="nil"/>
                    <w:tr2bl w:val="nil"/>
                  </w:tcBorders>
                  <w:vAlign w:val="center"/>
                </w:tcPr>
                <w:p w14:paraId="753E3506">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5</w:t>
                  </w:r>
                  <w:r>
                    <w:rPr>
                      <w:rFonts w:hint="default" w:ascii="Times New Roman" w:hAnsi="Times New Roman" w:cs="Times New Roman"/>
                      <w:color w:val="auto"/>
                      <w:sz w:val="21"/>
                      <w:szCs w:val="21"/>
                    </w:rPr>
                    <w:t>t/a</w:t>
                  </w:r>
                </w:p>
              </w:tc>
            </w:tr>
            <w:tr w14:paraId="2A0BB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422" w:type="dxa"/>
                  <w:tcBorders>
                    <w:tl2br w:val="nil"/>
                    <w:tr2bl w:val="nil"/>
                  </w:tcBorders>
                  <w:vAlign w:val="center"/>
                </w:tcPr>
                <w:p w14:paraId="3E06691D">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715" w:type="dxa"/>
                  <w:tcBorders>
                    <w:tl2br w:val="nil"/>
                    <w:tr2bl w:val="nil"/>
                  </w:tcBorders>
                  <w:vAlign w:val="center"/>
                </w:tcPr>
                <w:p w14:paraId="0440E14B">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洗车台</w:t>
                  </w:r>
                </w:p>
              </w:tc>
              <w:tc>
                <w:tcPr>
                  <w:tcW w:w="1101" w:type="dxa"/>
                  <w:tcBorders>
                    <w:tl2br w:val="nil"/>
                    <w:tr2bl w:val="nil"/>
                  </w:tcBorders>
                  <w:vAlign w:val="center"/>
                </w:tcPr>
                <w:p w14:paraId="0353E4E8">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沉淀池沉渣</w:t>
                  </w:r>
                </w:p>
              </w:tc>
              <w:tc>
                <w:tcPr>
                  <w:tcW w:w="1148" w:type="dxa"/>
                  <w:tcBorders>
                    <w:tl2br w:val="nil"/>
                    <w:tr2bl w:val="nil"/>
                  </w:tcBorders>
                  <w:vAlign w:val="center"/>
                </w:tcPr>
                <w:p w14:paraId="11AC9970">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1058" w:type="dxa"/>
                  <w:tcBorders>
                    <w:tl2br w:val="nil"/>
                    <w:tr2bl w:val="nil"/>
                  </w:tcBorders>
                  <w:vAlign w:val="center"/>
                </w:tcPr>
                <w:p w14:paraId="3891FB9D">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900</w:t>
                  </w:r>
                  <w:r>
                    <w:rPr>
                      <w:rFonts w:hint="default" w:ascii="Times New Roman" w:hAnsi="Times New Roman" w:cs="Times New Roman"/>
                      <w:color w:val="auto"/>
                      <w:sz w:val="21"/>
                      <w:szCs w:val="21"/>
                      <w:lang w:val="en-US"/>
                    </w:rPr>
                    <w:t>-0</w:t>
                  </w:r>
                  <w:r>
                    <w:rPr>
                      <w:rFonts w:hint="eastAsia" w:cs="Times New Roman"/>
                      <w:color w:val="auto"/>
                      <w:sz w:val="21"/>
                      <w:szCs w:val="21"/>
                      <w:lang w:val="en-US" w:eastAsia="zh-CN"/>
                    </w:rPr>
                    <w:t>99</w:t>
                  </w:r>
                  <w:r>
                    <w:rPr>
                      <w:rFonts w:hint="default" w:ascii="Times New Roman" w:hAnsi="Times New Roman" w:cs="Times New Roman"/>
                      <w:color w:val="auto"/>
                      <w:sz w:val="21"/>
                      <w:szCs w:val="21"/>
                      <w:lang w:val="en-US"/>
                    </w:rPr>
                    <w:t>-S</w:t>
                  </w:r>
                  <w:r>
                    <w:rPr>
                      <w:rFonts w:hint="eastAsia" w:cs="Times New Roman"/>
                      <w:color w:val="auto"/>
                      <w:sz w:val="21"/>
                      <w:szCs w:val="21"/>
                      <w:lang w:val="en-US" w:eastAsia="zh-CN"/>
                    </w:rPr>
                    <w:t>0</w:t>
                  </w:r>
                  <w:r>
                    <w:rPr>
                      <w:rFonts w:hint="default" w:ascii="Times New Roman" w:hAnsi="Times New Roman" w:cs="Times New Roman"/>
                      <w:color w:val="auto"/>
                      <w:sz w:val="21"/>
                      <w:szCs w:val="21"/>
                      <w:lang w:val="en-US"/>
                    </w:rPr>
                    <w:t>7</w:t>
                  </w:r>
                </w:p>
              </w:tc>
              <w:tc>
                <w:tcPr>
                  <w:tcW w:w="1100" w:type="dxa"/>
                  <w:tcBorders>
                    <w:tl2br w:val="nil"/>
                    <w:tr2bl w:val="nil"/>
                  </w:tcBorders>
                  <w:vAlign w:val="center"/>
                </w:tcPr>
                <w:p w14:paraId="3A1C53D0">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436" w:type="dxa"/>
                  <w:tcBorders>
                    <w:tl2br w:val="nil"/>
                    <w:tr2bl w:val="nil"/>
                  </w:tcBorders>
                  <w:vAlign w:val="center"/>
                </w:tcPr>
                <w:p w14:paraId="16C5288C">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w:t>
                  </w:r>
                </w:p>
              </w:tc>
              <w:tc>
                <w:tcPr>
                  <w:tcW w:w="880" w:type="dxa"/>
                  <w:tcBorders>
                    <w:tl2br w:val="nil"/>
                    <w:tr2bl w:val="nil"/>
                  </w:tcBorders>
                  <w:vAlign w:val="center"/>
                </w:tcPr>
                <w:p w14:paraId="63ABD276">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5.0</w:t>
                  </w:r>
                  <w:r>
                    <w:rPr>
                      <w:rFonts w:hint="default" w:ascii="Times New Roman" w:hAnsi="Times New Roman" w:cs="Times New Roman"/>
                      <w:color w:val="auto"/>
                      <w:sz w:val="21"/>
                      <w:szCs w:val="21"/>
                    </w:rPr>
                    <w:t>t/a</w:t>
                  </w:r>
                </w:p>
              </w:tc>
              <w:tc>
                <w:tcPr>
                  <w:tcW w:w="1081" w:type="dxa"/>
                  <w:tcBorders>
                    <w:tl2br w:val="nil"/>
                    <w:tr2bl w:val="nil"/>
                  </w:tcBorders>
                  <w:vAlign w:val="center"/>
                </w:tcPr>
                <w:p w14:paraId="375355BA">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由生产厂家回收利用</w:t>
                  </w:r>
                </w:p>
              </w:tc>
              <w:tc>
                <w:tcPr>
                  <w:tcW w:w="1130" w:type="dxa"/>
                  <w:tcBorders>
                    <w:tl2br w:val="nil"/>
                    <w:tr2bl w:val="nil"/>
                  </w:tcBorders>
                  <w:vAlign w:val="center"/>
                </w:tcPr>
                <w:p w14:paraId="2C4494BC">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5.0</w:t>
                  </w:r>
                  <w:r>
                    <w:rPr>
                      <w:rFonts w:hint="default" w:ascii="Times New Roman" w:hAnsi="Times New Roman" w:cs="Times New Roman"/>
                      <w:color w:val="auto"/>
                      <w:sz w:val="21"/>
                      <w:szCs w:val="21"/>
                    </w:rPr>
                    <w:t>t/a</w:t>
                  </w:r>
                </w:p>
              </w:tc>
            </w:tr>
            <w:tr w14:paraId="0B4AD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422" w:type="dxa"/>
                  <w:tcBorders>
                    <w:tl2br w:val="nil"/>
                    <w:tr2bl w:val="nil"/>
                  </w:tcBorders>
                  <w:vAlign w:val="center"/>
                </w:tcPr>
                <w:p w14:paraId="6A5FFB90">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715" w:type="dxa"/>
                  <w:vMerge w:val="restart"/>
                  <w:tcBorders>
                    <w:tl2br w:val="nil"/>
                    <w:tr2bl w:val="nil"/>
                  </w:tcBorders>
                  <w:vAlign w:val="center"/>
                </w:tcPr>
                <w:p w14:paraId="3C97AB76">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eastAsia" w:cs="Times New Roman"/>
                      <w:color w:val="auto"/>
                      <w:kern w:val="0"/>
                      <w:sz w:val="22"/>
                      <w:szCs w:val="22"/>
                      <w:lang w:val="en-US" w:eastAsia="zh-CN" w:bidi="ar-SA"/>
                    </w:rPr>
                  </w:pPr>
                  <w:r>
                    <w:rPr>
                      <w:rFonts w:hint="eastAsia" w:cs="Times New Roman"/>
                      <w:color w:val="auto"/>
                      <w:kern w:val="0"/>
                      <w:sz w:val="22"/>
                      <w:szCs w:val="22"/>
                      <w:lang w:val="en-US" w:eastAsia="zh-CN" w:bidi="ar-SA"/>
                    </w:rPr>
                    <w:t>废气</w:t>
                  </w:r>
                </w:p>
                <w:p w14:paraId="1CBB11FF">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处理</w:t>
                  </w:r>
                </w:p>
              </w:tc>
              <w:tc>
                <w:tcPr>
                  <w:tcW w:w="1101" w:type="dxa"/>
                  <w:tcBorders>
                    <w:tl2br w:val="nil"/>
                    <w:tr2bl w:val="nil"/>
                  </w:tcBorders>
                  <w:vAlign w:val="center"/>
                </w:tcPr>
                <w:p w14:paraId="5347AF1D">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eastAsia"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收集</w:t>
                  </w:r>
                  <w:r>
                    <w:rPr>
                      <w:rFonts w:hint="eastAsia" w:cs="Times New Roman"/>
                      <w:color w:val="auto"/>
                      <w:kern w:val="0"/>
                      <w:sz w:val="22"/>
                      <w:szCs w:val="22"/>
                      <w:lang w:val="en-US" w:eastAsia="zh-CN" w:bidi="ar-SA"/>
                    </w:rPr>
                    <w:t>的</w:t>
                  </w:r>
                </w:p>
                <w:p w14:paraId="1B1B34FB">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粉尘</w:t>
                  </w:r>
                </w:p>
              </w:tc>
              <w:tc>
                <w:tcPr>
                  <w:tcW w:w="1148" w:type="dxa"/>
                  <w:vMerge w:val="restart"/>
                  <w:tcBorders>
                    <w:tl2br w:val="nil"/>
                    <w:tr2bl w:val="nil"/>
                  </w:tcBorders>
                  <w:vAlign w:val="center"/>
                </w:tcPr>
                <w:p w14:paraId="2C43A7BB">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一般固废</w:t>
                  </w:r>
                </w:p>
              </w:tc>
              <w:tc>
                <w:tcPr>
                  <w:tcW w:w="1058" w:type="dxa"/>
                  <w:tcBorders>
                    <w:tl2br w:val="nil"/>
                    <w:tr2bl w:val="nil"/>
                  </w:tcBorders>
                  <w:vAlign w:val="center"/>
                </w:tcPr>
                <w:p w14:paraId="2B55DDD0">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900-099-S59</w:t>
                  </w:r>
                </w:p>
              </w:tc>
              <w:tc>
                <w:tcPr>
                  <w:tcW w:w="1100" w:type="dxa"/>
                  <w:tcBorders>
                    <w:tl2br w:val="nil"/>
                    <w:tr2bl w:val="nil"/>
                  </w:tcBorders>
                  <w:vAlign w:val="center"/>
                </w:tcPr>
                <w:p w14:paraId="43B11ACA">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w:t>
                  </w:r>
                </w:p>
              </w:tc>
              <w:tc>
                <w:tcPr>
                  <w:tcW w:w="436" w:type="dxa"/>
                  <w:tcBorders>
                    <w:tl2br w:val="nil"/>
                    <w:tr2bl w:val="nil"/>
                  </w:tcBorders>
                  <w:vAlign w:val="center"/>
                </w:tcPr>
                <w:p w14:paraId="580CC0FF">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固</w:t>
                  </w:r>
                </w:p>
              </w:tc>
              <w:tc>
                <w:tcPr>
                  <w:tcW w:w="880" w:type="dxa"/>
                  <w:tcBorders>
                    <w:tl2br w:val="nil"/>
                    <w:tr2bl w:val="nil"/>
                  </w:tcBorders>
                  <w:vAlign w:val="center"/>
                </w:tcPr>
                <w:p w14:paraId="4EA726F3">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eastAsia" w:cs="Times New Roman"/>
                      <w:color w:val="auto"/>
                      <w:sz w:val="21"/>
                      <w:szCs w:val="21"/>
                      <w:lang w:val="en-US" w:eastAsia="zh-CN"/>
                    </w:rPr>
                    <w:t>63.765</w:t>
                  </w:r>
                  <w:r>
                    <w:rPr>
                      <w:rFonts w:hint="default" w:ascii="Times New Roman" w:hAnsi="Times New Roman" w:cs="Times New Roman"/>
                      <w:color w:val="auto"/>
                      <w:sz w:val="21"/>
                      <w:szCs w:val="21"/>
                    </w:rPr>
                    <w:t>t/a</w:t>
                  </w:r>
                </w:p>
              </w:tc>
              <w:tc>
                <w:tcPr>
                  <w:tcW w:w="1081" w:type="dxa"/>
                  <w:tcBorders>
                    <w:tl2br w:val="nil"/>
                    <w:tr2bl w:val="nil"/>
                  </w:tcBorders>
                  <w:vAlign w:val="center"/>
                </w:tcPr>
                <w:p w14:paraId="051C5338">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作为原料回用</w:t>
                  </w:r>
                </w:p>
              </w:tc>
              <w:tc>
                <w:tcPr>
                  <w:tcW w:w="1130" w:type="dxa"/>
                  <w:tcBorders>
                    <w:tl2br w:val="nil"/>
                    <w:tr2bl w:val="nil"/>
                  </w:tcBorders>
                  <w:vAlign w:val="center"/>
                </w:tcPr>
                <w:p w14:paraId="3C540BE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63.765</w:t>
                  </w:r>
                  <w:r>
                    <w:rPr>
                      <w:rFonts w:hint="default" w:ascii="Times New Roman" w:hAnsi="Times New Roman" w:cs="Times New Roman"/>
                      <w:color w:val="auto"/>
                      <w:sz w:val="21"/>
                      <w:szCs w:val="21"/>
                    </w:rPr>
                    <w:t>t/a</w:t>
                  </w:r>
                </w:p>
              </w:tc>
            </w:tr>
            <w:tr w14:paraId="092FC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422" w:type="dxa"/>
                  <w:tcBorders>
                    <w:tl2br w:val="nil"/>
                    <w:tr2bl w:val="nil"/>
                  </w:tcBorders>
                  <w:vAlign w:val="center"/>
                </w:tcPr>
                <w:p w14:paraId="5C4E4FD3">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715" w:type="dxa"/>
                  <w:vMerge w:val="continue"/>
                  <w:tcBorders>
                    <w:tl2br w:val="nil"/>
                    <w:tr2bl w:val="nil"/>
                  </w:tcBorders>
                  <w:vAlign w:val="center"/>
                </w:tcPr>
                <w:p w14:paraId="45411F56">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eastAsia" w:cs="Times New Roman"/>
                      <w:color w:val="auto"/>
                      <w:kern w:val="0"/>
                      <w:sz w:val="22"/>
                      <w:szCs w:val="22"/>
                      <w:lang w:val="en-US" w:eastAsia="zh-CN" w:bidi="ar-SA"/>
                    </w:rPr>
                  </w:pPr>
                </w:p>
              </w:tc>
              <w:tc>
                <w:tcPr>
                  <w:tcW w:w="1101" w:type="dxa"/>
                  <w:tcBorders>
                    <w:tl2br w:val="nil"/>
                    <w:tr2bl w:val="nil"/>
                  </w:tcBorders>
                  <w:vAlign w:val="center"/>
                </w:tcPr>
                <w:p w14:paraId="28B337CD">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废布袋</w:t>
                  </w:r>
                </w:p>
              </w:tc>
              <w:tc>
                <w:tcPr>
                  <w:tcW w:w="1148" w:type="dxa"/>
                  <w:vMerge w:val="continue"/>
                  <w:tcBorders>
                    <w:tl2br w:val="nil"/>
                    <w:tr2bl w:val="nil"/>
                  </w:tcBorders>
                  <w:vAlign w:val="center"/>
                </w:tcPr>
                <w:p w14:paraId="59DC9594">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058" w:type="dxa"/>
                  <w:tcBorders>
                    <w:tl2br w:val="nil"/>
                    <w:tr2bl w:val="nil"/>
                  </w:tcBorders>
                  <w:vAlign w:val="center"/>
                </w:tcPr>
                <w:p w14:paraId="5E992185">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900-099-S59</w:t>
                  </w:r>
                </w:p>
              </w:tc>
              <w:tc>
                <w:tcPr>
                  <w:tcW w:w="1100" w:type="dxa"/>
                  <w:tcBorders>
                    <w:tl2br w:val="nil"/>
                    <w:tr2bl w:val="nil"/>
                  </w:tcBorders>
                  <w:vAlign w:val="center"/>
                </w:tcPr>
                <w:p w14:paraId="28EFBAC3">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436" w:type="dxa"/>
                  <w:tcBorders>
                    <w:tl2br w:val="nil"/>
                    <w:tr2bl w:val="nil"/>
                  </w:tcBorders>
                  <w:vAlign w:val="center"/>
                </w:tcPr>
                <w:p w14:paraId="33C4AA9A">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w:t>
                  </w:r>
                </w:p>
              </w:tc>
              <w:tc>
                <w:tcPr>
                  <w:tcW w:w="880" w:type="dxa"/>
                  <w:tcBorders>
                    <w:tl2br w:val="nil"/>
                    <w:tr2bl w:val="nil"/>
                  </w:tcBorders>
                  <w:vAlign w:val="center"/>
                </w:tcPr>
                <w:p w14:paraId="0D47C973">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0.5t/a</w:t>
                  </w:r>
                </w:p>
              </w:tc>
              <w:tc>
                <w:tcPr>
                  <w:tcW w:w="1081" w:type="dxa"/>
                  <w:tcBorders>
                    <w:tl2br w:val="nil"/>
                    <w:tr2bl w:val="nil"/>
                  </w:tcBorders>
                  <w:vAlign w:val="center"/>
                </w:tcPr>
                <w:p w14:paraId="518FEC28">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外售物资回收部门</w:t>
                  </w:r>
                </w:p>
              </w:tc>
              <w:tc>
                <w:tcPr>
                  <w:tcW w:w="1130" w:type="dxa"/>
                  <w:tcBorders>
                    <w:tl2br w:val="nil"/>
                    <w:tr2bl w:val="nil"/>
                  </w:tcBorders>
                  <w:vAlign w:val="center"/>
                </w:tcPr>
                <w:p w14:paraId="6DBA1341">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5</w:t>
                  </w:r>
                  <w:r>
                    <w:rPr>
                      <w:rFonts w:hint="default" w:ascii="Times New Roman" w:hAnsi="Times New Roman" w:cs="Times New Roman"/>
                      <w:color w:val="auto"/>
                      <w:sz w:val="21"/>
                      <w:szCs w:val="21"/>
                      <w:lang w:val="en-US" w:eastAsia="zh-CN"/>
                    </w:rPr>
                    <w:t>t/a</w:t>
                  </w:r>
                </w:p>
              </w:tc>
            </w:tr>
            <w:tr w14:paraId="153A32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22" w:type="dxa"/>
                  <w:tcBorders>
                    <w:tl2br w:val="nil"/>
                    <w:tr2bl w:val="nil"/>
                  </w:tcBorders>
                  <w:vAlign w:val="center"/>
                </w:tcPr>
                <w:p w14:paraId="1E948A6E">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w:t>
                  </w:r>
                </w:p>
              </w:tc>
              <w:tc>
                <w:tcPr>
                  <w:tcW w:w="715" w:type="dxa"/>
                  <w:tcBorders>
                    <w:tl2br w:val="nil"/>
                    <w:tr2bl w:val="nil"/>
                  </w:tcBorders>
                  <w:vAlign w:val="center"/>
                </w:tcPr>
                <w:p w14:paraId="74284D5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rPr>
                    <w:t>办公生活</w:t>
                  </w:r>
                </w:p>
              </w:tc>
              <w:tc>
                <w:tcPr>
                  <w:tcW w:w="1101" w:type="dxa"/>
                  <w:tcBorders>
                    <w:tl2br w:val="nil"/>
                    <w:tr2bl w:val="nil"/>
                  </w:tcBorders>
                  <w:vAlign w:val="center"/>
                </w:tcPr>
                <w:p w14:paraId="22C571B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eastAsia="zh-CN"/>
                    </w:rPr>
                    <w:t>生活垃圾</w:t>
                  </w:r>
                </w:p>
              </w:tc>
              <w:tc>
                <w:tcPr>
                  <w:tcW w:w="1148" w:type="dxa"/>
                  <w:tcBorders>
                    <w:tl2br w:val="nil"/>
                    <w:tr2bl w:val="nil"/>
                  </w:tcBorders>
                  <w:vAlign w:val="center"/>
                </w:tcPr>
                <w:p w14:paraId="69E3E2F1">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rPr>
                    <w:t>生活垃圾</w:t>
                  </w:r>
                </w:p>
              </w:tc>
              <w:tc>
                <w:tcPr>
                  <w:tcW w:w="1058" w:type="dxa"/>
                  <w:tcBorders>
                    <w:tl2br w:val="nil"/>
                    <w:tr2bl w:val="nil"/>
                  </w:tcBorders>
                  <w:vAlign w:val="center"/>
                </w:tcPr>
                <w:p w14:paraId="0ADA7314">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900-099-S64</w:t>
                  </w:r>
                </w:p>
              </w:tc>
              <w:tc>
                <w:tcPr>
                  <w:tcW w:w="1100" w:type="dxa"/>
                  <w:tcBorders>
                    <w:tl2br w:val="nil"/>
                    <w:tr2bl w:val="nil"/>
                  </w:tcBorders>
                  <w:vAlign w:val="center"/>
                </w:tcPr>
                <w:p w14:paraId="18AB8D8D">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rPr>
                    <w:t>/</w:t>
                  </w:r>
                </w:p>
              </w:tc>
              <w:tc>
                <w:tcPr>
                  <w:tcW w:w="436" w:type="dxa"/>
                  <w:tcBorders>
                    <w:tl2br w:val="nil"/>
                    <w:tr2bl w:val="nil"/>
                  </w:tcBorders>
                  <w:vAlign w:val="center"/>
                </w:tcPr>
                <w:p w14:paraId="5E38177A">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rPr>
                    <w:t>固</w:t>
                  </w:r>
                </w:p>
              </w:tc>
              <w:tc>
                <w:tcPr>
                  <w:tcW w:w="880" w:type="dxa"/>
                  <w:tcBorders>
                    <w:tl2br w:val="nil"/>
                    <w:tr2bl w:val="nil"/>
                  </w:tcBorders>
                  <w:vAlign w:val="center"/>
                </w:tcPr>
                <w:p w14:paraId="44EE7B8A">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2.25</w:t>
                  </w:r>
                  <w:r>
                    <w:rPr>
                      <w:rFonts w:hint="default" w:ascii="Times New Roman" w:hAnsi="Times New Roman" w:cs="Times New Roman"/>
                      <w:color w:val="auto"/>
                      <w:sz w:val="21"/>
                      <w:szCs w:val="21"/>
                    </w:rPr>
                    <w:t>t/a</w:t>
                  </w:r>
                </w:p>
              </w:tc>
              <w:tc>
                <w:tcPr>
                  <w:tcW w:w="1081" w:type="dxa"/>
                  <w:tcBorders>
                    <w:tl2br w:val="nil"/>
                    <w:tr2bl w:val="nil"/>
                  </w:tcBorders>
                  <w:vAlign w:val="center"/>
                </w:tcPr>
                <w:p w14:paraId="4BFAC63C">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cs="Times New Roman"/>
                      <w:color w:val="auto"/>
                      <w:sz w:val="21"/>
                      <w:szCs w:val="21"/>
                      <w:lang w:val="en-US" w:eastAsia="zh-CN"/>
                    </w:rPr>
                  </w:pPr>
                  <w:r>
                    <w:rPr>
                      <w:rFonts w:hint="eastAsia"/>
                      <w:color w:val="auto"/>
                      <w:sz w:val="21"/>
                      <w:szCs w:val="21"/>
                      <w:lang w:eastAsia="zh-CN"/>
                    </w:rPr>
                    <w:t>环卫部门</w:t>
                  </w:r>
                  <w:r>
                    <w:rPr>
                      <w:rFonts w:hint="eastAsia" w:cs="Times New Roman"/>
                      <w:color w:val="auto"/>
                      <w:sz w:val="21"/>
                      <w:szCs w:val="21"/>
                      <w:lang w:eastAsia="zh-CN"/>
                    </w:rPr>
                    <w:t>清运</w:t>
                  </w:r>
                </w:p>
              </w:tc>
              <w:tc>
                <w:tcPr>
                  <w:tcW w:w="1130" w:type="dxa"/>
                  <w:tcBorders>
                    <w:tl2br w:val="nil"/>
                    <w:tr2bl w:val="nil"/>
                  </w:tcBorders>
                  <w:vAlign w:val="center"/>
                </w:tcPr>
                <w:p w14:paraId="2DB9A5D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2.25</w:t>
                  </w:r>
                  <w:r>
                    <w:rPr>
                      <w:rFonts w:hint="default" w:ascii="Times New Roman" w:hAnsi="Times New Roman" w:cs="Times New Roman"/>
                      <w:color w:val="auto"/>
                      <w:sz w:val="21"/>
                      <w:szCs w:val="21"/>
                    </w:rPr>
                    <w:t>t/a</w:t>
                  </w:r>
                </w:p>
              </w:tc>
            </w:tr>
          </w:tbl>
          <w:p w14:paraId="2DEFA2C8">
            <w:pPr>
              <w:spacing w:line="360" w:lineRule="auto"/>
              <w:ind w:firstLine="482" w:firstLineChars="200"/>
              <w:rPr>
                <w:rFonts w:hint="eastAsia" w:eastAsia="宋体"/>
                <w:b/>
                <w:bCs w:val="0"/>
                <w:color w:val="auto"/>
                <w:sz w:val="24"/>
                <w:lang w:eastAsia="zh-CN"/>
              </w:rPr>
            </w:pPr>
            <w:r>
              <w:rPr>
                <w:rFonts w:hint="eastAsia"/>
                <w:b/>
                <w:bCs w:val="0"/>
                <w:color w:val="auto"/>
                <w:sz w:val="24"/>
              </w:rPr>
              <w:t>环境管理要求</w:t>
            </w:r>
            <w:r>
              <w:rPr>
                <w:rFonts w:hint="eastAsia"/>
                <w:b/>
                <w:bCs w:val="0"/>
                <w:color w:val="auto"/>
                <w:sz w:val="24"/>
                <w:lang w:eastAsia="zh-CN"/>
              </w:rPr>
              <w:t>：</w:t>
            </w:r>
          </w:p>
          <w:p w14:paraId="4AD1EC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bCs/>
                <w:color w:val="auto"/>
                <w:sz w:val="24"/>
                <w:lang w:eastAsia="zh-CN"/>
              </w:rPr>
            </w:pPr>
            <w:r>
              <w:rPr>
                <w:rFonts w:hint="eastAsia"/>
                <w:bCs/>
                <w:color w:val="auto"/>
                <w:sz w:val="24"/>
                <w:lang w:eastAsia="zh-CN"/>
              </w:rPr>
              <w:t>（</w:t>
            </w:r>
            <w:r>
              <w:rPr>
                <w:rFonts w:hint="eastAsia"/>
                <w:bCs/>
                <w:color w:val="auto"/>
                <w:sz w:val="24"/>
                <w:lang w:val="en-US" w:eastAsia="zh-CN"/>
              </w:rPr>
              <w:t>1</w:t>
            </w:r>
            <w:r>
              <w:rPr>
                <w:rFonts w:hint="eastAsia"/>
                <w:bCs/>
                <w:color w:val="auto"/>
                <w:sz w:val="24"/>
                <w:lang w:eastAsia="zh-CN"/>
              </w:rPr>
              <w:t>）一般固废</w:t>
            </w:r>
          </w:p>
          <w:p w14:paraId="268DF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auto"/>
                <w:sz w:val="24"/>
              </w:rPr>
            </w:pPr>
            <w:r>
              <w:rPr>
                <w:bCs/>
                <w:color w:val="auto"/>
                <w:sz w:val="24"/>
              </w:rPr>
              <w:t>一般固废暂存</w:t>
            </w:r>
            <w:r>
              <w:rPr>
                <w:rFonts w:hint="eastAsia"/>
                <w:bCs/>
                <w:color w:val="auto"/>
                <w:sz w:val="24"/>
                <w:lang w:eastAsia="zh-CN"/>
              </w:rPr>
              <w:t>区</w:t>
            </w:r>
            <w:r>
              <w:rPr>
                <w:bCs/>
                <w:color w:val="auto"/>
                <w:sz w:val="24"/>
              </w:rPr>
              <w:t>应按《一般工业固体废物贮存和填埋污染控制标准》（GB18599-2020）标准要求建设，具体要求如下：</w:t>
            </w:r>
          </w:p>
          <w:p w14:paraId="480F49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auto"/>
                <w:sz w:val="24"/>
              </w:rPr>
            </w:pPr>
            <w:r>
              <w:rPr>
                <w:bCs/>
                <w:color w:val="auto"/>
                <w:sz w:val="24"/>
              </w:rPr>
              <w:t>①</w:t>
            </w:r>
            <w:r>
              <w:rPr>
                <w:rFonts w:hint="eastAsia"/>
                <w:bCs/>
                <w:color w:val="auto"/>
                <w:sz w:val="24"/>
                <w:lang w:val="en-US" w:eastAsia="zh-CN"/>
              </w:rPr>
              <w:t>项目拟于</w:t>
            </w:r>
            <w:r>
              <w:rPr>
                <w:bCs/>
                <w:color w:val="auto"/>
                <w:sz w:val="24"/>
              </w:rPr>
              <w:t>车间内</w:t>
            </w:r>
            <w:r>
              <w:rPr>
                <w:rFonts w:hint="eastAsia"/>
                <w:bCs/>
                <w:color w:val="auto"/>
                <w:sz w:val="24"/>
                <w:lang w:val="en-US" w:eastAsia="zh-CN"/>
              </w:rPr>
              <w:t>东</w:t>
            </w:r>
            <w:r>
              <w:rPr>
                <w:rFonts w:hint="eastAsia"/>
                <w:bCs/>
                <w:color w:val="auto"/>
                <w:sz w:val="24"/>
                <w:lang w:eastAsia="zh-CN"/>
              </w:rPr>
              <w:t>南角设置</w:t>
            </w:r>
            <w:r>
              <w:rPr>
                <w:rFonts w:hint="eastAsia"/>
                <w:bCs/>
                <w:color w:val="auto"/>
                <w:sz w:val="24"/>
                <w:lang w:val="en-US" w:eastAsia="zh-CN"/>
              </w:rPr>
              <w:t>1处</w:t>
            </w:r>
            <w:r>
              <w:rPr>
                <w:bCs/>
                <w:color w:val="auto"/>
                <w:sz w:val="24"/>
              </w:rPr>
              <w:t>一般固废暂存</w:t>
            </w:r>
            <w:r>
              <w:rPr>
                <w:rFonts w:hint="eastAsia"/>
                <w:bCs/>
                <w:color w:val="auto"/>
                <w:sz w:val="24"/>
                <w:lang w:eastAsia="zh-CN"/>
              </w:rPr>
              <w:t>区，</w:t>
            </w:r>
            <w:r>
              <w:rPr>
                <w:bCs/>
                <w:color w:val="auto"/>
                <w:sz w:val="24"/>
              </w:rPr>
              <w:t>统一收集、存放</w:t>
            </w:r>
            <w:r>
              <w:rPr>
                <w:rFonts w:hint="eastAsia"/>
                <w:bCs/>
                <w:color w:val="auto"/>
                <w:sz w:val="24"/>
                <w:lang w:eastAsia="zh-CN"/>
              </w:rPr>
              <w:t>一般</w:t>
            </w:r>
            <w:r>
              <w:rPr>
                <w:bCs/>
                <w:color w:val="auto"/>
                <w:sz w:val="24"/>
              </w:rPr>
              <w:t>固体废物，面积约</w:t>
            </w:r>
            <w:r>
              <w:rPr>
                <w:rFonts w:hint="eastAsia"/>
                <w:bCs/>
                <w:color w:val="auto"/>
                <w:sz w:val="24"/>
                <w:lang w:val="en-US" w:eastAsia="zh-CN"/>
              </w:rPr>
              <w:t>50</w:t>
            </w:r>
            <w:r>
              <w:rPr>
                <w:bCs/>
                <w:color w:val="auto"/>
                <w:sz w:val="24"/>
              </w:rPr>
              <w:t>m</w:t>
            </w:r>
            <w:r>
              <w:rPr>
                <w:bCs/>
                <w:color w:val="auto"/>
                <w:sz w:val="24"/>
                <w:vertAlign w:val="superscript"/>
              </w:rPr>
              <w:t>2</w:t>
            </w:r>
            <w:r>
              <w:rPr>
                <w:bCs/>
                <w:color w:val="auto"/>
                <w:sz w:val="24"/>
              </w:rPr>
              <w:t>，并做好防扬散、防流失、防渗漏措施</w:t>
            </w:r>
            <w:r>
              <w:rPr>
                <w:rFonts w:hint="eastAsia"/>
                <w:bCs/>
                <w:color w:val="auto"/>
                <w:sz w:val="24"/>
                <w:lang w:eastAsia="zh-CN"/>
              </w:rPr>
              <w:t>，</w:t>
            </w:r>
            <w:r>
              <w:rPr>
                <w:rFonts w:hint="eastAsia"/>
                <w:bCs/>
                <w:color w:val="auto"/>
                <w:sz w:val="24"/>
                <w:lang w:val="en-US" w:eastAsia="zh-CN"/>
              </w:rPr>
              <w:t>禁止危险废物和生活垃圾混入</w:t>
            </w:r>
            <w:r>
              <w:rPr>
                <w:bCs/>
                <w:color w:val="auto"/>
                <w:sz w:val="24"/>
              </w:rPr>
              <w:t>。</w:t>
            </w:r>
          </w:p>
          <w:p w14:paraId="46E6D9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auto"/>
                <w:sz w:val="24"/>
              </w:rPr>
            </w:pPr>
            <w:r>
              <w:rPr>
                <w:bCs/>
                <w:color w:val="auto"/>
                <w:sz w:val="24"/>
              </w:rPr>
              <w:t>②设置环保图形标志</w:t>
            </w:r>
            <w:r>
              <w:rPr>
                <w:rFonts w:hint="eastAsia"/>
                <w:bCs/>
                <w:color w:val="auto"/>
                <w:sz w:val="24"/>
                <w:lang w:eastAsia="zh-CN"/>
              </w:rPr>
              <w:t>，</w:t>
            </w:r>
            <w:r>
              <w:rPr>
                <w:rFonts w:hint="eastAsia"/>
                <w:bCs/>
                <w:color w:val="auto"/>
                <w:sz w:val="24"/>
                <w:lang w:val="en-US" w:eastAsia="zh-CN"/>
              </w:rPr>
              <w:t>应按GB 15562.2规定进行检查和维护</w:t>
            </w:r>
            <w:r>
              <w:rPr>
                <w:bCs/>
                <w:color w:val="auto"/>
                <w:sz w:val="24"/>
              </w:rPr>
              <w:t>。</w:t>
            </w:r>
          </w:p>
          <w:p w14:paraId="43548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auto"/>
                <w:sz w:val="24"/>
              </w:rPr>
            </w:pPr>
            <w:r>
              <w:rPr>
                <w:bCs/>
                <w:color w:val="auto"/>
                <w:sz w:val="24"/>
              </w:rPr>
              <w:t>③</w:t>
            </w:r>
            <w:r>
              <w:rPr>
                <w:rFonts w:hint="eastAsia"/>
                <w:bCs/>
                <w:color w:val="auto"/>
                <w:sz w:val="24"/>
              </w:rPr>
              <w:t>企业建立环境管理台账制度，</w:t>
            </w:r>
            <w:r>
              <w:rPr>
                <w:bCs/>
                <w:color w:val="auto"/>
                <w:sz w:val="24"/>
              </w:rPr>
              <w:t>记录固体废物产生量和去向（处理、处置、综合利用或外运）及相应</w:t>
            </w:r>
            <w:r>
              <w:rPr>
                <w:rFonts w:hint="eastAsia"/>
                <w:bCs/>
                <w:color w:val="auto"/>
                <w:sz w:val="24"/>
              </w:rPr>
              <w:t>处置</w:t>
            </w:r>
            <w:r>
              <w:rPr>
                <w:bCs/>
                <w:color w:val="auto"/>
                <w:sz w:val="24"/>
              </w:rPr>
              <w:t>量</w:t>
            </w:r>
            <w:r>
              <w:rPr>
                <w:rFonts w:hint="eastAsia"/>
                <w:bCs/>
                <w:color w:val="auto"/>
                <w:sz w:val="24"/>
                <w:lang w:eastAsia="zh-CN"/>
              </w:rPr>
              <w:t>，台账保存时间不少于5年</w:t>
            </w:r>
            <w:r>
              <w:rPr>
                <w:bCs/>
                <w:color w:val="auto"/>
                <w:sz w:val="24"/>
              </w:rPr>
              <w:t>。</w:t>
            </w:r>
          </w:p>
          <w:p w14:paraId="53FE6921">
            <w:pPr>
              <w:widowControl w:val="0"/>
              <w:autoSpaceDE w:val="0"/>
              <w:autoSpaceDN w:val="0"/>
              <w:adjustRightInd w:val="0"/>
              <w:snapToGrid w:val="0"/>
              <w:spacing w:line="360" w:lineRule="auto"/>
              <w:ind w:firstLine="436" w:firstLineChars="182"/>
              <w:jc w:val="both"/>
              <w:rPr>
                <w:rFonts w:ascii="Times New Roman" w:hAnsi="Times New Roman" w:eastAsia="宋体" w:cs="Times New Roman"/>
                <w:color w:val="auto"/>
                <w:kern w:val="0"/>
                <w:sz w:val="24"/>
                <w:szCs w:val="24"/>
                <w:lang w:val="en-US" w:eastAsia="zh-CN" w:bidi="ar-SA"/>
              </w:rPr>
            </w:pPr>
            <w:r>
              <w:rPr>
                <w:rFonts w:hint="eastAsia"/>
                <w:bCs/>
                <w:color w:val="auto"/>
                <w:sz w:val="24"/>
                <w:lang w:eastAsia="zh-CN"/>
              </w:rPr>
              <w:t>（</w:t>
            </w:r>
            <w:r>
              <w:rPr>
                <w:rFonts w:hint="eastAsia"/>
                <w:bCs/>
                <w:color w:val="auto"/>
                <w:sz w:val="24"/>
                <w:lang w:val="en-US" w:eastAsia="zh-CN"/>
              </w:rPr>
              <w:t>2</w:t>
            </w:r>
            <w:r>
              <w:rPr>
                <w:rFonts w:hint="eastAsia"/>
                <w:bCs/>
                <w:color w:val="auto"/>
                <w:sz w:val="24"/>
                <w:lang w:eastAsia="zh-CN"/>
              </w:rPr>
              <w:t>）</w:t>
            </w:r>
            <w:r>
              <w:rPr>
                <w:rFonts w:ascii="Times New Roman" w:hAnsi="Times New Roman" w:eastAsia="宋体" w:cs="Times New Roman"/>
                <w:color w:val="auto"/>
                <w:kern w:val="0"/>
                <w:sz w:val="24"/>
                <w:szCs w:val="24"/>
                <w:lang w:val="en-US" w:eastAsia="zh-CN" w:bidi="ar-SA"/>
              </w:rPr>
              <w:t>生活垃圾</w:t>
            </w:r>
          </w:p>
          <w:p w14:paraId="2F571907">
            <w:pPr>
              <w:widowControl w:val="0"/>
              <w:autoSpaceDE w:val="0"/>
              <w:autoSpaceDN w:val="0"/>
              <w:adjustRightInd w:val="0"/>
              <w:snapToGrid w:val="0"/>
              <w:spacing w:line="360" w:lineRule="auto"/>
              <w:ind w:firstLine="480" w:firstLineChars="200"/>
              <w:jc w:val="both"/>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本项目产生的生活垃圾应按照《中华人民共和国固体废物污染环境防治法》</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2020年修订</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第四章生活垃圾污染环境的防治规定要求，进行收集、管理、运输及处置：</w:t>
            </w:r>
          </w:p>
          <w:p w14:paraId="2C6AD041">
            <w:pPr>
              <w:widowControl w:val="0"/>
              <w:autoSpaceDE w:val="0"/>
              <w:autoSpaceDN w:val="0"/>
              <w:adjustRightInd w:val="0"/>
              <w:snapToGrid w:val="0"/>
              <w:spacing w:line="360" w:lineRule="auto"/>
              <w:ind w:firstLine="480" w:firstLineChars="200"/>
              <w:jc w:val="both"/>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①应当使用经市环境保护行政主管部门认证登记，并符合市容环境行政主管部门规定的规格、厚度、颜色等要求的可降解专用垃圾袋盛装、收集生活垃圾，并由城管委及时清运</w:t>
            </w:r>
            <w:r>
              <w:rPr>
                <w:rFonts w:hint="eastAsia" w:ascii="Times New Roman" w:hAnsi="Times New Roman" w:eastAsia="宋体" w:cs="Times New Roman"/>
                <w:color w:val="auto"/>
                <w:kern w:val="0"/>
                <w:sz w:val="24"/>
                <w:szCs w:val="24"/>
                <w:lang w:val="en-US" w:eastAsia="zh-CN" w:bidi="ar-SA"/>
              </w:rPr>
              <w:t>。</w:t>
            </w:r>
          </w:p>
          <w:p w14:paraId="58EAFE7F">
            <w:pPr>
              <w:widowControl w:val="0"/>
              <w:autoSpaceDE w:val="0"/>
              <w:autoSpaceDN w:val="0"/>
              <w:adjustRightInd w:val="0"/>
              <w:snapToGrid w:val="0"/>
              <w:spacing w:line="360" w:lineRule="auto"/>
              <w:ind w:firstLine="480" w:firstLineChars="200"/>
              <w:jc w:val="both"/>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②生活垃圾袋应当扎紧袋口，不能混入危险废物、工业固体废物、建筑垃圾和液体垃圾，在指定时间存放到指定地点</w:t>
            </w:r>
            <w:r>
              <w:rPr>
                <w:rFonts w:hint="eastAsia" w:ascii="Times New Roman" w:hAnsi="Times New Roman" w:eastAsia="宋体" w:cs="Times New Roman"/>
                <w:color w:val="auto"/>
                <w:kern w:val="0"/>
                <w:sz w:val="24"/>
                <w:szCs w:val="24"/>
                <w:lang w:val="en-US" w:eastAsia="zh-CN" w:bidi="ar-SA"/>
              </w:rPr>
              <w:t>。</w:t>
            </w:r>
          </w:p>
          <w:p w14:paraId="0B2DD34B">
            <w:pPr>
              <w:widowControl w:val="0"/>
              <w:autoSpaceDE w:val="0"/>
              <w:autoSpaceDN w:val="0"/>
              <w:adjustRightInd w:val="0"/>
              <w:snapToGrid w:val="0"/>
              <w:spacing w:line="360" w:lineRule="auto"/>
              <w:ind w:firstLine="480" w:firstLineChars="200"/>
              <w:jc w:val="both"/>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③不能使用破损袋盛装生活垃圾。对有可能造成垃圾袋破损的物品应单独存放</w:t>
            </w:r>
            <w:r>
              <w:rPr>
                <w:rFonts w:hint="eastAsia" w:ascii="Times New Roman" w:hAnsi="Times New Roman" w:eastAsia="宋体" w:cs="Times New Roman"/>
                <w:color w:val="auto"/>
                <w:kern w:val="0"/>
                <w:sz w:val="24"/>
                <w:szCs w:val="24"/>
                <w:lang w:val="en-US" w:eastAsia="zh-CN" w:bidi="ar-SA"/>
              </w:rPr>
              <w:t>。</w:t>
            </w:r>
          </w:p>
          <w:p w14:paraId="3A20DC88">
            <w:pPr>
              <w:widowControl w:val="0"/>
              <w:autoSpaceDE w:val="0"/>
              <w:autoSpaceDN w:val="0"/>
              <w:adjustRightInd w:val="0"/>
              <w:snapToGrid w:val="0"/>
              <w:spacing w:line="360" w:lineRule="auto"/>
              <w:ind w:firstLine="480" w:firstLineChars="200"/>
              <w:jc w:val="both"/>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④应当按照市容环境行政管理部门规定的时间、地点和方式投放生活废弃物，不得随意倾倒、抛撒和堆放生活废弃物</w:t>
            </w:r>
            <w:r>
              <w:rPr>
                <w:rFonts w:hint="eastAsia" w:ascii="Times New Roman" w:hAnsi="Times New Roman" w:eastAsia="宋体" w:cs="Times New Roman"/>
                <w:color w:val="auto"/>
                <w:kern w:val="0"/>
                <w:sz w:val="24"/>
                <w:szCs w:val="24"/>
                <w:lang w:val="en-US" w:eastAsia="zh-CN" w:bidi="ar-SA"/>
              </w:rPr>
              <w:t>。</w:t>
            </w:r>
          </w:p>
          <w:p w14:paraId="6D7F6DE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bCs/>
                <w:color w:val="auto"/>
                <w:sz w:val="24"/>
              </w:rPr>
            </w:pPr>
            <w:r>
              <w:rPr>
                <w:bCs/>
                <w:color w:val="auto"/>
                <w:sz w:val="24"/>
              </w:rPr>
              <w:t>经采取上述措施后，该项目生产过程中所产生的固体废物均可得到妥善处理，一般固废的处置符合</w:t>
            </w:r>
            <w:r>
              <w:rPr>
                <w:color w:val="auto"/>
                <w:sz w:val="24"/>
              </w:rPr>
              <w:t>《一般工业固体废物贮存和填埋污染控制标准》(GB18599-2020)</w:t>
            </w:r>
            <w:r>
              <w:rPr>
                <w:bCs/>
                <w:color w:val="auto"/>
                <w:sz w:val="24"/>
              </w:rPr>
              <w:t>的要求。</w:t>
            </w:r>
          </w:p>
          <w:p w14:paraId="7D3CE981">
            <w:pPr>
              <w:tabs>
                <w:tab w:val="left" w:pos="1725"/>
              </w:tabs>
              <w:spacing w:line="360" w:lineRule="auto"/>
              <w:ind w:firstLine="482" w:firstLineChars="200"/>
              <w:rPr>
                <w:rFonts w:hint="eastAsia"/>
                <w:b/>
                <w:color w:val="auto"/>
                <w:sz w:val="24"/>
              </w:rPr>
            </w:pPr>
            <w:r>
              <w:rPr>
                <w:rFonts w:hint="eastAsia"/>
                <w:b/>
                <w:color w:val="auto"/>
                <w:sz w:val="24"/>
                <w:lang w:val="en-US" w:eastAsia="zh-CN"/>
              </w:rPr>
              <w:t>5</w:t>
            </w:r>
            <w:r>
              <w:rPr>
                <w:rFonts w:hint="eastAsia"/>
                <w:b/>
                <w:color w:val="auto"/>
                <w:sz w:val="24"/>
              </w:rPr>
              <w:t>、</w:t>
            </w:r>
            <w:r>
              <w:rPr>
                <w:b/>
                <w:color w:val="auto"/>
                <w:sz w:val="24"/>
              </w:rPr>
              <w:t>土壤</w:t>
            </w:r>
            <w:r>
              <w:rPr>
                <w:rFonts w:hint="eastAsia"/>
                <w:b/>
                <w:color w:val="auto"/>
                <w:sz w:val="24"/>
              </w:rPr>
              <w:t>、地下水</w:t>
            </w:r>
          </w:p>
          <w:p w14:paraId="391788D1">
            <w:pPr>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5.1</w:t>
            </w:r>
            <w:r>
              <w:rPr>
                <w:rFonts w:hint="eastAsia" w:ascii="Times New Roman" w:hAnsi="Times New Roman" w:eastAsia="宋体" w:cs="Times New Roman"/>
                <w:color w:val="auto"/>
                <w:kern w:val="2"/>
                <w:sz w:val="24"/>
                <w:szCs w:val="24"/>
                <w:lang w:val="en-US" w:eastAsia="zh-CN" w:bidi="ar-SA"/>
              </w:rPr>
              <w:t>地下水、土壤污染途径分析</w:t>
            </w:r>
          </w:p>
          <w:p w14:paraId="50EA755E">
            <w:pPr>
              <w:spacing w:line="360" w:lineRule="auto"/>
              <w:ind w:firstLine="480"/>
              <w:rPr>
                <w:rFonts w:ascii="Times New Roman" w:hAnsi="Times New Roman" w:eastAsia="宋体" w:cs="Times New Roman"/>
                <w:color w:val="auto"/>
                <w:sz w:val="24"/>
                <w:szCs w:val="22"/>
              </w:rPr>
            </w:pPr>
            <w:r>
              <w:rPr>
                <w:rFonts w:ascii="Times New Roman" w:hAnsi="Times New Roman" w:eastAsia="宋体" w:cs="Times New Roman"/>
                <w:color w:val="auto"/>
                <w:sz w:val="24"/>
                <w:szCs w:val="22"/>
              </w:rPr>
              <w:t>本项目不处于集中式饮用水水源保护区及其补给径流区，不处于分散式饮用水水源地，不处于特殊地下水资源（如矿泉水、温泉等）保护区等地下水敏感和较敏感区。</w:t>
            </w:r>
          </w:p>
          <w:p w14:paraId="4FC47CBC">
            <w:pPr>
              <w:spacing w:line="360" w:lineRule="auto"/>
              <w:ind w:firstLine="480" w:firstLineChars="200"/>
              <w:rPr>
                <w:rFonts w:ascii="Times New Roman" w:hAnsi="Times New Roman" w:eastAsia="Times New Roman" w:cs="Times New Roman"/>
                <w:color w:val="auto"/>
                <w:sz w:val="24"/>
                <w:szCs w:val="22"/>
              </w:rPr>
            </w:pPr>
            <w:r>
              <w:rPr>
                <w:rFonts w:ascii="Times New Roman" w:hAnsi="Times New Roman" w:eastAsia="Times New Roman" w:cs="Times New Roman"/>
                <w:color w:val="auto"/>
                <w:sz w:val="24"/>
                <w:szCs w:val="22"/>
              </w:rPr>
              <w:t>本项目正常情况下，</w:t>
            </w:r>
            <w:r>
              <w:rPr>
                <w:rFonts w:hint="eastAsia" w:eastAsia="宋体" w:cs="Times New Roman"/>
                <w:color w:val="auto"/>
                <w:sz w:val="24"/>
                <w:szCs w:val="22"/>
                <w:lang w:eastAsia="zh-CN"/>
              </w:rPr>
              <w:t>生产车间</w:t>
            </w:r>
            <w:r>
              <w:rPr>
                <w:rFonts w:ascii="Times New Roman" w:hAnsi="Times New Roman" w:eastAsia="Times New Roman" w:cs="Times New Roman"/>
                <w:color w:val="auto"/>
                <w:sz w:val="24"/>
                <w:szCs w:val="22"/>
              </w:rPr>
              <w:t>、</w:t>
            </w:r>
            <w:r>
              <w:rPr>
                <w:rFonts w:hint="eastAsia" w:eastAsia="宋体" w:cs="Times New Roman"/>
                <w:color w:val="auto"/>
                <w:sz w:val="24"/>
                <w:szCs w:val="22"/>
                <w:lang w:val="en-US" w:eastAsia="zh-CN"/>
              </w:rPr>
              <w:t>洗车台沉淀池、</w:t>
            </w:r>
            <w:r>
              <w:rPr>
                <w:rFonts w:ascii="Times New Roman" w:hAnsi="Times New Roman" w:eastAsia="Times New Roman" w:cs="Times New Roman"/>
                <w:color w:val="auto"/>
                <w:sz w:val="24"/>
                <w:szCs w:val="22"/>
              </w:rPr>
              <w:t>化粪池</w:t>
            </w:r>
            <w:r>
              <w:rPr>
                <w:rFonts w:hint="eastAsia" w:eastAsia="宋体" w:cs="Times New Roman"/>
                <w:color w:val="auto"/>
                <w:sz w:val="24"/>
                <w:szCs w:val="22"/>
                <w:lang w:val="en-US" w:eastAsia="zh-CN"/>
              </w:rPr>
              <w:t>等</w:t>
            </w:r>
            <w:r>
              <w:rPr>
                <w:rFonts w:ascii="Times New Roman" w:hAnsi="Times New Roman" w:eastAsia="Times New Roman" w:cs="Times New Roman"/>
                <w:color w:val="auto"/>
                <w:sz w:val="24"/>
                <w:szCs w:val="22"/>
              </w:rPr>
              <w:t>均采取防渗措施，无污染途径，对地下水和土壤均无影响，</w:t>
            </w:r>
            <w:r>
              <w:rPr>
                <w:rFonts w:hint="eastAsia" w:ascii="Times New Roman" w:hAnsi="Times New Roman" w:eastAsia="Times New Roman" w:cs="Times New Roman"/>
                <w:color w:val="auto"/>
                <w:sz w:val="24"/>
                <w:szCs w:val="22"/>
              </w:rPr>
              <w:t>本项目可能对地下水</w:t>
            </w:r>
            <w:r>
              <w:rPr>
                <w:rFonts w:hint="eastAsia" w:ascii="Times New Roman" w:hAnsi="Times New Roman" w:eastAsia="Times New Roman" w:cs="Times New Roman"/>
                <w:color w:val="auto"/>
                <w:sz w:val="24"/>
                <w:szCs w:val="22"/>
                <w:lang w:eastAsia="zh-CN"/>
              </w:rPr>
              <w:t>、土壤</w:t>
            </w:r>
            <w:r>
              <w:rPr>
                <w:rFonts w:hint="eastAsia" w:ascii="Times New Roman" w:hAnsi="Times New Roman" w:eastAsia="Times New Roman" w:cs="Times New Roman"/>
                <w:color w:val="auto"/>
                <w:sz w:val="24"/>
                <w:szCs w:val="22"/>
              </w:rPr>
              <w:t>产生影响的环节</w:t>
            </w:r>
            <w:r>
              <w:rPr>
                <w:rFonts w:ascii="Times New Roman" w:hAnsi="Times New Roman" w:eastAsia="Times New Roman" w:cs="Times New Roman"/>
                <w:color w:val="auto"/>
                <w:sz w:val="24"/>
                <w:szCs w:val="22"/>
              </w:rPr>
              <w:t>主要是在事故状态下。</w:t>
            </w:r>
          </w:p>
          <w:p w14:paraId="68903B4B">
            <w:pPr>
              <w:spacing w:line="360" w:lineRule="auto"/>
              <w:ind w:firstLine="480" w:firstLineChars="200"/>
              <w:rPr>
                <w:rFonts w:hint="eastAsia" w:ascii="Times New Roman" w:hAnsi="宋体" w:eastAsia="宋体" w:cs="Times New Roman"/>
                <w:color w:val="auto"/>
                <w:sz w:val="24"/>
                <w:szCs w:val="20"/>
                <w:lang w:eastAsia="zh-CN"/>
              </w:rPr>
            </w:pPr>
            <w:r>
              <w:rPr>
                <w:rFonts w:ascii="Times New Roman" w:hAnsi="Times New Roman" w:eastAsia="Times New Roman" w:cs="Times New Roman"/>
                <w:color w:val="auto"/>
                <w:sz w:val="24"/>
                <w:szCs w:val="22"/>
              </w:rPr>
              <w:t>一般情况下，</w:t>
            </w:r>
            <w:r>
              <w:rPr>
                <w:rFonts w:hint="eastAsia" w:ascii="Times New Roman" w:hAnsi="Times New Roman" w:eastAsia="Times New Roman" w:cs="Times New Roman"/>
                <w:color w:val="auto"/>
                <w:sz w:val="24"/>
                <w:szCs w:val="22"/>
              </w:rPr>
              <w:t>项目</w:t>
            </w:r>
            <w:r>
              <w:rPr>
                <w:rFonts w:ascii="Times New Roman" w:hAnsi="Times New Roman" w:eastAsia="Times New Roman" w:cs="Times New Roman"/>
                <w:color w:val="auto"/>
                <w:sz w:val="24"/>
                <w:szCs w:val="22"/>
              </w:rPr>
              <w:t>污染地下水</w:t>
            </w:r>
            <w:r>
              <w:rPr>
                <w:rFonts w:hint="eastAsia" w:ascii="Times New Roman" w:hAnsi="Times New Roman" w:eastAsia="宋体" w:cs="Times New Roman"/>
                <w:color w:val="auto"/>
                <w:sz w:val="24"/>
                <w:szCs w:val="22"/>
                <w:lang w:eastAsia="zh-CN"/>
              </w:rPr>
              <w:t>、土壤</w:t>
            </w:r>
            <w:r>
              <w:rPr>
                <w:rFonts w:ascii="Times New Roman" w:hAnsi="Times New Roman" w:eastAsia="Times New Roman" w:cs="Times New Roman"/>
                <w:color w:val="auto"/>
                <w:sz w:val="24"/>
                <w:szCs w:val="22"/>
              </w:rPr>
              <w:t>的途径主要是通过包气带渗漏污染和通过河流侧渗或垂直渗漏。</w:t>
            </w:r>
            <w:r>
              <w:rPr>
                <w:rFonts w:hint="eastAsia" w:ascii="Times New Roman" w:hAnsi="Times New Roman" w:eastAsia="Times New Roman" w:cs="Times New Roman"/>
                <w:color w:val="auto"/>
                <w:sz w:val="24"/>
                <w:szCs w:val="22"/>
              </w:rPr>
              <w:t>本项目可能对地下水</w:t>
            </w:r>
            <w:r>
              <w:rPr>
                <w:rFonts w:hint="eastAsia" w:ascii="Times New Roman" w:hAnsi="Times New Roman" w:eastAsia="宋体" w:cs="Times New Roman"/>
                <w:color w:val="auto"/>
                <w:sz w:val="24"/>
                <w:szCs w:val="22"/>
                <w:lang w:eastAsia="zh-CN"/>
              </w:rPr>
              <w:t>、土壤</w:t>
            </w:r>
            <w:r>
              <w:rPr>
                <w:rFonts w:hint="eastAsia" w:ascii="Times New Roman" w:hAnsi="Times New Roman" w:eastAsia="Times New Roman" w:cs="Times New Roman"/>
                <w:color w:val="auto"/>
                <w:sz w:val="24"/>
                <w:szCs w:val="22"/>
              </w:rPr>
              <w:t>产生影响的环节主要是化粪池渗滤液下渗对周围地下水造成污染。</w:t>
            </w:r>
            <w:r>
              <w:rPr>
                <w:rFonts w:ascii="Times New Roman" w:hAnsi="宋体" w:eastAsia="Times New Roman" w:cs="Times New Roman"/>
                <w:color w:val="auto"/>
                <w:sz w:val="24"/>
                <w:szCs w:val="20"/>
              </w:rPr>
              <w:t>为防止项目污染地下水</w:t>
            </w:r>
            <w:r>
              <w:rPr>
                <w:rFonts w:hint="eastAsia" w:ascii="Times New Roman" w:hAnsi="宋体" w:eastAsia="宋体" w:cs="Times New Roman"/>
                <w:color w:val="auto"/>
                <w:sz w:val="24"/>
                <w:szCs w:val="20"/>
                <w:lang w:eastAsia="zh-CN"/>
              </w:rPr>
              <w:t>、土壤</w:t>
            </w:r>
            <w:r>
              <w:rPr>
                <w:rFonts w:ascii="Times New Roman" w:hAnsi="宋体" w:eastAsia="Times New Roman" w:cs="Times New Roman"/>
                <w:color w:val="auto"/>
                <w:sz w:val="24"/>
                <w:szCs w:val="20"/>
              </w:rPr>
              <w:t>，</w:t>
            </w:r>
            <w:r>
              <w:rPr>
                <w:rFonts w:hint="eastAsia" w:ascii="Times New Roman" w:hAnsi="Times New Roman" w:eastAsia="宋体" w:cs="Times New Roman"/>
                <w:color w:val="auto"/>
                <w:kern w:val="0"/>
                <w:sz w:val="24"/>
                <w:lang w:eastAsia="zh-CN"/>
              </w:rPr>
              <w:t>项目</w:t>
            </w:r>
            <w:r>
              <w:rPr>
                <w:rFonts w:hint="eastAsia" w:ascii="Times New Roman" w:hAnsi="Times New Roman" w:eastAsia="Times New Roman" w:cs="Times New Roman"/>
                <w:color w:val="auto"/>
                <w:kern w:val="0"/>
                <w:sz w:val="24"/>
              </w:rPr>
              <w:t>按照“源头控制、分区防控、污染监控、应急响应”的地下水环境保护原则，</w:t>
            </w:r>
            <w:r>
              <w:rPr>
                <w:rFonts w:hint="eastAsia" w:ascii="Times New Roman" w:hAnsi="宋体" w:eastAsia="Times New Roman" w:cs="Times New Roman"/>
                <w:color w:val="auto"/>
                <w:sz w:val="24"/>
                <w:szCs w:val="20"/>
              </w:rPr>
              <w:t>对厂区进行分区防控</w:t>
            </w:r>
            <w:r>
              <w:rPr>
                <w:rFonts w:hint="eastAsia" w:ascii="Times New Roman" w:hAnsi="宋体" w:eastAsia="宋体" w:cs="Times New Roman"/>
                <w:color w:val="auto"/>
                <w:sz w:val="24"/>
                <w:szCs w:val="20"/>
                <w:lang w:eastAsia="zh-CN"/>
              </w:rPr>
              <w:t>。</w:t>
            </w:r>
          </w:p>
          <w:p w14:paraId="31A2AD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color w:val="auto"/>
                <w:sz w:val="24"/>
                <w:szCs w:val="22"/>
                <w:lang w:val="en-US" w:eastAsia="zh-CN"/>
              </w:rPr>
            </w:pPr>
            <w:r>
              <w:rPr>
                <w:rFonts w:ascii="Times New Roman" w:hAnsi="Times New Roman" w:eastAsia="宋体" w:cs="Times New Roman"/>
                <w:b/>
                <w:color w:val="auto"/>
                <w:sz w:val="24"/>
                <w:szCs w:val="22"/>
              </w:rPr>
              <w:t>表</w:t>
            </w:r>
            <w:r>
              <w:rPr>
                <w:rFonts w:hint="eastAsia" w:ascii="Times New Roman" w:hAnsi="Times New Roman" w:eastAsia="宋体" w:cs="Times New Roman"/>
                <w:b/>
                <w:color w:val="auto"/>
                <w:sz w:val="24"/>
                <w:szCs w:val="22"/>
              </w:rPr>
              <w:t>4-1</w:t>
            </w:r>
            <w:r>
              <w:rPr>
                <w:rFonts w:hint="eastAsia" w:cs="Times New Roman"/>
                <w:b/>
                <w:color w:val="auto"/>
                <w:sz w:val="24"/>
                <w:szCs w:val="22"/>
                <w:lang w:val="en-US" w:eastAsia="zh-CN"/>
              </w:rPr>
              <w:t xml:space="preserve">2  </w:t>
            </w:r>
            <w:r>
              <w:rPr>
                <w:rFonts w:hint="eastAsia" w:ascii="Times New Roman" w:hAnsi="Times New Roman" w:eastAsia="宋体" w:cs="Times New Roman"/>
                <w:b/>
                <w:color w:val="auto"/>
                <w:sz w:val="24"/>
                <w:szCs w:val="22"/>
                <w:lang w:val="en-US" w:eastAsia="zh-CN"/>
              </w:rPr>
              <w:t>项目地下水、土壤环境影响源及影响因子识别表</w:t>
            </w:r>
          </w:p>
          <w:tbl>
            <w:tblPr>
              <w:tblStyle w:val="33"/>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65"/>
              <w:gridCol w:w="1892"/>
              <w:gridCol w:w="2325"/>
              <w:gridCol w:w="1732"/>
            </w:tblGrid>
            <w:tr w14:paraId="68E5A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noWrap w:val="0"/>
                  <w:vAlign w:val="center"/>
                </w:tcPr>
                <w:p w14:paraId="29C13B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序号</w:t>
                  </w:r>
                </w:p>
              </w:tc>
              <w:tc>
                <w:tcPr>
                  <w:tcW w:w="2165" w:type="dxa"/>
                  <w:noWrap w:val="0"/>
                  <w:vAlign w:val="center"/>
                </w:tcPr>
                <w:p w14:paraId="08F08E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w:t>
                  </w:r>
                </w:p>
              </w:tc>
              <w:tc>
                <w:tcPr>
                  <w:tcW w:w="1892" w:type="dxa"/>
                  <w:noWrap w:val="0"/>
                  <w:vAlign w:val="center"/>
                </w:tcPr>
                <w:p w14:paraId="4C933E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污染途径</w:t>
                  </w:r>
                </w:p>
              </w:tc>
              <w:tc>
                <w:tcPr>
                  <w:tcW w:w="2325" w:type="dxa"/>
                  <w:noWrap w:val="0"/>
                  <w:vAlign w:val="center"/>
                </w:tcPr>
                <w:p w14:paraId="2A957B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全部污染物指标</w:t>
                  </w:r>
                </w:p>
              </w:tc>
              <w:tc>
                <w:tcPr>
                  <w:tcW w:w="1732" w:type="dxa"/>
                  <w:noWrap w:val="0"/>
                  <w:vAlign w:val="center"/>
                </w:tcPr>
                <w:p w14:paraId="1C808F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14:paraId="4EDB1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noWrap w:val="0"/>
                  <w:vAlign w:val="center"/>
                </w:tcPr>
                <w:p w14:paraId="6AA064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2165" w:type="dxa"/>
                  <w:noWrap w:val="0"/>
                  <w:vAlign w:val="center"/>
                </w:tcPr>
                <w:p w14:paraId="58FF92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rPr>
                    <w:t>化粪池</w:t>
                  </w:r>
                </w:p>
              </w:tc>
              <w:tc>
                <w:tcPr>
                  <w:tcW w:w="1892" w:type="dxa"/>
                  <w:noWrap w:val="0"/>
                  <w:vAlign w:val="center"/>
                </w:tcPr>
                <w:p w14:paraId="16CE8F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rPr>
                    <w:t>垂直入渗</w:t>
                  </w:r>
                </w:p>
              </w:tc>
              <w:tc>
                <w:tcPr>
                  <w:tcW w:w="2325" w:type="dxa"/>
                  <w:noWrap w:val="0"/>
                  <w:vAlign w:val="center"/>
                </w:tcPr>
                <w:p w14:paraId="46336A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COD</w:t>
                  </w:r>
                  <w:r>
                    <w:rPr>
                      <w:rFonts w:hint="eastAsia" w:ascii="Times New Roman" w:hAnsi="Times New Roman" w:eastAsia="宋体" w:cs="Times New Roman"/>
                      <w:color w:val="auto"/>
                      <w:kern w:val="2"/>
                      <w:sz w:val="21"/>
                      <w:szCs w:val="21"/>
                      <w:lang w:val="en-US" w:eastAsia="zh-CN" w:bidi="ar-SA"/>
                    </w:rPr>
                    <w:t>cr</w:t>
                  </w:r>
                  <w:r>
                    <w:rPr>
                      <w:rFonts w:hint="default" w:ascii="Times New Roman" w:hAnsi="Times New Roman" w:eastAsia="宋体" w:cs="Times New Roman"/>
                      <w:color w:val="auto"/>
                      <w:kern w:val="2"/>
                      <w:sz w:val="21"/>
                      <w:szCs w:val="21"/>
                      <w:lang w:val="en-US" w:eastAsia="zh-CN" w:bidi="ar-SA"/>
                    </w:rPr>
                    <w:t>、氨氮等</w:t>
                  </w:r>
                </w:p>
              </w:tc>
              <w:tc>
                <w:tcPr>
                  <w:tcW w:w="1732" w:type="dxa"/>
                  <w:noWrap w:val="0"/>
                  <w:vAlign w:val="center"/>
                </w:tcPr>
                <w:p w14:paraId="512C1D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w:t>
                  </w:r>
                </w:p>
              </w:tc>
            </w:tr>
            <w:tr w14:paraId="152CA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noWrap w:val="0"/>
                  <w:vAlign w:val="center"/>
                </w:tcPr>
                <w:p w14:paraId="243E8A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2165" w:type="dxa"/>
                  <w:noWrap w:val="0"/>
                  <w:vAlign w:val="center"/>
                </w:tcPr>
                <w:p w14:paraId="2BCB7B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cs="Times New Roman"/>
                      <w:color w:val="auto"/>
                      <w:sz w:val="21"/>
                      <w:szCs w:val="21"/>
                      <w:lang w:val="en-US" w:eastAsia="zh-CN"/>
                    </w:rPr>
                    <w:t>洗车台沉淀池</w:t>
                  </w:r>
                </w:p>
              </w:tc>
              <w:tc>
                <w:tcPr>
                  <w:tcW w:w="1892" w:type="dxa"/>
                  <w:noWrap w:val="0"/>
                  <w:vAlign w:val="center"/>
                </w:tcPr>
                <w:p w14:paraId="142E05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垂直入渗</w:t>
                  </w:r>
                </w:p>
              </w:tc>
              <w:tc>
                <w:tcPr>
                  <w:tcW w:w="2325" w:type="dxa"/>
                  <w:noWrap w:val="0"/>
                  <w:vAlign w:val="center"/>
                </w:tcPr>
                <w:p w14:paraId="376D9D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SS</w:t>
                  </w:r>
                  <w:r>
                    <w:rPr>
                      <w:rFonts w:hint="default" w:ascii="Times New Roman" w:hAnsi="Times New Roman" w:eastAsia="宋体" w:cs="Times New Roman"/>
                      <w:color w:val="auto"/>
                      <w:kern w:val="2"/>
                      <w:sz w:val="21"/>
                      <w:szCs w:val="21"/>
                      <w:lang w:val="en-US" w:eastAsia="zh-CN" w:bidi="ar-SA"/>
                    </w:rPr>
                    <w:t>等</w:t>
                  </w:r>
                </w:p>
              </w:tc>
              <w:tc>
                <w:tcPr>
                  <w:tcW w:w="1732" w:type="dxa"/>
                  <w:noWrap w:val="0"/>
                  <w:vAlign w:val="center"/>
                </w:tcPr>
                <w:p w14:paraId="514E2F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bl>
          <w:p w14:paraId="41E00697">
            <w:pPr>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5.2防控措施</w:t>
            </w:r>
          </w:p>
          <w:p w14:paraId="22D4CBF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bCs/>
                <w:color w:val="auto"/>
                <w:sz w:val="24"/>
              </w:rPr>
            </w:pPr>
            <w:r>
              <w:rPr>
                <w:rFonts w:hint="eastAsia"/>
                <w:bCs/>
                <w:color w:val="auto"/>
                <w:sz w:val="24"/>
              </w:rPr>
              <w:t>为防止事故情况下泄漏物质对项目所在地土壤和地下水产生污染，本环评提出源头控制</w:t>
            </w:r>
            <w:r>
              <w:rPr>
                <w:rFonts w:hint="eastAsia"/>
                <w:bCs/>
                <w:color w:val="auto"/>
                <w:sz w:val="24"/>
                <w:lang w:eastAsia="zh-CN"/>
              </w:rPr>
              <w:t>、</w:t>
            </w:r>
            <w:r>
              <w:rPr>
                <w:rFonts w:hint="eastAsia"/>
                <w:bCs/>
                <w:color w:val="auto"/>
                <w:sz w:val="24"/>
              </w:rPr>
              <w:t>分区防控要求</w:t>
            </w:r>
            <w:r>
              <w:rPr>
                <w:rFonts w:hint="eastAsia"/>
                <w:bCs/>
                <w:color w:val="auto"/>
                <w:sz w:val="24"/>
                <w:lang w:eastAsia="zh-CN"/>
              </w:rPr>
              <w:t>。</w:t>
            </w:r>
            <w:r>
              <w:rPr>
                <w:rFonts w:hint="eastAsia" w:ascii="Times New Roman" w:hAnsi="Times New Roman" w:eastAsia="宋体" w:cs="Times New Roman"/>
                <w:bCs/>
                <w:color w:val="auto"/>
                <w:sz w:val="24"/>
                <w:lang w:eastAsia="zh-CN"/>
              </w:rPr>
              <w:t>项目污染物类型不涉及重金属或持久性有机物，不设置重点防渗区</w:t>
            </w:r>
            <w:r>
              <w:rPr>
                <w:rFonts w:hint="eastAsia" w:cs="Times New Roman"/>
                <w:bCs/>
                <w:color w:val="auto"/>
                <w:sz w:val="24"/>
                <w:lang w:eastAsia="zh-CN"/>
              </w:rPr>
              <w:t>，</w:t>
            </w:r>
            <w:r>
              <w:rPr>
                <w:rFonts w:hint="eastAsia"/>
                <w:bCs/>
                <w:color w:val="auto"/>
                <w:sz w:val="24"/>
                <w:lang w:eastAsia="zh-CN"/>
              </w:rPr>
              <w:t>化粪池、</w:t>
            </w:r>
            <w:r>
              <w:rPr>
                <w:rFonts w:hint="eastAsia"/>
                <w:bCs/>
                <w:color w:val="auto"/>
                <w:sz w:val="24"/>
                <w:lang w:val="en-US" w:eastAsia="zh-CN"/>
              </w:rPr>
              <w:t>洗车台沉淀池</w:t>
            </w:r>
            <w:r>
              <w:rPr>
                <w:rFonts w:hint="eastAsia"/>
                <w:bCs/>
                <w:color w:val="auto"/>
                <w:sz w:val="24"/>
                <w:lang w:eastAsia="zh-CN"/>
              </w:rPr>
              <w:t>、</w:t>
            </w:r>
            <w:r>
              <w:rPr>
                <w:rFonts w:hint="eastAsia"/>
                <w:bCs/>
                <w:color w:val="auto"/>
                <w:sz w:val="24"/>
                <w:lang w:val="en-US" w:eastAsia="zh-CN"/>
              </w:rPr>
              <w:t>生产车间其他区域均</w:t>
            </w:r>
            <w:r>
              <w:rPr>
                <w:rFonts w:hint="eastAsia"/>
                <w:bCs/>
                <w:color w:val="auto"/>
                <w:sz w:val="24"/>
                <w:lang w:eastAsia="zh-CN"/>
              </w:rPr>
              <w:t>采取一般防渗措施，</w:t>
            </w:r>
            <w:r>
              <w:rPr>
                <w:rFonts w:hint="eastAsia"/>
                <w:bCs/>
                <w:color w:val="auto"/>
                <w:sz w:val="24"/>
              </w:rPr>
              <w:t>办公区</w:t>
            </w:r>
            <w:r>
              <w:rPr>
                <w:rFonts w:hint="eastAsia"/>
                <w:bCs/>
                <w:color w:val="auto"/>
                <w:sz w:val="24"/>
                <w:lang w:eastAsia="zh-CN"/>
              </w:rPr>
              <w:t>等</w:t>
            </w:r>
            <w:r>
              <w:rPr>
                <w:rFonts w:hint="eastAsia"/>
                <w:bCs/>
                <w:color w:val="auto"/>
                <w:sz w:val="24"/>
              </w:rPr>
              <w:t>采用</w:t>
            </w:r>
            <w:r>
              <w:rPr>
                <w:rFonts w:hint="eastAsia"/>
                <w:bCs/>
                <w:color w:val="auto"/>
                <w:sz w:val="24"/>
                <w:lang w:eastAsia="zh-CN"/>
              </w:rPr>
              <w:t>简单</w:t>
            </w:r>
            <w:r>
              <w:rPr>
                <w:rFonts w:hint="eastAsia"/>
                <w:bCs/>
                <w:color w:val="auto"/>
                <w:sz w:val="24"/>
              </w:rPr>
              <w:t>防渗措施。</w:t>
            </w:r>
          </w:p>
          <w:p w14:paraId="218908E1">
            <w:pPr>
              <w:keepNext w:val="0"/>
              <w:keepLines w:val="0"/>
              <w:pageBreakBefore w:val="0"/>
              <w:widowControl w:val="0"/>
              <w:numPr>
                <w:ilvl w:val="0"/>
                <w:numId w:val="6"/>
              </w:numPr>
              <w:tabs>
                <w:tab w:val="left" w:pos="6615"/>
              </w:tabs>
              <w:kinsoku/>
              <w:wordWrap/>
              <w:overflowPunct/>
              <w:topLinePunct w:val="0"/>
              <w:autoSpaceDE w:val="0"/>
              <w:autoSpaceDN w:val="0"/>
              <w:bidi w:val="0"/>
              <w:adjustRightInd/>
              <w:snapToGrid/>
              <w:spacing w:line="360" w:lineRule="auto"/>
              <w:ind w:firstLine="480" w:firstLineChars="200"/>
              <w:textAlignment w:val="auto"/>
              <w:rPr>
                <w:rFonts w:hint="eastAsia"/>
                <w:bCs/>
                <w:color w:val="auto"/>
                <w:sz w:val="24"/>
              </w:rPr>
            </w:pPr>
            <w:r>
              <w:rPr>
                <w:rFonts w:hint="eastAsia"/>
                <w:bCs/>
                <w:color w:val="auto"/>
                <w:sz w:val="24"/>
              </w:rPr>
              <w:t>源头控制</w:t>
            </w:r>
          </w:p>
          <w:p w14:paraId="72484C1B">
            <w:pPr>
              <w:pStyle w:val="2"/>
              <w:keepNext w:val="0"/>
              <w:keepLines w:val="0"/>
              <w:pageBreakBefore w:val="0"/>
              <w:widowControl w:val="0"/>
              <w:numPr>
                <w:ilvl w:val="0"/>
                <w:numId w:val="0"/>
              </w:numPr>
              <w:kinsoku/>
              <w:wordWrap/>
              <w:overflowPunct/>
              <w:topLinePunct w:val="0"/>
              <w:bidi w:val="0"/>
              <w:adjustRightInd/>
              <w:snapToGrid/>
              <w:spacing w:after="0" w:line="360" w:lineRule="auto"/>
              <w:ind w:firstLine="480" w:firstLineChars="200"/>
              <w:textAlignment w:val="auto"/>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①加强定期检修和巡查，做好设备的维护、检修，杜绝跑、冒、滴、漏现象。</w:t>
            </w:r>
          </w:p>
          <w:p w14:paraId="21B6A4BF">
            <w:pPr>
              <w:pStyle w:val="2"/>
              <w:keepNext w:val="0"/>
              <w:keepLines w:val="0"/>
              <w:pageBreakBefore w:val="0"/>
              <w:widowControl w:val="0"/>
              <w:numPr>
                <w:ilvl w:val="0"/>
                <w:numId w:val="0"/>
              </w:numPr>
              <w:kinsoku/>
              <w:wordWrap/>
              <w:overflowPunct/>
              <w:topLinePunct w:val="0"/>
              <w:bidi w:val="0"/>
              <w:adjustRightInd/>
              <w:snapToGrid/>
              <w:spacing w:after="0" w:line="360" w:lineRule="auto"/>
              <w:ind w:firstLine="480" w:firstLineChars="200"/>
              <w:textAlignment w:val="auto"/>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②</w:t>
            </w:r>
            <w:r>
              <w:rPr>
                <w:rFonts w:hint="eastAsia" w:cs="Times New Roman"/>
                <w:bCs/>
                <w:color w:val="auto"/>
                <w:sz w:val="24"/>
                <w:lang w:val="en-US" w:eastAsia="zh-CN"/>
              </w:rPr>
              <w:t>化粪池、沉淀池均</w:t>
            </w:r>
            <w:r>
              <w:rPr>
                <w:rFonts w:hint="eastAsia" w:ascii="Times New Roman" w:hAnsi="Times New Roman" w:eastAsia="宋体" w:cs="Times New Roman"/>
                <w:bCs/>
                <w:color w:val="auto"/>
                <w:sz w:val="24"/>
                <w:lang w:val="en-US" w:eastAsia="zh-CN"/>
              </w:rPr>
              <w:t>为混凝土结构</w:t>
            </w:r>
            <w:r>
              <w:rPr>
                <w:rFonts w:hint="eastAsia" w:cs="Times New Roman"/>
                <w:bCs/>
                <w:color w:val="auto"/>
                <w:sz w:val="24"/>
                <w:lang w:val="en-US" w:eastAsia="zh-CN"/>
              </w:rPr>
              <w:t>，</w:t>
            </w:r>
            <w:r>
              <w:rPr>
                <w:rFonts w:hint="eastAsia" w:ascii="Times New Roman" w:hAnsi="Times New Roman" w:eastAsia="宋体" w:cs="Times New Roman"/>
                <w:bCs/>
                <w:color w:val="auto"/>
                <w:sz w:val="24"/>
                <w:lang w:val="en-US" w:eastAsia="zh-CN"/>
              </w:rPr>
              <w:t>设置地面硬化并涂防渗树脂措施，具有良好的抗渗漏性能。</w:t>
            </w:r>
          </w:p>
          <w:p w14:paraId="333A7799">
            <w:pPr>
              <w:pStyle w:val="2"/>
              <w:keepNext w:val="0"/>
              <w:keepLines w:val="0"/>
              <w:pageBreakBefore w:val="0"/>
              <w:widowControl w:val="0"/>
              <w:numPr>
                <w:ilvl w:val="0"/>
                <w:numId w:val="0"/>
              </w:numPr>
              <w:kinsoku/>
              <w:wordWrap/>
              <w:overflowPunct/>
              <w:topLinePunct w:val="0"/>
              <w:bidi w:val="0"/>
              <w:adjustRightInd/>
              <w:snapToGrid/>
              <w:spacing w:after="0" w:line="360" w:lineRule="auto"/>
              <w:ind w:firstLine="480" w:firstLineChars="200"/>
              <w:textAlignment w:val="auto"/>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（2）分区防控措施</w:t>
            </w:r>
          </w:p>
          <w:p w14:paraId="12740F41">
            <w:pPr>
              <w:spacing w:line="360" w:lineRule="auto"/>
              <w:ind w:firstLine="480" w:firstLineChars="200"/>
              <w:rPr>
                <w:rFonts w:ascii="Times New Roman" w:hAnsi="Times New Roman" w:eastAsia="宋体" w:cs="Times New Roman"/>
                <w:color w:val="auto"/>
                <w:sz w:val="24"/>
                <w:szCs w:val="22"/>
              </w:rPr>
            </w:pPr>
            <w:r>
              <w:rPr>
                <w:rFonts w:ascii="Times New Roman" w:hAnsi="Times New Roman" w:eastAsia="宋体" w:cs="Times New Roman"/>
                <w:color w:val="auto"/>
                <w:sz w:val="24"/>
                <w:szCs w:val="22"/>
              </w:rPr>
              <w:t>一般污染防治区防渗层的防渗性能不应低于1.5m厚防渗系数为1.0×10</w:t>
            </w:r>
            <w:r>
              <w:rPr>
                <w:rFonts w:ascii="Times New Roman" w:hAnsi="Times New Roman" w:eastAsia="宋体" w:cs="Times New Roman"/>
                <w:color w:val="auto"/>
                <w:sz w:val="24"/>
                <w:szCs w:val="22"/>
                <w:vertAlign w:val="superscript"/>
              </w:rPr>
              <w:t>-7</w:t>
            </w:r>
            <w:r>
              <w:rPr>
                <w:rFonts w:ascii="Times New Roman" w:hAnsi="Times New Roman" w:eastAsia="宋体" w:cs="Times New Roman"/>
                <w:color w:val="auto"/>
                <w:sz w:val="24"/>
                <w:szCs w:val="22"/>
              </w:rPr>
              <w:t>cm/s的黏土层的防渗性能。防渗层表面刷水泥基防渗涂层或防水砂浆，防渗工程的设计使用年限不低于其防护主体（如设备、管线及建构筑物）的设计使用年限。防渗层可由单一或多种防渗材料组成；干燥气候条件下，不应采用钠基膨润土防水毯防渗层；污染防治区地面应坡向排水口或者排污口；当污染物有腐蚀性时，防渗材料应具有防腐蚀性能或采取防腐蚀措施。</w:t>
            </w:r>
          </w:p>
          <w:p w14:paraId="5B3D8461">
            <w:pPr>
              <w:spacing w:line="360" w:lineRule="auto"/>
              <w:ind w:firstLine="480" w:firstLineChars="200"/>
              <w:rPr>
                <w:rFonts w:hint="eastAsia"/>
                <w:bCs/>
                <w:color w:val="auto"/>
                <w:sz w:val="24"/>
              </w:rPr>
            </w:pPr>
            <w:r>
              <w:rPr>
                <w:rFonts w:hint="eastAsia"/>
                <w:bCs/>
                <w:color w:val="auto"/>
                <w:sz w:val="24"/>
              </w:rPr>
              <w:t>简单污染防治区</w:t>
            </w:r>
            <w:r>
              <w:rPr>
                <w:rFonts w:hint="eastAsia"/>
                <w:bCs/>
                <w:color w:val="auto"/>
                <w:sz w:val="24"/>
                <w:lang w:eastAsia="zh-CN"/>
              </w:rPr>
              <w:t>包括</w:t>
            </w:r>
            <w:r>
              <w:rPr>
                <w:rFonts w:hint="eastAsia"/>
                <w:bCs/>
                <w:color w:val="auto"/>
                <w:sz w:val="24"/>
              </w:rPr>
              <w:t>办公室</w:t>
            </w:r>
            <w:r>
              <w:rPr>
                <w:rFonts w:hint="eastAsia"/>
                <w:bCs/>
                <w:color w:val="auto"/>
                <w:sz w:val="24"/>
                <w:lang w:eastAsia="zh-CN"/>
              </w:rPr>
              <w:t>要求</w:t>
            </w:r>
            <w:r>
              <w:rPr>
                <w:rFonts w:hint="eastAsia"/>
                <w:bCs/>
                <w:color w:val="auto"/>
                <w:sz w:val="24"/>
              </w:rPr>
              <w:t>自然地基采用粘土夯实硬化；混凝土浇筑严格按照相关防渗规定，防止出现混凝土裂缝。</w:t>
            </w:r>
          </w:p>
          <w:p w14:paraId="7E6BD3B5">
            <w:pPr>
              <w:spacing w:line="360" w:lineRule="auto"/>
              <w:ind w:firstLine="480" w:firstLineChars="200"/>
              <w:rPr>
                <w:rFonts w:hint="eastAsia"/>
                <w:bCs/>
                <w:color w:val="auto"/>
                <w:sz w:val="24"/>
                <w:lang w:eastAsia="zh-CN"/>
              </w:rPr>
            </w:pPr>
            <w:r>
              <w:rPr>
                <w:rFonts w:hint="eastAsia"/>
                <w:bCs/>
                <w:color w:val="auto"/>
                <w:sz w:val="24"/>
              </w:rPr>
              <w:t>本项目通过严格落实各项环保治理措施，对</w:t>
            </w:r>
            <w:r>
              <w:rPr>
                <w:rFonts w:hint="eastAsia"/>
                <w:bCs/>
                <w:color w:val="auto"/>
                <w:sz w:val="24"/>
                <w:lang w:eastAsia="zh-CN"/>
              </w:rPr>
              <w:t>化粪池、</w:t>
            </w:r>
            <w:r>
              <w:rPr>
                <w:rFonts w:hint="eastAsia"/>
                <w:bCs/>
                <w:color w:val="auto"/>
                <w:sz w:val="24"/>
                <w:lang w:val="en-US" w:eastAsia="zh-CN"/>
              </w:rPr>
              <w:t>沉淀池</w:t>
            </w:r>
            <w:r>
              <w:rPr>
                <w:rFonts w:hint="eastAsia"/>
                <w:bCs/>
                <w:color w:val="auto"/>
                <w:sz w:val="24"/>
              </w:rPr>
              <w:t>进行严格的防渗漏处理后，可减轻</w:t>
            </w:r>
            <w:r>
              <w:rPr>
                <w:rFonts w:hint="eastAsia"/>
                <w:bCs/>
                <w:color w:val="auto"/>
                <w:sz w:val="24"/>
                <w:lang w:eastAsia="zh-CN"/>
              </w:rPr>
              <w:t>污染物</w:t>
            </w:r>
            <w:r>
              <w:rPr>
                <w:rFonts w:hint="eastAsia"/>
                <w:bCs/>
                <w:color w:val="auto"/>
                <w:sz w:val="24"/>
              </w:rPr>
              <w:t>下渗对</w:t>
            </w:r>
            <w:r>
              <w:rPr>
                <w:rFonts w:hint="eastAsia" w:ascii="Times New Roman" w:hAnsi="Times New Roman" w:eastAsia="宋体" w:cs="Times New Roman"/>
                <w:color w:val="auto"/>
                <w:kern w:val="2"/>
                <w:sz w:val="24"/>
                <w:szCs w:val="24"/>
                <w:lang w:val="en-US" w:eastAsia="zh-CN" w:bidi="ar-SA"/>
              </w:rPr>
              <w:t>土壤、</w:t>
            </w:r>
            <w:r>
              <w:rPr>
                <w:rFonts w:hint="eastAsia"/>
                <w:bCs/>
                <w:color w:val="auto"/>
                <w:sz w:val="24"/>
              </w:rPr>
              <w:t>地下水可能造成的污染，公司只要严格执行各项规章制度，加强生产管理，防止废水的跑、冒、滴、漏，项目投产后基本不会对评价区内</w:t>
            </w:r>
            <w:r>
              <w:rPr>
                <w:rFonts w:hint="eastAsia"/>
                <w:bCs/>
                <w:color w:val="auto"/>
                <w:sz w:val="24"/>
                <w:lang w:val="en-US" w:eastAsia="zh-CN"/>
              </w:rPr>
              <w:t>土壤、</w:t>
            </w:r>
            <w:r>
              <w:rPr>
                <w:rFonts w:hint="eastAsia"/>
                <w:bCs/>
                <w:color w:val="auto"/>
                <w:sz w:val="24"/>
              </w:rPr>
              <w:t>地下水造成负面影响。因此，项目建设对</w:t>
            </w:r>
            <w:r>
              <w:rPr>
                <w:rFonts w:hint="eastAsia"/>
                <w:bCs/>
                <w:color w:val="auto"/>
                <w:sz w:val="24"/>
                <w:lang w:val="en-US" w:eastAsia="zh-CN"/>
              </w:rPr>
              <w:t>土壤、</w:t>
            </w:r>
            <w:r>
              <w:rPr>
                <w:rFonts w:hint="eastAsia"/>
                <w:bCs/>
                <w:color w:val="auto"/>
                <w:sz w:val="24"/>
              </w:rPr>
              <w:t>地下水产生的影响较小</w:t>
            </w:r>
            <w:r>
              <w:rPr>
                <w:rFonts w:hint="eastAsia"/>
                <w:bCs/>
                <w:color w:val="auto"/>
                <w:sz w:val="24"/>
                <w:lang w:eastAsia="zh-CN"/>
              </w:rPr>
              <w:t>。</w:t>
            </w:r>
          </w:p>
          <w:p w14:paraId="7086B7C3">
            <w:pPr>
              <w:spacing w:line="360" w:lineRule="auto"/>
              <w:rPr>
                <w:rFonts w:hint="default" w:ascii="Times New Roman" w:hAnsi="Times New Roman" w:cs="Times New Roman"/>
                <w:b/>
                <w:bCs/>
                <w:color w:val="auto"/>
                <w:kern w:val="0"/>
                <w:sz w:val="24"/>
                <w:szCs w:val="22"/>
              </w:rPr>
            </w:pPr>
            <w:r>
              <w:rPr>
                <w:rFonts w:hint="eastAsia" w:ascii="Times New Roman" w:hAnsi="Times New Roman" w:cs="Times New Roman"/>
                <w:b/>
                <w:bCs/>
                <w:color w:val="auto"/>
                <w:kern w:val="0"/>
                <w:sz w:val="24"/>
                <w:szCs w:val="22"/>
                <w:lang w:val="en-US" w:eastAsia="zh-CN"/>
              </w:rPr>
              <w:t>6</w:t>
            </w:r>
            <w:r>
              <w:rPr>
                <w:rFonts w:hint="default" w:ascii="Times New Roman" w:hAnsi="Times New Roman" w:cs="Times New Roman"/>
                <w:b/>
                <w:bCs/>
                <w:color w:val="auto"/>
                <w:kern w:val="0"/>
                <w:sz w:val="24"/>
                <w:szCs w:val="22"/>
              </w:rPr>
              <w:t>、生态环境影响分析</w:t>
            </w:r>
          </w:p>
          <w:p w14:paraId="200E1AFE">
            <w:pPr>
              <w:spacing w:line="360" w:lineRule="auto"/>
              <w:ind w:firstLine="480" w:firstLineChars="200"/>
              <w:rPr>
                <w:rFonts w:hint="default" w:ascii="Times New Roman" w:hAnsi="Times New Roman" w:cs="Times New Roman"/>
                <w:color w:val="auto"/>
                <w:kern w:val="0"/>
                <w:sz w:val="24"/>
                <w:szCs w:val="22"/>
              </w:rPr>
            </w:pPr>
            <w:r>
              <w:rPr>
                <w:rFonts w:hint="default" w:ascii="Times New Roman" w:hAnsi="Times New Roman" w:cs="Times New Roman"/>
                <w:color w:val="auto"/>
                <w:kern w:val="0"/>
                <w:sz w:val="24"/>
                <w:szCs w:val="22"/>
              </w:rPr>
              <w:t>本项目占地周围无生态环境保护目标，加强厂区绿化</w:t>
            </w:r>
            <w:r>
              <w:rPr>
                <w:rFonts w:hint="eastAsia" w:ascii="Times New Roman" w:hAnsi="Times New Roman" w:cs="Times New Roman"/>
                <w:color w:val="auto"/>
                <w:kern w:val="0"/>
                <w:sz w:val="24"/>
                <w:szCs w:val="22"/>
                <w:lang w:eastAsia="zh-CN"/>
              </w:rPr>
              <w:t>，</w:t>
            </w:r>
            <w:r>
              <w:rPr>
                <w:rFonts w:hint="default" w:ascii="Times New Roman" w:hAnsi="Times New Roman" w:cs="Times New Roman"/>
                <w:color w:val="auto"/>
                <w:kern w:val="0"/>
                <w:sz w:val="24"/>
                <w:szCs w:val="22"/>
              </w:rPr>
              <w:t>项目不会对周边生态环境产生影响。</w:t>
            </w:r>
          </w:p>
          <w:p w14:paraId="5EC108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24"/>
              </w:rPr>
            </w:pPr>
            <w:r>
              <w:rPr>
                <w:rFonts w:hint="eastAsia"/>
                <w:b/>
                <w:bCs/>
                <w:color w:val="auto"/>
                <w:sz w:val="24"/>
                <w:lang w:val="en-US" w:eastAsia="zh-CN"/>
              </w:rPr>
              <w:t>7</w:t>
            </w:r>
            <w:r>
              <w:rPr>
                <w:rFonts w:hint="eastAsia"/>
                <w:b/>
                <w:bCs/>
                <w:color w:val="auto"/>
                <w:sz w:val="24"/>
                <w:lang w:eastAsia="zh-CN"/>
              </w:rPr>
              <w:t>、</w:t>
            </w:r>
            <w:r>
              <w:rPr>
                <w:rFonts w:hint="eastAsia"/>
                <w:b/>
                <w:bCs/>
                <w:color w:val="auto"/>
                <w:sz w:val="24"/>
              </w:rPr>
              <w:t>环境风险</w:t>
            </w:r>
          </w:p>
          <w:p w14:paraId="59ACC010">
            <w:pPr>
              <w:snapToGrid w:val="0"/>
              <w:spacing w:line="360" w:lineRule="auto"/>
              <w:ind w:firstLine="480" w:firstLineChars="200"/>
              <w:rPr>
                <w:rFonts w:hint="default"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val="en-US" w:eastAsia="zh-CN"/>
              </w:rPr>
              <w:t>7.1</w:t>
            </w:r>
            <w:r>
              <w:rPr>
                <w:rFonts w:hint="default" w:ascii="Times New Roman" w:hAnsi="Times New Roman" w:cs="Times New Roman"/>
                <w:b w:val="0"/>
                <w:bCs w:val="0"/>
                <w:color w:val="auto"/>
                <w:sz w:val="24"/>
                <w:szCs w:val="24"/>
              </w:rPr>
              <w:t>评价依据</w:t>
            </w:r>
          </w:p>
          <w:p w14:paraId="1CDA709E">
            <w:pPr>
              <w:keepNext w:val="0"/>
              <w:keepLines w:val="0"/>
              <w:pageBreakBefore w:val="0"/>
              <w:widowControl w:val="0"/>
              <w:kinsoku/>
              <w:wordWrap/>
              <w:overflowPunct/>
              <w:bidi w:val="0"/>
              <w:spacing w:line="360" w:lineRule="auto"/>
              <w:ind w:left="0" w:right="0" w:firstLine="480" w:firstLineChars="200"/>
              <w:jc w:val="left"/>
              <w:textAlignment w:val="auto"/>
              <w:outlineLvl w:val="1"/>
              <w:rPr>
                <w:bCs/>
                <w:color w:val="auto"/>
                <w:sz w:val="24"/>
                <w:szCs w:val="24"/>
              </w:rPr>
            </w:pPr>
            <w:r>
              <w:rPr>
                <w:bCs/>
                <w:color w:val="auto"/>
                <w:sz w:val="24"/>
                <w:szCs w:val="24"/>
              </w:rPr>
              <w:t>（1）风险调查</w:t>
            </w:r>
          </w:p>
          <w:p w14:paraId="320FA56B">
            <w:pPr>
              <w:keepNext w:val="0"/>
              <w:keepLines w:val="0"/>
              <w:pageBreakBefore w:val="0"/>
              <w:widowControl w:val="0"/>
              <w:kinsoku/>
              <w:wordWrap/>
              <w:overflowPunct/>
              <w:bidi w:val="0"/>
              <w:spacing w:line="360" w:lineRule="auto"/>
              <w:ind w:left="0" w:right="0" w:firstLine="472" w:firstLineChars="200"/>
              <w:jc w:val="left"/>
              <w:textAlignment w:val="auto"/>
              <w:rPr>
                <w:color w:val="auto"/>
                <w:sz w:val="24"/>
                <w:szCs w:val="24"/>
              </w:rPr>
            </w:pPr>
            <w:r>
              <w:rPr>
                <w:bCs/>
                <w:color w:val="auto"/>
                <w:spacing w:val="-2"/>
                <w:sz w:val="24"/>
                <w:szCs w:val="24"/>
              </w:rPr>
              <w:t>本项目在生产过程中</w:t>
            </w:r>
            <w:r>
              <w:rPr>
                <w:color w:val="auto"/>
                <w:sz w:val="24"/>
                <w:szCs w:val="24"/>
              </w:rPr>
              <w:t>不涉及《建设项目环境风险评价技术导则》（HJ169-2018）附录B中的风险物质。</w:t>
            </w:r>
          </w:p>
          <w:p w14:paraId="501704B6">
            <w:pPr>
              <w:keepNext w:val="0"/>
              <w:keepLines w:val="0"/>
              <w:pageBreakBefore w:val="0"/>
              <w:widowControl w:val="0"/>
              <w:kinsoku/>
              <w:wordWrap/>
              <w:overflowPunct/>
              <w:autoSpaceDE w:val="0"/>
              <w:autoSpaceDN w:val="0"/>
              <w:bidi w:val="0"/>
              <w:spacing w:line="360" w:lineRule="auto"/>
              <w:ind w:left="0" w:right="0" w:firstLine="464" w:firstLineChars="200"/>
              <w:jc w:val="left"/>
              <w:textAlignment w:val="auto"/>
              <w:rPr>
                <w:color w:val="auto"/>
                <w:sz w:val="24"/>
                <w:szCs w:val="24"/>
              </w:rPr>
            </w:pPr>
            <w:r>
              <w:rPr>
                <w:color w:val="auto"/>
                <w:spacing w:val="-4"/>
                <w:sz w:val="24"/>
                <w:szCs w:val="24"/>
              </w:rPr>
              <w:t>（2）</w:t>
            </w:r>
            <w:r>
              <w:rPr>
                <w:color w:val="auto"/>
                <w:sz w:val="24"/>
                <w:szCs w:val="24"/>
              </w:rPr>
              <w:t>风险潜势初判</w:t>
            </w:r>
          </w:p>
          <w:p w14:paraId="04658832">
            <w:pPr>
              <w:keepNext w:val="0"/>
              <w:keepLines w:val="0"/>
              <w:pageBreakBefore w:val="0"/>
              <w:widowControl w:val="0"/>
              <w:kinsoku/>
              <w:wordWrap/>
              <w:overflowPunct/>
              <w:autoSpaceDE w:val="0"/>
              <w:autoSpaceDN w:val="0"/>
              <w:bidi w:val="0"/>
              <w:spacing w:line="360" w:lineRule="auto"/>
              <w:ind w:left="0" w:right="0" w:firstLine="480" w:firstLineChars="200"/>
              <w:jc w:val="left"/>
              <w:textAlignment w:val="auto"/>
              <w:rPr>
                <w:color w:val="auto"/>
                <w:spacing w:val="-4"/>
                <w:sz w:val="24"/>
                <w:szCs w:val="24"/>
              </w:rPr>
            </w:pPr>
            <w:r>
              <w:rPr>
                <w:color w:val="auto"/>
                <w:sz w:val="24"/>
                <w:szCs w:val="24"/>
              </w:rPr>
              <w:t>根据</w:t>
            </w:r>
            <w:r>
              <w:rPr>
                <w:color w:val="auto"/>
                <w:spacing w:val="-4"/>
                <w:sz w:val="24"/>
                <w:szCs w:val="24"/>
              </w:rPr>
              <w:t>《建设项目环境风险评价技术导则》（HJ169-2018），首先计算危险物质数量与临界量比值Q。</w:t>
            </w:r>
          </w:p>
          <w:p w14:paraId="1C42D153">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both"/>
              <w:textAlignment w:val="auto"/>
              <w:rPr>
                <w:color w:val="auto"/>
                <w:sz w:val="24"/>
                <w:szCs w:val="24"/>
              </w:rPr>
            </w:pPr>
            <w:r>
              <w:rPr>
                <w:color w:val="auto"/>
                <w:sz w:val="24"/>
                <w:szCs w:val="24"/>
              </w:rPr>
              <w:drawing>
                <wp:inline distT="0" distB="0" distL="114300" distR="114300">
                  <wp:extent cx="5695950" cy="1104900"/>
                  <wp:effectExtent l="0" t="0" r="0" b="0"/>
                  <wp:docPr id="1" name="图片 1" descr="C:\Users\ADMINI~1\AppData\Local\Temp\ksohtml833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8332\wps1.jpg"/>
                          <pic:cNvPicPr>
                            <a:picLocks noChangeAspect="1"/>
                          </pic:cNvPicPr>
                        </pic:nvPicPr>
                        <pic:blipFill>
                          <a:blip r:embed="rId19"/>
                          <a:stretch>
                            <a:fillRect/>
                          </a:stretch>
                        </pic:blipFill>
                        <pic:spPr>
                          <a:xfrm>
                            <a:off x="0" y="0"/>
                            <a:ext cx="5695950" cy="1104900"/>
                          </a:xfrm>
                          <a:prstGeom prst="rect">
                            <a:avLst/>
                          </a:prstGeom>
                          <a:noFill/>
                          <a:ln>
                            <a:noFill/>
                          </a:ln>
                        </pic:spPr>
                      </pic:pic>
                    </a:graphicData>
                  </a:graphic>
                </wp:inline>
              </w:drawing>
            </w:r>
          </w:p>
          <w:p w14:paraId="114972CB">
            <w:pPr>
              <w:keepNext w:val="0"/>
              <w:keepLines w:val="0"/>
              <w:pageBreakBefore w:val="0"/>
              <w:widowControl w:val="0"/>
              <w:kinsoku/>
              <w:wordWrap/>
              <w:overflowPunct/>
              <w:topLinePunct w:val="0"/>
              <w:autoSpaceDE w:val="0"/>
              <w:autoSpaceDN w:val="0"/>
              <w:bidi w:val="0"/>
              <w:adjustRightInd/>
              <w:snapToGrid/>
              <w:spacing w:line="360" w:lineRule="auto"/>
              <w:ind w:left="0" w:right="0" w:firstLine="464" w:firstLineChars="200"/>
              <w:jc w:val="both"/>
              <w:textAlignment w:val="auto"/>
              <w:rPr>
                <w:color w:val="auto"/>
                <w:sz w:val="24"/>
                <w:szCs w:val="24"/>
              </w:rPr>
            </w:pPr>
            <w:r>
              <w:rPr>
                <w:rFonts w:ascii="Times New Roman" w:hAnsi="Times New Roman" w:eastAsia="宋体" w:cs="Times New Roman"/>
                <w:color w:val="auto"/>
                <w:spacing w:val="-4"/>
                <w:sz w:val="24"/>
                <w:szCs w:val="24"/>
              </w:rPr>
              <w:t>根据《建设项目</w:t>
            </w:r>
            <w:r>
              <w:rPr>
                <w:color w:val="auto"/>
                <w:sz w:val="24"/>
                <w:szCs w:val="24"/>
              </w:rPr>
              <w:t>环境风险评价技术导则》(HJ169-2018)表B.2判定</w:t>
            </w:r>
            <w:r>
              <w:rPr>
                <w:rFonts w:hint="eastAsia"/>
                <w:color w:val="auto"/>
                <w:sz w:val="24"/>
                <w:szCs w:val="24"/>
                <w:lang w:eastAsia="zh-CN"/>
              </w:rPr>
              <w:t>，</w:t>
            </w:r>
            <w:r>
              <w:rPr>
                <w:color w:val="auto"/>
                <w:sz w:val="24"/>
                <w:szCs w:val="24"/>
              </w:rPr>
              <w:t>当Q＜1时，该项目环境风险潜势为Ⅰ。</w:t>
            </w:r>
          </w:p>
          <w:p w14:paraId="45E271F7">
            <w:pPr>
              <w:keepNext w:val="0"/>
              <w:keepLines w:val="0"/>
              <w:pageBreakBefore w:val="0"/>
              <w:widowControl w:val="0"/>
              <w:kinsoku/>
              <w:wordWrap/>
              <w:overflowPunct/>
              <w:autoSpaceDE w:val="0"/>
              <w:autoSpaceDN w:val="0"/>
              <w:bidi w:val="0"/>
              <w:spacing w:line="360" w:lineRule="auto"/>
              <w:ind w:left="0" w:right="0" w:firstLine="480" w:firstLineChars="200"/>
              <w:jc w:val="left"/>
              <w:textAlignment w:val="auto"/>
              <w:rPr>
                <w:color w:val="auto"/>
                <w:sz w:val="24"/>
                <w:szCs w:val="24"/>
              </w:rPr>
            </w:pPr>
            <w:r>
              <w:rPr>
                <w:color w:val="auto"/>
                <w:sz w:val="24"/>
                <w:szCs w:val="24"/>
              </w:rPr>
              <w:t xml:space="preserve"> （3）评价等级</w:t>
            </w:r>
          </w:p>
          <w:p w14:paraId="4063DF17">
            <w:pPr>
              <w:pStyle w:val="103"/>
              <w:keepNext w:val="0"/>
              <w:keepLines w:val="0"/>
              <w:pageBreakBefore w:val="0"/>
              <w:widowControl w:val="0"/>
              <w:kinsoku/>
              <w:wordWrap/>
              <w:overflowPunct/>
              <w:topLinePunct w:val="0"/>
              <w:autoSpaceDE/>
              <w:autoSpaceDN/>
              <w:bidi w:val="0"/>
              <w:adjustRightInd w:val="0"/>
              <w:snapToGrid w:val="0"/>
              <w:spacing w:line="240" w:lineRule="auto"/>
              <w:ind w:left="0" w:right="0" w:firstLine="482" w:firstLineChars="200"/>
              <w:jc w:val="center"/>
              <w:textAlignment w:val="auto"/>
              <w:rPr>
                <w:b/>
                <w:bCs/>
                <w:color w:val="auto"/>
                <w:spacing w:val="-4"/>
                <w:sz w:val="24"/>
                <w:szCs w:val="24"/>
              </w:rPr>
            </w:pPr>
            <w:r>
              <w:rPr>
                <w:b/>
                <w:bCs/>
                <w:color w:val="auto"/>
                <w:sz w:val="24"/>
                <w:szCs w:val="24"/>
              </w:rPr>
              <w:t>表</w:t>
            </w:r>
            <w:r>
              <w:rPr>
                <w:b/>
                <w:bCs/>
                <w:color w:val="auto"/>
                <w:sz w:val="24"/>
                <w:szCs w:val="24"/>
                <w:lang w:val="en-US"/>
              </w:rPr>
              <w:t>4-1</w:t>
            </w:r>
            <w:r>
              <w:rPr>
                <w:rFonts w:hint="eastAsia"/>
                <w:b/>
                <w:bCs/>
                <w:color w:val="auto"/>
                <w:sz w:val="24"/>
                <w:szCs w:val="24"/>
                <w:lang w:val="en-US" w:eastAsia="zh-CN"/>
              </w:rPr>
              <w:t>3</w:t>
            </w:r>
            <w:r>
              <w:rPr>
                <w:b/>
                <w:bCs/>
                <w:color w:val="auto"/>
                <w:sz w:val="24"/>
                <w:szCs w:val="24"/>
                <w:lang w:val="en-US"/>
              </w:rPr>
              <w:t xml:space="preserve"> 评价工作等级划分</w:t>
            </w:r>
            <w:r>
              <w:rPr>
                <w:color w:val="auto"/>
                <w:sz w:val="24"/>
                <w:szCs w:val="24"/>
              </w:rPr>
              <w:drawing>
                <wp:inline distT="0" distB="0" distL="114300" distR="114300">
                  <wp:extent cx="5723890" cy="1186815"/>
                  <wp:effectExtent l="0" t="0" r="1016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rcRect b="1746"/>
                          <a:stretch>
                            <a:fillRect/>
                          </a:stretch>
                        </pic:blipFill>
                        <pic:spPr>
                          <a:xfrm>
                            <a:off x="0" y="0"/>
                            <a:ext cx="5723890" cy="1186815"/>
                          </a:xfrm>
                          <a:prstGeom prst="rect">
                            <a:avLst/>
                          </a:prstGeom>
                          <a:noFill/>
                          <a:ln>
                            <a:noFill/>
                          </a:ln>
                        </pic:spPr>
                      </pic:pic>
                    </a:graphicData>
                  </a:graphic>
                </wp:inline>
              </w:drawing>
            </w:r>
          </w:p>
          <w:p w14:paraId="3F30FF84">
            <w:pPr>
              <w:keepNext w:val="0"/>
              <w:keepLines w:val="0"/>
              <w:pageBreakBefore w:val="0"/>
              <w:widowControl w:val="0"/>
              <w:kinsoku/>
              <w:wordWrap/>
              <w:overflowPunct/>
              <w:topLinePunct w:val="0"/>
              <w:bidi w:val="0"/>
              <w:spacing w:line="360" w:lineRule="auto"/>
              <w:ind w:firstLine="464" w:firstLineChars="200"/>
              <w:textAlignment w:val="auto"/>
              <w:rPr>
                <w:rFonts w:hint="default" w:ascii="Times New Roman" w:hAnsi="Times New Roman" w:eastAsia="宋体" w:cs="Times New Roman"/>
                <w:b w:val="0"/>
                <w:bCs w:val="0"/>
                <w:color w:val="auto"/>
                <w:sz w:val="24"/>
                <w:szCs w:val="32"/>
              </w:rPr>
            </w:pPr>
            <w:r>
              <w:rPr>
                <w:color w:val="auto"/>
                <w:spacing w:val="-4"/>
                <w:sz w:val="24"/>
                <w:szCs w:val="24"/>
              </w:rPr>
              <w:t>本项目环境风险</w:t>
            </w:r>
            <w:r>
              <w:rPr>
                <w:color w:val="auto"/>
                <w:sz w:val="24"/>
                <w:szCs w:val="24"/>
              </w:rPr>
              <w:t>潜势为</w:t>
            </w:r>
            <w:r>
              <w:rPr>
                <w:rFonts w:ascii="宋体"/>
                <w:color w:val="auto"/>
                <w:sz w:val="24"/>
                <w:szCs w:val="24"/>
              </w:rPr>
              <w:t>Ⅰ</w:t>
            </w:r>
            <w:r>
              <w:rPr>
                <w:color w:val="auto"/>
                <w:spacing w:val="-4"/>
                <w:sz w:val="24"/>
                <w:szCs w:val="24"/>
              </w:rPr>
              <w:t>，</w:t>
            </w:r>
            <w:r>
              <w:rPr>
                <w:color w:val="auto"/>
                <w:sz w:val="24"/>
                <w:szCs w:val="24"/>
              </w:rPr>
              <w:t>根据</w:t>
            </w:r>
            <w:r>
              <w:rPr>
                <w:color w:val="auto"/>
                <w:spacing w:val="-4"/>
                <w:sz w:val="24"/>
                <w:szCs w:val="24"/>
              </w:rPr>
              <w:t>《建设项目环境风险评价技术导则》（HJ169-2018），评价</w:t>
            </w:r>
            <w:r>
              <w:rPr>
                <w:rFonts w:hint="default" w:ascii="Times New Roman" w:hAnsi="Times New Roman" w:eastAsia="宋体" w:cs="Times New Roman"/>
                <w:b w:val="0"/>
                <w:bCs w:val="0"/>
                <w:color w:val="auto"/>
                <w:sz w:val="24"/>
                <w:szCs w:val="32"/>
              </w:rPr>
              <w:t>工作等级为简单分析。</w:t>
            </w:r>
          </w:p>
          <w:p w14:paraId="7943372A">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 w:val="24"/>
                <w:szCs w:val="32"/>
              </w:rPr>
            </w:pPr>
            <w:r>
              <w:rPr>
                <w:rFonts w:hint="default" w:ascii="Times New Roman" w:hAnsi="Times New Roman" w:eastAsia="宋体" w:cs="Times New Roman"/>
                <w:b w:val="0"/>
                <w:bCs w:val="0"/>
                <w:color w:val="auto"/>
                <w:sz w:val="24"/>
                <w:szCs w:val="32"/>
                <w:lang w:val="en-US" w:eastAsia="zh-CN"/>
              </w:rPr>
              <w:t>（4）</w:t>
            </w:r>
            <w:r>
              <w:rPr>
                <w:rFonts w:hint="default" w:ascii="Times New Roman" w:hAnsi="Times New Roman" w:eastAsia="宋体" w:cs="Times New Roman"/>
                <w:b w:val="0"/>
                <w:bCs w:val="0"/>
                <w:color w:val="auto"/>
                <w:sz w:val="24"/>
                <w:szCs w:val="32"/>
              </w:rPr>
              <w:t>源项分析</w:t>
            </w:r>
          </w:p>
          <w:p w14:paraId="64D42BC0">
            <w:pPr>
              <w:keepNext w:val="0"/>
              <w:keepLines w:val="0"/>
              <w:pageBreakBefore w:val="0"/>
              <w:widowControl w:val="0"/>
              <w:kinsoku/>
              <w:wordWrap/>
              <w:overflowPunct/>
              <w:topLinePunct w:val="0"/>
              <w:bidi w:val="0"/>
              <w:spacing w:line="360" w:lineRule="auto"/>
              <w:ind w:firstLine="480" w:firstLineChars="200"/>
              <w:textAlignment w:val="auto"/>
              <w:rPr>
                <w:color w:val="auto"/>
                <w:sz w:val="24"/>
                <w:szCs w:val="24"/>
              </w:rPr>
            </w:pPr>
            <w:r>
              <w:rPr>
                <w:rFonts w:hint="default" w:ascii="Times New Roman" w:hAnsi="Times New Roman" w:eastAsia="宋体" w:cs="Times New Roman"/>
                <w:b w:val="0"/>
                <w:bCs w:val="0"/>
                <w:color w:val="auto"/>
                <w:sz w:val="24"/>
                <w:szCs w:val="32"/>
              </w:rPr>
              <w:t>通过对</w:t>
            </w:r>
            <w:r>
              <w:rPr>
                <w:rFonts w:hint="eastAsia" w:cs="Times New Roman"/>
                <w:b w:val="0"/>
                <w:bCs w:val="0"/>
                <w:color w:val="auto"/>
                <w:sz w:val="24"/>
                <w:szCs w:val="32"/>
                <w:lang w:val="en-US" w:eastAsia="zh-CN"/>
              </w:rPr>
              <w:t>项目</w:t>
            </w:r>
            <w:r>
              <w:rPr>
                <w:rFonts w:hint="eastAsia" w:ascii="Times New Roman" w:hAnsi="Times New Roman" w:eastAsia="宋体" w:cs="Times New Roman"/>
                <w:b w:val="0"/>
                <w:bCs w:val="0"/>
                <w:color w:val="auto"/>
                <w:sz w:val="24"/>
                <w:szCs w:val="32"/>
                <w:lang w:eastAsia="zh-CN"/>
              </w:rPr>
              <w:t>生产</w:t>
            </w:r>
            <w:r>
              <w:rPr>
                <w:rFonts w:hint="default" w:ascii="Times New Roman" w:hAnsi="Times New Roman" w:eastAsia="宋体" w:cs="Times New Roman"/>
                <w:b w:val="0"/>
                <w:bCs w:val="0"/>
                <w:color w:val="auto"/>
                <w:sz w:val="24"/>
                <w:szCs w:val="32"/>
              </w:rPr>
              <w:t>所选</w:t>
            </w:r>
            <w:r>
              <w:rPr>
                <w:color w:val="auto"/>
                <w:sz w:val="24"/>
                <w:szCs w:val="24"/>
              </w:rPr>
              <w:t>用的工艺及生产过程所使用的原辅材料分析，本项目不涉及导则中重点关注的危险物质，风险污染事故的类型主要反映在厂区发生火灾而产生的消防废水，发生火灾产生的烟气会对大气环境产生影响。此外，还包括废气治理设施无效或故障时发生的废气事故风险。</w:t>
            </w:r>
          </w:p>
          <w:p w14:paraId="5F629F73">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b w:val="0"/>
                <w:bCs w:val="0"/>
                <w:color w:val="auto"/>
                <w:sz w:val="24"/>
                <w:szCs w:val="32"/>
              </w:rPr>
            </w:pPr>
            <w:r>
              <w:rPr>
                <w:rFonts w:hint="eastAsia" w:ascii="Times New Roman" w:hAnsi="Times New Roman" w:cs="Times New Roman"/>
                <w:b w:val="0"/>
                <w:bCs w:val="0"/>
                <w:color w:val="auto"/>
                <w:sz w:val="24"/>
                <w:szCs w:val="32"/>
                <w:lang w:val="en-US" w:eastAsia="zh-CN"/>
              </w:rPr>
              <w:t>7.2</w:t>
            </w:r>
            <w:r>
              <w:rPr>
                <w:rFonts w:hint="default" w:ascii="Times New Roman" w:hAnsi="Times New Roman" w:cs="Times New Roman"/>
                <w:b w:val="0"/>
                <w:bCs w:val="0"/>
                <w:color w:val="auto"/>
                <w:sz w:val="24"/>
                <w:szCs w:val="32"/>
              </w:rPr>
              <w:t>环境敏感目标情况</w:t>
            </w:r>
          </w:p>
          <w:p w14:paraId="487206AE">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项目周边环境敏感目标情况见表3-</w:t>
            </w:r>
            <w:r>
              <w:rPr>
                <w:rFonts w:hint="eastAsia" w:cs="Times New Roman"/>
                <w:color w:val="auto"/>
                <w:sz w:val="24"/>
                <w:szCs w:val="32"/>
                <w:lang w:val="en-US" w:eastAsia="zh-CN"/>
              </w:rPr>
              <w:t>3</w:t>
            </w:r>
            <w:r>
              <w:rPr>
                <w:rFonts w:hint="default" w:ascii="Times New Roman" w:hAnsi="Times New Roman" w:cs="Times New Roman"/>
                <w:color w:val="auto"/>
                <w:sz w:val="24"/>
                <w:szCs w:val="32"/>
              </w:rPr>
              <w:t>。</w:t>
            </w:r>
          </w:p>
          <w:p w14:paraId="49F52F7F">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lang w:val="en-US" w:eastAsia="zh-CN"/>
              </w:rPr>
              <w:t>7.3</w:t>
            </w:r>
            <w:r>
              <w:rPr>
                <w:rFonts w:hint="default" w:ascii="Times New Roman" w:hAnsi="Times New Roman" w:cs="Times New Roman"/>
                <w:b w:val="0"/>
                <w:bCs w:val="0"/>
                <w:color w:val="auto"/>
                <w:sz w:val="24"/>
                <w:szCs w:val="24"/>
                <w:highlight w:val="none"/>
              </w:rPr>
              <w:t>环境风险分析</w:t>
            </w:r>
          </w:p>
          <w:p w14:paraId="5E6EA484">
            <w:pPr>
              <w:adjustRightInd w:val="0"/>
              <w:snapToGrid w:val="0"/>
              <w:spacing w:line="360" w:lineRule="auto"/>
              <w:ind w:firstLine="480" w:firstLineChars="200"/>
              <w:rPr>
                <w:rFonts w:hint="eastAsia"/>
                <w:color w:val="auto"/>
                <w:lang w:val="en-US" w:eastAsia="zh-CN"/>
              </w:rPr>
            </w:pPr>
            <w:r>
              <w:rPr>
                <w:rFonts w:hint="default" w:ascii="Times New Roman" w:hAnsi="Times New Roman" w:eastAsia="宋体" w:cs="Times New Roman"/>
                <w:color w:val="auto"/>
                <w:sz w:val="24"/>
              </w:rPr>
              <w:t>由于本项目使用的原材料</w:t>
            </w:r>
            <w:r>
              <w:rPr>
                <w:rFonts w:hint="eastAsia" w:cs="Times New Roman"/>
                <w:color w:val="auto"/>
                <w:sz w:val="24"/>
                <w:lang w:val="en-US" w:eastAsia="zh-CN"/>
              </w:rPr>
              <w:t>重钙、石膏粉、木质素</w:t>
            </w:r>
            <w:r>
              <w:rPr>
                <w:rFonts w:hint="default" w:ascii="Times New Roman" w:hAnsi="Times New Roman" w:eastAsia="宋体" w:cs="Times New Roman"/>
                <w:color w:val="auto"/>
                <w:sz w:val="24"/>
              </w:rPr>
              <w:t>等为粉末状态，极易因储存管理不当到处飘散在车间，污染大气环境；废气治理设施无效或故障时粉尘便直接向空气中排放，</w:t>
            </w:r>
            <w:r>
              <w:rPr>
                <w:rFonts w:hint="default" w:ascii="Times New Roman" w:hAnsi="Times New Roman" w:cs="Times New Roman"/>
                <w:color w:val="auto"/>
                <w:sz w:val="24"/>
                <w:szCs w:val="22"/>
              </w:rPr>
              <w:t>会使废气中颗粒物浓度上升，严重时排放超标</w:t>
            </w:r>
            <w:r>
              <w:rPr>
                <w:rFonts w:hint="eastAsia"/>
                <w:color w:val="auto"/>
                <w:lang w:val="en-US" w:eastAsia="zh-CN"/>
              </w:rPr>
              <w:t>。</w:t>
            </w:r>
          </w:p>
          <w:p w14:paraId="76F3398F">
            <w:pPr>
              <w:pStyle w:val="2"/>
              <w:keepNext w:val="0"/>
              <w:keepLines w:val="0"/>
              <w:pageBreakBefore w:val="0"/>
              <w:widowControl w:val="0"/>
              <w:kinsoku/>
              <w:wordWrap/>
              <w:overflowPunct/>
              <w:topLinePunct w:val="0"/>
              <w:autoSpaceDE/>
              <w:autoSpaceDN/>
              <w:bidi w:val="0"/>
              <w:adjustRightInd/>
              <w:spacing w:after="0"/>
              <w:ind w:left="0" w:leftChars="0" w:firstLine="480" w:firstLineChars="200"/>
              <w:textAlignment w:val="auto"/>
              <w:rPr>
                <w:rFonts w:hint="eastAsia"/>
                <w:color w:val="auto"/>
                <w:lang w:val="en-US" w:eastAsia="zh-CN"/>
              </w:rPr>
            </w:pPr>
            <w:r>
              <w:rPr>
                <w:rFonts w:hint="eastAsia"/>
                <w:color w:val="auto"/>
                <w:lang w:val="en-US" w:eastAsia="zh-CN"/>
              </w:rPr>
              <w:t>电器设备等维护管理和使用不当引起的火灾、爆炸，在火灾过程中主要燃烧产物为COx、H</w:t>
            </w:r>
            <w:r>
              <w:rPr>
                <w:rFonts w:hint="eastAsia"/>
                <w:color w:val="auto"/>
                <w:vertAlign w:val="subscript"/>
                <w:lang w:val="en-US" w:eastAsia="zh-CN"/>
              </w:rPr>
              <w:t>2</w:t>
            </w:r>
            <w:r>
              <w:rPr>
                <w:rFonts w:hint="eastAsia"/>
                <w:color w:val="auto"/>
                <w:lang w:val="en-US" w:eastAsia="zh-CN"/>
              </w:rPr>
              <w:t>O、氮氧化物、氧化氮、氰化氢等，将对周围环境空气造成一定污染以及造成人员中毒；在事故应急救援中产生的消防灭火水可能伴有一定的物料和未完全燃烧的产物，若沿雨水管网外排，将对受纳水体产生污染：灭火过程中可能产生大量的废泡沫、干粉、沙土等固体废物，若事故排放后随意丢弃、排放，将对环境产生二次污染；</w:t>
            </w:r>
          </w:p>
          <w:p w14:paraId="611101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val="en-US" w:eastAsia="zh-CN"/>
              </w:rPr>
              <w:t>7.4</w:t>
            </w:r>
            <w:r>
              <w:rPr>
                <w:rFonts w:hint="default" w:ascii="Times New Roman" w:hAnsi="Times New Roman" w:cs="Times New Roman"/>
                <w:b w:val="0"/>
                <w:bCs w:val="0"/>
                <w:color w:val="auto"/>
                <w:sz w:val="24"/>
                <w:szCs w:val="24"/>
              </w:rPr>
              <w:t>风险防范措施</w:t>
            </w:r>
          </w:p>
          <w:p w14:paraId="6E4734CD">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为使环境风险减小到最低限度，必须加强劳动安全卫生管理，制定完备、有效的安全防范措施，尽可能降低该项目环境风险事故发生的概率。结合本项目风险情况，主要采取以下防范措施：</w:t>
            </w:r>
          </w:p>
          <w:p w14:paraId="0730F2E5">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①大气环境风险防范措施</w:t>
            </w:r>
          </w:p>
          <w:p w14:paraId="44FD47C1">
            <w:pPr>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根据《国务院安委会办公室生态环境部应急管理部关于进一步加强环保设备设施安全生产工作的通知》（安委办明电〔2022〕17号）要求，建设项目需开展环保设备设施安全风险辨识评估和隐患排查治理，落实安全生产各项责任措施。</w:t>
            </w:r>
          </w:p>
          <w:p w14:paraId="7441B2CC">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本项目需对</w:t>
            </w:r>
            <w:r>
              <w:rPr>
                <w:rFonts w:hint="eastAsia" w:cs="Times New Roman"/>
                <w:color w:val="auto"/>
                <w:sz w:val="24"/>
                <w:szCs w:val="24"/>
                <w:lang w:eastAsia="zh-CN"/>
              </w:rPr>
              <w:t>除尘</w:t>
            </w:r>
            <w:r>
              <w:rPr>
                <w:rFonts w:hint="default" w:ascii="Times New Roman" w:hAnsi="Times New Roman" w:cs="Times New Roman"/>
                <w:color w:val="auto"/>
                <w:sz w:val="24"/>
                <w:szCs w:val="24"/>
                <w:lang w:eastAsia="zh-CN"/>
              </w:rPr>
              <w:t>装置开展安全风险辨识评估和隐患排查</w:t>
            </w:r>
            <w:r>
              <w:rPr>
                <w:rFonts w:hint="default" w:ascii="Times New Roman" w:hAnsi="Times New Roman" w:cs="Times New Roman"/>
                <w:color w:val="auto"/>
                <w:sz w:val="24"/>
                <w:szCs w:val="24"/>
                <w:lang w:val="en-US" w:eastAsia="zh-CN"/>
              </w:rPr>
              <w:t>治理。</w:t>
            </w:r>
          </w:p>
          <w:p w14:paraId="0239FE16">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为确保处理效率，在车间设备检修期间，末端处理系统也应同时进行检修，日常应有专人负责进行维护。</w:t>
            </w:r>
          </w:p>
          <w:p w14:paraId="2E36E93F">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议项目废气治理装置设计时需设置生产装置与废气治理装置的联控系统。生产期间废气治理装置先于生产装置启动，保证生产装置废气能够得以有效收集、治理；一旦废气收集风机发生事故，装置立即自动报警，并启动应急停车程序，对环保设施进行检修，查实事故原因做好相应记录。</w:t>
            </w:r>
          </w:p>
          <w:p w14:paraId="0E03F3B7">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②泄漏风险防范措施</w:t>
            </w:r>
          </w:p>
          <w:p w14:paraId="1969F654">
            <w:pPr>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对可能发生泄漏事故的生产环节派专人负责定期巡检，责任到人，发现泄漏或火灾事故及时上报处理，物料转运应保证安全可靠，严禁跑冒滴漏；</w:t>
            </w:r>
          </w:p>
          <w:p w14:paraId="7B65D4BC">
            <w:pPr>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对于因化粪池等设施损坏造成的污水外漏风险，要加强管理和教育培训，加强巡视和检查，坚决杜绝生产过程中的“跑、冒、滴、漏”现象，并制定详尽的应急预案和预防措施</w:t>
            </w:r>
            <w:r>
              <w:rPr>
                <w:rFonts w:hint="default" w:ascii="Times New Roman" w:hAnsi="Times New Roman" w:cs="Times New Roman"/>
                <w:color w:val="auto"/>
                <w:sz w:val="24"/>
                <w:szCs w:val="24"/>
                <w:lang w:eastAsia="zh-CN"/>
              </w:rPr>
              <w:t>；</w:t>
            </w:r>
          </w:p>
          <w:p w14:paraId="16378A23">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加强车间、</w:t>
            </w:r>
            <w:r>
              <w:rPr>
                <w:rFonts w:hint="eastAsia" w:cs="Times New Roman"/>
                <w:color w:val="auto"/>
                <w:sz w:val="24"/>
                <w:szCs w:val="24"/>
                <w:lang w:eastAsia="zh-CN"/>
              </w:rPr>
              <w:t>原料区</w:t>
            </w:r>
            <w:r>
              <w:rPr>
                <w:rFonts w:hint="default" w:ascii="Times New Roman" w:hAnsi="Times New Roman" w:cs="Times New Roman"/>
                <w:color w:val="auto"/>
                <w:sz w:val="24"/>
                <w:szCs w:val="24"/>
              </w:rPr>
              <w:t>安全管理，原料入库前要进行严格检查，并填写入库单，入库后要进行定期检查，保证其安全和质量，并有相应的标识。</w:t>
            </w:r>
          </w:p>
          <w:p w14:paraId="3B6051F0">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③火灾风险防范措施</w:t>
            </w:r>
          </w:p>
          <w:p w14:paraId="0BDF574B">
            <w:pPr>
              <w:spacing w:line="360" w:lineRule="auto"/>
              <w:ind w:firstLine="480" w:firstLineChars="20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生产装置区的配电和照明均应按《爆炸和火灾危险环境电力装置设计规范》的规定，选用相应防爆级别的电气设备和照明灯具及开关，线路敷设均应满足安全要求；加强设备管理，特别是对易产生火灾隐患的部位加强检查；加强事故管理；</w:t>
            </w:r>
          </w:p>
          <w:p w14:paraId="681E4149">
            <w:pPr>
              <w:spacing w:line="360" w:lineRule="auto"/>
              <w:ind w:firstLine="480" w:firstLineChars="20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厂区按照要求配置足够的灭火器及相应的其他消防器材。配备应急物资。灭火器不得随意挪用，检验到期或失效的灭火器要及时更换；</w:t>
            </w:r>
          </w:p>
          <w:p w14:paraId="0632BB68">
            <w:pPr>
              <w:spacing w:line="360" w:lineRule="auto"/>
              <w:ind w:firstLine="480" w:firstLineChars="20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发生火灾后，迅速撤离人员至安全区，并进行隔离，隔离火灾爆炸区周边200m范围，严禁无关人员进入隔离区；现场班组人员在报警后，即进行初期事故的抢险。主要是初期小规模火灾的扑救、停止作业、堵漏、设备复位灯等抢险工作；对火灾区域喷射干粉灭火；在液体流淌时，可用沙袋或其他材料筑堤拦截飘散流淌的液体，或挖沟导流将物料导向安全地点。</w:t>
            </w:r>
          </w:p>
          <w:p w14:paraId="217116DE">
            <w:pPr>
              <w:spacing w:line="360" w:lineRule="auto"/>
              <w:ind w:firstLine="480" w:firstLineChars="20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对厂区雨水总排口设置切断措施，防止事故情况下废水经雨水及污水管线进入地表水水体；</w:t>
            </w:r>
          </w:p>
          <w:p w14:paraId="2D71E337">
            <w:pPr>
              <w:spacing w:line="360" w:lineRule="auto"/>
              <w:ind w:firstLine="480" w:firstLineChars="20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厂区内张贴应急疏散图，一旦发生火灾、爆炸等事故，能够按照既定路线有序撤离；</w:t>
            </w:r>
          </w:p>
          <w:p w14:paraId="5CE14BD1">
            <w:p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7.5</w:t>
            </w:r>
            <w:r>
              <w:rPr>
                <w:rFonts w:hint="default" w:ascii="Times New Roman" w:hAnsi="Times New Roman" w:cs="Times New Roman"/>
                <w:color w:val="auto"/>
                <w:sz w:val="24"/>
                <w:szCs w:val="24"/>
              </w:rPr>
              <w:t>风险事故的应急措施</w:t>
            </w:r>
          </w:p>
          <w:p w14:paraId="48DF1849">
            <w:pPr>
              <w:pStyle w:val="109"/>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于自然灾害或人为原因，当事故灾害不可避免的时候，有效的应急救援行动是唯一可以抵御事故灾害蔓廷和减缓灾害后果的有力措施。因此，本项目应在事故灾害发生前建立完善的应急救援系统，制定周密的救援计划，并在灾害发生的时候采取及时有效的应急救援行动，以及系统恢复和善后处理。在制定事故应急计划时，首先要确定事故发生后的事故处理单位部门及合作单位，及各有关部门和单位的应急通讯方式。</w:t>
            </w:r>
          </w:p>
          <w:p w14:paraId="5B84A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val="en-US" w:eastAsia="zh-CN"/>
              </w:rPr>
              <w:t>7.6</w:t>
            </w:r>
            <w:r>
              <w:rPr>
                <w:rFonts w:hint="default" w:ascii="Times New Roman" w:hAnsi="Times New Roman" w:cs="Times New Roman"/>
                <w:b w:val="0"/>
                <w:bCs w:val="0"/>
                <w:color w:val="auto"/>
                <w:sz w:val="24"/>
                <w:szCs w:val="24"/>
              </w:rPr>
              <w:t>环境风险评价结论</w:t>
            </w:r>
          </w:p>
          <w:p w14:paraId="6003EA2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pacing w:val="-5"/>
                <w:sz w:val="24"/>
                <w:szCs w:val="24"/>
              </w:rPr>
              <w:t>根据《建设项目环境风险评价技术导则》</w:t>
            </w:r>
            <w:r>
              <w:rPr>
                <w:rFonts w:hint="default" w:ascii="Times New Roman" w:hAnsi="Times New Roman" w:cs="Times New Roman"/>
                <w:color w:val="auto"/>
                <w:sz w:val="24"/>
                <w:szCs w:val="24"/>
              </w:rPr>
              <w:t>（HJ169-2018）</w:t>
            </w:r>
            <w:r>
              <w:rPr>
                <w:rFonts w:hint="default" w:ascii="Times New Roman" w:hAnsi="Times New Roman" w:cs="Times New Roman"/>
                <w:color w:val="auto"/>
                <w:spacing w:val="-7"/>
                <w:sz w:val="24"/>
                <w:szCs w:val="24"/>
              </w:rPr>
              <w:t>中辨识、分析，本</w:t>
            </w:r>
            <w:r>
              <w:rPr>
                <w:rFonts w:hint="default" w:ascii="Times New Roman" w:hAnsi="Times New Roman" w:cs="Times New Roman"/>
                <w:color w:val="auto"/>
                <w:spacing w:val="-9"/>
                <w:sz w:val="24"/>
                <w:szCs w:val="24"/>
              </w:rPr>
              <w:t>项目可不开展</w:t>
            </w:r>
            <w:r>
              <w:rPr>
                <w:rFonts w:hint="default" w:ascii="Times New Roman" w:hAnsi="Times New Roman" w:cs="Times New Roman"/>
                <w:color w:val="auto"/>
                <w:sz w:val="24"/>
                <w:szCs w:val="24"/>
              </w:rPr>
              <w:t>环境风险评价工作</w:t>
            </w:r>
            <w:r>
              <w:rPr>
                <w:rFonts w:hint="default" w:ascii="Times New Roman" w:hAnsi="Times New Roman" w:cs="Times New Roman"/>
                <w:color w:val="auto"/>
                <w:spacing w:val="-9"/>
                <w:sz w:val="24"/>
                <w:szCs w:val="24"/>
              </w:rPr>
              <w:t>。企业在生产过程中须加强防范措施并</w:t>
            </w:r>
            <w:r>
              <w:rPr>
                <w:rFonts w:hint="default" w:ascii="Times New Roman" w:hAnsi="Times New Roman" w:cs="Times New Roman"/>
                <w:color w:val="auto"/>
                <w:spacing w:val="-8"/>
                <w:sz w:val="24"/>
                <w:szCs w:val="24"/>
              </w:rPr>
              <w:t>完善风险应急预案，切实防范火灾、</w:t>
            </w:r>
            <w:r>
              <w:rPr>
                <w:rFonts w:hint="eastAsia" w:ascii="Times New Roman" w:hAnsi="Times New Roman" w:cs="Times New Roman"/>
                <w:color w:val="auto"/>
                <w:spacing w:val="-8"/>
                <w:sz w:val="24"/>
                <w:szCs w:val="24"/>
                <w:lang w:eastAsia="zh-CN"/>
              </w:rPr>
              <w:t>泄漏</w:t>
            </w:r>
            <w:r>
              <w:rPr>
                <w:rFonts w:hint="default" w:ascii="Times New Roman" w:hAnsi="Times New Roman" w:cs="Times New Roman"/>
                <w:color w:val="auto"/>
                <w:spacing w:val="-8"/>
                <w:sz w:val="24"/>
                <w:szCs w:val="24"/>
              </w:rPr>
              <w:t>等环境风险事故的发生，企业在严格按</w:t>
            </w:r>
            <w:r>
              <w:rPr>
                <w:rFonts w:hint="default" w:ascii="Times New Roman" w:hAnsi="Times New Roman" w:cs="Times New Roman"/>
                <w:color w:val="auto"/>
                <w:sz w:val="24"/>
                <w:szCs w:val="24"/>
              </w:rPr>
              <w:t>照风险防范措施处理情况下，本项目的环境风险是可控的。</w:t>
            </w:r>
          </w:p>
          <w:p w14:paraId="323C8C9B">
            <w:pPr>
              <w:spacing w:line="360" w:lineRule="auto"/>
              <w:ind w:firstLine="482" w:firstLineChars="200"/>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8</w:t>
            </w:r>
            <w:r>
              <w:rPr>
                <w:rFonts w:ascii="Times New Roman" w:hAnsi="Times New Roman" w:eastAsia="宋体" w:cs="Times New Roman"/>
                <w:b/>
                <w:bCs/>
                <w:color w:val="auto"/>
                <w:sz w:val="24"/>
              </w:rPr>
              <w:t>、电磁辐射</w:t>
            </w:r>
          </w:p>
          <w:p w14:paraId="11837A5E">
            <w:pPr>
              <w:spacing w:line="360" w:lineRule="auto"/>
              <w:ind w:firstLine="480" w:firstLineChars="200"/>
              <w:rPr>
                <w:rFonts w:hint="eastAsia" w:ascii="Times New Roman" w:hAnsi="Times New Roman" w:eastAsia="宋体" w:cs="Times New Roman"/>
                <w:color w:val="auto"/>
                <w:sz w:val="24"/>
              </w:rPr>
            </w:pPr>
            <w:r>
              <w:rPr>
                <w:rFonts w:ascii="Times New Roman" w:hAnsi="Times New Roman" w:eastAsia="宋体" w:cs="Times New Roman"/>
                <w:color w:val="auto"/>
                <w:sz w:val="24"/>
              </w:rPr>
              <w:t>本项目不涉及电磁辐射</w:t>
            </w:r>
            <w:r>
              <w:rPr>
                <w:rFonts w:hint="eastAsia" w:ascii="Times New Roman" w:hAnsi="Times New Roman" w:eastAsia="宋体" w:cs="Times New Roman"/>
                <w:color w:val="auto"/>
                <w:sz w:val="24"/>
              </w:rPr>
              <w:t>。</w:t>
            </w:r>
          </w:p>
          <w:p w14:paraId="15CCF7B6">
            <w:pPr>
              <w:adjustRightInd w:val="0"/>
              <w:snapToGrid w:val="0"/>
              <w:rPr>
                <w:bCs/>
                <w:color w:val="auto"/>
                <w:spacing w:val="-10"/>
                <w:szCs w:val="21"/>
              </w:rPr>
            </w:pPr>
          </w:p>
        </w:tc>
      </w:tr>
    </w:tbl>
    <w:p w14:paraId="24D91E6A">
      <w:pPr>
        <w:pStyle w:val="30"/>
        <w:adjustRightInd w:val="0"/>
        <w:snapToGrid w:val="0"/>
        <w:spacing w:before="0" w:beforeAutospacing="0" w:after="0" w:afterAutospacing="0"/>
        <w:jc w:val="center"/>
        <w:rPr>
          <w:rFonts w:ascii="Times New Roman" w:hAnsi="Times New Roman"/>
          <w:color w:val="auto"/>
          <w:kern w:val="2"/>
          <w:sz w:val="21"/>
          <w:szCs w:val="21"/>
        </w:rPr>
        <w:sectPr>
          <w:pgSz w:w="11907" w:h="16840"/>
          <w:pgMar w:top="1531" w:right="1531" w:bottom="153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72A9778A">
      <w:pPr>
        <w:pStyle w:val="30"/>
        <w:spacing w:before="0" w:beforeAutospacing="0" w:after="0" w:afterAutospacing="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w:t>
      </w:r>
      <w:bookmarkStart w:id="6" w:name="_Hlk54167917"/>
      <w:r>
        <w:rPr>
          <w:rFonts w:ascii="Times New Roman" w:hAnsi="Times New Roman" w:eastAsia="黑体"/>
          <w:snapToGrid w:val="0"/>
          <w:color w:val="auto"/>
          <w:sz w:val="30"/>
          <w:szCs w:val="30"/>
        </w:rPr>
        <w:t>环境保护措施监督检查清单</w:t>
      </w:r>
      <w:bookmarkEnd w:id="6"/>
    </w:p>
    <w:tbl>
      <w:tblPr>
        <w:tblStyle w:val="33"/>
        <w:tblW w:w="10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598"/>
        <w:gridCol w:w="1406"/>
        <w:gridCol w:w="3402"/>
        <w:gridCol w:w="2331"/>
      </w:tblGrid>
      <w:tr w14:paraId="424D2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tcBorders>
              <w:tl2br w:val="nil"/>
              <w:tr2bl w:val="nil"/>
            </w:tcBorders>
          </w:tcPr>
          <w:p w14:paraId="4638DED8">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eastAsia" w:cs="Times New Roman" w:eastAsiaTheme="minorEastAsia"/>
                <w:color w:val="auto"/>
                <w:sz w:val="22"/>
                <w:szCs w:val="22"/>
                <w:lang w:val="en-US" w:eastAsia="zh-CN"/>
              </w:rPr>
              <w:t xml:space="preserve">      </w:t>
            </w:r>
            <w:r>
              <w:rPr>
                <w:rFonts w:hint="default" w:ascii="Times New Roman" w:hAnsi="Times New Roman" w:cs="Times New Roman" w:eastAsiaTheme="minorEastAsia"/>
                <w:color w:val="auto"/>
                <w:sz w:val="22"/>
                <w:szCs w:val="22"/>
              </w:rPr>
              <w:t>内容</w:t>
            </w:r>
          </w:p>
          <w:p w14:paraId="5CC2E463">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要素</w:t>
            </w:r>
          </w:p>
        </w:tc>
        <w:tc>
          <w:tcPr>
            <w:tcW w:w="1598" w:type="dxa"/>
            <w:tcBorders>
              <w:tl2br w:val="nil"/>
              <w:tr2bl w:val="nil"/>
            </w:tcBorders>
            <w:vAlign w:val="center"/>
          </w:tcPr>
          <w:p w14:paraId="586A726F">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排放口(编号、</w:t>
            </w:r>
          </w:p>
          <w:p w14:paraId="6BFD0413">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名称)/污染源</w:t>
            </w:r>
          </w:p>
        </w:tc>
        <w:tc>
          <w:tcPr>
            <w:tcW w:w="1406" w:type="dxa"/>
            <w:tcBorders>
              <w:tl2br w:val="nil"/>
              <w:tr2bl w:val="nil"/>
            </w:tcBorders>
            <w:vAlign w:val="center"/>
          </w:tcPr>
          <w:p w14:paraId="5CFF39F2">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污染物项目</w:t>
            </w:r>
          </w:p>
        </w:tc>
        <w:tc>
          <w:tcPr>
            <w:tcW w:w="3402" w:type="dxa"/>
            <w:tcBorders>
              <w:tl2br w:val="nil"/>
              <w:tr2bl w:val="nil"/>
            </w:tcBorders>
            <w:vAlign w:val="center"/>
          </w:tcPr>
          <w:p w14:paraId="0478966A">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环境保护措施</w:t>
            </w:r>
          </w:p>
        </w:tc>
        <w:tc>
          <w:tcPr>
            <w:tcW w:w="2331" w:type="dxa"/>
            <w:tcBorders>
              <w:tl2br w:val="nil"/>
              <w:tr2bl w:val="nil"/>
            </w:tcBorders>
            <w:vAlign w:val="center"/>
          </w:tcPr>
          <w:p w14:paraId="2EB7508F">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执行标准</w:t>
            </w:r>
          </w:p>
        </w:tc>
      </w:tr>
      <w:tr w14:paraId="0C8B1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54" w:type="dxa"/>
            <w:vMerge w:val="restart"/>
            <w:tcBorders>
              <w:tl2br w:val="nil"/>
              <w:tr2bl w:val="nil"/>
            </w:tcBorders>
            <w:vAlign w:val="center"/>
          </w:tcPr>
          <w:p w14:paraId="38ED913B">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大气环境</w:t>
            </w:r>
          </w:p>
        </w:tc>
        <w:tc>
          <w:tcPr>
            <w:tcW w:w="1598" w:type="dxa"/>
            <w:tcBorders>
              <w:tl2br w:val="nil"/>
              <w:tr2bl w:val="nil"/>
            </w:tcBorders>
            <w:vAlign w:val="center"/>
          </w:tcPr>
          <w:p w14:paraId="763871D7">
            <w:pPr>
              <w:keepNext w:val="0"/>
              <w:keepLines w:val="0"/>
              <w:pageBreakBefore w:val="0"/>
              <w:widowControl/>
              <w:kinsoku/>
              <w:wordWrap/>
              <w:overflowPunct/>
              <w:topLinePunct w:val="0"/>
              <w:autoSpaceDE/>
              <w:autoSpaceDN/>
              <w:bidi w:val="0"/>
              <w:spacing w:line="240" w:lineRule="auto"/>
              <w:ind w:left="0" w:firstLine="0" w:firstLineChars="0"/>
              <w:jc w:val="center"/>
              <w:textAlignment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kern w:val="0"/>
                <w:sz w:val="22"/>
                <w:szCs w:val="22"/>
              </w:rPr>
              <w:t>DA001排气筒</w:t>
            </w:r>
          </w:p>
        </w:tc>
        <w:tc>
          <w:tcPr>
            <w:tcW w:w="1406" w:type="dxa"/>
            <w:tcBorders>
              <w:tl2br w:val="nil"/>
              <w:tr2bl w:val="nil"/>
            </w:tcBorders>
            <w:vAlign w:val="center"/>
          </w:tcPr>
          <w:p w14:paraId="4354AC4E">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default" w:ascii="Times New Roman" w:hAnsi="Times New Roman" w:cs="Times New Roman" w:eastAsiaTheme="minorEastAsia"/>
                <w:color w:val="auto"/>
                <w:sz w:val="22"/>
                <w:szCs w:val="22"/>
                <w:lang w:val="en-US" w:eastAsia="zh-CN"/>
              </w:rPr>
              <w:t>颗粒物</w:t>
            </w:r>
          </w:p>
        </w:tc>
        <w:tc>
          <w:tcPr>
            <w:tcW w:w="3402" w:type="dxa"/>
            <w:tcBorders>
              <w:tl2br w:val="nil"/>
              <w:tr2bl w:val="nil"/>
            </w:tcBorders>
            <w:vAlign w:val="center"/>
          </w:tcPr>
          <w:p w14:paraId="7CC2554C">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eastAsia"/>
                <w:color w:val="0000FF"/>
                <w:sz w:val="22"/>
                <w:szCs w:val="22"/>
                <w:highlight w:val="none"/>
                <w:lang w:val="en-US" w:eastAsia="zh-CN"/>
              </w:rPr>
              <w:t>采用下吸风、密闭投料方式，并分别在包装机出料口上方设置半封闭集气罩，搅拌罐加盖密闭运行，在呼吸口上方连接集气管道对运营期产生的粉尘进行收集，收集的粉尘经引风管道汇合后集中通入一套脉冲布袋除尘器进行处理，尾气由1根15m高排气筒DA001高空排放</w:t>
            </w:r>
          </w:p>
        </w:tc>
        <w:tc>
          <w:tcPr>
            <w:tcW w:w="2331" w:type="dxa"/>
            <w:tcBorders>
              <w:tl2br w:val="nil"/>
              <w:tr2bl w:val="nil"/>
            </w:tcBorders>
            <w:vAlign w:val="center"/>
          </w:tcPr>
          <w:p w14:paraId="0C32B3B8">
            <w:pPr>
              <w:keepNext w:val="0"/>
              <w:keepLines w:val="0"/>
              <w:pageBreakBefore w:val="0"/>
              <w:kinsoku/>
              <w:wordWrap/>
              <w:overflowPunct/>
              <w:topLinePunct w:val="0"/>
              <w:autoSpaceDE/>
              <w:autoSpaceDN/>
              <w:bidi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ascii="Times New Roman" w:hAnsi="Times New Roman" w:cs="Times New Roman" w:eastAsiaTheme="minorEastAsia"/>
                <w:color w:val="auto"/>
                <w:sz w:val="22"/>
                <w:szCs w:val="22"/>
                <w:lang w:val="en-US" w:eastAsia="zh-CN"/>
              </w:rPr>
              <w:t>《建材工业大气污染物排放标准》（DB37/2373-2018）</w:t>
            </w:r>
            <w:r>
              <w:rPr>
                <w:rFonts w:hint="eastAsia" w:cs="Times New Roman" w:eastAsiaTheme="minorEastAsia"/>
                <w:color w:val="auto"/>
                <w:sz w:val="22"/>
                <w:szCs w:val="22"/>
                <w:lang w:val="en-US" w:eastAsia="zh-CN"/>
              </w:rPr>
              <w:t>表2</w:t>
            </w:r>
            <w:r>
              <w:rPr>
                <w:rFonts w:hint="eastAsia" w:cs="Times New Roman" w:eastAsiaTheme="minorEastAsia"/>
                <w:color w:val="0000FF"/>
                <w:sz w:val="22"/>
                <w:szCs w:val="22"/>
                <w:lang w:val="en-US" w:eastAsia="zh-CN"/>
              </w:rPr>
              <w:t>重点控制区</w:t>
            </w:r>
            <w:r>
              <w:rPr>
                <w:rFonts w:hint="eastAsia" w:cs="Times New Roman" w:eastAsiaTheme="minorEastAsia"/>
                <w:color w:val="auto"/>
                <w:sz w:val="22"/>
                <w:szCs w:val="22"/>
                <w:lang w:val="en-US" w:eastAsia="zh-CN"/>
              </w:rPr>
              <w:t>、《大气污染物综合排放标准》 (GB16297-1996)表2二级标准</w:t>
            </w:r>
          </w:p>
        </w:tc>
      </w:tr>
      <w:tr w14:paraId="2BD65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354" w:type="dxa"/>
            <w:vMerge w:val="continue"/>
            <w:tcBorders>
              <w:tl2br w:val="nil"/>
              <w:tr2bl w:val="nil"/>
            </w:tcBorders>
            <w:vAlign w:val="center"/>
          </w:tcPr>
          <w:p w14:paraId="7BBBAA3B">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p>
        </w:tc>
        <w:tc>
          <w:tcPr>
            <w:tcW w:w="1598" w:type="dxa"/>
            <w:tcBorders>
              <w:tl2br w:val="nil"/>
              <w:tr2bl w:val="nil"/>
            </w:tcBorders>
            <w:vAlign w:val="center"/>
          </w:tcPr>
          <w:p w14:paraId="5F2E68D4">
            <w:pPr>
              <w:keepNext w:val="0"/>
              <w:keepLines w:val="0"/>
              <w:pageBreakBefore w:val="0"/>
              <w:widowControl/>
              <w:kinsoku/>
              <w:wordWrap/>
              <w:overflowPunct/>
              <w:topLinePunct w:val="0"/>
              <w:autoSpaceDE/>
              <w:autoSpaceDN/>
              <w:bidi w:val="0"/>
              <w:spacing w:line="240" w:lineRule="auto"/>
              <w:ind w:left="0" w:firstLine="0" w:firstLineChars="0"/>
              <w:jc w:val="center"/>
              <w:textAlignment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生产车间</w:t>
            </w:r>
          </w:p>
        </w:tc>
        <w:tc>
          <w:tcPr>
            <w:tcW w:w="1406" w:type="dxa"/>
            <w:tcBorders>
              <w:tl2br w:val="nil"/>
              <w:tr2bl w:val="nil"/>
            </w:tcBorders>
            <w:vAlign w:val="center"/>
          </w:tcPr>
          <w:p w14:paraId="1010ADFC">
            <w:pPr>
              <w:keepNext w:val="0"/>
              <w:keepLines w:val="0"/>
              <w:pageBreakBefore w:val="0"/>
              <w:widowControl/>
              <w:kinsoku/>
              <w:wordWrap/>
              <w:overflowPunct/>
              <w:topLinePunct w:val="0"/>
              <w:autoSpaceDE/>
              <w:autoSpaceDN/>
              <w:bidi w:val="0"/>
              <w:spacing w:line="240" w:lineRule="auto"/>
              <w:ind w:left="0" w:firstLine="0" w:firstLineChars="0"/>
              <w:jc w:val="center"/>
              <w:textAlignment w:val="center"/>
              <w:rPr>
                <w:rFonts w:hint="default" w:ascii="Times New Roman" w:hAnsi="Times New Roman" w:cs="Times New Roman" w:eastAsiaTheme="minorEastAsia"/>
                <w:color w:val="auto"/>
                <w:sz w:val="22"/>
                <w:szCs w:val="22"/>
                <w:lang w:val="en-US" w:eastAsia="zh-CN"/>
              </w:rPr>
            </w:pPr>
            <w:r>
              <w:rPr>
                <w:rFonts w:hint="default" w:ascii="Times New Roman" w:hAnsi="Times New Roman" w:cs="Times New Roman" w:eastAsiaTheme="minorEastAsia"/>
                <w:color w:val="auto"/>
                <w:sz w:val="22"/>
                <w:szCs w:val="22"/>
                <w:lang w:val="en-US" w:eastAsia="zh-CN"/>
              </w:rPr>
              <w:t>颗粒物</w:t>
            </w:r>
          </w:p>
        </w:tc>
        <w:tc>
          <w:tcPr>
            <w:tcW w:w="3402" w:type="dxa"/>
            <w:tcBorders>
              <w:tl2br w:val="nil"/>
              <w:tr2bl w:val="nil"/>
            </w:tcBorders>
            <w:vAlign w:val="center"/>
          </w:tcPr>
          <w:p w14:paraId="6962E791">
            <w:pPr>
              <w:keepNext w:val="0"/>
              <w:keepLines w:val="0"/>
              <w:pageBreakBefore w:val="0"/>
              <w:kinsoku/>
              <w:wordWrap/>
              <w:overflowPunct/>
              <w:topLinePunct w:val="0"/>
              <w:autoSpaceDE/>
              <w:autoSpaceDN/>
              <w:bidi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集气罩未收集到的颗粒物车间内无组织排放</w:t>
            </w:r>
          </w:p>
        </w:tc>
        <w:tc>
          <w:tcPr>
            <w:tcW w:w="2331" w:type="dxa"/>
            <w:tcBorders>
              <w:tl2br w:val="nil"/>
              <w:tr2bl w:val="nil"/>
            </w:tcBorders>
            <w:vAlign w:val="center"/>
          </w:tcPr>
          <w:p w14:paraId="522AB88D">
            <w:pPr>
              <w:keepNext w:val="0"/>
              <w:keepLines w:val="0"/>
              <w:pageBreakBefore w:val="0"/>
              <w:kinsoku/>
              <w:wordWrap/>
              <w:overflowPunct/>
              <w:topLinePunct w:val="0"/>
              <w:autoSpaceDE/>
              <w:autoSpaceDN/>
              <w:bidi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rPr>
            </w:pPr>
            <w:r>
              <w:rPr>
                <w:rFonts w:hint="eastAsia" w:ascii="Times New Roman" w:hAnsi="Times New Roman" w:cs="Times New Roman" w:eastAsiaTheme="minorEastAsia"/>
                <w:color w:val="auto"/>
                <w:sz w:val="22"/>
                <w:szCs w:val="22"/>
                <w:lang w:eastAsia="zh-CN"/>
              </w:rPr>
              <w:t>执行</w:t>
            </w:r>
            <w:r>
              <w:rPr>
                <w:rFonts w:hint="eastAsia" w:ascii="Times New Roman" w:hAnsi="Times New Roman" w:cs="Times New Roman" w:eastAsiaTheme="minorEastAsia"/>
                <w:color w:val="auto"/>
                <w:sz w:val="22"/>
                <w:szCs w:val="22"/>
                <w:lang w:val="en-US" w:eastAsia="zh-CN"/>
              </w:rPr>
              <w:t>《建材工业大气污染物排放标准》（DB37/2373-2018）</w:t>
            </w:r>
            <w:r>
              <w:rPr>
                <w:rFonts w:hint="eastAsia" w:cs="Times New Roman" w:eastAsiaTheme="minorEastAsia"/>
                <w:color w:val="auto"/>
                <w:sz w:val="22"/>
                <w:szCs w:val="22"/>
                <w:lang w:eastAsia="zh-CN"/>
              </w:rPr>
              <w:t>表</w:t>
            </w:r>
            <w:r>
              <w:rPr>
                <w:rFonts w:hint="eastAsia" w:cs="Times New Roman" w:eastAsiaTheme="minorEastAsia"/>
                <w:color w:val="auto"/>
                <w:sz w:val="22"/>
                <w:szCs w:val="22"/>
                <w:lang w:val="en-US" w:eastAsia="zh-CN"/>
              </w:rPr>
              <w:t>3无组织排放限值</w:t>
            </w:r>
          </w:p>
        </w:tc>
      </w:tr>
      <w:tr w14:paraId="0D325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tcBorders>
              <w:tl2br w:val="nil"/>
              <w:tr2bl w:val="nil"/>
            </w:tcBorders>
            <w:vAlign w:val="center"/>
          </w:tcPr>
          <w:p w14:paraId="4CC4FDD4">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地表水环境</w:t>
            </w:r>
          </w:p>
        </w:tc>
        <w:tc>
          <w:tcPr>
            <w:tcW w:w="1598" w:type="dxa"/>
            <w:tcBorders>
              <w:tl2br w:val="nil"/>
              <w:tr2bl w:val="nil"/>
            </w:tcBorders>
            <w:vAlign w:val="center"/>
          </w:tcPr>
          <w:p w14:paraId="0A83A01D">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生活污水</w:t>
            </w:r>
          </w:p>
        </w:tc>
        <w:tc>
          <w:tcPr>
            <w:tcW w:w="1406" w:type="dxa"/>
            <w:tcBorders>
              <w:tl2br w:val="nil"/>
              <w:tr2bl w:val="nil"/>
            </w:tcBorders>
            <w:vAlign w:val="center"/>
          </w:tcPr>
          <w:p w14:paraId="7EEE3D5C">
            <w:pPr>
              <w:keepNext w:val="0"/>
              <w:keepLines w:val="0"/>
              <w:pageBreakBefore w:val="0"/>
              <w:suppressLineNumbers w:val="0"/>
              <w:kinsoku/>
              <w:wordWrap/>
              <w:overflowPunct/>
              <w:topLinePunct w:val="0"/>
              <w:autoSpaceDE/>
              <w:autoSpaceDN/>
              <w:bidi w:val="0"/>
              <w:spacing w:beforeAutospacing="0" w:after="0" w:afterAutospacing="0" w:line="240" w:lineRule="auto"/>
              <w:ind w:left="0" w:right="0" w:firstLine="0" w:firstLineChars="0"/>
              <w:jc w:val="center"/>
              <w:rPr>
                <w:rFonts w:hint="default" w:ascii="Times New Roman" w:hAnsi="Times New Roman" w:cs="Times New Roman" w:eastAsiaTheme="minorEastAsia"/>
                <w:color w:val="auto"/>
                <w:sz w:val="22"/>
                <w:szCs w:val="22"/>
                <w:vertAlign w:val="subscript"/>
              </w:rPr>
            </w:pPr>
            <w:r>
              <w:rPr>
                <w:rFonts w:hint="default" w:ascii="Times New Roman" w:hAnsi="Times New Roman" w:cs="Times New Roman" w:eastAsiaTheme="minorEastAsia"/>
                <w:color w:val="auto"/>
                <w:sz w:val="22"/>
                <w:szCs w:val="22"/>
              </w:rPr>
              <w:t>COD</w:t>
            </w:r>
            <w:r>
              <w:rPr>
                <w:rFonts w:hint="default" w:ascii="Times New Roman" w:hAnsi="Times New Roman" w:cs="Times New Roman" w:eastAsiaTheme="minorEastAsia"/>
                <w:color w:val="auto"/>
                <w:sz w:val="22"/>
                <w:szCs w:val="22"/>
                <w:vertAlign w:val="subscript"/>
              </w:rPr>
              <w:t>Cr</w:t>
            </w:r>
          </w:p>
          <w:p w14:paraId="0F0197AF">
            <w:pPr>
              <w:keepNext w:val="0"/>
              <w:keepLines w:val="0"/>
              <w:pageBreakBefore w:val="0"/>
              <w:suppressLineNumbers w:val="0"/>
              <w:kinsoku/>
              <w:wordWrap/>
              <w:overflowPunct/>
              <w:topLinePunct w:val="0"/>
              <w:autoSpaceDE/>
              <w:autoSpaceDN/>
              <w:bidi w:val="0"/>
              <w:spacing w:beforeAutospacing="0" w:after="0" w:afterAutospacing="0" w:line="240" w:lineRule="auto"/>
              <w:ind w:left="0" w:righ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BOD</w:t>
            </w:r>
            <w:r>
              <w:rPr>
                <w:rFonts w:hint="default" w:ascii="Times New Roman" w:hAnsi="Times New Roman" w:cs="Times New Roman" w:eastAsiaTheme="minorEastAsia"/>
                <w:color w:val="auto"/>
                <w:sz w:val="22"/>
                <w:szCs w:val="22"/>
                <w:vertAlign w:val="subscript"/>
              </w:rPr>
              <w:t>5</w:t>
            </w:r>
          </w:p>
          <w:p w14:paraId="64ACA0C2">
            <w:pPr>
              <w:keepNext w:val="0"/>
              <w:keepLines w:val="0"/>
              <w:pageBreakBefore w:val="0"/>
              <w:suppressLineNumbers w:val="0"/>
              <w:kinsoku/>
              <w:wordWrap/>
              <w:overflowPunct/>
              <w:topLinePunct w:val="0"/>
              <w:autoSpaceDE/>
              <w:autoSpaceDN/>
              <w:bidi w:val="0"/>
              <w:spacing w:beforeAutospacing="0" w:after="0" w:afterAutospacing="0" w:line="240" w:lineRule="auto"/>
              <w:ind w:left="0" w:righ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SS</w:t>
            </w:r>
          </w:p>
          <w:p w14:paraId="4BB801AB">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氨氮</w:t>
            </w:r>
          </w:p>
        </w:tc>
        <w:tc>
          <w:tcPr>
            <w:tcW w:w="3402" w:type="dxa"/>
            <w:tcBorders>
              <w:tl2br w:val="nil"/>
              <w:tr2bl w:val="nil"/>
            </w:tcBorders>
            <w:vAlign w:val="center"/>
          </w:tcPr>
          <w:p w14:paraId="51874E37">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经厂区化粪池预处理后定期委托环卫部门清运</w:t>
            </w:r>
          </w:p>
        </w:tc>
        <w:tc>
          <w:tcPr>
            <w:tcW w:w="2331" w:type="dxa"/>
            <w:tcBorders>
              <w:tl2br w:val="nil"/>
              <w:tr2bl w:val="nil"/>
            </w:tcBorders>
            <w:vAlign w:val="center"/>
          </w:tcPr>
          <w:p w14:paraId="33518680">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eastAsia" w:cs="Times New Roman" w:eastAsiaTheme="minorEastAsia"/>
                <w:color w:val="auto"/>
                <w:sz w:val="22"/>
                <w:szCs w:val="22"/>
                <w:lang w:val="en-US" w:eastAsia="zh-CN"/>
              </w:rPr>
              <w:t>不外排</w:t>
            </w:r>
          </w:p>
        </w:tc>
      </w:tr>
      <w:tr w14:paraId="38C95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tcBorders>
              <w:tl2br w:val="nil"/>
              <w:tr2bl w:val="nil"/>
            </w:tcBorders>
            <w:vAlign w:val="center"/>
          </w:tcPr>
          <w:p w14:paraId="797E231E">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声环境</w:t>
            </w:r>
          </w:p>
        </w:tc>
        <w:tc>
          <w:tcPr>
            <w:tcW w:w="1598" w:type="dxa"/>
            <w:tcBorders>
              <w:tl2br w:val="nil"/>
              <w:tr2bl w:val="nil"/>
            </w:tcBorders>
            <w:vAlign w:val="center"/>
          </w:tcPr>
          <w:p w14:paraId="2B74649C">
            <w:pPr>
              <w:keepNext w:val="0"/>
              <w:keepLines w:val="0"/>
              <w:pageBreakBefore w:val="0"/>
              <w:kinsoku/>
              <w:wordWrap/>
              <w:overflowPunct/>
              <w:topLinePunct w:val="0"/>
              <w:autoSpaceDE/>
              <w:autoSpaceDN/>
              <w:bidi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生产设备</w:t>
            </w:r>
          </w:p>
        </w:tc>
        <w:tc>
          <w:tcPr>
            <w:tcW w:w="1406" w:type="dxa"/>
            <w:tcBorders>
              <w:tl2br w:val="nil"/>
              <w:tr2bl w:val="nil"/>
            </w:tcBorders>
            <w:vAlign w:val="center"/>
          </w:tcPr>
          <w:p w14:paraId="578037A4">
            <w:pPr>
              <w:keepNext w:val="0"/>
              <w:keepLines w:val="0"/>
              <w:pageBreakBefore w:val="0"/>
              <w:kinsoku/>
              <w:wordWrap/>
              <w:overflowPunct/>
              <w:topLinePunct w:val="0"/>
              <w:autoSpaceDE/>
              <w:autoSpaceDN/>
              <w:bidi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噪声</w:t>
            </w:r>
          </w:p>
        </w:tc>
        <w:tc>
          <w:tcPr>
            <w:tcW w:w="3402" w:type="dxa"/>
            <w:tcBorders>
              <w:tl2br w:val="nil"/>
              <w:tr2bl w:val="nil"/>
            </w:tcBorders>
            <w:vAlign w:val="center"/>
          </w:tcPr>
          <w:p w14:paraId="45AAA449">
            <w:pPr>
              <w:keepNext w:val="0"/>
              <w:keepLines w:val="0"/>
              <w:pageBreakBefore w:val="0"/>
              <w:kinsoku/>
              <w:wordWrap/>
              <w:overflowPunct/>
              <w:topLinePunct w:val="0"/>
              <w:autoSpaceDE/>
              <w:autoSpaceDN/>
              <w:bidi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选用低噪设备，隔声、</w:t>
            </w:r>
            <w:r>
              <w:rPr>
                <w:rFonts w:hint="eastAsia" w:cs="Times New Roman" w:eastAsiaTheme="minorEastAsia"/>
                <w:color w:val="auto"/>
                <w:sz w:val="22"/>
                <w:szCs w:val="22"/>
                <w:lang w:val="en-US" w:eastAsia="zh-CN"/>
              </w:rPr>
              <w:t>减振</w:t>
            </w:r>
            <w:r>
              <w:rPr>
                <w:rFonts w:hint="default" w:ascii="Times New Roman" w:hAnsi="Times New Roman" w:cs="Times New Roman" w:eastAsiaTheme="minorEastAsia"/>
                <w:color w:val="auto"/>
                <w:sz w:val="22"/>
                <w:szCs w:val="22"/>
              </w:rPr>
              <w:t>、消声，车间合理布局，经常保修维护</w:t>
            </w:r>
          </w:p>
        </w:tc>
        <w:tc>
          <w:tcPr>
            <w:tcW w:w="2331" w:type="dxa"/>
            <w:tcBorders>
              <w:tl2br w:val="nil"/>
              <w:tr2bl w:val="nil"/>
            </w:tcBorders>
            <w:vAlign w:val="center"/>
          </w:tcPr>
          <w:p w14:paraId="6C5FFB22">
            <w:pPr>
              <w:keepNext w:val="0"/>
              <w:keepLines w:val="0"/>
              <w:pageBreakBefore w:val="0"/>
              <w:kinsoku/>
              <w:wordWrap/>
              <w:overflowPunct/>
              <w:topLinePunct w:val="0"/>
              <w:autoSpaceDE/>
              <w:autoSpaceDN/>
              <w:bidi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eastAsia" w:ascii="Times New Roman" w:hAnsi="Times New Roman" w:cs="Times New Roman" w:eastAsiaTheme="minorEastAsia"/>
                <w:color w:val="auto"/>
                <w:sz w:val="22"/>
                <w:szCs w:val="22"/>
                <w:lang w:eastAsia="zh-CN"/>
              </w:rPr>
              <w:t>执行</w:t>
            </w:r>
            <w:r>
              <w:rPr>
                <w:rFonts w:hint="default" w:ascii="Times New Roman" w:hAnsi="Times New Roman" w:cs="Times New Roman" w:eastAsiaTheme="minorEastAsia"/>
                <w:color w:val="auto"/>
                <w:sz w:val="22"/>
                <w:szCs w:val="22"/>
              </w:rPr>
              <w:t>《工业企业厂界环境噪声排放标准》（GB12348-2008）</w:t>
            </w:r>
            <w:r>
              <w:rPr>
                <w:rFonts w:hint="eastAsia" w:cs="Times New Roman" w:eastAsiaTheme="minorEastAsia"/>
                <w:color w:val="auto"/>
                <w:sz w:val="22"/>
                <w:szCs w:val="22"/>
                <w:lang w:val="en-US" w:eastAsia="zh-CN"/>
              </w:rPr>
              <w:t>2</w:t>
            </w:r>
            <w:r>
              <w:rPr>
                <w:rFonts w:hint="default" w:ascii="Times New Roman" w:hAnsi="Times New Roman" w:cs="Times New Roman" w:eastAsiaTheme="minorEastAsia"/>
                <w:color w:val="auto"/>
                <w:sz w:val="22"/>
                <w:szCs w:val="22"/>
              </w:rPr>
              <w:t>类标准</w:t>
            </w:r>
          </w:p>
        </w:tc>
      </w:tr>
      <w:tr w14:paraId="78972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4" w:type="dxa"/>
            <w:tcBorders>
              <w:tl2br w:val="nil"/>
              <w:tr2bl w:val="nil"/>
            </w:tcBorders>
            <w:vAlign w:val="center"/>
          </w:tcPr>
          <w:p w14:paraId="277DDEAE">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电磁辐射</w:t>
            </w:r>
          </w:p>
        </w:tc>
        <w:tc>
          <w:tcPr>
            <w:tcW w:w="1598" w:type="dxa"/>
            <w:tcBorders>
              <w:tl2br w:val="nil"/>
              <w:tr2bl w:val="nil"/>
            </w:tcBorders>
            <w:vAlign w:val="center"/>
          </w:tcPr>
          <w:p w14:paraId="76196A45">
            <w:pPr>
              <w:keepNext w:val="0"/>
              <w:keepLines w:val="0"/>
              <w:pageBreakBefore w:val="0"/>
              <w:kinsoku/>
              <w:wordWrap/>
              <w:overflowPunct/>
              <w:topLinePunct w:val="0"/>
              <w:autoSpaceDE/>
              <w:autoSpaceDN/>
              <w:bidi w:val="0"/>
              <w:spacing w:line="240" w:lineRule="auto"/>
              <w:ind w:left="0" w:firstLine="0" w:firstLineChars="0"/>
              <w:jc w:val="center"/>
              <w:rPr>
                <w:rFonts w:hint="default" w:ascii="Times New Roman" w:hAnsi="Times New Roman" w:cs="Times New Roman" w:eastAsiaTheme="minorEastAsia"/>
                <w:color w:val="auto"/>
                <w:sz w:val="22"/>
                <w:szCs w:val="22"/>
                <w:lang w:val="zh-CN"/>
              </w:rPr>
            </w:pPr>
            <w:r>
              <w:rPr>
                <w:rFonts w:hint="default" w:ascii="Times New Roman" w:hAnsi="Times New Roman" w:cs="Times New Roman" w:eastAsiaTheme="minorEastAsia"/>
                <w:color w:val="auto"/>
                <w:sz w:val="22"/>
                <w:szCs w:val="22"/>
              </w:rPr>
              <w:t>/</w:t>
            </w:r>
          </w:p>
        </w:tc>
        <w:tc>
          <w:tcPr>
            <w:tcW w:w="1406" w:type="dxa"/>
            <w:tcBorders>
              <w:tl2br w:val="nil"/>
              <w:tr2bl w:val="nil"/>
            </w:tcBorders>
            <w:vAlign w:val="center"/>
          </w:tcPr>
          <w:p w14:paraId="19A1934C">
            <w:pPr>
              <w:keepNext w:val="0"/>
              <w:keepLines w:val="0"/>
              <w:pageBreakBefore w:val="0"/>
              <w:kinsoku/>
              <w:wordWrap/>
              <w:overflowPunct/>
              <w:topLinePunct w:val="0"/>
              <w:autoSpaceDE/>
              <w:autoSpaceDN/>
              <w:bidi w:val="0"/>
              <w:spacing w:line="240" w:lineRule="auto"/>
              <w:ind w:left="0" w:firstLine="0" w:firstLineChars="0"/>
              <w:jc w:val="center"/>
              <w:rPr>
                <w:rFonts w:hint="default" w:ascii="Times New Roman" w:hAnsi="Times New Roman" w:cs="Times New Roman" w:eastAsiaTheme="minorEastAsia"/>
                <w:color w:val="auto"/>
                <w:sz w:val="22"/>
                <w:szCs w:val="22"/>
                <w:lang w:val="zh-CN"/>
              </w:rPr>
            </w:pPr>
            <w:r>
              <w:rPr>
                <w:rFonts w:hint="default" w:ascii="Times New Roman" w:hAnsi="Times New Roman" w:cs="Times New Roman" w:eastAsiaTheme="minorEastAsia"/>
                <w:color w:val="auto"/>
                <w:sz w:val="22"/>
                <w:szCs w:val="22"/>
              </w:rPr>
              <w:t>/</w:t>
            </w:r>
          </w:p>
        </w:tc>
        <w:tc>
          <w:tcPr>
            <w:tcW w:w="3402" w:type="dxa"/>
            <w:tcBorders>
              <w:tl2br w:val="nil"/>
              <w:tr2bl w:val="nil"/>
            </w:tcBorders>
            <w:vAlign w:val="center"/>
          </w:tcPr>
          <w:p w14:paraId="4BB2A211">
            <w:pPr>
              <w:keepNext w:val="0"/>
              <w:keepLines w:val="0"/>
              <w:pageBreakBefore w:val="0"/>
              <w:kinsoku/>
              <w:wordWrap/>
              <w:overflowPunct/>
              <w:topLinePunct w:val="0"/>
              <w:autoSpaceDE/>
              <w:autoSpaceDN/>
              <w:bidi w:val="0"/>
              <w:spacing w:line="240" w:lineRule="auto"/>
              <w:ind w:left="0" w:firstLine="0" w:firstLineChars="0"/>
              <w:jc w:val="center"/>
              <w:rPr>
                <w:rFonts w:hint="default" w:ascii="Times New Roman" w:hAnsi="Times New Roman" w:cs="Times New Roman" w:eastAsiaTheme="minorEastAsia"/>
                <w:color w:val="auto"/>
                <w:sz w:val="22"/>
                <w:szCs w:val="22"/>
                <w:lang w:val="zh-CN"/>
              </w:rPr>
            </w:pPr>
            <w:r>
              <w:rPr>
                <w:rFonts w:hint="default" w:ascii="Times New Roman" w:hAnsi="Times New Roman" w:cs="Times New Roman" w:eastAsiaTheme="minorEastAsia"/>
                <w:color w:val="auto"/>
                <w:sz w:val="22"/>
                <w:szCs w:val="22"/>
              </w:rPr>
              <w:t>/</w:t>
            </w:r>
          </w:p>
        </w:tc>
        <w:tc>
          <w:tcPr>
            <w:tcW w:w="2331" w:type="dxa"/>
            <w:tcBorders>
              <w:tl2br w:val="nil"/>
              <w:tr2bl w:val="nil"/>
            </w:tcBorders>
            <w:vAlign w:val="center"/>
          </w:tcPr>
          <w:p w14:paraId="67EE3E42">
            <w:pPr>
              <w:keepNext w:val="0"/>
              <w:keepLines w:val="0"/>
              <w:pageBreakBefore w:val="0"/>
              <w:kinsoku/>
              <w:wordWrap/>
              <w:overflowPunct/>
              <w:topLinePunct w:val="0"/>
              <w:autoSpaceDE/>
              <w:autoSpaceDN/>
              <w:bidi w:val="0"/>
              <w:spacing w:line="240" w:lineRule="auto"/>
              <w:ind w:left="0" w:firstLine="0" w:firstLineChars="0"/>
              <w:jc w:val="center"/>
              <w:rPr>
                <w:rFonts w:hint="default" w:ascii="Times New Roman" w:hAnsi="Times New Roman" w:cs="Times New Roman" w:eastAsiaTheme="minorEastAsia"/>
                <w:color w:val="auto"/>
                <w:sz w:val="22"/>
                <w:szCs w:val="22"/>
                <w:lang w:val="zh-CN"/>
              </w:rPr>
            </w:pPr>
            <w:r>
              <w:rPr>
                <w:rFonts w:hint="default" w:ascii="Times New Roman" w:hAnsi="Times New Roman" w:cs="Times New Roman" w:eastAsiaTheme="minorEastAsia"/>
                <w:color w:val="auto"/>
                <w:sz w:val="22"/>
                <w:szCs w:val="22"/>
              </w:rPr>
              <w:t>/</w:t>
            </w:r>
          </w:p>
        </w:tc>
      </w:tr>
      <w:tr w14:paraId="485E5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tcBorders>
              <w:tl2br w:val="nil"/>
              <w:tr2bl w:val="nil"/>
            </w:tcBorders>
            <w:vAlign w:val="center"/>
          </w:tcPr>
          <w:p w14:paraId="1ED570EE">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固体废物</w:t>
            </w:r>
          </w:p>
        </w:tc>
        <w:tc>
          <w:tcPr>
            <w:tcW w:w="8737" w:type="dxa"/>
            <w:gridSpan w:val="4"/>
            <w:tcBorders>
              <w:tl2br w:val="nil"/>
              <w:tr2bl w:val="nil"/>
            </w:tcBorders>
            <w:vAlign w:val="center"/>
          </w:tcPr>
          <w:p w14:paraId="749CDD97">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eastAsia" w:ascii="Times New Roman" w:hAnsi="Times New Roman" w:cs="Times New Roman" w:eastAsiaTheme="minorEastAsia"/>
                <w:color w:val="auto"/>
                <w:sz w:val="22"/>
                <w:szCs w:val="22"/>
                <w:lang w:eastAsia="zh-CN"/>
              </w:rPr>
            </w:pPr>
            <w:r>
              <w:rPr>
                <w:rFonts w:hint="eastAsia" w:cs="Times New Roman" w:eastAsiaTheme="minorEastAsia"/>
                <w:color w:val="auto"/>
                <w:sz w:val="22"/>
                <w:szCs w:val="22"/>
                <w:lang w:val="en-US" w:eastAsia="zh-CN"/>
              </w:rPr>
              <w:t>废包装袋、废布袋、沉淀池沉渣</w:t>
            </w:r>
            <w:r>
              <w:rPr>
                <w:rFonts w:hint="default" w:ascii="Times New Roman" w:hAnsi="Times New Roman" w:cs="Times New Roman" w:eastAsiaTheme="minorEastAsia"/>
                <w:color w:val="auto"/>
                <w:sz w:val="22"/>
                <w:szCs w:val="22"/>
                <w:lang w:val="en-US" w:eastAsia="zh-CN"/>
              </w:rPr>
              <w:t>收</w:t>
            </w:r>
            <w:r>
              <w:rPr>
                <w:rFonts w:hint="default" w:ascii="Times New Roman" w:hAnsi="Times New Roman" w:cs="Times New Roman" w:eastAsiaTheme="minorEastAsia"/>
                <w:color w:val="auto"/>
                <w:sz w:val="22"/>
                <w:szCs w:val="22"/>
              </w:rPr>
              <w:t>集后</w:t>
            </w:r>
            <w:r>
              <w:rPr>
                <w:rFonts w:hint="default" w:ascii="Times New Roman" w:hAnsi="Times New Roman" w:cs="Times New Roman" w:eastAsiaTheme="minorEastAsia"/>
                <w:color w:val="auto"/>
                <w:sz w:val="22"/>
                <w:szCs w:val="22"/>
                <w:lang w:val="en-US" w:eastAsia="zh-CN"/>
              </w:rPr>
              <w:t>外售综合利用</w:t>
            </w:r>
            <w:r>
              <w:rPr>
                <w:rFonts w:hint="eastAsia" w:ascii="Times New Roman" w:hAnsi="Times New Roman" w:cs="Times New Roman" w:eastAsiaTheme="minorEastAsia"/>
                <w:color w:val="auto"/>
                <w:sz w:val="22"/>
                <w:szCs w:val="22"/>
                <w:lang w:val="en-US" w:eastAsia="zh-CN"/>
              </w:rPr>
              <w:t>；</w:t>
            </w:r>
            <w:r>
              <w:rPr>
                <w:rFonts w:hint="eastAsia" w:cs="Times New Roman" w:eastAsiaTheme="minorEastAsia"/>
                <w:color w:val="auto"/>
                <w:sz w:val="22"/>
                <w:szCs w:val="22"/>
                <w:lang w:val="en-US" w:eastAsia="zh-CN"/>
              </w:rPr>
              <w:t>除尘器、地面收集的粉尘作为原料回用于生产；</w:t>
            </w:r>
            <w:r>
              <w:rPr>
                <w:rFonts w:hint="default" w:ascii="Times New Roman" w:hAnsi="Times New Roman" w:cs="Times New Roman" w:eastAsiaTheme="minorEastAsia"/>
                <w:color w:val="auto"/>
                <w:sz w:val="22"/>
                <w:szCs w:val="22"/>
              </w:rPr>
              <w:t>生活垃圾由环卫部门清运</w:t>
            </w:r>
            <w:r>
              <w:rPr>
                <w:rFonts w:hint="eastAsia" w:ascii="Times New Roman" w:hAnsi="Times New Roman" w:cs="Times New Roman" w:eastAsiaTheme="minorEastAsia"/>
                <w:color w:val="auto"/>
                <w:sz w:val="22"/>
                <w:szCs w:val="22"/>
                <w:lang w:eastAsia="zh-CN"/>
              </w:rPr>
              <w:t>处理</w:t>
            </w:r>
            <w:r>
              <w:rPr>
                <w:rFonts w:hint="eastAsia" w:cs="Times New Roman" w:eastAsiaTheme="minorEastAsia"/>
                <w:color w:val="auto"/>
                <w:sz w:val="22"/>
                <w:szCs w:val="22"/>
                <w:lang w:eastAsia="zh-CN"/>
              </w:rPr>
              <w:t>。</w:t>
            </w:r>
          </w:p>
        </w:tc>
      </w:tr>
      <w:tr w14:paraId="2275F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tcBorders>
              <w:tl2br w:val="nil"/>
              <w:tr2bl w:val="nil"/>
            </w:tcBorders>
            <w:vAlign w:val="center"/>
          </w:tcPr>
          <w:p w14:paraId="5AF526D2">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土壤及地下水污染防治措施</w:t>
            </w:r>
          </w:p>
        </w:tc>
        <w:tc>
          <w:tcPr>
            <w:tcW w:w="8737" w:type="dxa"/>
            <w:gridSpan w:val="4"/>
            <w:tcBorders>
              <w:tl2br w:val="nil"/>
              <w:tr2bl w:val="nil"/>
            </w:tcBorders>
            <w:vAlign w:val="center"/>
          </w:tcPr>
          <w:p w14:paraId="5C710513">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Times New Roman" w:hAnsi="Times New Roman" w:cs="Times New Roman" w:eastAsiaTheme="minorEastAsia"/>
                <w:color w:val="auto"/>
                <w:sz w:val="22"/>
                <w:szCs w:val="22"/>
              </w:rPr>
            </w:pPr>
            <w:r>
              <w:rPr>
                <w:rFonts w:hint="eastAsia" w:ascii="宋体" w:hAnsi="宋体" w:cs="宋体"/>
                <w:color w:val="auto"/>
                <w:sz w:val="22"/>
                <w:szCs w:val="22"/>
              </w:rPr>
              <w:t>为防止事故情况下泄漏物质对项目所在地土壤和地下水产生污染，本环评提出</w:t>
            </w:r>
            <w:r>
              <w:rPr>
                <w:rFonts w:hint="eastAsia" w:ascii="宋体" w:hAnsi="宋体" w:cs="宋体"/>
                <w:color w:val="auto"/>
                <w:sz w:val="22"/>
                <w:szCs w:val="22"/>
                <w:lang w:eastAsia="zh-CN"/>
              </w:rPr>
              <w:t>源头控制、</w:t>
            </w:r>
            <w:r>
              <w:rPr>
                <w:rFonts w:hint="eastAsia" w:ascii="宋体" w:hAnsi="宋体" w:cs="宋体"/>
                <w:color w:val="auto"/>
                <w:sz w:val="22"/>
                <w:szCs w:val="22"/>
              </w:rPr>
              <w:t>分区防控要求，</w:t>
            </w:r>
            <w:r>
              <w:rPr>
                <w:rFonts w:hint="eastAsia" w:ascii="宋体" w:hAnsi="宋体" w:cs="宋体"/>
                <w:color w:val="auto"/>
                <w:sz w:val="22"/>
                <w:szCs w:val="22"/>
                <w:lang w:eastAsia="zh-CN"/>
              </w:rPr>
              <w:t>项目污染物类型不涉及重金属或持久性有机物，不设置重点防渗区，化粪池、</w:t>
            </w:r>
            <w:r>
              <w:rPr>
                <w:rFonts w:hint="eastAsia" w:ascii="宋体" w:hAnsi="宋体" w:cs="宋体"/>
                <w:color w:val="auto"/>
                <w:sz w:val="22"/>
                <w:szCs w:val="22"/>
                <w:lang w:val="en-US" w:eastAsia="zh-CN"/>
              </w:rPr>
              <w:t>洗车台沉淀池</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生产车间其他区域</w:t>
            </w:r>
            <w:r>
              <w:rPr>
                <w:rFonts w:hint="eastAsia" w:ascii="宋体" w:hAnsi="宋体" w:cs="宋体"/>
                <w:color w:val="auto"/>
                <w:sz w:val="22"/>
                <w:szCs w:val="22"/>
                <w:lang w:eastAsia="zh-CN"/>
              </w:rPr>
              <w:t>采取一般防渗措施，</w:t>
            </w:r>
            <w:r>
              <w:rPr>
                <w:rFonts w:hint="eastAsia" w:ascii="宋体" w:hAnsi="宋体" w:cs="宋体"/>
                <w:color w:val="auto"/>
                <w:sz w:val="22"/>
                <w:szCs w:val="22"/>
              </w:rPr>
              <w:t>办公区</w:t>
            </w:r>
            <w:r>
              <w:rPr>
                <w:rFonts w:hint="eastAsia" w:ascii="宋体" w:hAnsi="宋体" w:cs="宋体"/>
                <w:color w:val="auto"/>
                <w:sz w:val="22"/>
                <w:szCs w:val="22"/>
                <w:lang w:eastAsia="zh-CN"/>
              </w:rPr>
              <w:t>等</w:t>
            </w:r>
            <w:r>
              <w:rPr>
                <w:rFonts w:hint="eastAsia" w:ascii="宋体" w:hAnsi="宋体" w:cs="宋体"/>
                <w:color w:val="auto"/>
                <w:sz w:val="22"/>
                <w:szCs w:val="22"/>
              </w:rPr>
              <w:t>采用</w:t>
            </w:r>
            <w:r>
              <w:rPr>
                <w:rFonts w:hint="eastAsia" w:ascii="宋体" w:hAnsi="宋体" w:cs="宋体"/>
                <w:color w:val="auto"/>
                <w:sz w:val="22"/>
                <w:szCs w:val="22"/>
                <w:lang w:eastAsia="zh-CN"/>
              </w:rPr>
              <w:t>简单</w:t>
            </w:r>
            <w:r>
              <w:rPr>
                <w:rFonts w:hint="eastAsia" w:ascii="宋体" w:hAnsi="宋体" w:cs="宋体"/>
                <w:color w:val="auto"/>
                <w:sz w:val="22"/>
                <w:szCs w:val="22"/>
              </w:rPr>
              <w:t>防渗措施。</w:t>
            </w:r>
          </w:p>
        </w:tc>
      </w:tr>
      <w:tr w14:paraId="4C6E2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tcBorders>
              <w:tl2br w:val="nil"/>
              <w:tr2bl w:val="nil"/>
            </w:tcBorders>
            <w:vAlign w:val="center"/>
          </w:tcPr>
          <w:p w14:paraId="4711E2AD">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生态保护措施</w:t>
            </w:r>
          </w:p>
        </w:tc>
        <w:tc>
          <w:tcPr>
            <w:tcW w:w="8737" w:type="dxa"/>
            <w:gridSpan w:val="4"/>
            <w:tcBorders>
              <w:tl2br w:val="nil"/>
              <w:tr2bl w:val="nil"/>
            </w:tcBorders>
            <w:vAlign w:val="center"/>
          </w:tcPr>
          <w:p w14:paraId="1041D0D7">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项目所在区域不涉及野生动植物，无珍稀保护植物。项目运营不会对区域生态环境产生明显不良影响。</w:t>
            </w:r>
          </w:p>
        </w:tc>
      </w:tr>
      <w:tr w14:paraId="38FE4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tcBorders>
              <w:tl2br w:val="nil"/>
              <w:tr2bl w:val="nil"/>
            </w:tcBorders>
            <w:vAlign w:val="center"/>
          </w:tcPr>
          <w:p w14:paraId="484F5438">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pacing w:val="-8"/>
                <w:sz w:val="22"/>
                <w:szCs w:val="22"/>
              </w:rPr>
            </w:pPr>
            <w:r>
              <w:rPr>
                <w:rFonts w:hint="default" w:ascii="Times New Roman" w:hAnsi="Times New Roman" w:cs="Times New Roman" w:eastAsiaTheme="minorEastAsia"/>
                <w:color w:val="auto"/>
                <w:spacing w:val="-8"/>
                <w:sz w:val="22"/>
                <w:szCs w:val="22"/>
              </w:rPr>
              <w:t>环境风险</w:t>
            </w:r>
          </w:p>
          <w:p w14:paraId="79BBDB09">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pacing w:val="-8"/>
                <w:sz w:val="22"/>
                <w:szCs w:val="22"/>
              </w:rPr>
            </w:pPr>
            <w:r>
              <w:rPr>
                <w:rFonts w:hint="default" w:ascii="Times New Roman" w:hAnsi="Times New Roman" w:cs="Times New Roman" w:eastAsiaTheme="minorEastAsia"/>
                <w:color w:val="auto"/>
                <w:spacing w:val="-8"/>
                <w:sz w:val="22"/>
                <w:szCs w:val="22"/>
              </w:rPr>
              <w:t>防范措施</w:t>
            </w:r>
          </w:p>
        </w:tc>
        <w:tc>
          <w:tcPr>
            <w:tcW w:w="8737" w:type="dxa"/>
            <w:gridSpan w:val="4"/>
            <w:tcBorders>
              <w:tl2br w:val="nil"/>
              <w:tr2bl w:val="nil"/>
            </w:tcBorders>
            <w:vAlign w:val="center"/>
          </w:tcPr>
          <w:p w14:paraId="4EFB907B">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本项目必须加强管理，杜绝各类事故发生，应制定详细的事故应急计划，严格落实报告表提出的各项环境风险防范措施，配备必要的应急设备（例如灭火器、沙箱等）并对员工进行消防培训，将事故风险环境影响降到最低。</w:t>
            </w:r>
          </w:p>
        </w:tc>
      </w:tr>
      <w:tr w14:paraId="3293F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tcBorders>
              <w:tl2br w:val="nil"/>
              <w:tr2bl w:val="nil"/>
            </w:tcBorders>
            <w:vAlign w:val="center"/>
          </w:tcPr>
          <w:p w14:paraId="0AB56C47">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pacing w:val="-8"/>
                <w:sz w:val="22"/>
                <w:szCs w:val="22"/>
              </w:rPr>
            </w:pPr>
            <w:r>
              <w:rPr>
                <w:rFonts w:hint="default" w:ascii="Times New Roman" w:hAnsi="Times New Roman" w:cs="Times New Roman" w:eastAsiaTheme="minorEastAsia"/>
                <w:color w:val="auto"/>
                <w:spacing w:val="-8"/>
                <w:sz w:val="22"/>
                <w:szCs w:val="22"/>
              </w:rPr>
              <w:t>其他环境</w:t>
            </w:r>
          </w:p>
          <w:p w14:paraId="7AE0F3D6">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pacing w:val="-8"/>
                <w:sz w:val="22"/>
                <w:szCs w:val="22"/>
              </w:rPr>
            </w:pPr>
            <w:r>
              <w:rPr>
                <w:rFonts w:hint="default" w:ascii="Times New Roman" w:hAnsi="Times New Roman" w:cs="Times New Roman" w:eastAsiaTheme="minorEastAsia"/>
                <w:color w:val="auto"/>
                <w:spacing w:val="-8"/>
                <w:sz w:val="22"/>
                <w:szCs w:val="22"/>
              </w:rPr>
              <w:t>管理要求</w:t>
            </w:r>
          </w:p>
        </w:tc>
        <w:tc>
          <w:tcPr>
            <w:tcW w:w="8737" w:type="dxa"/>
            <w:gridSpan w:val="4"/>
            <w:tcBorders>
              <w:tl2br w:val="nil"/>
              <w:tr2bl w:val="nil"/>
            </w:tcBorders>
            <w:vAlign w:val="center"/>
          </w:tcPr>
          <w:p w14:paraId="265A1D2A">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eastAsia="宋体"/>
                <w:color w:val="auto"/>
                <w:sz w:val="22"/>
                <w:szCs w:val="22"/>
                <w:lang w:val="en-US" w:eastAsia="zh-CN"/>
              </w:rPr>
            </w:pPr>
            <w:r>
              <w:rPr>
                <w:rFonts w:hint="eastAsia"/>
                <w:color w:val="auto"/>
                <w:sz w:val="22"/>
                <w:szCs w:val="22"/>
                <w:lang w:val="en-US" w:eastAsia="zh-CN"/>
              </w:rPr>
              <w:t>1、</w:t>
            </w:r>
            <w:r>
              <w:rPr>
                <w:rFonts w:hint="eastAsia"/>
                <w:color w:val="auto"/>
                <w:sz w:val="22"/>
                <w:szCs w:val="22"/>
              </w:rPr>
              <w:t>严格落实三同时制度，确保环保措施与主体工程同时设计</w:t>
            </w:r>
            <w:r>
              <w:rPr>
                <w:rFonts w:hint="eastAsia"/>
                <w:color w:val="auto"/>
                <w:sz w:val="22"/>
                <w:szCs w:val="22"/>
                <w:lang w:eastAsia="zh-CN"/>
              </w:rPr>
              <w:t>、</w:t>
            </w:r>
            <w:r>
              <w:rPr>
                <w:rFonts w:hint="eastAsia"/>
                <w:color w:val="auto"/>
                <w:sz w:val="22"/>
                <w:szCs w:val="22"/>
              </w:rPr>
              <w:t>同时施工</w:t>
            </w:r>
            <w:r>
              <w:rPr>
                <w:rFonts w:hint="eastAsia"/>
                <w:color w:val="auto"/>
                <w:sz w:val="22"/>
                <w:szCs w:val="22"/>
                <w:lang w:eastAsia="zh-CN"/>
              </w:rPr>
              <w:t>、</w:t>
            </w:r>
            <w:r>
              <w:rPr>
                <w:rFonts w:hint="eastAsia"/>
                <w:color w:val="auto"/>
                <w:sz w:val="22"/>
                <w:szCs w:val="22"/>
              </w:rPr>
              <w:t>同时投入生产运行</w:t>
            </w:r>
            <w:r>
              <w:rPr>
                <w:rFonts w:hint="eastAsia"/>
                <w:color w:val="auto"/>
                <w:sz w:val="22"/>
                <w:szCs w:val="22"/>
                <w:lang w:eastAsia="zh-CN"/>
              </w:rPr>
              <w:t>，</w:t>
            </w:r>
            <w:r>
              <w:rPr>
                <w:rFonts w:hint="eastAsia"/>
                <w:color w:val="auto"/>
                <w:sz w:val="22"/>
                <w:szCs w:val="22"/>
              </w:rPr>
              <w:t>定期检查维修环保设施，确保设施正常运行</w:t>
            </w:r>
            <w:r>
              <w:rPr>
                <w:rFonts w:hint="eastAsia"/>
                <w:color w:val="auto"/>
                <w:sz w:val="22"/>
                <w:szCs w:val="22"/>
                <w:lang w:eastAsia="zh-CN"/>
              </w:rPr>
              <w:t>。</w:t>
            </w:r>
          </w:p>
          <w:p w14:paraId="3FED1B58">
            <w:pPr>
              <w:pStyle w:val="23"/>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jc w:val="both"/>
              <w:textAlignment w:val="auto"/>
              <w:rPr>
                <w:rFonts w:hint="eastAsia"/>
                <w:color w:val="auto"/>
                <w:sz w:val="22"/>
                <w:szCs w:val="22"/>
              </w:rPr>
            </w:pPr>
            <w:r>
              <w:rPr>
                <w:rFonts w:hint="eastAsia" w:ascii="Times New Roman" w:hAnsi="Times New Roman" w:eastAsia="宋体" w:cs="Times New Roman"/>
                <w:color w:val="auto"/>
                <w:kern w:val="2"/>
                <w:sz w:val="22"/>
                <w:szCs w:val="22"/>
                <w:lang w:val="en-US" w:eastAsia="zh-CN" w:bidi="ar-SA"/>
              </w:rPr>
              <w:t>2、</w:t>
            </w:r>
            <w:r>
              <w:rPr>
                <w:rFonts w:hint="eastAsia"/>
                <w:color w:val="auto"/>
                <w:sz w:val="22"/>
                <w:szCs w:val="22"/>
              </w:rPr>
              <w:t>公司设立环境管理机构，履行环保管理职责，规范排污口设置及标示标牌，按污染源监测计划实施定期监测等。企业应及时记录生产、排污、管理等信息台账。</w:t>
            </w:r>
          </w:p>
          <w:p w14:paraId="4A5A74BE">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sz w:val="22"/>
                <w:szCs w:val="22"/>
                <w:lang w:eastAsia="zh-CN"/>
              </w:rPr>
            </w:pPr>
            <w:r>
              <w:rPr>
                <w:rFonts w:hint="default" w:ascii="Times New Roman" w:hAnsi="Times New Roman" w:cs="Times New Roman"/>
                <w:color w:val="auto"/>
                <w:sz w:val="22"/>
                <w:szCs w:val="22"/>
                <w:lang w:val="en-US" w:eastAsia="zh-CN"/>
              </w:rPr>
              <w:t>3、根据《固定污染源排污许可分</w:t>
            </w:r>
            <w:r>
              <w:rPr>
                <w:rFonts w:hint="default" w:ascii="Times New Roman" w:hAnsi="Times New Roman" w:eastAsia="宋体" w:cs="Times New Roman"/>
                <w:color w:val="auto"/>
                <w:sz w:val="22"/>
                <w:szCs w:val="22"/>
                <w:lang w:val="en-US" w:eastAsia="zh-CN"/>
              </w:rPr>
              <w:t>类管理名录》（2019年版），应当在启动生产设施或者发生实际排污之前</w:t>
            </w:r>
            <w:r>
              <w:rPr>
                <w:rFonts w:hint="eastAsia" w:ascii="Times New Roman" w:hAnsi="Times New Roman" w:eastAsia="宋体" w:cs="Times New Roman"/>
                <w:color w:val="auto"/>
                <w:sz w:val="22"/>
                <w:szCs w:val="22"/>
                <w:lang w:val="en-US" w:eastAsia="zh-CN"/>
              </w:rPr>
              <w:t>完成</w:t>
            </w:r>
            <w:r>
              <w:rPr>
                <w:rFonts w:hint="default" w:ascii="Times New Roman" w:hAnsi="Times New Roman" w:eastAsia="宋体" w:cs="Times New Roman"/>
                <w:color w:val="auto"/>
                <w:sz w:val="22"/>
                <w:szCs w:val="22"/>
                <w:lang w:val="en-US" w:eastAsia="zh-CN"/>
              </w:rPr>
              <w:t>排污许可简化管理申报工作</w:t>
            </w:r>
            <w:r>
              <w:rPr>
                <w:rFonts w:hint="eastAsia" w:ascii="Times New Roman" w:hAnsi="Times New Roman" w:eastAsia="宋体" w:cs="Times New Roman"/>
                <w:color w:val="auto"/>
                <w:sz w:val="22"/>
                <w:szCs w:val="22"/>
                <w:lang w:val="en-US" w:eastAsia="zh-CN"/>
              </w:rPr>
              <w:t>，</w:t>
            </w:r>
            <w:r>
              <w:rPr>
                <w:rFonts w:hint="eastAsia" w:ascii="Times New Roman" w:hAnsi="Times New Roman" w:eastAsia="宋体" w:cs="Times New Roman"/>
                <w:color w:val="auto"/>
                <w:sz w:val="22"/>
                <w:szCs w:val="22"/>
              </w:rPr>
              <w:t>日常按照排污许可要求进行管理</w:t>
            </w:r>
            <w:r>
              <w:rPr>
                <w:rFonts w:hint="eastAsia" w:ascii="Times New Roman" w:hAnsi="Times New Roman" w:eastAsia="宋体" w:cs="Times New Roman"/>
                <w:color w:val="auto"/>
                <w:sz w:val="22"/>
                <w:szCs w:val="22"/>
                <w:lang w:eastAsia="zh-CN"/>
              </w:rPr>
              <w:t>。</w:t>
            </w:r>
          </w:p>
          <w:p w14:paraId="76872D84">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Times New Roman" w:hAnsi="Times New Roman" w:cs="Times New Roman" w:eastAsiaTheme="minorEastAsia"/>
                <w:color w:val="auto"/>
                <w:sz w:val="22"/>
                <w:szCs w:val="22"/>
              </w:rPr>
            </w:pPr>
            <w:r>
              <w:rPr>
                <w:rFonts w:hint="eastAsia" w:ascii="Times New Roman" w:hAnsi="Times New Roman" w:eastAsia="宋体" w:cs="Times New Roman"/>
                <w:color w:val="auto"/>
                <w:sz w:val="22"/>
                <w:szCs w:val="22"/>
                <w:lang w:val="en-US" w:eastAsia="zh-CN"/>
              </w:rPr>
              <w:t>4、工程竣工后建设单位应当依照国家有关法律法规、建设项目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tc>
      </w:tr>
    </w:tbl>
    <w:p w14:paraId="5638B73C">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outlineLvl w:val="0"/>
        <w:rPr>
          <w:rFonts w:ascii="Times New Roman" w:hAnsi="Times New Roman" w:eastAsia="黑体" w:cs="Times New Roman"/>
          <w:snapToGrid w:val="0"/>
          <w:color w:val="auto"/>
          <w:sz w:val="30"/>
          <w:szCs w:val="30"/>
        </w:rPr>
      </w:pPr>
      <w:r>
        <w:rPr>
          <w:rFonts w:ascii="Times New Roman" w:hAnsi="Times New Roman"/>
          <w:snapToGrid w:val="0"/>
          <w:color w:val="auto"/>
        </w:rPr>
        <w:br w:type="page"/>
      </w:r>
      <w:r>
        <w:rPr>
          <w:rFonts w:ascii="Times New Roman" w:hAnsi="Times New Roman" w:eastAsia="黑体" w:cs="Times New Roman"/>
          <w:snapToGrid w:val="0"/>
          <w:color w:val="auto"/>
          <w:sz w:val="30"/>
          <w:szCs w:val="30"/>
        </w:rPr>
        <w:t>六、结论</w:t>
      </w:r>
    </w:p>
    <w:tbl>
      <w:tblPr>
        <w:tblStyle w:val="33"/>
        <w:tblW w:w="10091"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0091"/>
      </w:tblGrid>
      <w:tr w14:paraId="1067775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1991" w:hRule="atLeast"/>
          <w:jc w:val="center"/>
        </w:trPr>
        <w:tc>
          <w:tcPr>
            <w:tcW w:w="8865" w:type="dxa"/>
            <w:tcBorders>
              <w:tl2br w:val="nil"/>
              <w:tr2bl w:val="nil"/>
            </w:tcBorders>
            <w:vAlign w:val="top"/>
          </w:tcPr>
          <w:p w14:paraId="332F134E">
            <w:pPr>
              <w:tabs>
                <w:tab w:val="left" w:pos="840"/>
                <w:tab w:val="left" w:pos="1200"/>
              </w:tabs>
              <w:spacing w:line="360" w:lineRule="auto"/>
              <w:rPr>
                <w:lang w:val="en-GB" w:bidi="ar"/>
              </w:rPr>
            </w:pPr>
          </w:p>
          <w:p w14:paraId="190D357D">
            <w:pPr>
              <w:tabs>
                <w:tab w:val="left" w:pos="840"/>
                <w:tab w:val="left" w:pos="1200"/>
              </w:tabs>
              <w:spacing w:line="360" w:lineRule="auto"/>
              <w:rPr>
                <w:lang w:val="en-GB" w:bidi="ar"/>
              </w:rPr>
            </w:pPr>
          </w:p>
          <w:p w14:paraId="34336453">
            <w:pPr>
              <w:tabs>
                <w:tab w:val="left" w:pos="840"/>
                <w:tab w:val="left" w:pos="1200"/>
              </w:tabs>
              <w:spacing w:line="360" w:lineRule="auto"/>
              <w:rPr>
                <w:lang w:val="en-GB" w:bidi="ar"/>
              </w:rPr>
            </w:pPr>
          </w:p>
          <w:p w14:paraId="50D56ED4">
            <w:pPr>
              <w:tabs>
                <w:tab w:val="left" w:pos="840"/>
                <w:tab w:val="left" w:pos="1200"/>
              </w:tabs>
              <w:spacing w:line="360" w:lineRule="auto"/>
              <w:rPr>
                <w:lang w:val="en-GB" w:bidi="ar"/>
              </w:rPr>
            </w:pPr>
          </w:p>
          <w:p w14:paraId="3D71AE6B">
            <w:pPr>
              <w:tabs>
                <w:tab w:val="left" w:pos="840"/>
                <w:tab w:val="left" w:pos="1200"/>
              </w:tabs>
              <w:spacing w:line="360" w:lineRule="auto"/>
              <w:rPr>
                <w:lang w:val="en-GB" w:bidi="ar"/>
              </w:rPr>
            </w:pPr>
          </w:p>
          <w:p w14:paraId="40399B5F">
            <w:pPr>
              <w:tabs>
                <w:tab w:val="left" w:pos="840"/>
                <w:tab w:val="left" w:pos="1200"/>
              </w:tabs>
              <w:spacing w:line="360" w:lineRule="auto"/>
              <w:rPr>
                <w:lang w:val="en-GB" w:bidi="ar"/>
              </w:rPr>
            </w:pPr>
          </w:p>
          <w:p w14:paraId="5110D99A">
            <w:pPr>
              <w:tabs>
                <w:tab w:val="left" w:pos="840"/>
                <w:tab w:val="left" w:pos="1200"/>
              </w:tabs>
              <w:spacing w:line="360" w:lineRule="auto"/>
              <w:rPr>
                <w:lang w:val="en-GB" w:bidi="ar"/>
              </w:rPr>
            </w:pPr>
          </w:p>
          <w:p w14:paraId="5BBB0088">
            <w:pPr>
              <w:tabs>
                <w:tab w:val="left" w:pos="840"/>
                <w:tab w:val="left" w:pos="1200"/>
              </w:tabs>
              <w:spacing w:line="360" w:lineRule="auto"/>
              <w:rPr>
                <w:lang w:val="en-GB" w:bidi="ar"/>
              </w:rPr>
            </w:pPr>
          </w:p>
          <w:p w14:paraId="037E1573">
            <w:pPr>
              <w:tabs>
                <w:tab w:val="left" w:pos="840"/>
                <w:tab w:val="left" w:pos="1200"/>
              </w:tabs>
              <w:spacing w:line="360" w:lineRule="auto"/>
              <w:rPr>
                <w:lang w:val="en-GB" w:bidi="ar"/>
              </w:rPr>
            </w:pPr>
          </w:p>
          <w:p w14:paraId="4750B53C">
            <w:pPr>
              <w:tabs>
                <w:tab w:val="left" w:pos="840"/>
                <w:tab w:val="left" w:pos="1200"/>
              </w:tabs>
              <w:spacing w:line="360" w:lineRule="auto"/>
              <w:rPr>
                <w:color w:val="auto"/>
                <w:sz w:val="24"/>
              </w:rPr>
            </w:pPr>
            <w:r>
              <w:rPr>
                <w:lang w:val="en-GB" w:bidi="ar"/>
              </w:rPr>
              <w:t>项目符合国家产业政策，符合相关环保政策，选址符合当地规划。在严格加强管理、落实各项污染防治措施后，项目污染物排放可以满足国家规定的相应排放标准要求，对周围环境影响较小。从环境保护的角度分析，本项目是可行的。</w:t>
            </w:r>
          </w:p>
        </w:tc>
      </w:tr>
    </w:tbl>
    <w:p w14:paraId="093F8258">
      <w:pPr>
        <w:rPr>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56F6F4ED">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ascii="Times New Roman" w:hAnsi="Times New Roman" w:eastAsia="方正小标宋_GBK"/>
          <w:snapToGrid w:val="0"/>
          <w:color w:val="auto"/>
          <w:sz w:val="30"/>
          <w:szCs w:val="30"/>
        </w:rPr>
      </w:pPr>
      <w:r>
        <w:rPr>
          <w:rFonts w:ascii="Times New Roman" w:hAnsi="Times New Roman" w:eastAsia="方正小标宋_GBK"/>
          <w:snapToGrid w:val="0"/>
          <w:color w:val="auto"/>
          <w:sz w:val="30"/>
          <w:szCs w:val="30"/>
        </w:rPr>
        <w:t>建设项目污染物排放量汇总表</w:t>
      </w:r>
    </w:p>
    <w:tbl>
      <w:tblPr>
        <w:tblStyle w:val="33"/>
        <w:tblW w:w="143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362"/>
        <w:gridCol w:w="1705"/>
        <w:gridCol w:w="1279"/>
        <w:gridCol w:w="1705"/>
        <w:gridCol w:w="1562"/>
        <w:gridCol w:w="1765"/>
        <w:gridCol w:w="1963"/>
        <w:gridCol w:w="1386"/>
      </w:tblGrid>
      <w:tr w14:paraId="3A371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650" w:type="dxa"/>
            <w:tcBorders>
              <w:tl2br w:val="single" w:color="auto" w:sz="4" w:space="0"/>
            </w:tcBorders>
            <w:tcMar>
              <w:left w:w="28" w:type="dxa"/>
              <w:right w:w="28" w:type="dxa"/>
            </w:tcMar>
            <w:vAlign w:val="center"/>
          </w:tcPr>
          <w:p w14:paraId="70CAF5B5">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项目</w:t>
            </w:r>
          </w:p>
          <w:p w14:paraId="7D29B3E2">
            <w:pPr>
              <w:pStyle w:val="51"/>
              <w:keepNext w:val="0"/>
              <w:keepLines w:val="0"/>
              <w:pageBreakBefore w:val="0"/>
              <w:widowControl w:val="0"/>
              <w:kinsoku/>
              <w:wordWrap/>
              <w:overflowPunct/>
              <w:autoSpaceDE/>
              <w:autoSpaceDN/>
              <w:bidi w:val="0"/>
              <w:spacing w:line="240" w:lineRule="auto"/>
              <w:ind w:firstLine="0" w:firstLineChars="0"/>
              <w:jc w:val="both"/>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分类</w:t>
            </w:r>
          </w:p>
        </w:tc>
        <w:tc>
          <w:tcPr>
            <w:tcW w:w="1362" w:type="dxa"/>
            <w:tcMar>
              <w:left w:w="28" w:type="dxa"/>
              <w:right w:w="28" w:type="dxa"/>
            </w:tcMar>
            <w:vAlign w:val="center"/>
          </w:tcPr>
          <w:p w14:paraId="56C26E11">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污染物名称</w:t>
            </w:r>
          </w:p>
        </w:tc>
        <w:tc>
          <w:tcPr>
            <w:tcW w:w="1705" w:type="dxa"/>
            <w:tcMar>
              <w:left w:w="28" w:type="dxa"/>
              <w:right w:w="28" w:type="dxa"/>
            </w:tcMar>
            <w:vAlign w:val="center"/>
          </w:tcPr>
          <w:p w14:paraId="1FDB0CDE">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现有工程</w:t>
            </w:r>
          </w:p>
          <w:p w14:paraId="2B114B48">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排放量（固体废物产生量）</w:t>
            </w:r>
            <w:r>
              <w:rPr>
                <w:rFonts w:hint="default" w:ascii="Times New Roman" w:hAnsi="Times New Roman" w:eastAsia="黑体" w:cs="Times New Roman"/>
                <w:snapToGrid w:val="0"/>
                <w:color w:val="auto"/>
                <w:spacing w:val="-6"/>
                <w:kern w:val="21"/>
                <w:sz w:val="22"/>
                <w:szCs w:val="22"/>
              </w:rPr>
              <w:fldChar w:fldCharType="begin"/>
            </w:r>
            <w:r>
              <w:rPr>
                <w:rFonts w:hint="default" w:ascii="Times New Roman" w:hAnsi="Times New Roman" w:eastAsia="黑体" w:cs="Times New Roman"/>
                <w:snapToGrid w:val="0"/>
                <w:color w:val="auto"/>
                <w:spacing w:val="-6"/>
                <w:kern w:val="21"/>
                <w:sz w:val="22"/>
                <w:szCs w:val="22"/>
              </w:rPr>
              <w:instrText xml:space="preserve"> = 1 \* GB3 \* MERGEFORMAT </w:instrText>
            </w:r>
            <w:r>
              <w:rPr>
                <w:rFonts w:hint="default" w:ascii="Times New Roman" w:hAnsi="Times New Roman" w:eastAsia="黑体" w:cs="Times New Roman"/>
                <w:snapToGrid w:val="0"/>
                <w:color w:val="auto"/>
                <w:spacing w:val="-6"/>
                <w:kern w:val="21"/>
                <w:sz w:val="22"/>
                <w:szCs w:val="22"/>
              </w:rPr>
              <w:fldChar w:fldCharType="separate"/>
            </w:r>
            <w:r>
              <w:rPr>
                <w:rFonts w:hint="default" w:ascii="Times New Roman" w:hAnsi="Times New Roman" w:eastAsia="黑体" w:cs="Times New Roman"/>
                <w:color w:val="auto"/>
                <w:kern w:val="2"/>
                <w:sz w:val="22"/>
                <w:szCs w:val="22"/>
              </w:rPr>
              <w:t>①</w:t>
            </w:r>
            <w:r>
              <w:rPr>
                <w:rFonts w:hint="default" w:ascii="Times New Roman" w:hAnsi="Times New Roman" w:eastAsia="黑体" w:cs="Times New Roman"/>
                <w:snapToGrid w:val="0"/>
                <w:color w:val="auto"/>
                <w:spacing w:val="-6"/>
                <w:kern w:val="21"/>
                <w:sz w:val="22"/>
                <w:szCs w:val="22"/>
              </w:rPr>
              <w:fldChar w:fldCharType="end"/>
            </w:r>
          </w:p>
        </w:tc>
        <w:tc>
          <w:tcPr>
            <w:tcW w:w="1279" w:type="dxa"/>
            <w:tcMar>
              <w:left w:w="28" w:type="dxa"/>
              <w:right w:w="28" w:type="dxa"/>
            </w:tcMar>
            <w:vAlign w:val="center"/>
          </w:tcPr>
          <w:p w14:paraId="24B22FBD">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现有工程</w:t>
            </w:r>
          </w:p>
          <w:p w14:paraId="0549CF68">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许可排放量</w:t>
            </w:r>
          </w:p>
          <w:p w14:paraId="44A9759B">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fldChar w:fldCharType="begin"/>
            </w:r>
            <w:r>
              <w:rPr>
                <w:rFonts w:hint="default" w:ascii="Times New Roman" w:hAnsi="Times New Roman" w:eastAsia="黑体" w:cs="Times New Roman"/>
                <w:snapToGrid w:val="0"/>
                <w:color w:val="auto"/>
                <w:spacing w:val="-6"/>
                <w:kern w:val="21"/>
                <w:sz w:val="22"/>
                <w:szCs w:val="22"/>
              </w:rPr>
              <w:instrText xml:space="preserve"> = 2 \* GB3 \* MERGEFORMAT </w:instrText>
            </w:r>
            <w:r>
              <w:rPr>
                <w:rFonts w:hint="default" w:ascii="Times New Roman" w:hAnsi="Times New Roman" w:eastAsia="黑体" w:cs="Times New Roman"/>
                <w:snapToGrid w:val="0"/>
                <w:color w:val="auto"/>
                <w:spacing w:val="-6"/>
                <w:kern w:val="21"/>
                <w:sz w:val="22"/>
                <w:szCs w:val="22"/>
              </w:rPr>
              <w:fldChar w:fldCharType="separate"/>
            </w:r>
            <w:r>
              <w:rPr>
                <w:rFonts w:hint="default" w:ascii="Times New Roman" w:hAnsi="Times New Roman" w:eastAsia="黑体" w:cs="Times New Roman"/>
                <w:snapToGrid w:val="0"/>
                <w:color w:val="auto"/>
                <w:spacing w:val="-6"/>
                <w:kern w:val="21"/>
                <w:sz w:val="22"/>
                <w:szCs w:val="22"/>
              </w:rPr>
              <w:t>②</w:t>
            </w:r>
            <w:r>
              <w:rPr>
                <w:rFonts w:hint="default" w:ascii="Times New Roman" w:hAnsi="Times New Roman" w:eastAsia="黑体" w:cs="Times New Roman"/>
                <w:snapToGrid w:val="0"/>
                <w:color w:val="auto"/>
                <w:spacing w:val="-6"/>
                <w:kern w:val="21"/>
                <w:sz w:val="22"/>
                <w:szCs w:val="22"/>
              </w:rPr>
              <w:fldChar w:fldCharType="end"/>
            </w:r>
          </w:p>
        </w:tc>
        <w:tc>
          <w:tcPr>
            <w:tcW w:w="1705" w:type="dxa"/>
            <w:tcMar>
              <w:left w:w="28" w:type="dxa"/>
              <w:right w:w="28" w:type="dxa"/>
            </w:tcMar>
            <w:vAlign w:val="center"/>
          </w:tcPr>
          <w:p w14:paraId="743AB407">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在建工程</w:t>
            </w:r>
          </w:p>
          <w:p w14:paraId="0D9DBBE3">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排放量（固体废物产生量）</w:t>
            </w:r>
            <w:r>
              <w:rPr>
                <w:rFonts w:hint="default" w:ascii="Times New Roman" w:hAnsi="Times New Roman" w:eastAsia="黑体" w:cs="Times New Roman"/>
                <w:snapToGrid w:val="0"/>
                <w:color w:val="auto"/>
                <w:spacing w:val="-6"/>
                <w:kern w:val="21"/>
                <w:sz w:val="22"/>
                <w:szCs w:val="22"/>
              </w:rPr>
              <w:fldChar w:fldCharType="begin"/>
            </w:r>
            <w:r>
              <w:rPr>
                <w:rFonts w:hint="default" w:ascii="Times New Roman" w:hAnsi="Times New Roman" w:eastAsia="黑体" w:cs="Times New Roman"/>
                <w:snapToGrid w:val="0"/>
                <w:color w:val="auto"/>
                <w:spacing w:val="-6"/>
                <w:kern w:val="21"/>
                <w:sz w:val="22"/>
                <w:szCs w:val="22"/>
              </w:rPr>
              <w:instrText xml:space="preserve"> = 3 \* GB3 \* MERGEFORMAT </w:instrText>
            </w:r>
            <w:r>
              <w:rPr>
                <w:rFonts w:hint="default" w:ascii="Times New Roman" w:hAnsi="Times New Roman" w:eastAsia="黑体" w:cs="Times New Roman"/>
                <w:snapToGrid w:val="0"/>
                <w:color w:val="auto"/>
                <w:spacing w:val="-6"/>
                <w:kern w:val="21"/>
                <w:sz w:val="22"/>
                <w:szCs w:val="22"/>
              </w:rPr>
              <w:fldChar w:fldCharType="separate"/>
            </w:r>
            <w:r>
              <w:rPr>
                <w:rFonts w:hint="default" w:ascii="Times New Roman" w:hAnsi="Times New Roman" w:eastAsia="黑体" w:cs="Times New Roman"/>
                <w:color w:val="auto"/>
                <w:kern w:val="2"/>
                <w:sz w:val="22"/>
                <w:szCs w:val="22"/>
              </w:rPr>
              <w:t>③</w:t>
            </w:r>
            <w:r>
              <w:rPr>
                <w:rFonts w:hint="default" w:ascii="Times New Roman" w:hAnsi="Times New Roman" w:eastAsia="黑体" w:cs="Times New Roman"/>
                <w:snapToGrid w:val="0"/>
                <w:color w:val="auto"/>
                <w:spacing w:val="-6"/>
                <w:kern w:val="21"/>
                <w:sz w:val="22"/>
                <w:szCs w:val="22"/>
              </w:rPr>
              <w:fldChar w:fldCharType="end"/>
            </w:r>
          </w:p>
        </w:tc>
        <w:tc>
          <w:tcPr>
            <w:tcW w:w="1562" w:type="dxa"/>
            <w:tcMar>
              <w:left w:w="28" w:type="dxa"/>
              <w:right w:w="28" w:type="dxa"/>
            </w:tcMar>
            <w:vAlign w:val="center"/>
          </w:tcPr>
          <w:p w14:paraId="4F01B818">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本项目</w:t>
            </w:r>
          </w:p>
          <w:p w14:paraId="0EF42BC2">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排放量（固体废物产生量）</w:t>
            </w:r>
            <w:r>
              <w:rPr>
                <w:rFonts w:hint="default" w:ascii="Times New Roman" w:hAnsi="Times New Roman" w:eastAsia="黑体" w:cs="Times New Roman"/>
                <w:snapToGrid w:val="0"/>
                <w:color w:val="auto"/>
                <w:spacing w:val="-6"/>
                <w:kern w:val="21"/>
                <w:sz w:val="22"/>
                <w:szCs w:val="22"/>
              </w:rPr>
              <w:fldChar w:fldCharType="begin"/>
            </w:r>
            <w:r>
              <w:rPr>
                <w:rFonts w:hint="default" w:ascii="Times New Roman" w:hAnsi="Times New Roman" w:eastAsia="黑体" w:cs="Times New Roman"/>
                <w:snapToGrid w:val="0"/>
                <w:color w:val="auto"/>
                <w:spacing w:val="-6"/>
                <w:kern w:val="21"/>
                <w:sz w:val="22"/>
                <w:szCs w:val="22"/>
              </w:rPr>
              <w:instrText xml:space="preserve"> = 4 \* GB3 \* MERGEFORMAT </w:instrText>
            </w:r>
            <w:r>
              <w:rPr>
                <w:rFonts w:hint="default" w:ascii="Times New Roman" w:hAnsi="Times New Roman" w:eastAsia="黑体" w:cs="Times New Roman"/>
                <w:snapToGrid w:val="0"/>
                <w:color w:val="auto"/>
                <w:spacing w:val="-6"/>
                <w:kern w:val="21"/>
                <w:sz w:val="22"/>
                <w:szCs w:val="22"/>
              </w:rPr>
              <w:fldChar w:fldCharType="separate"/>
            </w:r>
            <w:r>
              <w:rPr>
                <w:rFonts w:hint="default" w:ascii="Times New Roman" w:hAnsi="Times New Roman" w:eastAsia="黑体" w:cs="Times New Roman"/>
                <w:color w:val="auto"/>
                <w:kern w:val="2"/>
                <w:sz w:val="22"/>
                <w:szCs w:val="22"/>
              </w:rPr>
              <w:t>④</w:t>
            </w:r>
            <w:r>
              <w:rPr>
                <w:rFonts w:hint="default" w:ascii="Times New Roman" w:hAnsi="Times New Roman" w:eastAsia="黑体" w:cs="Times New Roman"/>
                <w:snapToGrid w:val="0"/>
                <w:color w:val="auto"/>
                <w:spacing w:val="-6"/>
                <w:kern w:val="21"/>
                <w:sz w:val="22"/>
                <w:szCs w:val="22"/>
              </w:rPr>
              <w:fldChar w:fldCharType="end"/>
            </w:r>
          </w:p>
        </w:tc>
        <w:tc>
          <w:tcPr>
            <w:tcW w:w="1765" w:type="dxa"/>
            <w:tcMar>
              <w:left w:w="28" w:type="dxa"/>
              <w:right w:w="28" w:type="dxa"/>
            </w:tcMar>
            <w:vAlign w:val="center"/>
          </w:tcPr>
          <w:p w14:paraId="515F97E9">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16"/>
                <w:kern w:val="21"/>
                <w:sz w:val="22"/>
                <w:szCs w:val="22"/>
              </w:rPr>
            </w:pPr>
            <w:r>
              <w:rPr>
                <w:rFonts w:hint="default" w:ascii="Times New Roman" w:hAnsi="Times New Roman" w:eastAsia="黑体" w:cs="Times New Roman"/>
                <w:snapToGrid w:val="0"/>
                <w:color w:val="auto"/>
                <w:spacing w:val="-16"/>
                <w:kern w:val="21"/>
                <w:sz w:val="22"/>
                <w:szCs w:val="22"/>
              </w:rPr>
              <w:t>以新带老削减量</w:t>
            </w:r>
          </w:p>
          <w:p w14:paraId="5F40D25E">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16"/>
                <w:kern w:val="21"/>
                <w:sz w:val="22"/>
                <w:szCs w:val="22"/>
              </w:rPr>
            </w:pPr>
            <w:r>
              <w:rPr>
                <w:rFonts w:hint="default" w:ascii="Times New Roman" w:hAnsi="Times New Roman" w:eastAsia="黑体" w:cs="Times New Roman"/>
                <w:snapToGrid w:val="0"/>
                <w:color w:val="auto"/>
                <w:spacing w:val="-16"/>
                <w:kern w:val="21"/>
                <w:sz w:val="22"/>
                <w:szCs w:val="22"/>
              </w:rPr>
              <w:t>（新建项目不填）</w:t>
            </w:r>
            <w:r>
              <w:rPr>
                <w:rFonts w:hint="default" w:ascii="Times New Roman" w:hAnsi="Times New Roman" w:eastAsia="黑体" w:cs="Times New Roman"/>
                <w:snapToGrid w:val="0"/>
                <w:color w:val="auto"/>
                <w:spacing w:val="-16"/>
                <w:kern w:val="21"/>
                <w:sz w:val="22"/>
                <w:szCs w:val="22"/>
              </w:rPr>
              <w:fldChar w:fldCharType="begin"/>
            </w:r>
            <w:r>
              <w:rPr>
                <w:rFonts w:hint="default" w:ascii="Times New Roman" w:hAnsi="Times New Roman" w:eastAsia="黑体" w:cs="Times New Roman"/>
                <w:snapToGrid w:val="0"/>
                <w:color w:val="auto"/>
                <w:spacing w:val="-16"/>
                <w:kern w:val="21"/>
                <w:sz w:val="22"/>
                <w:szCs w:val="22"/>
              </w:rPr>
              <w:instrText xml:space="preserve"> = 5 \* GB3 \* MERGEFORMAT </w:instrText>
            </w:r>
            <w:r>
              <w:rPr>
                <w:rFonts w:hint="default" w:ascii="Times New Roman" w:hAnsi="Times New Roman" w:eastAsia="黑体" w:cs="Times New Roman"/>
                <w:snapToGrid w:val="0"/>
                <w:color w:val="auto"/>
                <w:spacing w:val="-16"/>
                <w:kern w:val="21"/>
                <w:sz w:val="22"/>
                <w:szCs w:val="22"/>
              </w:rPr>
              <w:fldChar w:fldCharType="separate"/>
            </w:r>
            <w:r>
              <w:rPr>
                <w:rFonts w:hint="default" w:ascii="Times New Roman" w:hAnsi="Times New Roman" w:eastAsia="黑体" w:cs="Times New Roman"/>
                <w:color w:val="auto"/>
                <w:kern w:val="2"/>
                <w:sz w:val="22"/>
                <w:szCs w:val="22"/>
              </w:rPr>
              <w:t>⑤</w:t>
            </w:r>
            <w:r>
              <w:rPr>
                <w:rFonts w:hint="default" w:ascii="Times New Roman" w:hAnsi="Times New Roman" w:eastAsia="黑体" w:cs="Times New Roman"/>
                <w:snapToGrid w:val="0"/>
                <w:color w:val="auto"/>
                <w:spacing w:val="-16"/>
                <w:kern w:val="21"/>
                <w:sz w:val="22"/>
                <w:szCs w:val="22"/>
              </w:rPr>
              <w:fldChar w:fldCharType="end"/>
            </w:r>
          </w:p>
        </w:tc>
        <w:tc>
          <w:tcPr>
            <w:tcW w:w="1963" w:type="dxa"/>
            <w:tcMar>
              <w:left w:w="28" w:type="dxa"/>
              <w:right w:w="28" w:type="dxa"/>
            </w:tcMar>
            <w:vAlign w:val="center"/>
          </w:tcPr>
          <w:p w14:paraId="6E278B66">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16"/>
                <w:kern w:val="21"/>
                <w:sz w:val="22"/>
                <w:szCs w:val="22"/>
              </w:rPr>
            </w:pPr>
            <w:r>
              <w:rPr>
                <w:rFonts w:hint="default" w:ascii="Times New Roman" w:hAnsi="Times New Roman" w:eastAsia="黑体" w:cs="Times New Roman"/>
                <w:snapToGrid w:val="0"/>
                <w:color w:val="auto"/>
                <w:spacing w:val="-16"/>
                <w:kern w:val="21"/>
                <w:sz w:val="22"/>
                <w:szCs w:val="22"/>
              </w:rPr>
              <w:t>本项目建成后</w:t>
            </w:r>
          </w:p>
          <w:p w14:paraId="6749FE8C">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16"/>
                <w:kern w:val="21"/>
                <w:sz w:val="22"/>
                <w:szCs w:val="22"/>
              </w:rPr>
            </w:pPr>
            <w:r>
              <w:rPr>
                <w:rFonts w:hint="default" w:ascii="Times New Roman" w:hAnsi="Times New Roman" w:eastAsia="黑体" w:cs="Times New Roman"/>
                <w:snapToGrid w:val="0"/>
                <w:color w:val="auto"/>
                <w:spacing w:val="-16"/>
                <w:kern w:val="21"/>
                <w:sz w:val="22"/>
                <w:szCs w:val="22"/>
              </w:rPr>
              <w:t>全厂排放量（固体废物产生量）</w:t>
            </w:r>
            <w:r>
              <w:rPr>
                <w:rFonts w:hint="default" w:ascii="Times New Roman" w:hAnsi="Times New Roman" w:eastAsia="黑体" w:cs="Times New Roman"/>
                <w:snapToGrid w:val="0"/>
                <w:color w:val="auto"/>
                <w:spacing w:val="-16"/>
                <w:kern w:val="21"/>
                <w:sz w:val="22"/>
                <w:szCs w:val="22"/>
              </w:rPr>
              <w:fldChar w:fldCharType="begin"/>
            </w:r>
            <w:r>
              <w:rPr>
                <w:rFonts w:hint="default" w:ascii="Times New Roman" w:hAnsi="Times New Roman" w:eastAsia="黑体" w:cs="Times New Roman"/>
                <w:snapToGrid w:val="0"/>
                <w:color w:val="auto"/>
                <w:spacing w:val="-16"/>
                <w:kern w:val="21"/>
                <w:sz w:val="22"/>
                <w:szCs w:val="22"/>
              </w:rPr>
              <w:instrText xml:space="preserve"> = 6 \* GB3 \* MERGEFORMAT </w:instrText>
            </w:r>
            <w:r>
              <w:rPr>
                <w:rFonts w:hint="default" w:ascii="Times New Roman" w:hAnsi="Times New Roman" w:eastAsia="黑体" w:cs="Times New Roman"/>
                <w:snapToGrid w:val="0"/>
                <w:color w:val="auto"/>
                <w:spacing w:val="-16"/>
                <w:kern w:val="21"/>
                <w:sz w:val="22"/>
                <w:szCs w:val="22"/>
              </w:rPr>
              <w:fldChar w:fldCharType="separate"/>
            </w:r>
            <w:r>
              <w:rPr>
                <w:rFonts w:hint="default" w:ascii="Times New Roman" w:hAnsi="Times New Roman" w:eastAsia="黑体" w:cs="Times New Roman"/>
                <w:color w:val="auto"/>
                <w:kern w:val="2"/>
                <w:sz w:val="22"/>
                <w:szCs w:val="22"/>
              </w:rPr>
              <w:t>⑥</w:t>
            </w:r>
            <w:r>
              <w:rPr>
                <w:rFonts w:hint="default" w:ascii="Times New Roman" w:hAnsi="Times New Roman" w:eastAsia="黑体" w:cs="Times New Roman"/>
                <w:snapToGrid w:val="0"/>
                <w:color w:val="auto"/>
                <w:spacing w:val="-16"/>
                <w:kern w:val="21"/>
                <w:sz w:val="22"/>
                <w:szCs w:val="22"/>
              </w:rPr>
              <w:fldChar w:fldCharType="end"/>
            </w:r>
          </w:p>
        </w:tc>
        <w:tc>
          <w:tcPr>
            <w:tcW w:w="1386" w:type="dxa"/>
            <w:tcMar>
              <w:left w:w="28" w:type="dxa"/>
              <w:right w:w="28" w:type="dxa"/>
            </w:tcMar>
            <w:vAlign w:val="center"/>
          </w:tcPr>
          <w:p w14:paraId="7F5496F7">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变化量</w:t>
            </w:r>
          </w:p>
          <w:p w14:paraId="52EB9753">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fldChar w:fldCharType="begin"/>
            </w:r>
            <w:r>
              <w:rPr>
                <w:rFonts w:hint="default" w:ascii="Times New Roman" w:hAnsi="Times New Roman" w:eastAsia="黑体" w:cs="Times New Roman"/>
                <w:snapToGrid w:val="0"/>
                <w:color w:val="auto"/>
                <w:spacing w:val="-6"/>
                <w:kern w:val="21"/>
                <w:sz w:val="22"/>
                <w:szCs w:val="22"/>
              </w:rPr>
              <w:instrText xml:space="preserve"> = 7 \* GB3 \* MERGEFORMAT </w:instrText>
            </w:r>
            <w:r>
              <w:rPr>
                <w:rFonts w:hint="default" w:ascii="Times New Roman" w:hAnsi="Times New Roman" w:eastAsia="黑体" w:cs="Times New Roman"/>
                <w:snapToGrid w:val="0"/>
                <w:color w:val="auto"/>
                <w:spacing w:val="-6"/>
                <w:kern w:val="21"/>
                <w:sz w:val="22"/>
                <w:szCs w:val="22"/>
              </w:rPr>
              <w:fldChar w:fldCharType="separate"/>
            </w:r>
            <w:r>
              <w:rPr>
                <w:rFonts w:hint="default" w:ascii="Times New Roman" w:hAnsi="Times New Roman" w:eastAsia="黑体" w:cs="Times New Roman"/>
                <w:color w:val="auto"/>
                <w:kern w:val="2"/>
                <w:sz w:val="22"/>
                <w:szCs w:val="22"/>
              </w:rPr>
              <w:t>⑦</w:t>
            </w:r>
            <w:r>
              <w:rPr>
                <w:rFonts w:hint="default" w:ascii="Times New Roman" w:hAnsi="Times New Roman" w:eastAsia="黑体" w:cs="Times New Roman"/>
                <w:snapToGrid w:val="0"/>
                <w:color w:val="auto"/>
                <w:spacing w:val="-6"/>
                <w:kern w:val="21"/>
                <w:sz w:val="22"/>
                <w:szCs w:val="22"/>
              </w:rPr>
              <w:fldChar w:fldCharType="end"/>
            </w:r>
          </w:p>
        </w:tc>
      </w:tr>
      <w:tr w14:paraId="33E44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Align w:val="center"/>
          </w:tcPr>
          <w:p w14:paraId="581253D3">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lang w:val="en-US" w:eastAsia="zh-CN"/>
              </w:rPr>
            </w:pPr>
            <w:r>
              <w:rPr>
                <w:rFonts w:hint="default" w:ascii="Times New Roman" w:hAnsi="Times New Roman" w:cs="Times New Roman"/>
                <w:snapToGrid w:val="0"/>
                <w:color w:val="auto"/>
                <w:kern w:val="21"/>
                <w:sz w:val="22"/>
                <w:szCs w:val="22"/>
                <w:lang w:val="en-US" w:eastAsia="zh-CN"/>
              </w:rPr>
              <w:t>废气</w:t>
            </w:r>
          </w:p>
        </w:tc>
        <w:tc>
          <w:tcPr>
            <w:tcW w:w="1362" w:type="dxa"/>
            <w:vAlign w:val="center"/>
          </w:tcPr>
          <w:p w14:paraId="0F81B5EA">
            <w:pPr>
              <w:pStyle w:val="51"/>
              <w:keepNext w:val="0"/>
              <w:keepLines w:val="0"/>
              <w:pageBreakBefore w:val="0"/>
              <w:widowControl w:val="0"/>
              <w:kinsoku/>
              <w:wordWrap/>
              <w:overflowPunct/>
              <w:autoSpaceDE/>
              <w:autoSpaceDN/>
              <w:bidi w:val="0"/>
              <w:spacing w:line="240" w:lineRule="auto"/>
              <w:ind w:firstLine="0" w:firstLineChars="0"/>
              <w:jc w:val="center"/>
              <w:rPr>
                <w:rFonts w:hint="eastAsia" w:ascii="Times New Roman" w:hAnsi="Times New Roman" w:eastAsia="宋体" w:cs="Times New Roman"/>
                <w:snapToGrid w:val="0"/>
                <w:color w:val="auto"/>
                <w:kern w:val="21"/>
                <w:sz w:val="22"/>
                <w:szCs w:val="22"/>
                <w:lang w:eastAsia="zh-CN"/>
              </w:rPr>
            </w:pPr>
            <w:r>
              <w:rPr>
                <w:rFonts w:hint="eastAsia" w:cs="Times New Roman"/>
                <w:snapToGrid w:val="0"/>
                <w:color w:val="auto"/>
                <w:kern w:val="21"/>
                <w:sz w:val="22"/>
                <w:szCs w:val="22"/>
                <w:lang w:eastAsia="zh-CN"/>
              </w:rPr>
              <w:t>颗粒物</w:t>
            </w:r>
          </w:p>
        </w:tc>
        <w:tc>
          <w:tcPr>
            <w:tcW w:w="1705" w:type="dxa"/>
            <w:vAlign w:val="center"/>
          </w:tcPr>
          <w:p w14:paraId="0BB2BB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snapToGrid w:val="0"/>
                <w:color w:val="auto"/>
                <w:kern w:val="21"/>
                <w:sz w:val="22"/>
                <w:szCs w:val="22"/>
              </w:rPr>
              <w:t>/</w:t>
            </w:r>
          </w:p>
        </w:tc>
        <w:tc>
          <w:tcPr>
            <w:tcW w:w="1279" w:type="dxa"/>
            <w:vAlign w:val="center"/>
          </w:tcPr>
          <w:p w14:paraId="4FCF46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705" w:type="dxa"/>
            <w:vAlign w:val="center"/>
          </w:tcPr>
          <w:p w14:paraId="6CFC33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562" w:type="dxa"/>
            <w:vAlign w:val="center"/>
          </w:tcPr>
          <w:p w14:paraId="4F7F17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w:t>
            </w:r>
            <w:r>
              <w:rPr>
                <w:rFonts w:hint="eastAsia" w:cs="Times New Roman"/>
                <w:color w:val="auto"/>
                <w:sz w:val="22"/>
                <w:szCs w:val="22"/>
                <w:lang w:val="en-US" w:eastAsia="zh-CN"/>
              </w:rPr>
              <w:t>585</w:t>
            </w:r>
            <w:r>
              <w:rPr>
                <w:rFonts w:hint="default" w:ascii="Times New Roman" w:hAnsi="Times New Roman" w:eastAsia="宋体" w:cs="Times New Roman"/>
                <w:color w:val="auto"/>
                <w:sz w:val="22"/>
                <w:szCs w:val="22"/>
              </w:rPr>
              <w:t>t/a</w:t>
            </w:r>
          </w:p>
        </w:tc>
        <w:tc>
          <w:tcPr>
            <w:tcW w:w="1765" w:type="dxa"/>
            <w:vAlign w:val="center"/>
          </w:tcPr>
          <w:p w14:paraId="4017A5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21"/>
                <w:sz w:val="22"/>
                <w:szCs w:val="22"/>
              </w:rPr>
              <w:t>/</w:t>
            </w:r>
          </w:p>
        </w:tc>
        <w:tc>
          <w:tcPr>
            <w:tcW w:w="1963" w:type="dxa"/>
            <w:vAlign w:val="center"/>
          </w:tcPr>
          <w:p w14:paraId="3EB145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eastAsia="宋体" w:cs="Times New Roman"/>
                <w:color w:val="auto"/>
                <w:sz w:val="22"/>
                <w:szCs w:val="22"/>
                <w:lang w:val="en-US" w:eastAsia="zh-CN"/>
              </w:rPr>
              <w:t>0.</w:t>
            </w:r>
            <w:r>
              <w:rPr>
                <w:rFonts w:hint="eastAsia" w:cs="Times New Roman"/>
                <w:color w:val="auto"/>
                <w:sz w:val="22"/>
                <w:szCs w:val="22"/>
                <w:lang w:val="en-US" w:eastAsia="zh-CN"/>
              </w:rPr>
              <w:t>585</w:t>
            </w:r>
            <w:r>
              <w:rPr>
                <w:rFonts w:hint="default" w:ascii="Times New Roman" w:hAnsi="Times New Roman" w:eastAsia="宋体" w:cs="Times New Roman"/>
                <w:color w:val="auto"/>
                <w:sz w:val="22"/>
                <w:szCs w:val="22"/>
              </w:rPr>
              <w:t>t/a</w:t>
            </w:r>
          </w:p>
        </w:tc>
        <w:tc>
          <w:tcPr>
            <w:tcW w:w="1386" w:type="dxa"/>
            <w:vAlign w:val="center"/>
          </w:tcPr>
          <w:p w14:paraId="7434D6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eastAsia"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0.</w:t>
            </w:r>
            <w:r>
              <w:rPr>
                <w:rFonts w:hint="eastAsia" w:cs="Times New Roman"/>
                <w:color w:val="auto"/>
                <w:sz w:val="22"/>
                <w:szCs w:val="22"/>
                <w:lang w:val="en-US" w:eastAsia="zh-CN"/>
              </w:rPr>
              <w:t>585</w:t>
            </w:r>
            <w:r>
              <w:rPr>
                <w:rFonts w:hint="default" w:ascii="Times New Roman" w:hAnsi="Times New Roman" w:eastAsia="宋体" w:cs="Times New Roman"/>
                <w:color w:val="auto"/>
                <w:sz w:val="22"/>
                <w:szCs w:val="22"/>
              </w:rPr>
              <w:t>t/a</w:t>
            </w:r>
          </w:p>
        </w:tc>
      </w:tr>
      <w:tr w14:paraId="6D68B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Merge w:val="restart"/>
            <w:vAlign w:val="center"/>
          </w:tcPr>
          <w:p w14:paraId="3C5F0259">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废水</w:t>
            </w:r>
          </w:p>
        </w:tc>
        <w:tc>
          <w:tcPr>
            <w:tcW w:w="1362" w:type="dxa"/>
            <w:vAlign w:val="center"/>
          </w:tcPr>
          <w:p w14:paraId="6514A965">
            <w:pPr>
              <w:pStyle w:val="19"/>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COD</w:t>
            </w:r>
            <w:r>
              <w:rPr>
                <w:rFonts w:hint="default" w:ascii="Times New Roman" w:hAnsi="Times New Roman" w:cs="Times New Roman"/>
                <w:color w:val="auto"/>
                <w:sz w:val="22"/>
                <w:szCs w:val="22"/>
                <w:vertAlign w:val="subscript"/>
              </w:rPr>
              <w:t>Cr</w:t>
            </w:r>
          </w:p>
        </w:tc>
        <w:tc>
          <w:tcPr>
            <w:tcW w:w="1705" w:type="dxa"/>
            <w:vAlign w:val="center"/>
          </w:tcPr>
          <w:p w14:paraId="77A695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279" w:type="dxa"/>
            <w:vAlign w:val="center"/>
          </w:tcPr>
          <w:p w14:paraId="480966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705" w:type="dxa"/>
            <w:vAlign w:val="center"/>
          </w:tcPr>
          <w:p w14:paraId="500281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562" w:type="dxa"/>
            <w:vAlign w:val="center"/>
          </w:tcPr>
          <w:p w14:paraId="33E476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snapToGrid w:val="0"/>
                <w:color w:val="auto"/>
                <w:kern w:val="21"/>
                <w:sz w:val="22"/>
                <w:szCs w:val="22"/>
              </w:rPr>
              <w:t>/</w:t>
            </w:r>
          </w:p>
        </w:tc>
        <w:tc>
          <w:tcPr>
            <w:tcW w:w="1765" w:type="dxa"/>
            <w:vAlign w:val="center"/>
          </w:tcPr>
          <w:p w14:paraId="6AF4ED9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963" w:type="dxa"/>
            <w:vAlign w:val="center"/>
          </w:tcPr>
          <w:p w14:paraId="41B3925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21"/>
                <w:sz w:val="22"/>
                <w:szCs w:val="22"/>
              </w:rPr>
              <w:t>/</w:t>
            </w:r>
          </w:p>
        </w:tc>
        <w:tc>
          <w:tcPr>
            <w:tcW w:w="1386" w:type="dxa"/>
            <w:vAlign w:val="center"/>
          </w:tcPr>
          <w:p w14:paraId="6ACA62C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21"/>
                <w:sz w:val="22"/>
                <w:szCs w:val="22"/>
              </w:rPr>
              <w:t>/</w:t>
            </w:r>
          </w:p>
        </w:tc>
      </w:tr>
      <w:tr w14:paraId="2615A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Merge w:val="continue"/>
            <w:vAlign w:val="center"/>
          </w:tcPr>
          <w:p w14:paraId="73EDCB94">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p>
        </w:tc>
        <w:tc>
          <w:tcPr>
            <w:tcW w:w="1362" w:type="dxa"/>
            <w:vAlign w:val="center"/>
          </w:tcPr>
          <w:p w14:paraId="6DD5DB70">
            <w:pPr>
              <w:pStyle w:val="19"/>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氨氮</w:t>
            </w:r>
          </w:p>
        </w:tc>
        <w:tc>
          <w:tcPr>
            <w:tcW w:w="1705" w:type="dxa"/>
            <w:vAlign w:val="center"/>
          </w:tcPr>
          <w:p w14:paraId="1E8FF6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279" w:type="dxa"/>
            <w:vAlign w:val="center"/>
          </w:tcPr>
          <w:p w14:paraId="185ADF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705" w:type="dxa"/>
            <w:vAlign w:val="center"/>
          </w:tcPr>
          <w:p w14:paraId="091DC5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562" w:type="dxa"/>
            <w:vAlign w:val="center"/>
          </w:tcPr>
          <w:p w14:paraId="5C86AC5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snapToGrid w:val="0"/>
                <w:color w:val="auto"/>
                <w:kern w:val="21"/>
                <w:sz w:val="22"/>
                <w:szCs w:val="22"/>
              </w:rPr>
              <w:t>/</w:t>
            </w:r>
          </w:p>
        </w:tc>
        <w:tc>
          <w:tcPr>
            <w:tcW w:w="1765" w:type="dxa"/>
            <w:vAlign w:val="center"/>
          </w:tcPr>
          <w:p w14:paraId="111F6F6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963" w:type="dxa"/>
            <w:vAlign w:val="center"/>
          </w:tcPr>
          <w:p w14:paraId="3E2F894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21"/>
                <w:sz w:val="22"/>
                <w:szCs w:val="22"/>
              </w:rPr>
              <w:t>/</w:t>
            </w:r>
          </w:p>
        </w:tc>
        <w:tc>
          <w:tcPr>
            <w:tcW w:w="1386" w:type="dxa"/>
            <w:vAlign w:val="center"/>
          </w:tcPr>
          <w:p w14:paraId="3D716BB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21"/>
                <w:sz w:val="22"/>
                <w:szCs w:val="22"/>
              </w:rPr>
              <w:t>/</w:t>
            </w:r>
          </w:p>
        </w:tc>
      </w:tr>
      <w:tr w14:paraId="3DA3D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Merge w:val="restart"/>
            <w:vAlign w:val="center"/>
          </w:tcPr>
          <w:p w14:paraId="75DC1AB4">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一般工业</w:t>
            </w:r>
          </w:p>
          <w:p w14:paraId="1F5CD0F9">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固体废物</w:t>
            </w:r>
          </w:p>
        </w:tc>
        <w:tc>
          <w:tcPr>
            <w:tcW w:w="1362" w:type="dxa"/>
            <w:vAlign w:val="center"/>
          </w:tcPr>
          <w:p w14:paraId="163E4708">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废包装袋</w:t>
            </w:r>
          </w:p>
        </w:tc>
        <w:tc>
          <w:tcPr>
            <w:tcW w:w="1705" w:type="dxa"/>
            <w:vAlign w:val="center"/>
          </w:tcPr>
          <w:p w14:paraId="7D206D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rPr>
            </w:pPr>
            <w:r>
              <w:rPr>
                <w:rFonts w:hint="default" w:ascii="Times New Roman" w:hAnsi="Times New Roman" w:cs="Times New Roman"/>
                <w:snapToGrid w:val="0"/>
                <w:color w:val="auto"/>
                <w:kern w:val="21"/>
                <w:sz w:val="22"/>
                <w:szCs w:val="22"/>
              </w:rPr>
              <w:t>/</w:t>
            </w:r>
          </w:p>
        </w:tc>
        <w:tc>
          <w:tcPr>
            <w:tcW w:w="1279" w:type="dxa"/>
            <w:vAlign w:val="center"/>
          </w:tcPr>
          <w:p w14:paraId="72EC9B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lang w:val="en-US"/>
              </w:rPr>
            </w:pPr>
            <w:r>
              <w:rPr>
                <w:rFonts w:hint="default" w:ascii="Times New Roman" w:hAnsi="Times New Roman" w:cs="Times New Roman"/>
                <w:snapToGrid w:val="0"/>
                <w:color w:val="auto"/>
                <w:kern w:val="21"/>
                <w:sz w:val="22"/>
                <w:szCs w:val="22"/>
              </w:rPr>
              <w:t>/</w:t>
            </w:r>
          </w:p>
        </w:tc>
        <w:tc>
          <w:tcPr>
            <w:tcW w:w="1705" w:type="dxa"/>
            <w:vAlign w:val="center"/>
          </w:tcPr>
          <w:p w14:paraId="5C0AAB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562" w:type="dxa"/>
            <w:vAlign w:val="center"/>
          </w:tcPr>
          <w:p w14:paraId="283428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5</w:t>
            </w:r>
            <w:r>
              <w:rPr>
                <w:rFonts w:hint="default" w:ascii="Times New Roman" w:hAnsi="Times New Roman" w:cs="Times New Roman"/>
                <w:color w:val="auto"/>
                <w:sz w:val="21"/>
                <w:szCs w:val="21"/>
              </w:rPr>
              <w:t>t/a</w:t>
            </w:r>
          </w:p>
        </w:tc>
        <w:tc>
          <w:tcPr>
            <w:tcW w:w="1765" w:type="dxa"/>
            <w:vAlign w:val="center"/>
          </w:tcPr>
          <w:p w14:paraId="66371F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963" w:type="dxa"/>
            <w:vAlign w:val="center"/>
          </w:tcPr>
          <w:p w14:paraId="562D51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5</w:t>
            </w:r>
            <w:r>
              <w:rPr>
                <w:rFonts w:hint="default" w:ascii="Times New Roman" w:hAnsi="Times New Roman" w:cs="Times New Roman"/>
                <w:color w:val="auto"/>
                <w:sz w:val="21"/>
                <w:szCs w:val="21"/>
              </w:rPr>
              <w:t>t/a</w:t>
            </w:r>
          </w:p>
        </w:tc>
        <w:tc>
          <w:tcPr>
            <w:tcW w:w="1386" w:type="dxa"/>
            <w:vAlign w:val="center"/>
          </w:tcPr>
          <w:p w14:paraId="62CB7C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5</w:t>
            </w:r>
            <w:r>
              <w:rPr>
                <w:rFonts w:hint="default" w:ascii="Times New Roman" w:hAnsi="Times New Roman" w:cs="Times New Roman"/>
                <w:color w:val="auto"/>
                <w:sz w:val="21"/>
                <w:szCs w:val="21"/>
              </w:rPr>
              <w:t>t/a</w:t>
            </w:r>
          </w:p>
        </w:tc>
      </w:tr>
      <w:tr w14:paraId="05DAE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Merge w:val="continue"/>
            <w:vAlign w:val="center"/>
          </w:tcPr>
          <w:p w14:paraId="4BB959ED">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p>
        </w:tc>
        <w:tc>
          <w:tcPr>
            <w:tcW w:w="1362" w:type="dxa"/>
            <w:vAlign w:val="center"/>
          </w:tcPr>
          <w:p w14:paraId="04BC8B40">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收集</w:t>
            </w:r>
            <w:r>
              <w:rPr>
                <w:rFonts w:hint="eastAsia" w:cs="Times New Roman"/>
                <w:color w:val="auto"/>
                <w:kern w:val="0"/>
                <w:sz w:val="22"/>
                <w:szCs w:val="22"/>
                <w:lang w:val="en-US" w:eastAsia="zh-CN" w:bidi="ar-SA"/>
              </w:rPr>
              <w:t>的</w:t>
            </w:r>
            <w:r>
              <w:rPr>
                <w:rFonts w:hint="default" w:ascii="Times New Roman" w:hAnsi="Times New Roman" w:eastAsia="宋体" w:cs="Times New Roman"/>
                <w:color w:val="auto"/>
                <w:kern w:val="0"/>
                <w:sz w:val="22"/>
                <w:szCs w:val="22"/>
                <w:lang w:val="en-US" w:eastAsia="zh-CN" w:bidi="ar-SA"/>
              </w:rPr>
              <w:t>粉尘</w:t>
            </w:r>
          </w:p>
        </w:tc>
        <w:tc>
          <w:tcPr>
            <w:tcW w:w="1705" w:type="dxa"/>
            <w:vAlign w:val="center"/>
          </w:tcPr>
          <w:p w14:paraId="004CC4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279" w:type="dxa"/>
            <w:vAlign w:val="center"/>
          </w:tcPr>
          <w:p w14:paraId="06F917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705" w:type="dxa"/>
            <w:vAlign w:val="center"/>
          </w:tcPr>
          <w:p w14:paraId="3523D0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562" w:type="dxa"/>
            <w:vAlign w:val="center"/>
          </w:tcPr>
          <w:p w14:paraId="5720EF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63.765</w:t>
            </w:r>
            <w:r>
              <w:rPr>
                <w:rFonts w:hint="default" w:ascii="Times New Roman" w:hAnsi="Times New Roman" w:cs="Times New Roman"/>
                <w:color w:val="auto"/>
                <w:sz w:val="21"/>
                <w:szCs w:val="21"/>
              </w:rPr>
              <w:t>t/a</w:t>
            </w:r>
          </w:p>
        </w:tc>
        <w:tc>
          <w:tcPr>
            <w:tcW w:w="1765" w:type="dxa"/>
            <w:vAlign w:val="center"/>
          </w:tcPr>
          <w:p w14:paraId="7F9E56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963" w:type="dxa"/>
            <w:vAlign w:val="center"/>
          </w:tcPr>
          <w:p w14:paraId="3B3456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63.765</w:t>
            </w:r>
            <w:r>
              <w:rPr>
                <w:rFonts w:hint="default" w:ascii="Times New Roman" w:hAnsi="Times New Roman" w:eastAsia="宋体" w:cs="Times New Roman"/>
                <w:color w:val="auto"/>
                <w:kern w:val="2"/>
                <w:sz w:val="21"/>
                <w:szCs w:val="21"/>
                <w:lang w:val="en-US" w:eastAsia="zh-CN" w:bidi="ar-SA"/>
              </w:rPr>
              <w:t>t/a</w:t>
            </w:r>
          </w:p>
        </w:tc>
        <w:tc>
          <w:tcPr>
            <w:tcW w:w="1386" w:type="dxa"/>
            <w:vAlign w:val="center"/>
          </w:tcPr>
          <w:p w14:paraId="2EF96D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63.765</w:t>
            </w:r>
            <w:r>
              <w:rPr>
                <w:rFonts w:hint="eastAsia" w:ascii="Times New Roman" w:hAnsi="Times New Roman" w:cs="Times New Roman"/>
                <w:color w:val="auto"/>
                <w:sz w:val="21"/>
                <w:szCs w:val="21"/>
                <w:lang w:val="en-US" w:eastAsia="zh-CN"/>
              </w:rPr>
              <w:t>t/a</w:t>
            </w:r>
          </w:p>
        </w:tc>
      </w:tr>
      <w:tr w14:paraId="4145D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Merge w:val="continue"/>
            <w:vAlign w:val="center"/>
          </w:tcPr>
          <w:p w14:paraId="5BBE59BE">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p>
        </w:tc>
        <w:tc>
          <w:tcPr>
            <w:tcW w:w="1362" w:type="dxa"/>
            <w:vAlign w:val="center"/>
          </w:tcPr>
          <w:p w14:paraId="7C381E9A">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沉淀池沉渣</w:t>
            </w:r>
          </w:p>
        </w:tc>
        <w:tc>
          <w:tcPr>
            <w:tcW w:w="1705" w:type="dxa"/>
            <w:vAlign w:val="center"/>
          </w:tcPr>
          <w:p w14:paraId="33FB9B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279" w:type="dxa"/>
            <w:vAlign w:val="center"/>
          </w:tcPr>
          <w:p w14:paraId="52C1E6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705" w:type="dxa"/>
            <w:vAlign w:val="center"/>
          </w:tcPr>
          <w:p w14:paraId="63A8F1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562" w:type="dxa"/>
            <w:vAlign w:val="center"/>
          </w:tcPr>
          <w:p w14:paraId="4A9A6D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eastAsia="宋体" w:cs="Times New Roman"/>
                <w:color w:val="auto"/>
                <w:sz w:val="21"/>
                <w:szCs w:val="21"/>
                <w:lang w:val="en-US" w:eastAsia="zh-CN"/>
              </w:rPr>
            </w:pPr>
            <w:r>
              <w:rPr>
                <w:rFonts w:hint="eastAsia" w:ascii="Times New Roman" w:hAnsi="Times New Roman" w:cs="Times New Roman"/>
                <w:snapToGrid w:val="0"/>
                <w:color w:val="auto"/>
                <w:kern w:val="21"/>
                <w:sz w:val="22"/>
                <w:szCs w:val="22"/>
                <w:lang w:val="en-US" w:eastAsia="zh-CN"/>
              </w:rPr>
              <w:t>5.0t/a</w:t>
            </w:r>
          </w:p>
        </w:tc>
        <w:tc>
          <w:tcPr>
            <w:tcW w:w="1765" w:type="dxa"/>
            <w:vAlign w:val="center"/>
          </w:tcPr>
          <w:p w14:paraId="6C1FED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963" w:type="dxa"/>
            <w:vAlign w:val="center"/>
          </w:tcPr>
          <w:p w14:paraId="3D3042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cs="Times New Roman"/>
                <w:color w:val="auto"/>
                <w:kern w:val="2"/>
                <w:sz w:val="21"/>
                <w:szCs w:val="21"/>
                <w:lang w:val="en-US" w:eastAsia="zh-CN" w:bidi="ar-SA"/>
              </w:rPr>
            </w:pPr>
            <w:r>
              <w:rPr>
                <w:rFonts w:hint="eastAsia" w:ascii="Times New Roman" w:hAnsi="Times New Roman" w:cs="Times New Roman"/>
                <w:snapToGrid w:val="0"/>
                <w:color w:val="auto"/>
                <w:kern w:val="21"/>
                <w:sz w:val="22"/>
                <w:szCs w:val="22"/>
                <w:lang w:val="en-US" w:eastAsia="zh-CN"/>
              </w:rPr>
              <w:t>5.0t/a</w:t>
            </w:r>
          </w:p>
        </w:tc>
        <w:tc>
          <w:tcPr>
            <w:tcW w:w="1386" w:type="dxa"/>
            <w:vAlign w:val="center"/>
          </w:tcPr>
          <w:p w14:paraId="061227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snapToGrid w:val="0"/>
                <w:color w:val="auto"/>
                <w:kern w:val="21"/>
                <w:sz w:val="22"/>
                <w:szCs w:val="22"/>
                <w:lang w:val="en-US" w:eastAsia="zh-CN"/>
              </w:rPr>
              <w:t>+5.0t/a</w:t>
            </w:r>
          </w:p>
        </w:tc>
      </w:tr>
      <w:tr w14:paraId="05518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Merge w:val="continue"/>
            <w:vAlign w:val="center"/>
          </w:tcPr>
          <w:p w14:paraId="27744F32">
            <w:pPr>
              <w:pStyle w:val="51"/>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p>
        </w:tc>
        <w:tc>
          <w:tcPr>
            <w:tcW w:w="1362" w:type="dxa"/>
            <w:vAlign w:val="center"/>
          </w:tcPr>
          <w:p w14:paraId="7439B27C">
            <w:pPr>
              <w:pStyle w:val="106"/>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废布袋</w:t>
            </w:r>
          </w:p>
        </w:tc>
        <w:tc>
          <w:tcPr>
            <w:tcW w:w="1705" w:type="dxa"/>
            <w:vAlign w:val="center"/>
          </w:tcPr>
          <w:p w14:paraId="0595A3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279" w:type="dxa"/>
            <w:vAlign w:val="center"/>
          </w:tcPr>
          <w:p w14:paraId="530402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705" w:type="dxa"/>
            <w:vAlign w:val="center"/>
          </w:tcPr>
          <w:p w14:paraId="64F523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562" w:type="dxa"/>
            <w:vAlign w:val="center"/>
          </w:tcPr>
          <w:p w14:paraId="0BF8C4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0.</w:t>
            </w:r>
            <w:r>
              <w:rPr>
                <w:rFonts w:hint="eastAsia" w:cs="Times New Roman"/>
                <w:color w:val="auto"/>
                <w:sz w:val="21"/>
                <w:szCs w:val="21"/>
                <w:lang w:val="en-US" w:eastAsia="zh-CN"/>
              </w:rPr>
              <w:t>5</w:t>
            </w:r>
            <w:r>
              <w:rPr>
                <w:rFonts w:hint="default" w:ascii="Times New Roman" w:hAnsi="Times New Roman" w:cs="Times New Roman"/>
                <w:color w:val="auto"/>
                <w:sz w:val="21"/>
                <w:szCs w:val="21"/>
              </w:rPr>
              <w:t>t/a</w:t>
            </w:r>
          </w:p>
        </w:tc>
        <w:tc>
          <w:tcPr>
            <w:tcW w:w="1765" w:type="dxa"/>
            <w:vAlign w:val="center"/>
          </w:tcPr>
          <w:p w14:paraId="3DBF42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963" w:type="dxa"/>
            <w:vAlign w:val="center"/>
          </w:tcPr>
          <w:p w14:paraId="784670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t/a</w:t>
            </w:r>
          </w:p>
        </w:tc>
        <w:tc>
          <w:tcPr>
            <w:tcW w:w="1386" w:type="dxa"/>
            <w:vAlign w:val="center"/>
          </w:tcPr>
          <w:p w14:paraId="0A9EA2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+0.</w:t>
            </w: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t/a</w:t>
            </w:r>
          </w:p>
        </w:tc>
      </w:tr>
      <w:tr w14:paraId="54B0F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012" w:type="dxa"/>
            <w:gridSpan w:val="2"/>
            <w:vAlign w:val="center"/>
          </w:tcPr>
          <w:p w14:paraId="610D61C3">
            <w:pPr>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生活垃圾</w:t>
            </w:r>
          </w:p>
        </w:tc>
        <w:tc>
          <w:tcPr>
            <w:tcW w:w="1705" w:type="dxa"/>
            <w:vAlign w:val="center"/>
          </w:tcPr>
          <w:p w14:paraId="46E26A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w:t>
            </w:r>
          </w:p>
        </w:tc>
        <w:tc>
          <w:tcPr>
            <w:tcW w:w="1279" w:type="dxa"/>
            <w:vAlign w:val="center"/>
          </w:tcPr>
          <w:p w14:paraId="2C304E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21"/>
                <w:sz w:val="22"/>
                <w:szCs w:val="22"/>
              </w:rPr>
              <w:t>/</w:t>
            </w:r>
          </w:p>
        </w:tc>
        <w:tc>
          <w:tcPr>
            <w:tcW w:w="1705" w:type="dxa"/>
            <w:vAlign w:val="center"/>
          </w:tcPr>
          <w:p w14:paraId="5EB45D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21"/>
                <w:sz w:val="22"/>
                <w:szCs w:val="22"/>
              </w:rPr>
              <w:t>/</w:t>
            </w:r>
          </w:p>
        </w:tc>
        <w:tc>
          <w:tcPr>
            <w:tcW w:w="1562" w:type="dxa"/>
            <w:vAlign w:val="center"/>
          </w:tcPr>
          <w:p w14:paraId="3FEB9F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2.25</w:t>
            </w:r>
            <w:r>
              <w:rPr>
                <w:rFonts w:hint="default" w:ascii="Times New Roman" w:hAnsi="Times New Roman" w:eastAsia="宋体" w:cs="Times New Roman"/>
                <w:color w:val="auto"/>
                <w:sz w:val="22"/>
                <w:szCs w:val="22"/>
              </w:rPr>
              <w:t>t/a</w:t>
            </w:r>
          </w:p>
        </w:tc>
        <w:tc>
          <w:tcPr>
            <w:tcW w:w="1765" w:type="dxa"/>
            <w:vAlign w:val="center"/>
          </w:tcPr>
          <w:p w14:paraId="623EED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1963" w:type="dxa"/>
            <w:vAlign w:val="center"/>
          </w:tcPr>
          <w:p w14:paraId="7E8A6B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2.25</w:t>
            </w:r>
            <w:r>
              <w:rPr>
                <w:rFonts w:hint="default" w:ascii="Times New Roman" w:hAnsi="Times New Roman" w:eastAsia="宋体" w:cs="Times New Roman"/>
                <w:color w:val="auto"/>
                <w:sz w:val="22"/>
                <w:szCs w:val="22"/>
              </w:rPr>
              <w:t>t/a</w:t>
            </w:r>
          </w:p>
        </w:tc>
        <w:tc>
          <w:tcPr>
            <w:tcW w:w="1386" w:type="dxa"/>
            <w:vAlign w:val="center"/>
          </w:tcPr>
          <w:p w14:paraId="40CB30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+2.25</w:t>
            </w:r>
            <w:r>
              <w:rPr>
                <w:rFonts w:hint="default" w:ascii="Times New Roman" w:hAnsi="Times New Roman" w:eastAsia="宋体" w:cs="Times New Roman"/>
                <w:color w:val="auto"/>
                <w:sz w:val="22"/>
                <w:szCs w:val="22"/>
              </w:rPr>
              <w:t>t/a</w:t>
            </w:r>
          </w:p>
        </w:tc>
      </w:tr>
    </w:tbl>
    <w:p w14:paraId="04BA53D4">
      <w:pPr>
        <w:pStyle w:val="51"/>
        <w:spacing w:beforeLines="80" w:after="24"/>
        <w:jc w:val="left"/>
        <w:outlineLvl w:val="0"/>
        <w:rPr>
          <w:rFonts w:hint="eastAsia"/>
          <w:color w:val="auto"/>
          <w:lang w:val="en-US" w:eastAsia="zh-CN"/>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hint="eastAsia" w:hAnsi="宋体" w:cs="宋体"/>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hint="eastAsia" w:hAnsi="宋体" w:cs="宋体"/>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hint="eastAsia" w:hAnsi="宋体" w:cs="宋体"/>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hint="eastAsia" w:hAnsi="宋体" w:cs="宋体"/>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3AAD">
    <w:pPr>
      <w:pStyle w:val="2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7DCDD">
    <w:pPr>
      <w:pStyle w:val="26"/>
      <w:framePr w:wrap="around" w:vAnchor="text" w:hAnchor="margin" w:xAlign="center" w:y="1"/>
      <w:rPr>
        <w:rStyle w:val="37"/>
      </w:rPr>
    </w:pPr>
    <w:r>
      <w:fldChar w:fldCharType="begin"/>
    </w:r>
    <w:r>
      <w:rPr>
        <w:rStyle w:val="37"/>
      </w:rPr>
      <w:instrText xml:space="preserve">PAGE  </w:instrText>
    </w:r>
    <w:r>
      <w:fldChar w:fldCharType="end"/>
    </w:r>
  </w:p>
  <w:p w14:paraId="2B29594C">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0ED30">
    <w:pPr>
      <w:pStyle w:val="2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center</wp:align>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B9B37">
                          <w:pPr>
                            <w:pStyle w:val="26"/>
                            <w:jc w:val="center"/>
                            <w:rPr>
                              <w:rStyle w:val="37"/>
                              <w:sz w:val="24"/>
                              <w:szCs w:val="24"/>
                            </w:rPr>
                          </w:pPr>
                          <w:r>
                            <w:rPr>
                              <w:rStyle w:val="37"/>
                              <w:sz w:val="24"/>
                              <w:szCs w:val="24"/>
                            </w:rPr>
                            <w:t>—</w:t>
                          </w:r>
                          <w:r>
                            <w:rPr>
                              <w:sz w:val="24"/>
                              <w:szCs w:val="24"/>
                            </w:rPr>
                            <w:fldChar w:fldCharType="begin"/>
                          </w:r>
                          <w:r>
                            <w:rPr>
                              <w:rStyle w:val="37"/>
                              <w:sz w:val="24"/>
                              <w:szCs w:val="24"/>
                            </w:rPr>
                            <w:instrText xml:space="preserve">PAGE  </w:instrText>
                          </w:r>
                          <w:r>
                            <w:rPr>
                              <w:sz w:val="24"/>
                              <w:szCs w:val="24"/>
                            </w:rPr>
                            <w:fldChar w:fldCharType="separate"/>
                          </w:r>
                          <w:r>
                            <w:rPr>
                              <w:rStyle w:val="37"/>
                              <w:sz w:val="24"/>
                              <w:szCs w:val="24"/>
                            </w:rPr>
                            <w:t>21</w:t>
                          </w:r>
                          <w:r>
                            <w:rPr>
                              <w:sz w:val="24"/>
                              <w:szCs w:val="24"/>
                            </w:rPr>
                            <w:fldChar w:fldCharType="end"/>
                          </w:r>
                          <w:r>
                            <w:rPr>
                              <w:rStyle w:val="37"/>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center;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C9B9B37">
                    <w:pPr>
                      <w:pStyle w:val="26"/>
                      <w:jc w:val="center"/>
                      <w:rPr>
                        <w:rStyle w:val="37"/>
                        <w:sz w:val="24"/>
                        <w:szCs w:val="24"/>
                      </w:rPr>
                    </w:pPr>
                    <w:r>
                      <w:rPr>
                        <w:rStyle w:val="37"/>
                        <w:sz w:val="24"/>
                        <w:szCs w:val="24"/>
                      </w:rPr>
                      <w:t>—</w:t>
                    </w:r>
                    <w:r>
                      <w:rPr>
                        <w:sz w:val="24"/>
                        <w:szCs w:val="24"/>
                      </w:rPr>
                      <w:fldChar w:fldCharType="begin"/>
                    </w:r>
                    <w:r>
                      <w:rPr>
                        <w:rStyle w:val="37"/>
                        <w:sz w:val="24"/>
                        <w:szCs w:val="24"/>
                      </w:rPr>
                      <w:instrText xml:space="preserve">PAGE  </w:instrText>
                    </w:r>
                    <w:r>
                      <w:rPr>
                        <w:sz w:val="24"/>
                        <w:szCs w:val="24"/>
                      </w:rPr>
                      <w:fldChar w:fldCharType="separate"/>
                    </w:r>
                    <w:r>
                      <w:rPr>
                        <w:rStyle w:val="37"/>
                        <w:sz w:val="24"/>
                        <w:szCs w:val="24"/>
                      </w:rPr>
                      <w:t>21</w:t>
                    </w:r>
                    <w:r>
                      <w:rPr>
                        <w:sz w:val="24"/>
                        <w:szCs w:val="24"/>
                      </w:rPr>
                      <w:fldChar w:fldCharType="end"/>
                    </w:r>
                    <w:r>
                      <w:rPr>
                        <w:rStyle w:val="37"/>
                        <w:sz w:val="24"/>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C2E56">
    <w:pPr>
      <w:pStyle w:val="26"/>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F4276"/>
    <w:multiLevelType w:val="singleLevel"/>
    <w:tmpl w:val="83BF4276"/>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1">
    <w:nsid w:val="AF10FC6E"/>
    <w:multiLevelType w:val="singleLevel"/>
    <w:tmpl w:val="AF10FC6E"/>
    <w:lvl w:ilvl="0" w:tentative="0">
      <w:start w:val="4"/>
      <w:numFmt w:val="chineseCounting"/>
      <w:suff w:val="nothing"/>
      <w:lvlText w:val="%1、"/>
      <w:lvlJc w:val="left"/>
      <w:pPr>
        <w:ind w:left="-2"/>
      </w:pPr>
      <w:rPr>
        <w:rFonts w:hint="eastAsia"/>
      </w:rPr>
    </w:lvl>
  </w:abstractNum>
  <w:abstractNum w:abstractNumId="2">
    <w:nsid w:val="062636ED"/>
    <w:multiLevelType w:val="singleLevel"/>
    <w:tmpl w:val="062636ED"/>
    <w:lvl w:ilvl="0" w:tentative="0">
      <w:start w:val="1"/>
      <w:numFmt w:val="decimal"/>
      <w:suff w:val="nothing"/>
      <w:lvlText w:val="（%1）"/>
      <w:lvlJc w:val="left"/>
      <w:pPr>
        <w:ind w:left="240"/>
      </w:pPr>
    </w:lvl>
  </w:abstractNum>
  <w:abstractNum w:abstractNumId="3">
    <w:nsid w:val="1D625EC6"/>
    <w:multiLevelType w:val="multilevel"/>
    <w:tmpl w:val="1D625EC6"/>
    <w:lvl w:ilvl="0" w:tentative="0">
      <w:start w:val="1"/>
      <w:numFmt w:val="decimal"/>
      <w:pStyle w:val="81"/>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A4888E"/>
    <w:multiLevelType w:val="singleLevel"/>
    <w:tmpl w:val="55A4888E"/>
    <w:lvl w:ilvl="0" w:tentative="0">
      <w:start w:val="1"/>
      <w:numFmt w:val="decimal"/>
      <w:suff w:val="nothing"/>
      <w:lvlText w:val="（%1）"/>
      <w:lvlJc w:val="left"/>
    </w:lvl>
  </w:abstractNum>
  <w:abstractNum w:abstractNumId="5">
    <w:nsid w:val="7617FEC3"/>
    <w:multiLevelType w:val="multilevel"/>
    <w:tmpl w:val="7617FEC3"/>
    <w:lvl w:ilvl="0" w:tentative="0">
      <w:start w:val="1"/>
      <w:numFmt w:val="chineseCounting"/>
      <w:isLgl/>
      <w:suff w:val="space"/>
      <w:lvlText w:val="%1"/>
      <w:lvlJc w:val="left"/>
      <w:pPr>
        <w:tabs>
          <w:tab w:val="left" w:pos="0"/>
        </w:tabs>
        <w:ind w:left="0" w:firstLine="0"/>
      </w:pPr>
      <w:rPr>
        <w:rFonts w:hint="eastAsia" w:ascii="Times New Roman" w:hAnsi="Times New Roman" w:eastAsia="黑体" w:cs="Times New Roman"/>
        <w:b/>
        <w:bCs/>
        <w:sz w:val="30"/>
        <w:szCs w:val="30"/>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ascii="Times New Roman" w:hAnsi="Times New Roman" w:cs="Times New Roman"/>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ascii="Times New Roman" w:hAnsi="Times New Roman" w:eastAsia="黑体" w:cs="Times New Roman"/>
        <w:sz w:val="24"/>
        <w:szCs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420"/>
        </w:tabs>
        <w:ind w:left="1296" w:hanging="1296"/>
      </w:pPr>
      <w:rPr>
        <w:rFonts w:hint="eastAsia" w:ascii="宋体" w:hAnsi="宋体" w:eastAsia="宋体" w:cs="宋体"/>
      </w:rPr>
    </w:lvl>
    <w:lvl w:ilvl="7" w:tentative="0">
      <w:start w:val="1"/>
      <w:numFmt w:val="decimal"/>
      <w:lvlRestart w:val="2"/>
      <w:suff w:val="space"/>
      <w:lvlText w:val="图%1.%2-%8"/>
      <w:lvlJc w:val="center"/>
      <w:pPr>
        <w:ind w:left="0" w:firstLine="0"/>
      </w:pPr>
      <w:rPr>
        <w:rFonts w:hint="eastAsia" w:ascii="宋体" w:hAnsi="宋体" w:eastAsia="宋体" w:cs="宋体"/>
        <w:sz w:val="24"/>
      </w:rPr>
    </w:lvl>
    <w:lvl w:ilvl="8" w:tentative="0">
      <w:start w:val="1"/>
      <w:numFmt w:val="decimal"/>
      <w:lvlRestart w:val="2"/>
      <w:pStyle w:val="10"/>
      <w:isLgl/>
      <w:suff w:val="space"/>
      <w:lvlText w:val="表%1-%9"/>
      <w:lvlJc w:val="center"/>
      <w:pPr>
        <w:tabs>
          <w:tab w:val="left" w:pos="0"/>
        </w:tabs>
        <w:ind w:left="0" w:firstLine="0"/>
      </w:pPr>
      <w:rPr>
        <w:rFonts w:hint="default" w:ascii="宋体" w:hAnsi="宋体" w:eastAsia="宋体" w:cs="宋体"/>
        <w:b/>
        <w:bCs/>
        <w:sz w:val="21"/>
        <w:szCs w:val="21"/>
        <w:vertAlign w:val="baseline"/>
        <w:lang w:val="en-US"/>
      </w:rPr>
    </w:lvl>
  </w:abstractNum>
  <w:num w:numId="1">
    <w:abstractNumId w:val="0"/>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ODg3NzZlZjk5NGE2MjdlNWJiYWQ0NjI3YzVhNjgifQ=="/>
    <w:docVar w:name="KSO_WPS_MARK_KEY" w:val="9d694fdb-5f40-4004-a2b9-44f517134d41"/>
  </w:docVars>
  <w:rsids>
    <w:rsidRoot w:val="00A14947"/>
    <w:rsid w:val="000060B3"/>
    <w:rsid w:val="00023DB7"/>
    <w:rsid w:val="0002561E"/>
    <w:rsid w:val="00031136"/>
    <w:rsid w:val="00037DBB"/>
    <w:rsid w:val="0004364B"/>
    <w:rsid w:val="000472FE"/>
    <w:rsid w:val="00060677"/>
    <w:rsid w:val="00060A77"/>
    <w:rsid w:val="00061B1F"/>
    <w:rsid w:val="000651BC"/>
    <w:rsid w:val="00065DB1"/>
    <w:rsid w:val="000733C4"/>
    <w:rsid w:val="00074783"/>
    <w:rsid w:val="00074BD2"/>
    <w:rsid w:val="0008070B"/>
    <w:rsid w:val="000810AC"/>
    <w:rsid w:val="00081A02"/>
    <w:rsid w:val="00082231"/>
    <w:rsid w:val="00091154"/>
    <w:rsid w:val="000912A2"/>
    <w:rsid w:val="00091B62"/>
    <w:rsid w:val="00092D38"/>
    <w:rsid w:val="0009377B"/>
    <w:rsid w:val="00094B52"/>
    <w:rsid w:val="000A20C9"/>
    <w:rsid w:val="000A41F7"/>
    <w:rsid w:val="000B058F"/>
    <w:rsid w:val="000B4467"/>
    <w:rsid w:val="000B4DB9"/>
    <w:rsid w:val="000C09AC"/>
    <w:rsid w:val="000C321A"/>
    <w:rsid w:val="000C767F"/>
    <w:rsid w:val="000D5A44"/>
    <w:rsid w:val="000E2C2A"/>
    <w:rsid w:val="000E3C1D"/>
    <w:rsid w:val="000E3ED2"/>
    <w:rsid w:val="000E7C57"/>
    <w:rsid w:val="000F6EC6"/>
    <w:rsid w:val="000F7A12"/>
    <w:rsid w:val="00106BF5"/>
    <w:rsid w:val="00110BEE"/>
    <w:rsid w:val="00131F42"/>
    <w:rsid w:val="00133A48"/>
    <w:rsid w:val="00134941"/>
    <w:rsid w:val="001357F1"/>
    <w:rsid w:val="00135B44"/>
    <w:rsid w:val="00140FA8"/>
    <w:rsid w:val="00140FFD"/>
    <w:rsid w:val="00142FEB"/>
    <w:rsid w:val="00143A2D"/>
    <w:rsid w:val="00145A41"/>
    <w:rsid w:val="001513B3"/>
    <w:rsid w:val="00151675"/>
    <w:rsid w:val="001561A7"/>
    <w:rsid w:val="00157435"/>
    <w:rsid w:val="00163DF0"/>
    <w:rsid w:val="0017131C"/>
    <w:rsid w:val="0017504D"/>
    <w:rsid w:val="0017671A"/>
    <w:rsid w:val="00177422"/>
    <w:rsid w:val="00184590"/>
    <w:rsid w:val="001870D1"/>
    <w:rsid w:val="0018781E"/>
    <w:rsid w:val="001922BD"/>
    <w:rsid w:val="0019262D"/>
    <w:rsid w:val="00197270"/>
    <w:rsid w:val="001A1B35"/>
    <w:rsid w:val="001A48A2"/>
    <w:rsid w:val="001A6F61"/>
    <w:rsid w:val="001B4046"/>
    <w:rsid w:val="001B72B8"/>
    <w:rsid w:val="001C45BC"/>
    <w:rsid w:val="001C5484"/>
    <w:rsid w:val="001C69B3"/>
    <w:rsid w:val="001D5595"/>
    <w:rsid w:val="001D7874"/>
    <w:rsid w:val="001D7F22"/>
    <w:rsid w:val="001E7E26"/>
    <w:rsid w:val="001F0F17"/>
    <w:rsid w:val="001F3347"/>
    <w:rsid w:val="001F69E4"/>
    <w:rsid w:val="00207563"/>
    <w:rsid w:val="00207C8E"/>
    <w:rsid w:val="002125B4"/>
    <w:rsid w:val="002155B8"/>
    <w:rsid w:val="00221756"/>
    <w:rsid w:val="00224839"/>
    <w:rsid w:val="002249B2"/>
    <w:rsid w:val="00224F37"/>
    <w:rsid w:val="00226574"/>
    <w:rsid w:val="002278EC"/>
    <w:rsid w:val="00227E10"/>
    <w:rsid w:val="0023280E"/>
    <w:rsid w:val="00232F62"/>
    <w:rsid w:val="002377D1"/>
    <w:rsid w:val="002379EB"/>
    <w:rsid w:val="0024296D"/>
    <w:rsid w:val="002506BC"/>
    <w:rsid w:val="0025431F"/>
    <w:rsid w:val="00254345"/>
    <w:rsid w:val="00264557"/>
    <w:rsid w:val="00276003"/>
    <w:rsid w:val="002805AB"/>
    <w:rsid w:val="00284204"/>
    <w:rsid w:val="00284E18"/>
    <w:rsid w:val="00291773"/>
    <w:rsid w:val="00293596"/>
    <w:rsid w:val="002A00DB"/>
    <w:rsid w:val="002A0321"/>
    <w:rsid w:val="002A168C"/>
    <w:rsid w:val="002A3DC7"/>
    <w:rsid w:val="002B49E2"/>
    <w:rsid w:val="002B7B00"/>
    <w:rsid w:val="002B7C44"/>
    <w:rsid w:val="002C112C"/>
    <w:rsid w:val="002C2B17"/>
    <w:rsid w:val="002C2FAA"/>
    <w:rsid w:val="002C679D"/>
    <w:rsid w:val="002D33BE"/>
    <w:rsid w:val="002D3DD0"/>
    <w:rsid w:val="002E1A77"/>
    <w:rsid w:val="002E1F3A"/>
    <w:rsid w:val="002E298A"/>
    <w:rsid w:val="00301978"/>
    <w:rsid w:val="00302F87"/>
    <w:rsid w:val="0030332C"/>
    <w:rsid w:val="0030518A"/>
    <w:rsid w:val="003051C2"/>
    <w:rsid w:val="00312296"/>
    <w:rsid w:val="003135FC"/>
    <w:rsid w:val="00314F0E"/>
    <w:rsid w:val="003164FE"/>
    <w:rsid w:val="003169A7"/>
    <w:rsid w:val="00321D8E"/>
    <w:rsid w:val="00322A68"/>
    <w:rsid w:val="00325133"/>
    <w:rsid w:val="00325928"/>
    <w:rsid w:val="0033087D"/>
    <w:rsid w:val="00332863"/>
    <w:rsid w:val="0033537C"/>
    <w:rsid w:val="0033684D"/>
    <w:rsid w:val="00337B42"/>
    <w:rsid w:val="00341B42"/>
    <w:rsid w:val="0034348F"/>
    <w:rsid w:val="003462F9"/>
    <w:rsid w:val="00353F4C"/>
    <w:rsid w:val="003550AC"/>
    <w:rsid w:val="00356653"/>
    <w:rsid w:val="0035743F"/>
    <w:rsid w:val="00357BE2"/>
    <w:rsid w:val="0036170C"/>
    <w:rsid w:val="00365FF2"/>
    <w:rsid w:val="00366E0F"/>
    <w:rsid w:val="0037107D"/>
    <w:rsid w:val="003740D7"/>
    <w:rsid w:val="003774B9"/>
    <w:rsid w:val="00381A72"/>
    <w:rsid w:val="00382DEE"/>
    <w:rsid w:val="00384676"/>
    <w:rsid w:val="00390857"/>
    <w:rsid w:val="00392860"/>
    <w:rsid w:val="003A4BF3"/>
    <w:rsid w:val="003B420D"/>
    <w:rsid w:val="003B6A1B"/>
    <w:rsid w:val="003B76D1"/>
    <w:rsid w:val="003B7C60"/>
    <w:rsid w:val="003C6C16"/>
    <w:rsid w:val="003D794D"/>
    <w:rsid w:val="003E1059"/>
    <w:rsid w:val="003E3058"/>
    <w:rsid w:val="003E76A9"/>
    <w:rsid w:val="003F0809"/>
    <w:rsid w:val="003F3DEF"/>
    <w:rsid w:val="003F6A8C"/>
    <w:rsid w:val="003F755C"/>
    <w:rsid w:val="0040074F"/>
    <w:rsid w:val="00401C32"/>
    <w:rsid w:val="00402849"/>
    <w:rsid w:val="0040323E"/>
    <w:rsid w:val="00406F01"/>
    <w:rsid w:val="004074D7"/>
    <w:rsid w:val="00411CA3"/>
    <w:rsid w:val="00416D50"/>
    <w:rsid w:val="00416FD5"/>
    <w:rsid w:val="004170AF"/>
    <w:rsid w:val="00417772"/>
    <w:rsid w:val="00420E6A"/>
    <w:rsid w:val="0042165B"/>
    <w:rsid w:val="00421C0B"/>
    <w:rsid w:val="00425A9E"/>
    <w:rsid w:val="00426D6B"/>
    <w:rsid w:val="00431E6C"/>
    <w:rsid w:val="00433CE7"/>
    <w:rsid w:val="00446F4A"/>
    <w:rsid w:val="00447871"/>
    <w:rsid w:val="00447D81"/>
    <w:rsid w:val="00452738"/>
    <w:rsid w:val="00456091"/>
    <w:rsid w:val="00466321"/>
    <w:rsid w:val="00466753"/>
    <w:rsid w:val="00471713"/>
    <w:rsid w:val="00484B9B"/>
    <w:rsid w:val="004855F6"/>
    <w:rsid w:val="0048661E"/>
    <w:rsid w:val="00494670"/>
    <w:rsid w:val="004A2D0E"/>
    <w:rsid w:val="004A3823"/>
    <w:rsid w:val="004A3946"/>
    <w:rsid w:val="004B06D7"/>
    <w:rsid w:val="004B0AD0"/>
    <w:rsid w:val="004B0D73"/>
    <w:rsid w:val="004B2FF0"/>
    <w:rsid w:val="004B7086"/>
    <w:rsid w:val="004C2E13"/>
    <w:rsid w:val="004D2DC4"/>
    <w:rsid w:val="004E2BE5"/>
    <w:rsid w:val="004E48E5"/>
    <w:rsid w:val="004E6946"/>
    <w:rsid w:val="004E7013"/>
    <w:rsid w:val="004F1AD8"/>
    <w:rsid w:val="004F3C39"/>
    <w:rsid w:val="004F6C20"/>
    <w:rsid w:val="0050071C"/>
    <w:rsid w:val="00503761"/>
    <w:rsid w:val="005039CB"/>
    <w:rsid w:val="00504638"/>
    <w:rsid w:val="0050558F"/>
    <w:rsid w:val="00506286"/>
    <w:rsid w:val="00510813"/>
    <w:rsid w:val="00511990"/>
    <w:rsid w:val="00511DE0"/>
    <w:rsid w:val="00512C5F"/>
    <w:rsid w:val="00514870"/>
    <w:rsid w:val="00514B9B"/>
    <w:rsid w:val="00515C5E"/>
    <w:rsid w:val="00517F02"/>
    <w:rsid w:val="00523F72"/>
    <w:rsid w:val="00524303"/>
    <w:rsid w:val="005258A2"/>
    <w:rsid w:val="00531941"/>
    <w:rsid w:val="005401AE"/>
    <w:rsid w:val="00542E07"/>
    <w:rsid w:val="00545424"/>
    <w:rsid w:val="0054587F"/>
    <w:rsid w:val="00546926"/>
    <w:rsid w:val="00554A7B"/>
    <w:rsid w:val="0055572C"/>
    <w:rsid w:val="0056106A"/>
    <w:rsid w:val="00567647"/>
    <w:rsid w:val="00567E4A"/>
    <w:rsid w:val="005720AE"/>
    <w:rsid w:val="0058283E"/>
    <w:rsid w:val="00594D77"/>
    <w:rsid w:val="005969E4"/>
    <w:rsid w:val="005A06B7"/>
    <w:rsid w:val="005A0D6B"/>
    <w:rsid w:val="005A1759"/>
    <w:rsid w:val="005A421D"/>
    <w:rsid w:val="005A68A7"/>
    <w:rsid w:val="005B7F9B"/>
    <w:rsid w:val="005D36AB"/>
    <w:rsid w:val="005D59FD"/>
    <w:rsid w:val="005E0268"/>
    <w:rsid w:val="005F2044"/>
    <w:rsid w:val="005F274F"/>
    <w:rsid w:val="005F2797"/>
    <w:rsid w:val="00601BC6"/>
    <w:rsid w:val="00615EA1"/>
    <w:rsid w:val="00617CC3"/>
    <w:rsid w:val="00627E6B"/>
    <w:rsid w:val="0063007E"/>
    <w:rsid w:val="006322FE"/>
    <w:rsid w:val="006377A6"/>
    <w:rsid w:val="00637A2E"/>
    <w:rsid w:val="00637A3D"/>
    <w:rsid w:val="006411EF"/>
    <w:rsid w:val="00641C61"/>
    <w:rsid w:val="00651CCD"/>
    <w:rsid w:val="00651F22"/>
    <w:rsid w:val="0066795B"/>
    <w:rsid w:val="00671140"/>
    <w:rsid w:val="0067281B"/>
    <w:rsid w:val="006748B8"/>
    <w:rsid w:val="00675B31"/>
    <w:rsid w:val="006775C3"/>
    <w:rsid w:val="0069290A"/>
    <w:rsid w:val="0069753A"/>
    <w:rsid w:val="0069775A"/>
    <w:rsid w:val="00697813"/>
    <w:rsid w:val="006A3EE8"/>
    <w:rsid w:val="006A72BF"/>
    <w:rsid w:val="006B03F2"/>
    <w:rsid w:val="006B0F63"/>
    <w:rsid w:val="006B37DC"/>
    <w:rsid w:val="006B4F68"/>
    <w:rsid w:val="006C0592"/>
    <w:rsid w:val="006C272E"/>
    <w:rsid w:val="006C5479"/>
    <w:rsid w:val="006C5E8F"/>
    <w:rsid w:val="006C66C9"/>
    <w:rsid w:val="006C6707"/>
    <w:rsid w:val="006C7DBB"/>
    <w:rsid w:val="006D13B5"/>
    <w:rsid w:val="006D1662"/>
    <w:rsid w:val="006E12FF"/>
    <w:rsid w:val="006E607E"/>
    <w:rsid w:val="00706C5D"/>
    <w:rsid w:val="00732922"/>
    <w:rsid w:val="00742572"/>
    <w:rsid w:val="007474B9"/>
    <w:rsid w:val="0075162E"/>
    <w:rsid w:val="00754034"/>
    <w:rsid w:val="00756556"/>
    <w:rsid w:val="007618C4"/>
    <w:rsid w:val="00767980"/>
    <w:rsid w:val="007705D5"/>
    <w:rsid w:val="00770B19"/>
    <w:rsid w:val="0077463F"/>
    <w:rsid w:val="0078143C"/>
    <w:rsid w:val="007836EA"/>
    <w:rsid w:val="00784CDA"/>
    <w:rsid w:val="00785E34"/>
    <w:rsid w:val="00787CB6"/>
    <w:rsid w:val="007906C4"/>
    <w:rsid w:val="0079284A"/>
    <w:rsid w:val="00792B35"/>
    <w:rsid w:val="0079308C"/>
    <w:rsid w:val="007940EA"/>
    <w:rsid w:val="007967E8"/>
    <w:rsid w:val="007A2170"/>
    <w:rsid w:val="007A22BF"/>
    <w:rsid w:val="007A3323"/>
    <w:rsid w:val="007A68CC"/>
    <w:rsid w:val="007B72B8"/>
    <w:rsid w:val="007B7A58"/>
    <w:rsid w:val="007C1901"/>
    <w:rsid w:val="007C21B5"/>
    <w:rsid w:val="007C3109"/>
    <w:rsid w:val="007D37DE"/>
    <w:rsid w:val="007D4BFE"/>
    <w:rsid w:val="007E4BD2"/>
    <w:rsid w:val="007F20B1"/>
    <w:rsid w:val="007F454A"/>
    <w:rsid w:val="00801393"/>
    <w:rsid w:val="00802082"/>
    <w:rsid w:val="00802F88"/>
    <w:rsid w:val="0081293E"/>
    <w:rsid w:val="00814795"/>
    <w:rsid w:val="00815465"/>
    <w:rsid w:val="00817E9A"/>
    <w:rsid w:val="00825577"/>
    <w:rsid w:val="008306BD"/>
    <w:rsid w:val="00831A80"/>
    <w:rsid w:val="00833743"/>
    <w:rsid w:val="008340A4"/>
    <w:rsid w:val="00841F71"/>
    <w:rsid w:val="00843620"/>
    <w:rsid w:val="008454A7"/>
    <w:rsid w:val="00852A28"/>
    <w:rsid w:val="008606EE"/>
    <w:rsid w:val="00870597"/>
    <w:rsid w:val="0087135F"/>
    <w:rsid w:val="008714A0"/>
    <w:rsid w:val="008728E4"/>
    <w:rsid w:val="00872D94"/>
    <w:rsid w:val="00880364"/>
    <w:rsid w:val="00884687"/>
    <w:rsid w:val="00891592"/>
    <w:rsid w:val="00891E9E"/>
    <w:rsid w:val="00896289"/>
    <w:rsid w:val="008A2F68"/>
    <w:rsid w:val="008B22E7"/>
    <w:rsid w:val="008B4FA6"/>
    <w:rsid w:val="008B5282"/>
    <w:rsid w:val="008B7C17"/>
    <w:rsid w:val="008C0939"/>
    <w:rsid w:val="008C2D01"/>
    <w:rsid w:val="008C40E6"/>
    <w:rsid w:val="008C5F4E"/>
    <w:rsid w:val="008C6210"/>
    <w:rsid w:val="008D0F7A"/>
    <w:rsid w:val="008D5A6E"/>
    <w:rsid w:val="008D68E4"/>
    <w:rsid w:val="008E0506"/>
    <w:rsid w:val="008E0CFF"/>
    <w:rsid w:val="008E1BB4"/>
    <w:rsid w:val="008E5D6B"/>
    <w:rsid w:val="008E76F0"/>
    <w:rsid w:val="008F15FE"/>
    <w:rsid w:val="008F2D29"/>
    <w:rsid w:val="008F5187"/>
    <w:rsid w:val="008F60D8"/>
    <w:rsid w:val="00902727"/>
    <w:rsid w:val="0090312B"/>
    <w:rsid w:val="00903EA8"/>
    <w:rsid w:val="00906979"/>
    <w:rsid w:val="009130AE"/>
    <w:rsid w:val="0091736D"/>
    <w:rsid w:val="0093037A"/>
    <w:rsid w:val="00936557"/>
    <w:rsid w:val="0094154D"/>
    <w:rsid w:val="0095155F"/>
    <w:rsid w:val="00952C3E"/>
    <w:rsid w:val="00953065"/>
    <w:rsid w:val="00953F47"/>
    <w:rsid w:val="00954429"/>
    <w:rsid w:val="009551C4"/>
    <w:rsid w:val="00955CC9"/>
    <w:rsid w:val="009563CE"/>
    <w:rsid w:val="00964C1F"/>
    <w:rsid w:val="00976328"/>
    <w:rsid w:val="0097680D"/>
    <w:rsid w:val="00982438"/>
    <w:rsid w:val="0098404C"/>
    <w:rsid w:val="00985283"/>
    <w:rsid w:val="0098590B"/>
    <w:rsid w:val="00991ADF"/>
    <w:rsid w:val="00995992"/>
    <w:rsid w:val="009A03E5"/>
    <w:rsid w:val="009A0F3B"/>
    <w:rsid w:val="009A1BB4"/>
    <w:rsid w:val="009A1CFB"/>
    <w:rsid w:val="009A2628"/>
    <w:rsid w:val="009A3200"/>
    <w:rsid w:val="009B0897"/>
    <w:rsid w:val="009B1FF2"/>
    <w:rsid w:val="009B747E"/>
    <w:rsid w:val="009B7BD9"/>
    <w:rsid w:val="009C17E1"/>
    <w:rsid w:val="009C755B"/>
    <w:rsid w:val="009C7DD5"/>
    <w:rsid w:val="009D0EA3"/>
    <w:rsid w:val="009D2493"/>
    <w:rsid w:val="009E227D"/>
    <w:rsid w:val="009E355B"/>
    <w:rsid w:val="009E5019"/>
    <w:rsid w:val="009F2C38"/>
    <w:rsid w:val="00A01EF1"/>
    <w:rsid w:val="00A0372F"/>
    <w:rsid w:val="00A04F1B"/>
    <w:rsid w:val="00A0501B"/>
    <w:rsid w:val="00A11A7F"/>
    <w:rsid w:val="00A13970"/>
    <w:rsid w:val="00A14947"/>
    <w:rsid w:val="00A32A83"/>
    <w:rsid w:val="00A360C2"/>
    <w:rsid w:val="00A363DF"/>
    <w:rsid w:val="00A368DB"/>
    <w:rsid w:val="00A40483"/>
    <w:rsid w:val="00A423AA"/>
    <w:rsid w:val="00A47445"/>
    <w:rsid w:val="00A53EC6"/>
    <w:rsid w:val="00A55C0F"/>
    <w:rsid w:val="00A67583"/>
    <w:rsid w:val="00A83AD0"/>
    <w:rsid w:val="00A84E09"/>
    <w:rsid w:val="00A8548D"/>
    <w:rsid w:val="00A861A6"/>
    <w:rsid w:val="00A8666F"/>
    <w:rsid w:val="00A8713F"/>
    <w:rsid w:val="00A90BA1"/>
    <w:rsid w:val="00A950F2"/>
    <w:rsid w:val="00A97A9A"/>
    <w:rsid w:val="00AA0671"/>
    <w:rsid w:val="00AA1D11"/>
    <w:rsid w:val="00AA2531"/>
    <w:rsid w:val="00AA56B8"/>
    <w:rsid w:val="00AB1E09"/>
    <w:rsid w:val="00AB5330"/>
    <w:rsid w:val="00AB7747"/>
    <w:rsid w:val="00AC14CE"/>
    <w:rsid w:val="00AC2A56"/>
    <w:rsid w:val="00AD055E"/>
    <w:rsid w:val="00AD47A7"/>
    <w:rsid w:val="00AE5E48"/>
    <w:rsid w:val="00AF0CBF"/>
    <w:rsid w:val="00AF1364"/>
    <w:rsid w:val="00AF257F"/>
    <w:rsid w:val="00AF33CF"/>
    <w:rsid w:val="00AF4D50"/>
    <w:rsid w:val="00AF6179"/>
    <w:rsid w:val="00B00BD6"/>
    <w:rsid w:val="00B0106E"/>
    <w:rsid w:val="00B10FB4"/>
    <w:rsid w:val="00B1295A"/>
    <w:rsid w:val="00B20A45"/>
    <w:rsid w:val="00B22C5C"/>
    <w:rsid w:val="00B24F30"/>
    <w:rsid w:val="00B26AB6"/>
    <w:rsid w:val="00B31ABF"/>
    <w:rsid w:val="00B33BE3"/>
    <w:rsid w:val="00B53B5D"/>
    <w:rsid w:val="00B6055E"/>
    <w:rsid w:val="00B6317D"/>
    <w:rsid w:val="00B75EAC"/>
    <w:rsid w:val="00B7723F"/>
    <w:rsid w:val="00B80534"/>
    <w:rsid w:val="00B83ED1"/>
    <w:rsid w:val="00B8433C"/>
    <w:rsid w:val="00B87491"/>
    <w:rsid w:val="00BA29E9"/>
    <w:rsid w:val="00BA7142"/>
    <w:rsid w:val="00BB237C"/>
    <w:rsid w:val="00BB41A3"/>
    <w:rsid w:val="00BC32DC"/>
    <w:rsid w:val="00BC35B6"/>
    <w:rsid w:val="00BC4028"/>
    <w:rsid w:val="00BD1B51"/>
    <w:rsid w:val="00BD4596"/>
    <w:rsid w:val="00BE1405"/>
    <w:rsid w:val="00BE312D"/>
    <w:rsid w:val="00BE372E"/>
    <w:rsid w:val="00BF1C20"/>
    <w:rsid w:val="00C10578"/>
    <w:rsid w:val="00C135BC"/>
    <w:rsid w:val="00C15C95"/>
    <w:rsid w:val="00C20016"/>
    <w:rsid w:val="00C256F7"/>
    <w:rsid w:val="00C2596A"/>
    <w:rsid w:val="00C2606D"/>
    <w:rsid w:val="00C27537"/>
    <w:rsid w:val="00C30909"/>
    <w:rsid w:val="00C31624"/>
    <w:rsid w:val="00C328FE"/>
    <w:rsid w:val="00C33507"/>
    <w:rsid w:val="00C405A9"/>
    <w:rsid w:val="00C4409D"/>
    <w:rsid w:val="00C44E72"/>
    <w:rsid w:val="00C45A06"/>
    <w:rsid w:val="00C47E5B"/>
    <w:rsid w:val="00C602F6"/>
    <w:rsid w:val="00C61E4B"/>
    <w:rsid w:val="00C623E8"/>
    <w:rsid w:val="00C64BFF"/>
    <w:rsid w:val="00C704E9"/>
    <w:rsid w:val="00C72BBC"/>
    <w:rsid w:val="00C73FF5"/>
    <w:rsid w:val="00C746CC"/>
    <w:rsid w:val="00C763C9"/>
    <w:rsid w:val="00C80057"/>
    <w:rsid w:val="00C82232"/>
    <w:rsid w:val="00C82913"/>
    <w:rsid w:val="00C972B1"/>
    <w:rsid w:val="00C977EE"/>
    <w:rsid w:val="00CA2CCE"/>
    <w:rsid w:val="00CA43FD"/>
    <w:rsid w:val="00CA5894"/>
    <w:rsid w:val="00CA7EEA"/>
    <w:rsid w:val="00CA7EF8"/>
    <w:rsid w:val="00CB3C62"/>
    <w:rsid w:val="00CC367E"/>
    <w:rsid w:val="00CC488C"/>
    <w:rsid w:val="00CC489B"/>
    <w:rsid w:val="00CD158F"/>
    <w:rsid w:val="00CD2BCD"/>
    <w:rsid w:val="00CD3A4C"/>
    <w:rsid w:val="00CE10E9"/>
    <w:rsid w:val="00CE2910"/>
    <w:rsid w:val="00CE5393"/>
    <w:rsid w:val="00CF36BE"/>
    <w:rsid w:val="00CF4A92"/>
    <w:rsid w:val="00CF597F"/>
    <w:rsid w:val="00CF6000"/>
    <w:rsid w:val="00D003F3"/>
    <w:rsid w:val="00D00FA3"/>
    <w:rsid w:val="00D0135A"/>
    <w:rsid w:val="00D0148D"/>
    <w:rsid w:val="00D0364F"/>
    <w:rsid w:val="00D06834"/>
    <w:rsid w:val="00D23242"/>
    <w:rsid w:val="00D2602C"/>
    <w:rsid w:val="00D30634"/>
    <w:rsid w:val="00D308ED"/>
    <w:rsid w:val="00D31C68"/>
    <w:rsid w:val="00D35087"/>
    <w:rsid w:val="00D36D86"/>
    <w:rsid w:val="00D428AA"/>
    <w:rsid w:val="00D50A34"/>
    <w:rsid w:val="00D53EFA"/>
    <w:rsid w:val="00D635DD"/>
    <w:rsid w:val="00D94A7C"/>
    <w:rsid w:val="00D95896"/>
    <w:rsid w:val="00D9637F"/>
    <w:rsid w:val="00DA19BE"/>
    <w:rsid w:val="00DB0EF3"/>
    <w:rsid w:val="00DB2983"/>
    <w:rsid w:val="00DB6446"/>
    <w:rsid w:val="00DC1257"/>
    <w:rsid w:val="00DC3DC0"/>
    <w:rsid w:val="00DC5B2B"/>
    <w:rsid w:val="00DD0C95"/>
    <w:rsid w:val="00DD318D"/>
    <w:rsid w:val="00DE1BE7"/>
    <w:rsid w:val="00DF15CB"/>
    <w:rsid w:val="00DF186D"/>
    <w:rsid w:val="00DF2E12"/>
    <w:rsid w:val="00DF4419"/>
    <w:rsid w:val="00DF514A"/>
    <w:rsid w:val="00DF6690"/>
    <w:rsid w:val="00DF6804"/>
    <w:rsid w:val="00E0358D"/>
    <w:rsid w:val="00E04323"/>
    <w:rsid w:val="00E04A1B"/>
    <w:rsid w:val="00E070A2"/>
    <w:rsid w:val="00E070AC"/>
    <w:rsid w:val="00E10714"/>
    <w:rsid w:val="00E15FD4"/>
    <w:rsid w:val="00E2656A"/>
    <w:rsid w:val="00E3183B"/>
    <w:rsid w:val="00E412D0"/>
    <w:rsid w:val="00E507BC"/>
    <w:rsid w:val="00E51F7E"/>
    <w:rsid w:val="00E56322"/>
    <w:rsid w:val="00E565E7"/>
    <w:rsid w:val="00E60618"/>
    <w:rsid w:val="00E60982"/>
    <w:rsid w:val="00E62C62"/>
    <w:rsid w:val="00E654C1"/>
    <w:rsid w:val="00E65D97"/>
    <w:rsid w:val="00E711EC"/>
    <w:rsid w:val="00E72A5A"/>
    <w:rsid w:val="00E73354"/>
    <w:rsid w:val="00E76864"/>
    <w:rsid w:val="00E773F5"/>
    <w:rsid w:val="00E83D1B"/>
    <w:rsid w:val="00E9242D"/>
    <w:rsid w:val="00E960A3"/>
    <w:rsid w:val="00EA5291"/>
    <w:rsid w:val="00EA74D5"/>
    <w:rsid w:val="00EB5255"/>
    <w:rsid w:val="00EB5C47"/>
    <w:rsid w:val="00EB627B"/>
    <w:rsid w:val="00EC3BBF"/>
    <w:rsid w:val="00EC7E7E"/>
    <w:rsid w:val="00ED0639"/>
    <w:rsid w:val="00ED1E2A"/>
    <w:rsid w:val="00ED21F5"/>
    <w:rsid w:val="00ED5986"/>
    <w:rsid w:val="00EF4755"/>
    <w:rsid w:val="00EF4C07"/>
    <w:rsid w:val="00EF58B9"/>
    <w:rsid w:val="00EF5DA0"/>
    <w:rsid w:val="00EF6EEF"/>
    <w:rsid w:val="00EF7135"/>
    <w:rsid w:val="00F023AA"/>
    <w:rsid w:val="00F027DB"/>
    <w:rsid w:val="00F02E19"/>
    <w:rsid w:val="00F0412D"/>
    <w:rsid w:val="00F06979"/>
    <w:rsid w:val="00F14A7A"/>
    <w:rsid w:val="00F22985"/>
    <w:rsid w:val="00F320F6"/>
    <w:rsid w:val="00F3383E"/>
    <w:rsid w:val="00F465A7"/>
    <w:rsid w:val="00F50B7C"/>
    <w:rsid w:val="00F523FB"/>
    <w:rsid w:val="00F54C58"/>
    <w:rsid w:val="00F550E6"/>
    <w:rsid w:val="00F655E9"/>
    <w:rsid w:val="00F74345"/>
    <w:rsid w:val="00F77BE1"/>
    <w:rsid w:val="00F80A0A"/>
    <w:rsid w:val="00F82B19"/>
    <w:rsid w:val="00F8616C"/>
    <w:rsid w:val="00F907EE"/>
    <w:rsid w:val="00F9212D"/>
    <w:rsid w:val="00F93087"/>
    <w:rsid w:val="00F965DA"/>
    <w:rsid w:val="00FA406A"/>
    <w:rsid w:val="00FB503A"/>
    <w:rsid w:val="00FB516C"/>
    <w:rsid w:val="00FB6A27"/>
    <w:rsid w:val="00FB74EF"/>
    <w:rsid w:val="00FC7B66"/>
    <w:rsid w:val="00FD0236"/>
    <w:rsid w:val="00FD18F4"/>
    <w:rsid w:val="00FD3E70"/>
    <w:rsid w:val="00FD54DB"/>
    <w:rsid w:val="00FD619F"/>
    <w:rsid w:val="00FE4AB3"/>
    <w:rsid w:val="00FF2BFD"/>
    <w:rsid w:val="00FF61D4"/>
    <w:rsid w:val="01145609"/>
    <w:rsid w:val="01174C50"/>
    <w:rsid w:val="0119677B"/>
    <w:rsid w:val="011A24F4"/>
    <w:rsid w:val="012313A8"/>
    <w:rsid w:val="012375FA"/>
    <w:rsid w:val="0127533C"/>
    <w:rsid w:val="01282E62"/>
    <w:rsid w:val="01290F7E"/>
    <w:rsid w:val="012A1FA6"/>
    <w:rsid w:val="0132783D"/>
    <w:rsid w:val="013B4944"/>
    <w:rsid w:val="013E4434"/>
    <w:rsid w:val="013E61E2"/>
    <w:rsid w:val="014337F8"/>
    <w:rsid w:val="01441350"/>
    <w:rsid w:val="014852B3"/>
    <w:rsid w:val="014A102B"/>
    <w:rsid w:val="015915DD"/>
    <w:rsid w:val="015974C0"/>
    <w:rsid w:val="015B4FE6"/>
    <w:rsid w:val="015D1E09"/>
    <w:rsid w:val="016801A5"/>
    <w:rsid w:val="016C0FA1"/>
    <w:rsid w:val="016D4D19"/>
    <w:rsid w:val="016D6AC7"/>
    <w:rsid w:val="016E2F6B"/>
    <w:rsid w:val="01722330"/>
    <w:rsid w:val="0179546C"/>
    <w:rsid w:val="017A36FD"/>
    <w:rsid w:val="017D4A1C"/>
    <w:rsid w:val="01830099"/>
    <w:rsid w:val="01833034"/>
    <w:rsid w:val="018A58CB"/>
    <w:rsid w:val="01967DCC"/>
    <w:rsid w:val="01973B44"/>
    <w:rsid w:val="01A11AA6"/>
    <w:rsid w:val="01A4698D"/>
    <w:rsid w:val="01AA5BF0"/>
    <w:rsid w:val="01B11DDE"/>
    <w:rsid w:val="01B36BD0"/>
    <w:rsid w:val="01B6046E"/>
    <w:rsid w:val="01B777AE"/>
    <w:rsid w:val="01BE00DC"/>
    <w:rsid w:val="01BF6322"/>
    <w:rsid w:val="01C32F00"/>
    <w:rsid w:val="01C74429"/>
    <w:rsid w:val="01D43D94"/>
    <w:rsid w:val="01D54D19"/>
    <w:rsid w:val="01D66A1A"/>
    <w:rsid w:val="01D803E5"/>
    <w:rsid w:val="01D84234"/>
    <w:rsid w:val="01DB6127"/>
    <w:rsid w:val="01DD1E9F"/>
    <w:rsid w:val="01DD3C4D"/>
    <w:rsid w:val="01E24AD1"/>
    <w:rsid w:val="01E50D53"/>
    <w:rsid w:val="01E53E2D"/>
    <w:rsid w:val="01E70628"/>
    <w:rsid w:val="01EA636A"/>
    <w:rsid w:val="01ED6CA6"/>
    <w:rsid w:val="01EF572E"/>
    <w:rsid w:val="01FA47FF"/>
    <w:rsid w:val="01FD609D"/>
    <w:rsid w:val="020236B3"/>
    <w:rsid w:val="02062B27"/>
    <w:rsid w:val="02070CCA"/>
    <w:rsid w:val="02077A8A"/>
    <w:rsid w:val="020B07BA"/>
    <w:rsid w:val="02151639"/>
    <w:rsid w:val="02184C85"/>
    <w:rsid w:val="02187BA3"/>
    <w:rsid w:val="021D04ED"/>
    <w:rsid w:val="021E42F5"/>
    <w:rsid w:val="02225B04"/>
    <w:rsid w:val="022841F2"/>
    <w:rsid w:val="022B3571"/>
    <w:rsid w:val="022E44A8"/>
    <w:rsid w:val="02441F1E"/>
    <w:rsid w:val="02447828"/>
    <w:rsid w:val="02497534"/>
    <w:rsid w:val="024E06A7"/>
    <w:rsid w:val="025008C3"/>
    <w:rsid w:val="02587777"/>
    <w:rsid w:val="025A09FE"/>
    <w:rsid w:val="025C6900"/>
    <w:rsid w:val="025E2E9F"/>
    <w:rsid w:val="025E7A82"/>
    <w:rsid w:val="026003DA"/>
    <w:rsid w:val="026223A4"/>
    <w:rsid w:val="02697903"/>
    <w:rsid w:val="026B1259"/>
    <w:rsid w:val="026B46FA"/>
    <w:rsid w:val="026B74AB"/>
    <w:rsid w:val="0273010D"/>
    <w:rsid w:val="027520D7"/>
    <w:rsid w:val="027619AC"/>
    <w:rsid w:val="027654C7"/>
    <w:rsid w:val="02775E4F"/>
    <w:rsid w:val="027C16B8"/>
    <w:rsid w:val="02813AD2"/>
    <w:rsid w:val="028265A2"/>
    <w:rsid w:val="02927FA9"/>
    <w:rsid w:val="029307AF"/>
    <w:rsid w:val="02945196"/>
    <w:rsid w:val="02987B74"/>
    <w:rsid w:val="029A38EC"/>
    <w:rsid w:val="029F7154"/>
    <w:rsid w:val="02A1111E"/>
    <w:rsid w:val="02A209F3"/>
    <w:rsid w:val="02A824AD"/>
    <w:rsid w:val="02B80C45"/>
    <w:rsid w:val="02BE3A7E"/>
    <w:rsid w:val="02C637E1"/>
    <w:rsid w:val="02C80459"/>
    <w:rsid w:val="02C866AB"/>
    <w:rsid w:val="02CB6DEC"/>
    <w:rsid w:val="02CC3DD3"/>
    <w:rsid w:val="02D23086"/>
    <w:rsid w:val="02E57AAA"/>
    <w:rsid w:val="02E903CF"/>
    <w:rsid w:val="02EE60DC"/>
    <w:rsid w:val="02F92D08"/>
    <w:rsid w:val="02F96569"/>
    <w:rsid w:val="02FB2EFC"/>
    <w:rsid w:val="02FC0103"/>
    <w:rsid w:val="02FF7BF3"/>
    <w:rsid w:val="03004097"/>
    <w:rsid w:val="0307156E"/>
    <w:rsid w:val="030A4873"/>
    <w:rsid w:val="03100052"/>
    <w:rsid w:val="03125B78"/>
    <w:rsid w:val="031A5554"/>
    <w:rsid w:val="031F3DF1"/>
    <w:rsid w:val="03214D8F"/>
    <w:rsid w:val="03226C17"/>
    <w:rsid w:val="032D4760"/>
    <w:rsid w:val="03353615"/>
    <w:rsid w:val="0339611B"/>
    <w:rsid w:val="033A74BA"/>
    <w:rsid w:val="033F6241"/>
    <w:rsid w:val="034A3564"/>
    <w:rsid w:val="0350044F"/>
    <w:rsid w:val="03595555"/>
    <w:rsid w:val="036363D4"/>
    <w:rsid w:val="03661A20"/>
    <w:rsid w:val="036B5288"/>
    <w:rsid w:val="036D1000"/>
    <w:rsid w:val="036F6F03"/>
    <w:rsid w:val="0374413D"/>
    <w:rsid w:val="03791753"/>
    <w:rsid w:val="037C4A7C"/>
    <w:rsid w:val="037D2915"/>
    <w:rsid w:val="037E320E"/>
    <w:rsid w:val="03800D34"/>
    <w:rsid w:val="03827AA9"/>
    <w:rsid w:val="0383668D"/>
    <w:rsid w:val="03872045"/>
    <w:rsid w:val="039842CF"/>
    <w:rsid w:val="03993424"/>
    <w:rsid w:val="03993BA4"/>
    <w:rsid w:val="03A013D6"/>
    <w:rsid w:val="03A10CAA"/>
    <w:rsid w:val="03AC1B29"/>
    <w:rsid w:val="03AC38D7"/>
    <w:rsid w:val="03AF33C7"/>
    <w:rsid w:val="03B34794"/>
    <w:rsid w:val="03B86720"/>
    <w:rsid w:val="03B92498"/>
    <w:rsid w:val="03B939BC"/>
    <w:rsid w:val="03BD3D36"/>
    <w:rsid w:val="03C9092D"/>
    <w:rsid w:val="03CE155F"/>
    <w:rsid w:val="03CF5817"/>
    <w:rsid w:val="03D17EBA"/>
    <w:rsid w:val="03D539C3"/>
    <w:rsid w:val="03E73F7C"/>
    <w:rsid w:val="03EA7B21"/>
    <w:rsid w:val="03F74C55"/>
    <w:rsid w:val="040746F2"/>
    <w:rsid w:val="04082AD7"/>
    <w:rsid w:val="040971D4"/>
    <w:rsid w:val="04114082"/>
    <w:rsid w:val="04137670"/>
    <w:rsid w:val="04156547"/>
    <w:rsid w:val="04180F6C"/>
    <w:rsid w:val="041D47D5"/>
    <w:rsid w:val="04206073"/>
    <w:rsid w:val="04294F27"/>
    <w:rsid w:val="0430275A"/>
    <w:rsid w:val="04384245"/>
    <w:rsid w:val="043F1D3E"/>
    <w:rsid w:val="04407249"/>
    <w:rsid w:val="04431326"/>
    <w:rsid w:val="04497378"/>
    <w:rsid w:val="044B1342"/>
    <w:rsid w:val="044B7594"/>
    <w:rsid w:val="046160C8"/>
    <w:rsid w:val="046643CE"/>
    <w:rsid w:val="046B19E4"/>
    <w:rsid w:val="046C12B8"/>
    <w:rsid w:val="046E6DDE"/>
    <w:rsid w:val="04732647"/>
    <w:rsid w:val="047775A4"/>
    <w:rsid w:val="047F723D"/>
    <w:rsid w:val="048E122E"/>
    <w:rsid w:val="04983E5B"/>
    <w:rsid w:val="049A4077"/>
    <w:rsid w:val="04A11137"/>
    <w:rsid w:val="04A9243E"/>
    <w:rsid w:val="04AB0032"/>
    <w:rsid w:val="04C2712A"/>
    <w:rsid w:val="04C3537C"/>
    <w:rsid w:val="04D9257F"/>
    <w:rsid w:val="04EB3A05"/>
    <w:rsid w:val="04F25C61"/>
    <w:rsid w:val="04FC43EA"/>
    <w:rsid w:val="04FE1400"/>
    <w:rsid w:val="050046C8"/>
    <w:rsid w:val="05080FE1"/>
    <w:rsid w:val="050B287F"/>
    <w:rsid w:val="050E015C"/>
    <w:rsid w:val="050F05C1"/>
    <w:rsid w:val="051A0D14"/>
    <w:rsid w:val="051A125A"/>
    <w:rsid w:val="052B1173"/>
    <w:rsid w:val="052D0A47"/>
    <w:rsid w:val="052E656D"/>
    <w:rsid w:val="05384E25"/>
    <w:rsid w:val="05410997"/>
    <w:rsid w:val="05412745"/>
    <w:rsid w:val="054144F3"/>
    <w:rsid w:val="05467D5B"/>
    <w:rsid w:val="054F6C10"/>
    <w:rsid w:val="056106F1"/>
    <w:rsid w:val="056326BB"/>
    <w:rsid w:val="05634469"/>
    <w:rsid w:val="056B4E67"/>
    <w:rsid w:val="056C5A14"/>
    <w:rsid w:val="056D52E8"/>
    <w:rsid w:val="05710988"/>
    <w:rsid w:val="057576A8"/>
    <w:rsid w:val="05832D9D"/>
    <w:rsid w:val="05850883"/>
    <w:rsid w:val="05852631"/>
    <w:rsid w:val="059211F2"/>
    <w:rsid w:val="0593203B"/>
    <w:rsid w:val="0596483F"/>
    <w:rsid w:val="05A056BD"/>
    <w:rsid w:val="05A91C7F"/>
    <w:rsid w:val="05AA02EA"/>
    <w:rsid w:val="05AF76AE"/>
    <w:rsid w:val="05B2719F"/>
    <w:rsid w:val="05C5252D"/>
    <w:rsid w:val="05C56ED2"/>
    <w:rsid w:val="05DD06BF"/>
    <w:rsid w:val="05DD4BBB"/>
    <w:rsid w:val="05E04B7D"/>
    <w:rsid w:val="05EA5FAC"/>
    <w:rsid w:val="05ED6429"/>
    <w:rsid w:val="05EF21A1"/>
    <w:rsid w:val="05F257ED"/>
    <w:rsid w:val="05F654D2"/>
    <w:rsid w:val="05F83EAE"/>
    <w:rsid w:val="05FE4192"/>
    <w:rsid w:val="06006360"/>
    <w:rsid w:val="060E0879"/>
    <w:rsid w:val="06193BD7"/>
    <w:rsid w:val="06301E32"/>
    <w:rsid w:val="06350552"/>
    <w:rsid w:val="0635691E"/>
    <w:rsid w:val="06367DD0"/>
    <w:rsid w:val="063E7D85"/>
    <w:rsid w:val="064512A9"/>
    <w:rsid w:val="06473986"/>
    <w:rsid w:val="064B2E7C"/>
    <w:rsid w:val="064C75F3"/>
    <w:rsid w:val="064E6EC7"/>
    <w:rsid w:val="06510766"/>
    <w:rsid w:val="06532730"/>
    <w:rsid w:val="06545E31"/>
    <w:rsid w:val="06587D46"/>
    <w:rsid w:val="0660774C"/>
    <w:rsid w:val="06693D01"/>
    <w:rsid w:val="066A7A79"/>
    <w:rsid w:val="066E30C6"/>
    <w:rsid w:val="06712BB6"/>
    <w:rsid w:val="06724F41"/>
    <w:rsid w:val="067D155B"/>
    <w:rsid w:val="067F52D3"/>
    <w:rsid w:val="06835B14"/>
    <w:rsid w:val="0684067E"/>
    <w:rsid w:val="0687062B"/>
    <w:rsid w:val="068C3E93"/>
    <w:rsid w:val="06905732"/>
    <w:rsid w:val="069068E0"/>
    <w:rsid w:val="06936FD0"/>
    <w:rsid w:val="06966302"/>
    <w:rsid w:val="069F3BC7"/>
    <w:rsid w:val="06A374B1"/>
    <w:rsid w:val="06A64F55"/>
    <w:rsid w:val="06A71719"/>
    <w:rsid w:val="06AF5B32"/>
    <w:rsid w:val="06B11926"/>
    <w:rsid w:val="06B331CE"/>
    <w:rsid w:val="06BB2083"/>
    <w:rsid w:val="06C07699"/>
    <w:rsid w:val="06C453DB"/>
    <w:rsid w:val="06C6764B"/>
    <w:rsid w:val="06D0228A"/>
    <w:rsid w:val="06D60D20"/>
    <w:rsid w:val="06D73361"/>
    <w:rsid w:val="06DC71AE"/>
    <w:rsid w:val="06DF75E8"/>
    <w:rsid w:val="06E23AB3"/>
    <w:rsid w:val="06E710CA"/>
    <w:rsid w:val="06E96BF0"/>
    <w:rsid w:val="06EC180C"/>
    <w:rsid w:val="06F710E9"/>
    <w:rsid w:val="07031CCE"/>
    <w:rsid w:val="07043A2A"/>
    <w:rsid w:val="07124399"/>
    <w:rsid w:val="071719AF"/>
    <w:rsid w:val="071E63DF"/>
    <w:rsid w:val="07293586"/>
    <w:rsid w:val="07295285"/>
    <w:rsid w:val="073836D3"/>
    <w:rsid w:val="07414C7E"/>
    <w:rsid w:val="07427DAE"/>
    <w:rsid w:val="074D717F"/>
    <w:rsid w:val="07556BDE"/>
    <w:rsid w:val="075E138C"/>
    <w:rsid w:val="07636392"/>
    <w:rsid w:val="076A5F83"/>
    <w:rsid w:val="07770C56"/>
    <w:rsid w:val="077B79E6"/>
    <w:rsid w:val="077C1812"/>
    <w:rsid w:val="07830DF3"/>
    <w:rsid w:val="07854B6B"/>
    <w:rsid w:val="078B414B"/>
    <w:rsid w:val="078D3A1F"/>
    <w:rsid w:val="079254DA"/>
    <w:rsid w:val="079733A5"/>
    <w:rsid w:val="079923C4"/>
    <w:rsid w:val="079A613C"/>
    <w:rsid w:val="07A07BF6"/>
    <w:rsid w:val="07A305E0"/>
    <w:rsid w:val="07A3450E"/>
    <w:rsid w:val="07A82607"/>
    <w:rsid w:val="07AB0349"/>
    <w:rsid w:val="07B23486"/>
    <w:rsid w:val="07C210BD"/>
    <w:rsid w:val="07C444D0"/>
    <w:rsid w:val="07CA0317"/>
    <w:rsid w:val="07CC279A"/>
    <w:rsid w:val="07CC6095"/>
    <w:rsid w:val="07CF1338"/>
    <w:rsid w:val="07D84AB3"/>
    <w:rsid w:val="07DB0C2F"/>
    <w:rsid w:val="07E06245"/>
    <w:rsid w:val="07E07FF3"/>
    <w:rsid w:val="07E775D3"/>
    <w:rsid w:val="07F13FAE"/>
    <w:rsid w:val="07FB6BDB"/>
    <w:rsid w:val="08034185"/>
    <w:rsid w:val="080A1514"/>
    <w:rsid w:val="080D4B60"/>
    <w:rsid w:val="080D59E8"/>
    <w:rsid w:val="081128A2"/>
    <w:rsid w:val="08113819"/>
    <w:rsid w:val="081303C8"/>
    <w:rsid w:val="081518A4"/>
    <w:rsid w:val="08163A15"/>
    <w:rsid w:val="081952B3"/>
    <w:rsid w:val="081D2FF5"/>
    <w:rsid w:val="08236132"/>
    <w:rsid w:val="08251B75"/>
    <w:rsid w:val="08251EAA"/>
    <w:rsid w:val="082F5E85"/>
    <w:rsid w:val="083B791F"/>
    <w:rsid w:val="083D5445"/>
    <w:rsid w:val="083E11BD"/>
    <w:rsid w:val="083E2F6B"/>
    <w:rsid w:val="08412CE0"/>
    <w:rsid w:val="084A1910"/>
    <w:rsid w:val="084C5688"/>
    <w:rsid w:val="08512C9F"/>
    <w:rsid w:val="08513871"/>
    <w:rsid w:val="08536A17"/>
    <w:rsid w:val="085602B5"/>
    <w:rsid w:val="085E6AD7"/>
    <w:rsid w:val="0865674A"/>
    <w:rsid w:val="086A5B0F"/>
    <w:rsid w:val="08716E9D"/>
    <w:rsid w:val="08762705"/>
    <w:rsid w:val="087807CF"/>
    <w:rsid w:val="087F5A58"/>
    <w:rsid w:val="0880617E"/>
    <w:rsid w:val="08807F1C"/>
    <w:rsid w:val="088766C0"/>
    <w:rsid w:val="0889068B"/>
    <w:rsid w:val="08892439"/>
    <w:rsid w:val="088A4403"/>
    <w:rsid w:val="08907C6B"/>
    <w:rsid w:val="08955281"/>
    <w:rsid w:val="08986B20"/>
    <w:rsid w:val="089B3ED6"/>
    <w:rsid w:val="089D7C92"/>
    <w:rsid w:val="089E3A0A"/>
    <w:rsid w:val="08B35707"/>
    <w:rsid w:val="08B576D2"/>
    <w:rsid w:val="08B869A6"/>
    <w:rsid w:val="08BA0844"/>
    <w:rsid w:val="08BB3901"/>
    <w:rsid w:val="08CC59BD"/>
    <w:rsid w:val="08D8516E"/>
    <w:rsid w:val="08DA0EE6"/>
    <w:rsid w:val="08DF02AB"/>
    <w:rsid w:val="08E65ADD"/>
    <w:rsid w:val="08E8715E"/>
    <w:rsid w:val="08EC0C19"/>
    <w:rsid w:val="08F018C5"/>
    <w:rsid w:val="08FA50E4"/>
    <w:rsid w:val="08FB2C0B"/>
    <w:rsid w:val="08FE5D23"/>
    <w:rsid w:val="08FF094D"/>
    <w:rsid w:val="09016473"/>
    <w:rsid w:val="090D12BC"/>
    <w:rsid w:val="090F7CB7"/>
    <w:rsid w:val="091A5787"/>
    <w:rsid w:val="091C14FF"/>
    <w:rsid w:val="092217DD"/>
    <w:rsid w:val="0923288D"/>
    <w:rsid w:val="0931751B"/>
    <w:rsid w:val="09343229"/>
    <w:rsid w:val="09370D8F"/>
    <w:rsid w:val="09385C0D"/>
    <w:rsid w:val="09391BDB"/>
    <w:rsid w:val="093A7294"/>
    <w:rsid w:val="093B4BC3"/>
    <w:rsid w:val="09475E50"/>
    <w:rsid w:val="094840A2"/>
    <w:rsid w:val="094E3682"/>
    <w:rsid w:val="09502F56"/>
    <w:rsid w:val="095962AF"/>
    <w:rsid w:val="095C5D9F"/>
    <w:rsid w:val="09615163"/>
    <w:rsid w:val="096B7D90"/>
    <w:rsid w:val="096D58B6"/>
    <w:rsid w:val="09776735"/>
    <w:rsid w:val="097C34CA"/>
    <w:rsid w:val="097E5D15"/>
    <w:rsid w:val="0983332C"/>
    <w:rsid w:val="098608AA"/>
    <w:rsid w:val="0989289A"/>
    <w:rsid w:val="099E0166"/>
    <w:rsid w:val="09A56B00"/>
    <w:rsid w:val="09AB2883"/>
    <w:rsid w:val="09AF6076"/>
    <w:rsid w:val="09B67B22"/>
    <w:rsid w:val="09B72FD5"/>
    <w:rsid w:val="09BA4874"/>
    <w:rsid w:val="09C120A6"/>
    <w:rsid w:val="09C15C02"/>
    <w:rsid w:val="09D23CB3"/>
    <w:rsid w:val="09D26061"/>
    <w:rsid w:val="09D33EA7"/>
    <w:rsid w:val="09D43B87"/>
    <w:rsid w:val="09DA6CC4"/>
    <w:rsid w:val="09E47F79"/>
    <w:rsid w:val="09E813E1"/>
    <w:rsid w:val="09E85885"/>
    <w:rsid w:val="09E87633"/>
    <w:rsid w:val="09EB4857"/>
    <w:rsid w:val="09ED4C49"/>
    <w:rsid w:val="09F21A18"/>
    <w:rsid w:val="09F61D50"/>
    <w:rsid w:val="09F75115"/>
    <w:rsid w:val="09FD2492"/>
    <w:rsid w:val="0A0A57FB"/>
    <w:rsid w:val="0A0B189B"/>
    <w:rsid w:val="0A0D52EB"/>
    <w:rsid w:val="0A0F2E11"/>
    <w:rsid w:val="0A12645E"/>
    <w:rsid w:val="0A1E12A6"/>
    <w:rsid w:val="0A1E1B2B"/>
    <w:rsid w:val="0A2462BA"/>
    <w:rsid w:val="0A263993"/>
    <w:rsid w:val="0A273F29"/>
    <w:rsid w:val="0A2868DE"/>
    <w:rsid w:val="0A287A2F"/>
    <w:rsid w:val="0A29476A"/>
    <w:rsid w:val="0A2D3AC2"/>
    <w:rsid w:val="0A304297"/>
    <w:rsid w:val="0A3960E0"/>
    <w:rsid w:val="0A3D797F"/>
    <w:rsid w:val="0A402FCB"/>
    <w:rsid w:val="0A4106CF"/>
    <w:rsid w:val="0A466107"/>
    <w:rsid w:val="0A4707FD"/>
    <w:rsid w:val="0A474359"/>
    <w:rsid w:val="0A4A3E4A"/>
    <w:rsid w:val="0A5627EE"/>
    <w:rsid w:val="0A7F3548"/>
    <w:rsid w:val="0A83110A"/>
    <w:rsid w:val="0A8455AD"/>
    <w:rsid w:val="0A85112A"/>
    <w:rsid w:val="0A892BC4"/>
    <w:rsid w:val="0A8D16B6"/>
    <w:rsid w:val="0A8D6A41"/>
    <w:rsid w:val="0A9B4A58"/>
    <w:rsid w:val="0A9F23E7"/>
    <w:rsid w:val="0AA755DF"/>
    <w:rsid w:val="0AA95014"/>
    <w:rsid w:val="0AB47515"/>
    <w:rsid w:val="0AC141A2"/>
    <w:rsid w:val="0AC37E28"/>
    <w:rsid w:val="0AC91212"/>
    <w:rsid w:val="0ACC2AB1"/>
    <w:rsid w:val="0AD972F7"/>
    <w:rsid w:val="0AE0030A"/>
    <w:rsid w:val="0AE1252F"/>
    <w:rsid w:val="0AEC3153"/>
    <w:rsid w:val="0AEF054D"/>
    <w:rsid w:val="0AEF268F"/>
    <w:rsid w:val="0AF02C43"/>
    <w:rsid w:val="0AF67B2D"/>
    <w:rsid w:val="0AF84D34"/>
    <w:rsid w:val="0AFD0016"/>
    <w:rsid w:val="0AFD06C3"/>
    <w:rsid w:val="0B0264D2"/>
    <w:rsid w:val="0B04049C"/>
    <w:rsid w:val="0B064214"/>
    <w:rsid w:val="0B065FC2"/>
    <w:rsid w:val="0B09160F"/>
    <w:rsid w:val="0B0C55A3"/>
    <w:rsid w:val="0B0E131B"/>
    <w:rsid w:val="0B0E781A"/>
    <w:rsid w:val="0B106E41"/>
    <w:rsid w:val="0B120D44"/>
    <w:rsid w:val="0B186678"/>
    <w:rsid w:val="0B195C36"/>
    <w:rsid w:val="0B1B1342"/>
    <w:rsid w:val="0B212DFC"/>
    <w:rsid w:val="0B2D6095"/>
    <w:rsid w:val="0B354AFA"/>
    <w:rsid w:val="0B36617C"/>
    <w:rsid w:val="0B3B1AAB"/>
    <w:rsid w:val="0B3D39AE"/>
    <w:rsid w:val="0B406338"/>
    <w:rsid w:val="0B494101"/>
    <w:rsid w:val="0B5433ED"/>
    <w:rsid w:val="0B550CF8"/>
    <w:rsid w:val="0B562520"/>
    <w:rsid w:val="0B5674F3"/>
    <w:rsid w:val="0B5D195B"/>
    <w:rsid w:val="0B5F05A3"/>
    <w:rsid w:val="0B5F3925"/>
    <w:rsid w:val="0B6252B7"/>
    <w:rsid w:val="0B65432B"/>
    <w:rsid w:val="0B7167ED"/>
    <w:rsid w:val="0B7373D0"/>
    <w:rsid w:val="0B7F5D75"/>
    <w:rsid w:val="0B8415DD"/>
    <w:rsid w:val="0B865355"/>
    <w:rsid w:val="0B8D0492"/>
    <w:rsid w:val="0B8F239A"/>
    <w:rsid w:val="0B941820"/>
    <w:rsid w:val="0B9538A8"/>
    <w:rsid w:val="0B964BCF"/>
    <w:rsid w:val="0B9C2483"/>
    <w:rsid w:val="0B9F1F73"/>
    <w:rsid w:val="0BA13F3D"/>
    <w:rsid w:val="0BA1592F"/>
    <w:rsid w:val="0BA43195"/>
    <w:rsid w:val="0BA61553"/>
    <w:rsid w:val="0BB53545"/>
    <w:rsid w:val="0BBE689D"/>
    <w:rsid w:val="0BC22AFC"/>
    <w:rsid w:val="0BCF0AAA"/>
    <w:rsid w:val="0BD07596"/>
    <w:rsid w:val="0BD27BF6"/>
    <w:rsid w:val="0BDB744F"/>
    <w:rsid w:val="0BDC70EB"/>
    <w:rsid w:val="0BE107DE"/>
    <w:rsid w:val="0BE1258C"/>
    <w:rsid w:val="0BE205E1"/>
    <w:rsid w:val="0BE81B6C"/>
    <w:rsid w:val="0BE8391A"/>
    <w:rsid w:val="0BEB51B8"/>
    <w:rsid w:val="0BEC21EC"/>
    <w:rsid w:val="0BEE462D"/>
    <w:rsid w:val="0BF202F5"/>
    <w:rsid w:val="0C05627A"/>
    <w:rsid w:val="0C0A3890"/>
    <w:rsid w:val="0C0B13B7"/>
    <w:rsid w:val="0C0D3381"/>
    <w:rsid w:val="0C152235"/>
    <w:rsid w:val="0C191002"/>
    <w:rsid w:val="0C255E9D"/>
    <w:rsid w:val="0C2801BA"/>
    <w:rsid w:val="0C2D757F"/>
    <w:rsid w:val="0C2E61BB"/>
    <w:rsid w:val="0C3B3C7D"/>
    <w:rsid w:val="0C3C309F"/>
    <w:rsid w:val="0C3C4113"/>
    <w:rsid w:val="0C403756"/>
    <w:rsid w:val="0C41302A"/>
    <w:rsid w:val="0C453F76"/>
    <w:rsid w:val="0C4C20FB"/>
    <w:rsid w:val="0C4C64D7"/>
    <w:rsid w:val="0C524BC1"/>
    <w:rsid w:val="0C590374"/>
    <w:rsid w:val="0C5B233E"/>
    <w:rsid w:val="0C5E598A"/>
    <w:rsid w:val="0C6C454B"/>
    <w:rsid w:val="0C6F5DE9"/>
    <w:rsid w:val="0C7358DA"/>
    <w:rsid w:val="0C762CD4"/>
    <w:rsid w:val="0C7A5E41"/>
    <w:rsid w:val="0C803B53"/>
    <w:rsid w:val="0C8E44C1"/>
    <w:rsid w:val="0C9B6BDE"/>
    <w:rsid w:val="0C9C64B3"/>
    <w:rsid w:val="0C9E1EEA"/>
    <w:rsid w:val="0CA21D1B"/>
    <w:rsid w:val="0CA37841"/>
    <w:rsid w:val="0CA84E57"/>
    <w:rsid w:val="0CAB2EAE"/>
    <w:rsid w:val="0CB641E8"/>
    <w:rsid w:val="0CB657C6"/>
    <w:rsid w:val="0CB97065"/>
    <w:rsid w:val="0CBD3586"/>
    <w:rsid w:val="0CC021A1"/>
    <w:rsid w:val="0CC634A7"/>
    <w:rsid w:val="0CC9374C"/>
    <w:rsid w:val="0CCC4FEA"/>
    <w:rsid w:val="0CD36378"/>
    <w:rsid w:val="0CD91D23"/>
    <w:rsid w:val="0CDA7707"/>
    <w:rsid w:val="0CDB6FDB"/>
    <w:rsid w:val="0CEC568C"/>
    <w:rsid w:val="0CF0035E"/>
    <w:rsid w:val="0CF4009D"/>
    <w:rsid w:val="0CF42728"/>
    <w:rsid w:val="0CFE2CC9"/>
    <w:rsid w:val="0D004C93"/>
    <w:rsid w:val="0D006A41"/>
    <w:rsid w:val="0D0268DB"/>
    <w:rsid w:val="0D04565D"/>
    <w:rsid w:val="0D091D9A"/>
    <w:rsid w:val="0D1129FD"/>
    <w:rsid w:val="0D1349C7"/>
    <w:rsid w:val="0D136775"/>
    <w:rsid w:val="0D1F15BD"/>
    <w:rsid w:val="0D222E5C"/>
    <w:rsid w:val="0D224C0A"/>
    <w:rsid w:val="0D260E6C"/>
    <w:rsid w:val="0D2B61B4"/>
    <w:rsid w:val="0D321A40"/>
    <w:rsid w:val="0D336E17"/>
    <w:rsid w:val="0D35493D"/>
    <w:rsid w:val="0D474670"/>
    <w:rsid w:val="0D49488C"/>
    <w:rsid w:val="0D5406C6"/>
    <w:rsid w:val="0D621C7D"/>
    <w:rsid w:val="0D6878F5"/>
    <w:rsid w:val="0D6A00A4"/>
    <w:rsid w:val="0D7B08CD"/>
    <w:rsid w:val="0D7D0092"/>
    <w:rsid w:val="0D7E4CA8"/>
    <w:rsid w:val="0D865199"/>
    <w:rsid w:val="0D9059D0"/>
    <w:rsid w:val="0D984ECC"/>
    <w:rsid w:val="0DA33F9D"/>
    <w:rsid w:val="0DA47D15"/>
    <w:rsid w:val="0DAA3634"/>
    <w:rsid w:val="0DB85669"/>
    <w:rsid w:val="0DC42165"/>
    <w:rsid w:val="0DCB5F30"/>
    <w:rsid w:val="0DDF2AFB"/>
    <w:rsid w:val="0DE270B5"/>
    <w:rsid w:val="0DE379F1"/>
    <w:rsid w:val="0DEE0F90"/>
    <w:rsid w:val="0DEF60E2"/>
    <w:rsid w:val="0DF465A6"/>
    <w:rsid w:val="0DFE6710"/>
    <w:rsid w:val="0E0013EF"/>
    <w:rsid w:val="0E06277D"/>
    <w:rsid w:val="0E06452B"/>
    <w:rsid w:val="0E130163"/>
    <w:rsid w:val="0E1327A4"/>
    <w:rsid w:val="0E1564E1"/>
    <w:rsid w:val="0E15651D"/>
    <w:rsid w:val="0E176739"/>
    <w:rsid w:val="0E1C297E"/>
    <w:rsid w:val="0E2B3F92"/>
    <w:rsid w:val="0E2D7D0A"/>
    <w:rsid w:val="0E2E7042"/>
    <w:rsid w:val="0E2F5830"/>
    <w:rsid w:val="0E497FFD"/>
    <w:rsid w:val="0E4C4E85"/>
    <w:rsid w:val="0E523C4C"/>
    <w:rsid w:val="0E547045"/>
    <w:rsid w:val="0E572004"/>
    <w:rsid w:val="0E572FD9"/>
    <w:rsid w:val="0E616A25"/>
    <w:rsid w:val="0E6F3FA6"/>
    <w:rsid w:val="0E73034D"/>
    <w:rsid w:val="0E7E2314"/>
    <w:rsid w:val="0E854AD2"/>
    <w:rsid w:val="0E883192"/>
    <w:rsid w:val="0E8C4A31"/>
    <w:rsid w:val="0E99589D"/>
    <w:rsid w:val="0EA115D7"/>
    <w:rsid w:val="0EA16A6C"/>
    <w:rsid w:val="0EA578A0"/>
    <w:rsid w:val="0EAA135B"/>
    <w:rsid w:val="0EBC4BEA"/>
    <w:rsid w:val="0EC16032"/>
    <w:rsid w:val="0EC33D9B"/>
    <w:rsid w:val="0EC34B7A"/>
    <w:rsid w:val="0EC87A33"/>
    <w:rsid w:val="0ED42D25"/>
    <w:rsid w:val="0ED618C0"/>
    <w:rsid w:val="0ED939EE"/>
    <w:rsid w:val="0EDE1004"/>
    <w:rsid w:val="0EE20AF5"/>
    <w:rsid w:val="0EEB7276"/>
    <w:rsid w:val="0EEE56EB"/>
    <w:rsid w:val="0EF40828"/>
    <w:rsid w:val="0EF97BEC"/>
    <w:rsid w:val="0EFE5203"/>
    <w:rsid w:val="0F0071CD"/>
    <w:rsid w:val="0F02756B"/>
    <w:rsid w:val="0F0F11BE"/>
    <w:rsid w:val="0F136F00"/>
    <w:rsid w:val="0F13775A"/>
    <w:rsid w:val="0F264E85"/>
    <w:rsid w:val="0F2904D1"/>
    <w:rsid w:val="0F2C7FC2"/>
    <w:rsid w:val="0F3043D7"/>
    <w:rsid w:val="0F36499C"/>
    <w:rsid w:val="0F39623B"/>
    <w:rsid w:val="0F44530B"/>
    <w:rsid w:val="0F4A0448"/>
    <w:rsid w:val="0F5372FC"/>
    <w:rsid w:val="0F5F45FE"/>
    <w:rsid w:val="0F646B34"/>
    <w:rsid w:val="0F64775C"/>
    <w:rsid w:val="0F6A299C"/>
    <w:rsid w:val="0F711E78"/>
    <w:rsid w:val="0F7B4AA5"/>
    <w:rsid w:val="0F8843D4"/>
    <w:rsid w:val="0F8D22CE"/>
    <w:rsid w:val="0F9242C9"/>
    <w:rsid w:val="0F967099"/>
    <w:rsid w:val="0F9A112B"/>
    <w:rsid w:val="0F9C5147"/>
    <w:rsid w:val="0FA22032"/>
    <w:rsid w:val="0FA967B3"/>
    <w:rsid w:val="0FAB538A"/>
    <w:rsid w:val="0FAE4E7B"/>
    <w:rsid w:val="0FB03D60"/>
    <w:rsid w:val="0FB51D65"/>
    <w:rsid w:val="0FCF6AA6"/>
    <w:rsid w:val="0FEB5787"/>
    <w:rsid w:val="0FED7751"/>
    <w:rsid w:val="0FF07241"/>
    <w:rsid w:val="0FF10824"/>
    <w:rsid w:val="0FF16C11"/>
    <w:rsid w:val="0FFA1E6E"/>
    <w:rsid w:val="100457AC"/>
    <w:rsid w:val="10104001"/>
    <w:rsid w:val="10134CDE"/>
    <w:rsid w:val="10152804"/>
    <w:rsid w:val="101747CE"/>
    <w:rsid w:val="10180173"/>
    <w:rsid w:val="101A606C"/>
    <w:rsid w:val="101C0036"/>
    <w:rsid w:val="102351BA"/>
    <w:rsid w:val="102869DB"/>
    <w:rsid w:val="102B0279"/>
    <w:rsid w:val="103220B9"/>
    <w:rsid w:val="10374E70"/>
    <w:rsid w:val="10390BE8"/>
    <w:rsid w:val="1041184B"/>
    <w:rsid w:val="10545A22"/>
    <w:rsid w:val="105E6990"/>
    <w:rsid w:val="106317C1"/>
    <w:rsid w:val="1066305F"/>
    <w:rsid w:val="10676034"/>
    <w:rsid w:val="106A0DA2"/>
    <w:rsid w:val="106D2F64"/>
    <w:rsid w:val="10763205"/>
    <w:rsid w:val="107B2FAF"/>
    <w:rsid w:val="107C0AD5"/>
    <w:rsid w:val="107E39A7"/>
    <w:rsid w:val="107F5BC6"/>
    <w:rsid w:val="10822D43"/>
    <w:rsid w:val="10835CF8"/>
    <w:rsid w:val="10851900"/>
    <w:rsid w:val="10A1053B"/>
    <w:rsid w:val="10AD0C8E"/>
    <w:rsid w:val="10B63710"/>
    <w:rsid w:val="10BB4615"/>
    <w:rsid w:val="10BD35C7"/>
    <w:rsid w:val="10BE10ED"/>
    <w:rsid w:val="10C5422A"/>
    <w:rsid w:val="10C77FA2"/>
    <w:rsid w:val="10CD67B3"/>
    <w:rsid w:val="10D3289C"/>
    <w:rsid w:val="10D74495"/>
    <w:rsid w:val="10E072B6"/>
    <w:rsid w:val="10E70644"/>
    <w:rsid w:val="10F10820"/>
    <w:rsid w:val="10FF1D02"/>
    <w:rsid w:val="110812BA"/>
    <w:rsid w:val="110A60E1"/>
    <w:rsid w:val="111222EB"/>
    <w:rsid w:val="111451B1"/>
    <w:rsid w:val="11162CD7"/>
    <w:rsid w:val="111B660E"/>
    <w:rsid w:val="111C2F7A"/>
    <w:rsid w:val="11203B56"/>
    <w:rsid w:val="11290C5D"/>
    <w:rsid w:val="112A22DF"/>
    <w:rsid w:val="11400440"/>
    <w:rsid w:val="11423ACC"/>
    <w:rsid w:val="114508F1"/>
    <w:rsid w:val="114E421F"/>
    <w:rsid w:val="114F415B"/>
    <w:rsid w:val="11551F3A"/>
    <w:rsid w:val="115964CE"/>
    <w:rsid w:val="115D26B4"/>
    <w:rsid w:val="11660B19"/>
    <w:rsid w:val="11665CA1"/>
    <w:rsid w:val="11680E76"/>
    <w:rsid w:val="116B3023"/>
    <w:rsid w:val="11776A7F"/>
    <w:rsid w:val="11776C44"/>
    <w:rsid w:val="117D68B3"/>
    <w:rsid w:val="118710AD"/>
    <w:rsid w:val="118916FB"/>
    <w:rsid w:val="118C11EC"/>
    <w:rsid w:val="11994F99"/>
    <w:rsid w:val="119A7465"/>
    <w:rsid w:val="119D0D03"/>
    <w:rsid w:val="11A8658A"/>
    <w:rsid w:val="11B211CD"/>
    <w:rsid w:val="11B83D8F"/>
    <w:rsid w:val="11B947A9"/>
    <w:rsid w:val="11C6290A"/>
    <w:rsid w:val="11C646FD"/>
    <w:rsid w:val="11C72224"/>
    <w:rsid w:val="11C91AF8"/>
    <w:rsid w:val="11D129B9"/>
    <w:rsid w:val="11DF131B"/>
    <w:rsid w:val="11DF7A0D"/>
    <w:rsid w:val="11E332CA"/>
    <w:rsid w:val="11F0177A"/>
    <w:rsid w:val="11F06E3F"/>
    <w:rsid w:val="11F254F3"/>
    <w:rsid w:val="11F3651A"/>
    <w:rsid w:val="11FD79F3"/>
    <w:rsid w:val="12015736"/>
    <w:rsid w:val="120174E4"/>
    <w:rsid w:val="1202500A"/>
    <w:rsid w:val="120D40DA"/>
    <w:rsid w:val="121C256F"/>
    <w:rsid w:val="12211934"/>
    <w:rsid w:val="1222745A"/>
    <w:rsid w:val="1229119D"/>
    <w:rsid w:val="12296A3A"/>
    <w:rsid w:val="123F000C"/>
    <w:rsid w:val="12654562"/>
    <w:rsid w:val="126A32DB"/>
    <w:rsid w:val="126B0E01"/>
    <w:rsid w:val="126D0EFD"/>
    <w:rsid w:val="126D2455"/>
    <w:rsid w:val="12714C11"/>
    <w:rsid w:val="12744159"/>
    <w:rsid w:val="12747CB6"/>
    <w:rsid w:val="12767E9C"/>
    <w:rsid w:val="127B1A69"/>
    <w:rsid w:val="127B52C0"/>
    <w:rsid w:val="12957C2C"/>
    <w:rsid w:val="12A52565"/>
    <w:rsid w:val="12A61E39"/>
    <w:rsid w:val="12A83E03"/>
    <w:rsid w:val="12AA36D7"/>
    <w:rsid w:val="12AD1419"/>
    <w:rsid w:val="12AF41F6"/>
    <w:rsid w:val="12C30C3D"/>
    <w:rsid w:val="12C50511"/>
    <w:rsid w:val="12C65A18"/>
    <w:rsid w:val="12D44BF8"/>
    <w:rsid w:val="12D90460"/>
    <w:rsid w:val="12DA1AE3"/>
    <w:rsid w:val="12E3308D"/>
    <w:rsid w:val="12E35F23"/>
    <w:rsid w:val="12E623FB"/>
    <w:rsid w:val="12EB0137"/>
    <w:rsid w:val="12F31522"/>
    <w:rsid w:val="12F72695"/>
    <w:rsid w:val="12FC7CAB"/>
    <w:rsid w:val="12FE29E5"/>
    <w:rsid w:val="12FE30C3"/>
    <w:rsid w:val="12FE3A23"/>
    <w:rsid w:val="13053004"/>
    <w:rsid w:val="13077E1C"/>
    <w:rsid w:val="13086650"/>
    <w:rsid w:val="13112701"/>
    <w:rsid w:val="131359A0"/>
    <w:rsid w:val="131739D8"/>
    <w:rsid w:val="131A7290"/>
    <w:rsid w:val="131B2827"/>
    <w:rsid w:val="132433B6"/>
    <w:rsid w:val="132578E1"/>
    <w:rsid w:val="13287EE9"/>
    <w:rsid w:val="13345697"/>
    <w:rsid w:val="13385187"/>
    <w:rsid w:val="13390EFF"/>
    <w:rsid w:val="13406F9B"/>
    <w:rsid w:val="13477178"/>
    <w:rsid w:val="13497394"/>
    <w:rsid w:val="134E6759"/>
    <w:rsid w:val="134F24D1"/>
    <w:rsid w:val="135536A2"/>
    <w:rsid w:val="135E2714"/>
    <w:rsid w:val="136046DE"/>
    <w:rsid w:val="13611A42"/>
    <w:rsid w:val="136202C9"/>
    <w:rsid w:val="13620456"/>
    <w:rsid w:val="136A730B"/>
    <w:rsid w:val="137361BF"/>
    <w:rsid w:val="13736869"/>
    <w:rsid w:val="13765D8D"/>
    <w:rsid w:val="13767A5D"/>
    <w:rsid w:val="13824654"/>
    <w:rsid w:val="1384217A"/>
    <w:rsid w:val="13854144"/>
    <w:rsid w:val="13857CA0"/>
    <w:rsid w:val="13872236"/>
    <w:rsid w:val="138875A9"/>
    <w:rsid w:val="138A175B"/>
    <w:rsid w:val="13904FC3"/>
    <w:rsid w:val="139119CD"/>
    <w:rsid w:val="13916645"/>
    <w:rsid w:val="13951726"/>
    <w:rsid w:val="13960100"/>
    <w:rsid w:val="139A49A5"/>
    <w:rsid w:val="139B74C4"/>
    <w:rsid w:val="139F6FB4"/>
    <w:rsid w:val="13A23D92"/>
    <w:rsid w:val="13A50343"/>
    <w:rsid w:val="13AC59E2"/>
    <w:rsid w:val="13B16CE7"/>
    <w:rsid w:val="13B660AC"/>
    <w:rsid w:val="13B67F82"/>
    <w:rsid w:val="13B8240A"/>
    <w:rsid w:val="13BA3984"/>
    <w:rsid w:val="13BB1914"/>
    <w:rsid w:val="13BD568C"/>
    <w:rsid w:val="13C407C9"/>
    <w:rsid w:val="13C42D7D"/>
    <w:rsid w:val="13CA1B57"/>
    <w:rsid w:val="13CA4518"/>
    <w:rsid w:val="13CE1647"/>
    <w:rsid w:val="13D44784"/>
    <w:rsid w:val="13D749A0"/>
    <w:rsid w:val="13DA1AF5"/>
    <w:rsid w:val="13DB3D64"/>
    <w:rsid w:val="13E0500F"/>
    <w:rsid w:val="13E40E6B"/>
    <w:rsid w:val="13E96481"/>
    <w:rsid w:val="13F217DA"/>
    <w:rsid w:val="13F4249E"/>
    <w:rsid w:val="13F57B6C"/>
    <w:rsid w:val="13FF3EF7"/>
    <w:rsid w:val="14046937"/>
    <w:rsid w:val="140A70D6"/>
    <w:rsid w:val="140B464A"/>
    <w:rsid w:val="14146123"/>
    <w:rsid w:val="141E1F94"/>
    <w:rsid w:val="14237BE5"/>
    <w:rsid w:val="14264FE0"/>
    <w:rsid w:val="142C24AE"/>
    <w:rsid w:val="142C45C0"/>
    <w:rsid w:val="14302302"/>
    <w:rsid w:val="14321BD6"/>
    <w:rsid w:val="14327E28"/>
    <w:rsid w:val="1437543F"/>
    <w:rsid w:val="14396509"/>
    <w:rsid w:val="14397409"/>
    <w:rsid w:val="143C2A55"/>
    <w:rsid w:val="14444B4F"/>
    <w:rsid w:val="14467430"/>
    <w:rsid w:val="144731A8"/>
    <w:rsid w:val="14593607"/>
    <w:rsid w:val="1464431F"/>
    <w:rsid w:val="146F2E2A"/>
    <w:rsid w:val="1477677F"/>
    <w:rsid w:val="147D20BD"/>
    <w:rsid w:val="14832432"/>
    <w:rsid w:val="14860174"/>
    <w:rsid w:val="148937C0"/>
    <w:rsid w:val="148B12E6"/>
    <w:rsid w:val="148F7029"/>
    <w:rsid w:val="14942891"/>
    <w:rsid w:val="149724C7"/>
    <w:rsid w:val="149840F4"/>
    <w:rsid w:val="149D101A"/>
    <w:rsid w:val="14AB7BDB"/>
    <w:rsid w:val="14B06F9F"/>
    <w:rsid w:val="14B22D17"/>
    <w:rsid w:val="14B46A8F"/>
    <w:rsid w:val="14D507B4"/>
    <w:rsid w:val="14D57F47"/>
    <w:rsid w:val="14D7452C"/>
    <w:rsid w:val="14DD2C3C"/>
    <w:rsid w:val="14E84F6F"/>
    <w:rsid w:val="14F11A91"/>
    <w:rsid w:val="14F47DCD"/>
    <w:rsid w:val="14F94EE6"/>
    <w:rsid w:val="15024CCA"/>
    <w:rsid w:val="150572EB"/>
    <w:rsid w:val="15063063"/>
    <w:rsid w:val="15113EE2"/>
    <w:rsid w:val="15121A08"/>
    <w:rsid w:val="151412DC"/>
    <w:rsid w:val="15204125"/>
    <w:rsid w:val="15244FBD"/>
    <w:rsid w:val="1528122B"/>
    <w:rsid w:val="152A0AFF"/>
    <w:rsid w:val="152A6D51"/>
    <w:rsid w:val="153951E6"/>
    <w:rsid w:val="154936B4"/>
    <w:rsid w:val="154A73F4"/>
    <w:rsid w:val="154E1128"/>
    <w:rsid w:val="15554245"/>
    <w:rsid w:val="155913E5"/>
    <w:rsid w:val="155D0ED5"/>
    <w:rsid w:val="155D7127"/>
    <w:rsid w:val="155E5DD1"/>
    <w:rsid w:val="15655FDB"/>
    <w:rsid w:val="15744470"/>
    <w:rsid w:val="157D3325"/>
    <w:rsid w:val="158521DA"/>
    <w:rsid w:val="159266A5"/>
    <w:rsid w:val="15931EDD"/>
    <w:rsid w:val="15966195"/>
    <w:rsid w:val="159E098C"/>
    <w:rsid w:val="159F32FE"/>
    <w:rsid w:val="15B42ABF"/>
    <w:rsid w:val="15C2342E"/>
    <w:rsid w:val="15C251DC"/>
    <w:rsid w:val="15C26F8A"/>
    <w:rsid w:val="15C4283C"/>
    <w:rsid w:val="15C56024"/>
    <w:rsid w:val="15C63646"/>
    <w:rsid w:val="15C9656A"/>
    <w:rsid w:val="15CE3B81"/>
    <w:rsid w:val="15CF16A7"/>
    <w:rsid w:val="15D63EB2"/>
    <w:rsid w:val="15E96C0C"/>
    <w:rsid w:val="15EC151A"/>
    <w:rsid w:val="15F335E7"/>
    <w:rsid w:val="15FA4976"/>
    <w:rsid w:val="15FD7FC2"/>
    <w:rsid w:val="16087E1D"/>
    <w:rsid w:val="160C6457"/>
    <w:rsid w:val="160F7CF5"/>
    <w:rsid w:val="16111CBF"/>
    <w:rsid w:val="16143C07"/>
    <w:rsid w:val="16143CE0"/>
    <w:rsid w:val="161677ED"/>
    <w:rsid w:val="162256F4"/>
    <w:rsid w:val="162C6AF9"/>
    <w:rsid w:val="163065E9"/>
    <w:rsid w:val="163360DA"/>
    <w:rsid w:val="16337E88"/>
    <w:rsid w:val="163C6D3C"/>
    <w:rsid w:val="16404278"/>
    <w:rsid w:val="1642216B"/>
    <w:rsid w:val="1642631D"/>
    <w:rsid w:val="16461969"/>
    <w:rsid w:val="16571DC8"/>
    <w:rsid w:val="1658169C"/>
    <w:rsid w:val="165D6CB3"/>
    <w:rsid w:val="16664E01"/>
    <w:rsid w:val="16683DD9"/>
    <w:rsid w:val="166B5873"/>
    <w:rsid w:val="16734728"/>
    <w:rsid w:val="167504A0"/>
    <w:rsid w:val="167669E7"/>
    <w:rsid w:val="167F30CD"/>
    <w:rsid w:val="1683496B"/>
    <w:rsid w:val="16924BAE"/>
    <w:rsid w:val="16944659"/>
    <w:rsid w:val="169E79F7"/>
    <w:rsid w:val="16A51196"/>
    <w:rsid w:val="16B17081"/>
    <w:rsid w:val="16B32D77"/>
    <w:rsid w:val="16B5089D"/>
    <w:rsid w:val="16C000E9"/>
    <w:rsid w:val="16CB4564"/>
    <w:rsid w:val="16CD208A"/>
    <w:rsid w:val="16CF5E02"/>
    <w:rsid w:val="16DB6AC8"/>
    <w:rsid w:val="16E178E4"/>
    <w:rsid w:val="16E5051E"/>
    <w:rsid w:val="16E81F41"/>
    <w:rsid w:val="16E82A20"/>
    <w:rsid w:val="16E96798"/>
    <w:rsid w:val="16EB0762"/>
    <w:rsid w:val="16EF3DAF"/>
    <w:rsid w:val="16F42A62"/>
    <w:rsid w:val="170535D2"/>
    <w:rsid w:val="170C1FCF"/>
    <w:rsid w:val="17101F77"/>
    <w:rsid w:val="17141A67"/>
    <w:rsid w:val="17171557"/>
    <w:rsid w:val="17171F34"/>
    <w:rsid w:val="171750B3"/>
    <w:rsid w:val="1719707D"/>
    <w:rsid w:val="171C2C06"/>
    <w:rsid w:val="1720040C"/>
    <w:rsid w:val="17233A58"/>
    <w:rsid w:val="17255A22"/>
    <w:rsid w:val="172C6BAA"/>
    <w:rsid w:val="17361246"/>
    <w:rsid w:val="173B3498"/>
    <w:rsid w:val="1740285C"/>
    <w:rsid w:val="174538B1"/>
    <w:rsid w:val="1749227A"/>
    <w:rsid w:val="174A36DB"/>
    <w:rsid w:val="174D6D27"/>
    <w:rsid w:val="174F6F43"/>
    <w:rsid w:val="17511CCE"/>
    <w:rsid w:val="17560D8A"/>
    <w:rsid w:val="176B016C"/>
    <w:rsid w:val="176C18A3"/>
    <w:rsid w:val="176D64DA"/>
    <w:rsid w:val="17701D14"/>
    <w:rsid w:val="17712A16"/>
    <w:rsid w:val="17716EB9"/>
    <w:rsid w:val="17735226"/>
    <w:rsid w:val="177B3894"/>
    <w:rsid w:val="177C760C"/>
    <w:rsid w:val="178C784F"/>
    <w:rsid w:val="178D2A7F"/>
    <w:rsid w:val="17920B68"/>
    <w:rsid w:val="17932364"/>
    <w:rsid w:val="17943760"/>
    <w:rsid w:val="179E7583"/>
    <w:rsid w:val="17A96819"/>
    <w:rsid w:val="17AF79E2"/>
    <w:rsid w:val="17BC7272"/>
    <w:rsid w:val="17C0536D"/>
    <w:rsid w:val="17C074F9"/>
    <w:rsid w:val="17C235B5"/>
    <w:rsid w:val="17C4348D"/>
    <w:rsid w:val="17CC38C7"/>
    <w:rsid w:val="17D35071"/>
    <w:rsid w:val="17D5725C"/>
    <w:rsid w:val="17D70034"/>
    <w:rsid w:val="17DD454F"/>
    <w:rsid w:val="17DF02C7"/>
    <w:rsid w:val="17E458DD"/>
    <w:rsid w:val="17F453F5"/>
    <w:rsid w:val="17F67DF4"/>
    <w:rsid w:val="17FC6DEB"/>
    <w:rsid w:val="17FF44C5"/>
    <w:rsid w:val="18047D2E"/>
    <w:rsid w:val="18057602"/>
    <w:rsid w:val="180C45E4"/>
    <w:rsid w:val="18117D55"/>
    <w:rsid w:val="18133ACD"/>
    <w:rsid w:val="18155A97"/>
    <w:rsid w:val="181F06C4"/>
    <w:rsid w:val="18220802"/>
    <w:rsid w:val="18243F2C"/>
    <w:rsid w:val="18320EF5"/>
    <w:rsid w:val="183521D4"/>
    <w:rsid w:val="183705FC"/>
    <w:rsid w:val="183A54FD"/>
    <w:rsid w:val="1840688C"/>
    <w:rsid w:val="1841740F"/>
    <w:rsid w:val="18420856"/>
    <w:rsid w:val="18486583"/>
    <w:rsid w:val="184C6FDF"/>
    <w:rsid w:val="185270BB"/>
    <w:rsid w:val="18550589"/>
    <w:rsid w:val="18567E5D"/>
    <w:rsid w:val="185760AF"/>
    <w:rsid w:val="186503F1"/>
    <w:rsid w:val="18673414"/>
    <w:rsid w:val="1869193F"/>
    <w:rsid w:val="18697B91"/>
    <w:rsid w:val="186B1C10"/>
    <w:rsid w:val="18700F1F"/>
    <w:rsid w:val="187741AB"/>
    <w:rsid w:val="187C78C4"/>
    <w:rsid w:val="187F73B4"/>
    <w:rsid w:val="18843663"/>
    <w:rsid w:val="188D6E9F"/>
    <w:rsid w:val="188E3A9B"/>
    <w:rsid w:val="189664AC"/>
    <w:rsid w:val="189E3CDE"/>
    <w:rsid w:val="189F624C"/>
    <w:rsid w:val="18A1557C"/>
    <w:rsid w:val="18A172A7"/>
    <w:rsid w:val="18A63700"/>
    <w:rsid w:val="18AA4B64"/>
    <w:rsid w:val="18B20944"/>
    <w:rsid w:val="18B232E6"/>
    <w:rsid w:val="18B352B0"/>
    <w:rsid w:val="18B828C6"/>
    <w:rsid w:val="18BF3984"/>
    <w:rsid w:val="18D21BDA"/>
    <w:rsid w:val="18D56FD4"/>
    <w:rsid w:val="18DC39CB"/>
    <w:rsid w:val="18DF60A5"/>
    <w:rsid w:val="18E11E1D"/>
    <w:rsid w:val="18E27627"/>
    <w:rsid w:val="18E33BE7"/>
    <w:rsid w:val="18E71F41"/>
    <w:rsid w:val="18E72FF6"/>
    <w:rsid w:val="18EA7615"/>
    <w:rsid w:val="18EE0096"/>
    <w:rsid w:val="18F13E8A"/>
    <w:rsid w:val="18FA6A3B"/>
    <w:rsid w:val="18FE1783"/>
    <w:rsid w:val="19053D5D"/>
    <w:rsid w:val="190D20F6"/>
    <w:rsid w:val="190F698A"/>
    <w:rsid w:val="191541EF"/>
    <w:rsid w:val="191A0E8B"/>
    <w:rsid w:val="191A70DD"/>
    <w:rsid w:val="191C10A7"/>
    <w:rsid w:val="19202945"/>
    <w:rsid w:val="19263CD4"/>
    <w:rsid w:val="1927569A"/>
    <w:rsid w:val="19287A4C"/>
    <w:rsid w:val="19353F17"/>
    <w:rsid w:val="19404D95"/>
    <w:rsid w:val="194A79C2"/>
    <w:rsid w:val="194B373A"/>
    <w:rsid w:val="194C2F77"/>
    <w:rsid w:val="194D1260"/>
    <w:rsid w:val="19573E8D"/>
    <w:rsid w:val="195922F3"/>
    <w:rsid w:val="195B3775"/>
    <w:rsid w:val="196071E6"/>
    <w:rsid w:val="19670574"/>
    <w:rsid w:val="19682FB3"/>
    <w:rsid w:val="196C4191"/>
    <w:rsid w:val="196F7429"/>
    <w:rsid w:val="197131A1"/>
    <w:rsid w:val="19744A3F"/>
    <w:rsid w:val="1977452F"/>
    <w:rsid w:val="197D7D98"/>
    <w:rsid w:val="197E141A"/>
    <w:rsid w:val="197E74EA"/>
    <w:rsid w:val="1989562C"/>
    <w:rsid w:val="198A4263"/>
    <w:rsid w:val="198C189C"/>
    <w:rsid w:val="199155F1"/>
    <w:rsid w:val="199E7D0E"/>
    <w:rsid w:val="199F03C8"/>
    <w:rsid w:val="19A05834"/>
    <w:rsid w:val="19A25A77"/>
    <w:rsid w:val="19A5109C"/>
    <w:rsid w:val="19A90B8D"/>
    <w:rsid w:val="19AA220F"/>
    <w:rsid w:val="19AA66B3"/>
    <w:rsid w:val="19B17A41"/>
    <w:rsid w:val="19B25567"/>
    <w:rsid w:val="19BE21E6"/>
    <w:rsid w:val="19C22870"/>
    <w:rsid w:val="19C84D8B"/>
    <w:rsid w:val="19CA28B1"/>
    <w:rsid w:val="19D159ED"/>
    <w:rsid w:val="19D44C57"/>
    <w:rsid w:val="19D90D46"/>
    <w:rsid w:val="19DB4ABE"/>
    <w:rsid w:val="19E23181"/>
    <w:rsid w:val="19EF056A"/>
    <w:rsid w:val="19EF40C6"/>
    <w:rsid w:val="19F3005A"/>
    <w:rsid w:val="19F44DAE"/>
    <w:rsid w:val="19F56827"/>
    <w:rsid w:val="19F93196"/>
    <w:rsid w:val="1A0538E9"/>
    <w:rsid w:val="1A081BBA"/>
    <w:rsid w:val="1A0A53A3"/>
    <w:rsid w:val="1A0F4768"/>
    <w:rsid w:val="1A134258"/>
    <w:rsid w:val="1A165D41"/>
    <w:rsid w:val="1A1B4EBB"/>
    <w:rsid w:val="1A1C66C0"/>
    <w:rsid w:val="1A2024D1"/>
    <w:rsid w:val="1A234C7E"/>
    <w:rsid w:val="1A404921"/>
    <w:rsid w:val="1A42393B"/>
    <w:rsid w:val="1A4717ED"/>
    <w:rsid w:val="1A50725A"/>
    <w:rsid w:val="1A5B746C"/>
    <w:rsid w:val="1A5D54D3"/>
    <w:rsid w:val="1A5F124B"/>
    <w:rsid w:val="1A682A38"/>
    <w:rsid w:val="1A6E4F9F"/>
    <w:rsid w:val="1A7171D0"/>
    <w:rsid w:val="1A7237CD"/>
    <w:rsid w:val="1A750A6F"/>
    <w:rsid w:val="1A75281D"/>
    <w:rsid w:val="1A772A39"/>
    <w:rsid w:val="1A781FD9"/>
    <w:rsid w:val="1A7840BB"/>
    <w:rsid w:val="1A7A6085"/>
    <w:rsid w:val="1A7B1DFD"/>
    <w:rsid w:val="1A7F5449"/>
    <w:rsid w:val="1A8213DE"/>
    <w:rsid w:val="1A864A2A"/>
    <w:rsid w:val="1A8C5DB8"/>
    <w:rsid w:val="1A8E38DF"/>
    <w:rsid w:val="1A9058A9"/>
    <w:rsid w:val="1A930EF5"/>
    <w:rsid w:val="1A940F8C"/>
    <w:rsid w:val="1A964589"/>
    <w:rsid w:val="1A9A2283"/>
    <w:rsid w:val="1A9F5AEC"/>
    <w:rsid w:val="1AA03612"/>
    <w:rsid w:val="1AA720EF"/>
    <w:rsid w:val="1AAB436E"/>
    <w:rsid w:val="1AAD45DE"/>
    <w:rsid w:val="1AAD645B"/>
    <w:rsid w:val="1AAE5D2F"/>
    <w:rsid w:val="1AB01AA7"/>
    <w:rsid w:val="1AC6159A"/>
    <w:rsid w:val="1AC80779"/>
    <w:rsid w:val="1ACE1454"/>
    <w:rsid w:val="1AD25EC1"/>
    <w:rsid w:val="1AD429A9"/>
    <w:rsid w:val="1ADA2FC8"/>
    <w:rsid w:val="1ADA4D76"/>
    <w:rsid w:val="1ADC289C"/>
    <w:rsid w:val="1ADC6D40"/>
    <w:rsid w:val="1AE10AB6"/>
    <w:rsid w:val="1AE31C06"/>
    <w:rsid w:val="1AE6196C"/>
    <w:rsid w:val="1AF220BF"/>
    <w:rsid w:val="1AF23363"/>
    <w:rsid w:val="1AF23E6D"/>
    <w:rsid w:val="1AF35E37"/>
    <w:rsid w:val="1AF36070"/>
    <w:rsid w:val="1B0342CC"/>
    <w:rsid w:val="1B046F80"/>
    <w:rsid w:val="1B09565B"/>
    <w:rsid w:val="1B0A58DA"/>
    <w:rsid w:val="1B154000"/>
    <w:rsid w:val="1B1738D4"/>
    <w:rsid w:val="1B1744EA"/>
    <w:rsid w:val="1B1D4C62"/>
    <w:rsid w:val="1B216501"/>
    <w:rsid w:val="1B2B2047"/>
    <w:rsid w:val="1B300E3A"/>
    <w:rsid w:val="1B302BE8"/>
    <w:rsid w:val="1B323FFD"/>
    <w:rsid w:val="1B324BB2"/>
    <w:rsid w:val="1B3267B5"/>
    <w:rsid w:val="1B351FAC"/>
    <w:rsid w:val="1B3767AB"/>
    <w:rsid w:val="1B3F2E2B"/>
    <w:rsid w:val="1B40161D"/>
    <w:rsid w:val="1B405118"/>
    <w:rsid w:val="1B414DF5"/>
    <w:rsid w:val="1B4346C9"/>
    <w:rsid w:val="1B441859"/>
    <w:rsid w:val="1B487F31"/>
    <w:rsid w:val="1B506DE6"/>
    <w:rsid w:val="1B5313AC"/>
    <w:rsid w:val="1B5E7755"/>
    <w:rsid w:val="1B6066F9"/>
    <w:rsid w:val="1B6606B1"/>
    <w:rsid w:val="1B6805D3"/>
    <w:rsid w:val="1B697EA8"/>
    <w:rsid w:val="1B6F54BE"/>
    <w:rsid w:val="1B721452"/>
    <w:rsid w:val="1B7E1BA5"/>
    <w:rsid w:val="1B7E7DF7"/>
    <w:rsid w:val="1B841BB3"/>
    <w:rsid w:val="1B8D003A"/>
    <w:rsid w:val="1B972C67"/>
    <w:rsid w:val="1B9A3A2C"/>
    <w:rsid w:val="1BA55384"/>
    <w:rsid w:val="1BAB61F4"/>
    <w:rsid w:val="1BC06F9C"/>
    <w:rsid w:val="1BC11A92"/>
    <w:rsid w:val="1BD87507"/>
    <w:rsid w:val="1BDE0896"/>
    <w:rsid w:val="1BE74EB1"/>
    <w:rsid w:val="1BE87035"/>
    <w:rsid w:val="1BE91714"/>
    <w:rsid w:val="1BEF4261"/>
    <w:rsid w:val="1BF177FF"/>
    <w:rsid w:val="1BF754B3"/>
    <w:rsid w:val="1BFD0D1C"/>
    <w:rsid w:val="1C055E22"/>
    <w:rsid w:val="1C071B9A"/>
    <w:rsid w:val="1C146065"/>
    <w:rsid w:val="1C164F14"/>
    <w:rsid w:val="1C202C5C"/>
    <w:rsid w:val="1C2362A8"/>
    <w:rsid w:val="1C2838BF"/>
    <w:rsid w:val="1C2D074A"/>
    <w:rsid w:val="1C2D7127"/>
    <w:rsid w:val="1C331E56"/>
    <w:rsid w:val="1C365FDC"/>
    <w:rsid w:val="1C427076"/>
    <w:rsid w:val="1C4A5F2B"/>
    <w:rsid w:val="1C4B24C6"/>
    <w:rsid w:val="1C5823F6"/>
    <w:rsid w:val="1C5D7521"/>
    <w:rsid w:val="1C5E7925"/>
    <w:rsid w:val="1C60574F"/>
    <w:rsid w:val="1C6D04B9"/>
    <w:rsid w:val="1C7275E5"/>
    <w:rsid w:val="1C7F3E27"/>
    <w:rsid w:val="1C8256C5"/>
    <w:rsid w:val="1C84143D"/>
    <w:rsid w:val="1C8570AB"/>
    <w:rsid w:val="1C874A89"/>
    <w:rsid w:val="1C8C06EF"/>
    <w:rsid w:val="1C901B90"/>
    <w:rsid w:val="1C9D24FF"/>
    <w:rsid w:val="1C9F3520"/>
    <w:rsid w:val="1CA4788F"/>
    <w:rsid w:val="1CA90EA4"/>
    <w:rsid w:val="1CA92C52"/>
    <w:rsid w:val="1CAB69CA"/>
    <w:rsid w:val="1CB3587E"/>
    <w:rsid w:val="1CBA09BB"/>
    <w:rsid w:val="1CBF1617"/>
    <w:rsid w:val="1CBF4223"/>
    <w:rsid w:val="1CC25AC1"/>
    <w:rsid w:val="1CC57360"/>
    <w:rsid w:val="1CC61A56"/>
    <w:rsid w:val="1CC7132A"/>
    <w:rsid w:val="1CC954E3"/>
    <w:rsid w:val="1CD37CCF"/>
    <w:rsid w:val="1CD64FCE"/>
    <w:rsid w:val="1CDF48C5"/>
    <w:rsid w:val="1CE75528"/>
    <w:rsid w:val="1CEC0D90"/>
    <w:rsid w:val="1CF66653"/>
    <w:rsid w:val="1CF85987"/>
    <w:rsid w:val="1CF9709D"/>
    <w:rsid w:val="1CFD070F"/>
    <w:rsid w:val="1CFD4F9F"/>
    <w:rsid w:val="1CFE11EF"/>
    <w:rsid w:val="1CFF6D16"/>
    <w:rsid w:val="1D022362"/>
    <w:rsid w:val="1D0A0FEB"/>
    <w:rsid w:val="1D0B7468"/>
    <w:rsid w:val="1D0E0D07"/>
    <w:rsid w:val="1D0E227F"/>
    <w:rsid w:val="1D0F659E"/>
    <w:rsid w:val="1D104A7F"/>
    <w:rsid w:val="1D214EDE"/>
    <w:rsid w:val="1D2B7B0B"/>
    <w:rsid w:val="1D2E56D2"/>
    <w:rsid w:val="1D3369BF"/>
    <w:rsid w:val="1D3A5FA0"/>
    <w:rsid w:val="1D484219"/>
    <w:rsid w:val="1D4A647E"/>
    <w:rsid w:val="1D540E0F"/>
    <w:rsid w:val="1D556936"/>
    <w:rsid w:val="1D563F66"/>
    <w:rsid w:val="1D5744D2"/>
    <w:rsid w:val="1D596426"/>
    <w:rsid w:val="1D5F6196"/>
    <w:rsid w:val="1D5F77B4"/>
    <w:rsid w:val="1D607160"/>
    <w:rsid w:val="1D6132A5"/>
    <w:rsid w:val="1D644A45"/>
    <w:rsid w:val="1D647FA4"/>
    <w:rsid w:val="1D686669"/>
    <w:rsid w:val="1D6C2F59"/>
    <w:rsid w:val="1D6F55A4"/>
    <w:rsid w:val="1D721AFA"/>
    <w:rsid w:val="1D7248B0"/>
    <w:rsid w:val="1D752B34"/>
    <w:rsid w:val="1D792624"/>
    <w:rsid w:val="1D83660F"/>
    <w:rsid w:val="1D84222A"/>
    <w:rsid w:val="1D886D0B"/>
    <w:rsid w:val="1D8B67FB"/>
    <w:rsid w:val="1D8E56D5"/>
    <w:rsid w:val="1D90796E"/>
    <w:rsid w:val="1D970CFC"/>
    <w:rsid w:val="1D992CC6"/>
    <w:rsid w:val="1D9E208B"/>
    <w:rsid w:val="1DAC0C4B"/>
    <w:rsid w:val="1DAF24EA"/>
    <w:rsid w:val="1DB31AB9"/>
    <w:rsid w:val="1DB7314C"/>
    <w:rsid w:val="1DB93368"/>
    <w:rsid w:val="1DC67833"/>
    <w:rsid w:val="1DCB6BF8"/>
    <w:rsid w:val="1DCD2970"/>
    <w:rsid w:val="1DCF66E8"/>
    <w:rsid w:val="1DD44A27"/>
    <w:rsid w:val="1DDB0DE6"/>
    <w:rsid w:val="1DDC0D5E"/>
    <w:rsid w:val="1DE1641B"/>
    <w:rsid w:val="1DE57CB9"/>
    <w:rsid w:val="1DF0665E"/>
    <w:rsid w:val="1DF148B0"/>
    <w:rsid w:val="1DF20628"/>
    <w:rsid w:val="1E01086B"/>
    <w:rsid w:val="1E012619"/>
    <w:rsid w:val="1E027AA5"/>
    <w:rsid w:val="1E0C7463"/>
    <w:rsid w:val="1E116D00"/>
    <w:rsid w:val="1E1660C5"/>
    <w:rsid w:val="1E171E3D"/>
    <w:rsid w:val="1E197963"/>
    <w:rsid w:val="1E1B0ACD"/>
    <w:rsid w:val="1E1B36DB"/>
    <w:rsid w:val="1E1D38F7"/>
    <w:rsid w:val="1E220F0E"/>
    <w:rsid w:val="1E222CBC"/>
    <w:rsid w:val="1E285DF8"/>
    <w:rsid w:val="1E29229C"/>
    <w:rsid w:val="1E2B1468"/>
    <w:rsid w:val="1E2C58E8"/>
    <w:rsid w:val="1E3866E4"/>
    <w:rsid w:val="1E391DB3"/>
    <w:rsid w:val="1E3D7AF5"/>
    <w:rsid w:val="1E3E386E"/>
    <w:rsid w:val="1E450758"/>
    <w:rsid w:val="1E506594"/>
    <w:rsid w:val="1E5B61CE"/>
    <w:rsid w:val="1E635082"/>
    <w:rsid w:val="1E65391E"/>
    <w:rsid w:val="1E6763A6"/>
    <w:rsid w:val="1E696B3C"/>
    <w:rsid w:val="1E6E5F01"/>
    <w:rsid w:val="1E71779F"/>
    <w:rsid w:val="1E727D04"/>
    <w:rsid w:val="1E7A43DA"/>
    <w:rsid w:val="1E8079E2"/>
    <w:rsid w:val="1E8474D2"/>
    <w:rsid w:val="1E863715"/>
    <w:rsid w:val="1E876FC3"/>
    <w:rsid w:val="1E9272C9"/>
    <w:rsid w:val="1E937E91"/>
    <w:rsid w:val="1E952638"/>
    <w:rsid w:val="1E982F7E"/>
    <w:rsid w:val="1E9D4401"/>
    <w:rsid w:val="1EA062D6"/>
    <w:rsid w:val="1EA23DFC"/>
    <w:rsid w:val="1EAF1BF2"/>
    <w:rsid w:val="1EB27D68"/>
    <w:rsid w:val="1EB51D82"/>
    <w:rsid w:val="1EBD29E4"/>
    <w:rsid w:val="1EBD4792"/>
    <w:rsid w:val="1EC024D4"/>
    <w:rsid w:val="1EC04283"/>
    <w:rsid w:val="1EC21DA9"/>
    <w:rsid w:val="1EC51FA9"/>
    <w:rsid w:val="1ECD7650"/>
    <w:rsid w:val="1ED16490"/>
    <w:rsid w:val="1ED57D2E"/>
    <w:rsid w:val="1EDA5AE4"/>
    <w:rsid w:val="1EDC0675"/>
    <w:rsid w:val="1EE2244B"/>
    <w:rsid w:val="1EE44415"/>
    <w:rsid w:val="1EE7180F"/>
    <w:rsid w:val="1EE77A61"/>
    <w:rsid w:val="1EF02DBA"/>
    <w:rsid w:val="1EF74148"/>
    <w:rsid w:val="1EFE1EA7"/>
    <w:rsid w:val="1F0423C1"/>
    <w:rsid w:val="1F106FB8"/>
    <w:rsid w:val="1F1B770B"/>
    <w:rsid w:val="1F242A63"/>
    <w:rsid w:val="1F253D80"/>
    <w:rsid w:val="1F254C93"/>
    <w:rsid w:val="1F274302"/>
    <w:rsid w:val="1F2E38E2"/>
    <w:rsid w:val="1F3A4035"/>
    <w:rsid w:val="1F3C1B5B"/>
    <w:rsid w:val="1F444EB4"/>
    <w:rsid w:val="1F446C62"/>
    <w:rsid w:val="1F4629DA"/>
    <w:rsid w:val="1F486752"/>
    <w:rsid w:val="1F4924CA"/>
    <w:rsid w:val="1F4D1FBA"/>
    <w:rsid w:val="1F4E188E"/>
    <w:rsid w:val="1F5868BE"/>
    <w:rsid w:val="1F5E5F75"/>
    <w:rsid w:val="1F617814"/>
    <w:rsid w:val="1F650D16"/>
    <w:rsid w:val="1F680BA2"/>
    <w:rsid w:val="1F6E1F30"/>
    <w:rsid w:val="1F792DAF"/>
    <w:rsid w:val="1F8571F6"/>
    <w:rsid w:val="1F8B2AE2"/>
    <w:rsid w:val="1F8D5C4D"/>
    <w:rsid w:val="1F923E32"/>
    <w:rsid w:val="1F9A2D26"/>
    <w:rsid w:val="1FA11F9A"/>
    <w:rsid w:val="1FAB5903"/>
    <w:rsid w:val="1FAC799E"/>
    <w:rsid w:val="1FAE057F"/>
    <w:rsid w:val="1FB0593E"/>
    <w:rsid w:val="1FB57B5F"/>
    <w:rsid w:val="1FBE6A14"/>
    <w:rsid w:val="1FC41B50"/>
    <w:rsid w:val="1FC45C98"/>
    <w:rsid w:val="1FC9789E"/>
    <w:rsid w:val="1FCB46CB"/>
    <w:rsid w:val="1FD61FB0"/>
    <w:rsid w:val="1FDC333E"/>
    <w:rsid w:val="1FE168F0"/>
    <w:rsid w:val="1FE346CD"/>
    <w:rsid w:val="1FE7539E"/>
    <w:rsid w:val="1FF16DE9"/>
    <w:rsid w:val="1FF95C9E"/>
    <w:rsid w:val="1FFB1A16"/>
    <w:rsid w:val="1FFC62A9"/>
    <w:rsid w:val="20020FF7"/>
    <w:rsid w:val="2007660D"/>
    <w:rsid w:val="200A1C59"/>
    <w:rsid w:val="200C59D1"/>
    <w:rsid w:val="200D34F7"/>
    <w:rsid w:val="201B5C14"/>
    <w:rsid w:val="201E53AF"/>
    <w:rsid w:val="201E74B3"/>
    <w:rsid w:val="20270A5D"/>
    <w:rsid w:val="203B62B7"/>
    <w:rsid w:val="203F05A4"/>
    <w:rsid w:val="20452C91"/>
    <w:rsid w:val="204A2F8F"/>
    <w:rsid w:val="204D7E4C"/>
    <w:rsid w:val="20515FAD"/>
    <w:rsid w:val="205253AE"/>
    <w:rsid w:val="20564E9E"/>
    <w:rsid w:val="205E3D53"/>
    <w:rsid w:val="205F182C"/>
    <w:rsid w:val="20671BE0"/>
    <w:rsid w:val="207D7F93"/>
    <w:rsid w:val="20803CC9"/>
    <w:rsid w:val="208337BA"/>
    <w:rsid w:val="208D63E6"/>
    <w:rsid w:val="209073A9"/>
    <w:rsid w:val="209239FD"/>
    <w:rsid w:val="209459C7"/>
    <w:rsid w:val="20963CB8"/>
    <w:rsid w:val="20967991"/>
    <w:rsid w:val="209854B7"/>
    <w:rsid w:val="209D5890"/>
    <w:rsid w:val="209E05F3"/>
    <w:rsid w:val="20A148D7"/>
    <w:rsid w:val="20A57BD4"/>
    <w:rsid w:val="20A81A1B"/>
    <w:rsid w:val="20AA6F98"/>
    <w:rsid w:val="20B07FB6"/>
    <w:rsid w:val="20B24A5D"/>
    <w:rsid w:val="20B3409F"/>
    <w:rsid w:val="20B571F0"/>
    <w:rsid w:val="20B646FB"/>
    <w:rsid w:val="20BC4845"/>
    <w:rsid w:val="20C067BC"/>
    <w:rsid w:val="20C55B80"/>
    <w:rsid w:val="20CE712B"/>
    <w:rsid w:val="20D14525"/>
    <w:rsid w:val="20DB6A36"/>
    <w:rsid w:val="20DC294F"/>
    <w:rsid w:val="20E00C0C"/>
    <w:rsid w:val="20E14509"/>
    <w:rsid w:val="20E424AA"/>
    <w:rsid w:val="20E53804"/>
    <w:rsid w:val="20E57FD0"/>
    <w:rsid w:val="20EE3329"/>
    <w:rsid w:val="20FE7C24"/>
    <w:rsid w:val="2107263D"/>
    <w:rsid w:val="21076540"/>
    <w:rsid w:val="210C7C53"/>
    <w:rsid w:val="211865F8"/>
    <w:rsid w:val="21354AB4"/>
    <w:rsid w:val="213934C6"/>
    <w:rsid w:val="213B74B1"/>
    <w:rsid w:val="215A2310"/>
    <w:rsid w:val="216E6218"/>
    <w:rsid w:val="21747CD2"/>
    <w:rsid w:val="2177331E"/>
    <w:rsid w:val="217A4BBD"/>
    <w:rsid w:val="217D0186"/>
    <w:rsid w:val="218417FB"/>
    <w:rsid w:val="218477E9"/>
    <w:rsid w:val="219C0FD7"/>
    <w:rsid w:val="21A659B2"/>
    <w:rsid w:val="21A734D8"/>
    <w:rsid w:val="21A8172A"/>
    <w:rsid w:val="21AB121A"/>
    <w:rsid w:val="21B20902"/>
    <w:rsid w:val="21BB5DB6"/>
    <w:rsid w:val="21C45A24"/>
    <w:rsid w:val="21CB5418"/>
    <w:rsid w:val="21D369EC"/>
    <w:rsid w:val="21D56297"/>
    <w:rsid w:val="21DA1AFF"/>
    <w:rsid w:val="21DB2A55"/>
    <w:rsid w:val="21DE318A"/>
    <w:rsid w:val="21DE7BE5"/>
    <w:rsid w:val="21E93AF0"/>
    <w:rsid w:val="21EF5B80"/>
    <w:rsid w:val="21EF6C3A"/>
    <w:rsid w:val="21F4496F"/>
    <w:rsid w:val="21F4671D"/>
    <w:rsid w:val="21F506E7"/>
    <w:rsid w:val="21F91F85"/>
    <w:rsid w:val="21F93D33"/>
    <w:rsid w:val="21FB3F4F"/>
    <w:rsid w:val="22040351"/>
    <w:rsid w:val="2205092A"/>
    <w:rsid w:val="22062EC5"/>
    <w:rsid w:val="2208666C"/>
    <w:rsid w:val="220C6457"/>
    <w:rsid w:val="220F17A9"/>
    <w:rsid w:val="221265AE"/>
    <w:rsid w:val="22146DBF"/>
    <w:rsid w:val="2222770D"/>
    <w:rsid w:val="222D3FA5"/>
    <w:rsid w:val="2233697D"/>
    <w:rsid w:val="22356D36"/>
    <w:rsid w:val="223631D9"/>
    <w:rsid w:val="223C5847"/>
    <w:rsid w:val="223C6316"/>
    <w:rsid w:val="22484CBB"/>
    <w:rsid w:val="224F7DF7"/>
    <w:rsid w:val="22511DC1"/>
    <w:rsid w:val="22521696"/>
    <w:rsid w:val="22561186"/>
    <w:rsid w:val="22576990"/>
    <w:rsid w:val="225B49EE"/>
    <w:rsid w:val="225C2514"/>
    <w:rsid w:val="225D47AC"/>
    <w:rsid w:val="22673393"/>
    <w:rsid w:val="226A4C31"/>
    <w:rsid w:val="22715FC0"/>
    <w:rsid w:val="227C4964"/>
    <w:rsid w:val="22804455"/>
    <w:rsid w:val="22837AA1"/>
    <w:rsid w:val="22931916"/>
    <w:rsid w:val="229879F0"/>
    <w:rsid w:val="22A239F7"/>
    <w:rsid w:val="22AA14D2"/>
    <w:rsid w:val="22AF4D3A"/>
    <w:rsid w:val="22C2681B"/>
    <w:rsid w:val="22CB0C23"/>
    <w:rsid w:val="22CF718A"/>
    <w:rsid w:val="22DB6D9F"/>
    <w:rsid w:val="22DF73CD"/>
    <w:rsid w:val="22EE5862"/>
    <w:rsid w:val="22EE7610"/>
    <w:rsid w:val="22F47480"/>
    <w:rsid w:val="22F96AE9"/>
    <w:rsid w:val="23016E45"/>
    <w:rsid w:val="23045086"/>
    <w:rsid w:val="23074377"/>
    <w:rsid w:val="231921B3"/>
    <w:rsid w:val="231F3C6E"/>
    <w:rsid w:val="232079E6"/>
    <w:rsid w:val="2324077C"/>
    <w:rsid w:val="23276340"/>
    <w:rsid w:val="23294AEC"/>
    <w:rsid w:val="232E0476"/>
    <w:rsid w:val="232E5C5F"/>
    <w:rsid w:val="233D1B3B"/>
    <w:rsid w:val="23445482"/>
    <w:rsid w:val="234611FA"/>
    <w:rsid w:val="2346744C"/>
    <w:rsid w:val="234B6811"/>
    <w:rsid w:val="235558E1"/>
    <w:rsid w:val="235A5D2F"/>
    <w:rsid w:val="23602733"/>
    <w:rsid w:val="23607DE2"/>
    <w:rsid w:val="236857C8"/>
    <w:rsid w:val="236D2C2B"/>
    <w:rsid w:val="236F3DD0"/>
    <w:rsid w:val="23745D6E"/>
    <w:rsid w:val="23753F08"/>
    <w:rsid w:val="237C7280"/>
    <w:rsid w:val="237D2742"/>
    <w:rsid w:val="23841D23"/>
    <w:rsid w:val="238B30B1"/>
    <w:rsid w:val="239A7798"/>
    <w:rsid w:val="239B44D1"/>
    <w:rsid w:val="23A508FC"/>
    <w:rsid w:val="23A81EB5"/>
    <w:rsid w:val="23B048C6"/>
    <w:rsid w:val="23B819CC"/>
    <w:rsid w:val="23B95E70"/>
    <w:rsid w:val="23C13C0E"/>
    <w:rsid w:val="23CD5478"/>
    <w:rsid w:val="23D06D16"/>
    <w:rsid w:val="23D43CA0"/>
    <w:rsid w:val="23DE1C48"/>
    <w:rsid w:val="23DF7814"/>
    <w:rsid w:val="23E40A13"/>
    <w:rsid w:val="24010BD9"/>
    <w:rsid w:val="240210CD"/>
    <w:rsid w:val="24030E99"/>
    <w:rsid w:val="240370EB"/>
    <w:rsid w:val="24043506"/>
    <w:rsid w:val="24174945"/>
    <w:rsid w:val="2418071C"/>
    <w:rsid w:val="24183F9D"/>
    <w:rsid w:val="241A75B5"/>
    <w:rsid w:val="241E3F25"/>
    <w:rsid w:val="24212F0F"/>
    <w:rsid w:val="2423778D"/>
    <w:rsid w:val="24247062"/>
    <w:rsid w:val="2426102C"/>
    <w:rsid w:val="242A0B1C"/>
    <w:rsid w:val="24311371"/>
    <w:rsid w:val="243C43AB"/>
    <w:rsid w:val="24422247"/>
    <w:rsid w:val="244A4D1A"/>
    <w:rsid w:val="244F2331"/>
    <w:rsid w:val="245416F5"/>
    <w:rsid w:val="245636BF"/>
    <w:rsid w:val="245B6F27"/>
    <w:rsid w:val="2466767A"/>
    <w:rsid w:val="246B4C91"/>
    <w:rsid w:val="246D0A09"/>
    <w:rsid w:val="247E6772"/>
    <w:rsid w:val="24831FDA"/>
    <w:rsid w:val="248769D9"/>
    <w:rsid w:val="24885842"/>
    <w:rsid w:val="248D10AB"/>
    <w:rsid w:val="24985382"/>
    <w:rsid w:val="249D12EE"/>
    <w:rsid w:val="249E0BC2"/>
    <w:rsid w:val="24A3442A"/>
    <w:rsid w:val="24A64188"/>
    <w:rsid w:val="24B553FE"/>
    <w:rsid w:val="24B6415E"/>
    <w:rsid w:val="24B85AC3"/>
    <w:rsid w:val="24BD026E"/>
    <w:rsid w:val="24BE3012"/>
    <w:rsid w:val="24BF09F7"/>
    <w:rsid w:val="24C0322E"/>
    <w:rsid w:val="24C70119"/>
    <w:rsid w:val="24C83E91"/>
    <w:rsid w:val="24CC572F"/>
    <w:rsid w:val="24D44C08"/>
    <w:rsid w:val="24DC2658"/>
    <w:rsid w:val="24E12BB6"/>
    <w:rsid w:val="24F20F0E"/>
    <w:rsid w:val="24F609FE"/>
    <w:rsid w:val="24F627AC"/>
    <w:rsid w:val="24FF0B87"/>
    <w:rsid w:val="24FF3D57"/>
    <w:rsid w:val="25164BFC"/>
    <w:rsid w:val="2524556B"/>
    <w:rsid w:val="252518AF"/>
    <w:rsid w:val="25266722"/>
    <w:rsid w:val="252D53FE"/>
    <w:rsid w:val="253B4663"/>
    <w:rsid w:val="2549386B"/>
    <w:rsid w:val="25545725"/>
    <w:rsid w:val="25583467"/>
    <w:rsid w:val="255F65A3"/>
    <w:rsid w:val="25626093"/>
    <w:rsid w:val="256C0CC0"/>
    <w:rsid w:val="256C2A6E"/>
    <w:rsid w:val="256E0382"/>
    <w:rsid w:val="25714529"/>
    <w:rsid w:val="2573204F"/>
    <w:rsid w:val="2580437A"/>
    <w:rsid w:val="25827827"/>
    <w:rsid w:val="25873D4C"/>
    <w:rsid w:val="25875AFA"/>
    <w:rsid w:val="25926EA1"/>
    <w:rsid w:val="25951FC5"/>
    <w:rsid w:val="25973F8F"/>
    <w:rsid w:val="25981AB5"/>
    <w:rsid w:val="25990B09"/>
    <w:rsid w:val="259C15A5"/>
    <w:rsid w:val="25A14674"/>
    <w:rsid w:val="25A91F14"/>
    <w:rsid w:val="25B74631"/>
    <w:rsid w:val="25BD32CA"/>
    <w:rsid w:val="25C153AE"/>
    <w:rsid w:val="25C159E8"/>
    <w:rsid w:val="25C94365"/>
    <w:rsid w:val="25D30D3F"/>
    <w:rsid w:val="25D55228"/>
    <w:rsid w:val="25E475E6"/>
    <w:rsid w:val="25EC2D81"/>
    <w:rsid w:val="25EC3BAF"/>
    <w:rsid w:val="25F018F1"/>
    <w:rsid w:val="25FA2770"/>
    <w:rsid w:val="25FA62CC"/>
    <w:rsid w:val="26094761"/>
    <w:rsid w:val="260D24A3"/>
    <w:rsid w:val="260E7FC9"/>
    <w:rsid w:val="26127ABA"/>
    <w:rsid w:val="261A071C"/>
    <w:rsid w:val="261E3BA2"/>
    <w:rsid w:val="26215F4F"/>
    <w:rsid w:val="262223E4"/>
    <w:rsid w:val="26235823"/>
    <w:rsid w:val="26263565"/>
    <w:rsid w:val="26281640"/>
    <w:rsid w:val="262F241A"/>
    <w:rsid w:val="26323CB8"/>
    <w:rsid w:val="26345C82"/>
    <w:rsid w:val="263712CE"/>
    <w:rsid w:val="263A5FE5"/>
    <w:rsid w:val="263E265D"/>
    <w:rsid w:val="2641067D"/>
    <w:rsid w:val="264439EB"/>
    <w:rsid w:val="26467763"/>
    <w:rsid w:val="26467EB6"/>
    <w:rsid w:val="26502390"/>
    <w:rsid w:val="2650413E"/>
    <w:rsid w:val="26526108"/>
    <w:rsid w:val="26571970"/>
    <w:rsid w:val="26694CB8"/>
    <w:rsid w:val="266A3452"/>
    <w:rsid w:val="266D516E"/>
    <w:rsid w:val="266F0A68"/>
    <w:rsid w:val="26775B6F"/>
    <w:rsid w:val="26787324"/>
    <w:rsid w:val="267B565F"/>
    <w:rsid w:val="267B5DCA"/>
    <w:rsid w:val="26812549"/>
    <w:rsid w:val="26821B84"/>
    <w:rsid w:val="268E3B95"/>
    <w:rsid w:val="26906C30"/>
    <w:rsid w:val="269C3827"/>
    <w:rsid w:val="269E30FB"/>
    <w:rsid w:val="26A47AF6"/>
    <w:rsid w:val="26A80CBB"/>
    <w:rsid w:val="26B11081"/>
    <w:rsid w:val="26B172D2"/>
    <w:rsid w:val="26B446CD"/>
    <w:rsid w:val="26C2328E"/>
    <w:rsid w:val="26C30DB4"/>
    <w:rsid w:val="26C863CA"/>
    <w:rsid w:val="26CD578F"/>
    <w:rsid w:val="26CF1507"/>
    <w:rsid w:val="26CF4677"/>
    <w:rsid w:val="26D233BC"/>
    <w:rsid w:val="26DB7EAB"/>
    <w:rsid w:val="26E36D60"/>
    <w:rsid w:val="26E66724"/>
    <w:rsid w:val="26E67CE5"/>
    <w:rsid w:val="26E825C8"/>
    <w:rsid w:val="26F032D9"/>
    <w:rsid w:val="27003DB6"/>
    <w:rsid w:val="270513CC"/>
    <w:rsid w:val="270630CC"/>
    <w:rsid w:val="27075144"/>
    <w:rsid w:val="27083FF7"/>
    <w:rsid w:val="27084A19"/>
    <w:rsid w:val="270E26E3"/>
    <w:rsid w:val="271635D9"/>
    <w:rsid w:val="27167E60"/>
    <w:rsid w:val="27182EAE"/>
    <w:rsid w:val="271D6716"/>
    <w:rsid w:val="27247AA4"/>
    <w:rsid w:val="27286E69"/>
    <w:rsid w:val="272A2BE1"/>
    <w:rsid w:val="272F1FA5"/>
    <w:rsid w:val="27335F39"/>
    <w:rsid w:val="27392E24"/>
    <w:rsid w:val="27400656"/>
    <w:rsid w:val="274630D9"/>
    <w:rsid w:val="27474724"/>
    <w:rsid w:val="274F678B"/>
    <w:rsid w:val="27541A0C"/>
    <w:rsid w:val="2759497A"/>
    <w:rsid w:val="275A1718"/>
    <w:rsid w:val="275B0FEC"/>
    <w:rsid w:val="275E288B"/>
    <w:rsid w:val="276A5D27"/>
    <w:rsid w:val="276C31F9"/>
    <w:rsid w:val="277057A2"/>
    <w:rsid w:val="27734588"/>
    <w:rsid w:val="2775707E"/>
    <w:rsid w:val="27767BD4"/>
    <w:rsid w:val="277B343D"/>
    <w:rsid w:val="277F6CFA"/>
    <w:rsid w:val="278B27FF"/>
    <w:rsid w:val="2791259C"/>
    <w:rsid w:val="27952750"/>
    <w:rsid w:val="27A40BE5"/>
    <w:rsid w:val="27AC1848"/>
    <w:rsid w:val="27B506FD"/>
    <w:rsid w:val="27B54BA0"/>
    <w:rsid w:val="27BB1A8B"/>
    <w:rsid w:val="27C44DE4"/>
    <w:rsid w:val="27C55884"/>
    <w:rsid w:val="27CD4CCF"/>
    <w:rsid w:val="27D019DA"/>
    <w:rsid w:val="27D55529"/>
    <w:rsid w:val="27D72D69"/>
    <w:rsid w:val="27D74B17"/>
    <w:rsid w:val="27D843EB"/>
    <w:rsid w:val="27DA4607"/>
    <w:rsid w:val="27E014F2"/>
    <w:rsid w:val="27E15995"/>
    <w:rsid w:val="27F07987"/>
    <w:rsid w:val="27F136FF"/>
    <w:rsid w:val="27F45061"/>
    <w:rsid w:val="27F65B44"/>
    <w:rsid w:val="27F76F67"/>
    <w:rsid w:val="27FA6A57"/>
    <w:rsid w:val="27FC22B3"/>
    <w:rsid w:val="27FC27CF"/>
    <w:rsid w:val="27FC492A"/>
    <w:rsid w:val="27FF7BCA"/>
    <w:rsid w:val="28043432"/>
    <w:rsid w:val="280671AA"/>
    <w:rsid w:val="28137B19"/>
    <w:rsid w:val="281C077C"/>
    <w:rsid w:val="282B120A"/>
    <w:rsid w:val="282B4E63"/>
    <w:rsid w:val="282D3224"/>
    <w:rsid w:val="283F0513"/>
    <w:rsid w:val="28416434"/>
    <w:rsid w:val="284321AC"/>
    <w:rsid w:val="28447ADD"/>
    <w:rsid w:val="284952E9"/>
    <w:rsid w:val="28497097"/>
    <w:rsid w:val="2852419D"/>
    <w:rsid w:val="28531B31"/>
    <w:rsid w:val="28560831"/>
    <w:rsid w:val="2856543A"/>
    <w:rsid w:val="285919D0"/>
    <w:rsid w:val="28593D52"/>
    <w:rsid w:val="285A2FA5"/>
    <w:rsid w:val="28626D2E"/>
    <w:rsid w:val="28662918"/>
    <w:rsid w:val="28666B87"/>
    <w:rsid w:val="286B34B1"/>
    <w:rsid w:val="286E6AFD"/>
    <w:rsid w:val="28706DB1"/>
    <w:rsid w:val="28772BE3"/>
    <w:rsid w:val="28810F26"/>
    <w:rsid w:val="28812CD5"/>
    <w:rsid w:val="28844573"/>
    <w:rsid w:val="2886653D"/>
    <w:rsid w:val="28870877"/>
    <w:rsid w:val="28876B74"/>
    <w:rsid w:val="288822B5"/>
    <w:rsid w:val="288F719F"/>
    <w:rsid w:val="28904CC6"/>
    <w:rsid w:val="2891635B"/>
    <w:rsid w:val="28942A08"/>
    <w:rsid w:val="28A04CDB"/>
    <w:rsid w:val="28A15125"/>
    <w:rsid w:val="28A16ED3"/>
    <w:rsid w:val="28A6006C"/>
    <w:rsid w:val="28A80261"/>
    <w:rsid w:val="28AB00FE"/>
    <w:rsid w:val="28AC5FA3"/>
    <w:rsid w:val="28AF7842"/>
    <w:rsid w:val="28B05368"/>
    <w:rsid w:val="28B7285C"/>
    <w:rsid w:val="28B74948"/>
    <w:rsid w:val="28B906C0"/>
    <w:rsid w:val="28D3058F"/>
    <w:rsid w:val="28D92B11"/>
    <w:rsid w:val="28D93EA4"/>
    <w:rsid w:val="28E05C4D"/>
    <w:rsid w:val="28E82D54"/>
    <w:rsid w:val="28EB74B7"/>
    <w:rsid w:val="28FA12B8"/>
    <w:rsid w:val="28FB4835"/>
    <w:rsid w:val="290851A4"/>
    <w:rsid w:val="290C07F0"/>
    <w:rsid w:val="290D27BA"/>
    <w:rsid w:val="29206EB8"/>
    <w:rsid w:val="29257B04"/>
    <w:rsid w:val="292C3218"/>
    <w:rsid w:val="292F2731"/>
    <w:rsid w:val="293146FB"/>
    <w:rsid w:val="29361D11"/>
    <w:rsid w:val="294253C5"/>
    <w:rsid w:val="29437F8A"/>
    <w:rsid w:val="294D3419"/>
    <w:rsid w:val="294E0E09"/>
    <w:rsid w:val="29514455"/>
    <w:rsid w:val="29545585"/>
    <w:rsid w:val="29565F0F"/>
    <w:rsid w:val="2959155B"/>
    <w:rsid w:val="29595666"/>
    <w:rsid w:val="295E3271"/>
    <w:rsid w:val="296A3769"/>
    <w:rsid w:val="296E14AB"/>
    <w:rsid w:val="296E3259"/>
    <w:rsid w:val="29736AC1"/>
    <w:rsid w:val="297468DC"/>
    <w:rsid w:val="29851988"/>
    <w:rsid w:val="29852351"/>
    <w:rsid w:val="29874881"/>
    <w:rsid w:val="29883BEF"/>
    <w:rsid w:val="29986528"/>
    <w:rsid w:val="299C5AE8"/>
    <w:rsid w:val="29AC3D81"/>
    <w:rsid w:val="29B35110"/>
    <w:rsid w:val="29BA1071"/>
    <w:rsid w:val="29BA46F0"/>
    <w:rsid w:val="29BA649E"/>
    <w:rsid w:val="29BF3AB4"/>
    <w:rsid w:val="29CE1F49"/>
    <w:rsid w:val="29D67050"/>
    <w:rsid w:val="29E277A3"/>
    <w:rsid w:val="29E325E0"/>
    <w:rsid w:val="29EC6874"/>
    <w:rsid w:val="29F15C38"/>
    <w:rsid w:val="29F3375E"/>
    <w:rsid w:val="29F54404"/>
    <w:rsid w:val="29FF65A7"/>
    <w:rsid w:val="2A007C29"/>
    <w:rsid w:val="2A063491"/>
    <w:rsid w:val="2A070FB7"/>
    <w:rsid w:val="2A0B4F4C"/>
    <w:rsid w:val="2A0D6239"/>
    <w:rsid w:val="2A0E3239"/>
    <w:rsid w:val="2A115333"/>
    <w:rsid w:val="2A21651D"/>
    <w:rsid w:val="2A2441F7"/>
    <w:rsid w:val="2A27165A"/>
    <w:rsid w:val="2A281478"/>
    <w:rsid w:val="2A2A2E10"/>
    <w:rsid w:val="2A3701FB"/>
    <w:rsid w:val="2A3873C3"/>
    <w:rsid w:val="2A3E70CF"/>
    <w:rsid w:val="2A3F4BF5"/>
    <w:rsid w:val="2A4144C9"/>
    <w:rsid w:val="2A452503"/>
    <w:rsid w:val="2A497822"/>
    <w:rsid w:val="2A4A387B"/>
    <w:rsid w:val="2A4C2E6E"/>
    <w:rsid w:val="2A59490E"/>
    <w:rsid w:val="2A5A37DD"/>
    <w:rsid w:val="2A5C2CCF"/>
    <w:rsid w:val="2A612DBE"/>
    <w:rsid w:val="2A6537F4"/>
    <w:rsid w:val="2A6B7798"/>
    <w:rsid w:val="2A6E7289"/>
    <w:rsid w:val="2A6F54DA"/>
    <w:rsid w:val="2A7066D2"/>
    <w:rsid w:val="2A7A0271"/>
    <w:rsid w:val="2A7A398C"/>
    <w:rsid w:val="2A7C6F0E"/>
    <w:rsid w:val="2A7D74CC"/>
    <w:rsid w:val="2A88034A"/>
    <w:rsid w:val="2A900FAD"/>
    <w:rsid w:val="2A905451"/>
    <w:rsid w:val="2A9C5BA4"/>
    <w:rsid w:val="2AAA3CE6"/>
    <w:rsid w:val="2AB729DE"/>
    <w:rsid w:val="2ABA4076"/>
    <w:rsid w:val="2ABE3D6C"/>
    <w:rsid w:val="2AC05D36"/>
    <w:rsid w:val="2AC14BE6"/>
    <w:rsid w:val="2AC86999"/>
    <w:rsid w:val="2AD20F29"/>
    <w:rsid w:val="2AD76BDC"/>
    <w:rsid w:val="2AD92954"/>
    <w:rsid w:val="2ADA7BEC"/>
    <w:rsid w:val="2ADB2B70"/>
    <w:rsid w:val="2AEC43C3"/>
    <w:rsid w:val="2AEF3F25"/>
    <w:rsid w:val="2AF10284"/>
    <w:rsid w:val="2AF35539"/>
    <w:rsid w:val="2B0E4861"/>
    <w:rsid w:val="2B1716CE"/>
    <w:rsid w:val="2B1841A2"/>
    <w:rsid w:val="2B1B2F6C"/>
    <w:rsid w:val="2B30453E"/>
    <w:rsid w:val="2B3202B6"/>
    <w:rsid w:val="2B3212BA"/>
    <w:rsid w:val="2B322D09"/>
    <w:rsid w:val="2B341D51"/>
    <w:rsid w:val="2B3D7387"/>
    <w:rsid w:val="2B404781"/>
    <w:rsid w:val="2B4E6AE8"/>
    <w:rsid w:val="2B514BE0"/>
    <w:rsid w:val="2B662A84"/>
    <w:rsid w:val="2B671045"/>
    <w:rsid w:val="2B6C62CF"/>
    <w:rsid w:val="2B6D71BD"/>
    <w:rsid w:val="2B724B56"/>
    <w:rsid w:val="2B744A61"/>
    <w:rsid w:val="2B7B1C5D"/>
    <w:rsid w:val="2B7E52A9"/>
    <w:rsid w:val="2B8C79C6"/>
    <w:rsid w:val="2B8F395A"/>
    <w:rsid w:val="2B8F74B6"/>
    <w:rsid w:val="2B90330F"/>
    <w:rsid w:val="2BA936A8"/>
    <w:rsid w:val="2BAA7A58"/>
    <w:rsid w:val="2BAE2033"/>
    <w:rsid w:val="2BBD2276"/>
    <w:rsid w:val="2BBF65A6"/>
    <w:rsid w:val="2BC40D59"/>
    <w:rsid w:val="2BC43604"/>
    <w:rsid w:val="2BC76C50"/>
    <w:rsid w:val="2BCD0368"/>
    <w:rsid w:val="2BD1187D"/>
    <w:rsid w:val="2BD80E5D"/>
    <w:rsid w:val="2BDB094E"/>
    <w:rsid w:val="2BDF11C1"/>
    <w:rsid w:val="2BE07D12"/>
    <w:rsid w:val="2BE602A4"/>
    <w:rsid w:val="2BEB6DE3"/>
    <w:rsid w:val="2BF37A45"/>
    <w:rsid w:val="2BF64877"/>
    <w:rsid w:val="2BFA4688"/>
    <w:rsid w:val="2C0A4423"/>
    <w:rsid w:val="2C0C6D59"/>
    <w:rsid w:val="2C0D5FA8"/>
    <w:rsid w:val="2C0F23A5"/>
    <w:rsid w:val="2C183950"/>
    <w:rsid w:val="2C1874AC"/>
    <w:rsid w:val="2C1E6ABA"/>
    <w:rsid w:val="2C210A56"/>
    <w:rsid w:val="2C295B38"/>
    <w:rsid w:val="2C29790B"/>
    <w:rsid w:val="2C2A71DF"/>
    <w:rsid w:val="2C2B40C1"/>
    <w:rsid w:val="2C2C11A9"/>
    <w:rsid w:val="2C315A5A"/>
    <w:rsid w:val="2C3167C0"/>
    <w:rsid w:val="2C3342E6"/>
    <w:rsid w:val="2C365B84"/>
    <w:rsid w:val="2C38462A"/>
    <w:rsid w:val="2C3A5674"/>
    <w:rsid w:val="2C4B1C25"/>
    <w:rsid w:val="2C4E1120"/>
    <w:rsid w:val="2C576226"/>
    <w:rsid w:val="2C583D4C"/>
    <w:rsid w:val="2C5A1872"/>
    <w:rsid w:val="2C610E53"/>
    <w:rsid w:val="2C657E08"/>
    <w:rsid w:val="2C671545"/>
    <w:rsid w:val="2C683D21"/>
    <w:rsid w:val="2C6B1CD2"/>
    <w:rsid w:val="2C6E17C2"/>
    <w:rsid w:val="2C7347CA"/>
    <w:rsid w:val="2C772424"/>
    <w:rsid w:val="2C7843EE"/>
    <w:rsid w:val="2C792640"/>
    <w:rsid w:val="2C7A0167"/>
    <w:rsid w:val="2C7F4E3D"/>
    <w:rsid w:val="2C882884"/>
    <w:rsid w:val="2C8D1105"/>
    <w:rsid w:val="2C9034E6"/>
    <w:rsid w:val="2C9A4365"/>
    <w:rsid w:val="2CA23219"/>
    <w:rsid w:val="2CAE7E10"/>
    <w:rsid w:val="2CB05936"/>
    <w:rsid w:val="2CB371D5"/>
    <w:rsid w:val="2CB43679"/>
    <w:rsid w:val="2CBE3454"/>
    <w:rsid w:val="2CBE62A5"/>
    <w:rsid w:val="2CCB2770"/>
    <w:rsid w:val="2CD31625"/>
    <w:rsid w:val="2CD535EF"/>
    <w:rsid w:val="2CDF446E"/>
    <w:rsid w:val="2CEC5E40"/>
    <w:rsid w:val="2CEF2903"/>
    <w:rsid w:val="2CF3064F"/>
    <w:rsid w:val="2CF717B7"/>
    <w:rsid w:val="2CFB12A7"/>
    <w:rsid w:val="2D0143E4"/>
    <w:rsid w:val="2D016192"/>
    <w:rsid w:val="2D157E8F"/>
    <w:rsid w:val="2D1A65ED"/>
    <w:rsid w:val="2D1B36F8"/>
    <w:rsid w:val="2D202ABC"/>
    <w:rsid w:val="2D2307FE"/>
    <w:rsid w:val="2D35408E"/>
    <w:rsid w:val="2D360531"/>
    <w:rsid w:val="2D393B7E"/>
    <w:rsid w:val="2D3E1194"/>
    <w:rsid w:val="2D410C84"/>
    <w:rsid w:val="2D4367AA"/>
    <w:rsid w:val="2D5269EE"/>
    <w:rsid w:val="2D597D7C"/>
    <w:rsid w:val="2D5A3158"/>
    <w:rsid w:val="2D5D4E51"/>
    <w:rsid w:val="2D7050C6"/>
    <w:rsid w:val="2D743CC6"/>
    <w:rsid w:val="2D766B80"/>
    <w:rsid w:val="2D7E3C87"/>
    <w:rsid w:val="2D802AB3"/>
    <w:rsid w:val="2D8246A0"/>
    <w:rsid w:val="2D8A262B"/>
    <w:rsid w:val="2D9708A4"/>
    <w:rsid w:val="2D970D7E"/>
    <w:rsid w:val="2D9B65E7"/>
    <w:rsid w:val="2D9E56F5"/>
    <w:rsid w:val="2DA60AE7"/>
    <w:rsid w:val="2DA90D03"/>
    <w:rsid w:val="2DAE631A"/>
    <w:rsid w:val="2DAF2092"/>
    <w:rsid w:val="2DB3382F"/>
    <w:rsid w:val="2DB43204"/>
    <w:rsid w:val="2DBA2F11"/>
    <w:rsid w:val="2DCA6ECC"/>
    <w:rsid w:val="2DCF0F92"/>
    <w:rsid w:val="2DD13DB6"/>
    <w:rsid w:val="2DDB2E87"/>
    <w:rsid w:val="2DE51610"/>
    <w:rsid w:val="2DF16206"/>
    <w:rsid w:val="2DF169AB"/>
    <w:rsid w:val="2DF857E7"/>
    <w:rsid w:val="2DF87595"/>
    <w:rsid w:val="2DFA155F"/>
    <w:rsid w:val="2E020414"/>
    <w:rsid w:val="2E073C7C"/>
    <w:rsid w:val="2E156399"/>
    <w:rsid w:val="2E24038A"/>
    <w:rsid w:val="2E28317A"/>
    <w:rsid w:val="2E2F6D2F"/>
    <w:rsid w:val="2E36630F"/>
    <w:rsid w:val="2E37195A"/>
    <w:rsid w:val="2E3A5DFF"/>
    <w:rsid w:val="2E3D144C"/>
    <w:rsid w:val="2E465D90"/>
    <w:rsid w:val="2E476BC8"/>
    <w:rsid w:val="2E530AF8"/>
    <w:rsid w:val="2E580034"/>
    <w:rsid w:val="2E5A3DAC"/>
    <w:rsid w:val="2E6609A2"/>
    <w:rsid w:val="2E667F96"/>
    <w:rsid w:val="2E693487"/>
    <w:rsid w:val="2E6A7D67"/>
    <w:rsid w:val="2E7035CF"/>
    <w:rsid w:val="2E7413FE"/>
    <w:rsid w:val="2E756E38"/>
    <w:rsid w:val="2E7D6405"/>
    <w:rsid w:val="2E8226AB"/>
    <w:rsid w:val="2E8250B1"/>
    <w:rsid w:val="2E870919"/>
    <w:rsid w:val="2E876B6B"/>
    <w:rsid w:val="2E892E7D"/>
    <w:rsid w:val="2E951288"/>
    <w:rsid w:val="2E9574DA"/>
    <w:rsid w:val="2E976DAE"/>
    <w:rsid w:val="2E982B26"/>
    <w:rsid w:val="2E9A4AF0"/>
    <w:rsid w:val="2E9B2E49"/>
    <w:rsid w:val="2E9C43C4"/>
    <w:rsid w:val="2EAD65D1"/>
    <w:rsid w:val="2EB353C4"/>
    <w:rsid w:val="2EBA484A"/>
    <w:rsid w:val="2EBF4557"/>
    <w:rsid w:val="2EC851B9"/>
    <w:rsid w:val="2ECD6C74"/>
    <w:rsid w:val="2ED33B5E"/>
    <w:rsid w:val="2ED55B28"/>
    <w:rsid w:val="2ED718A0"/>
    <w:rsid w:val="2ED85C4C"/>
    <w:rsid w:val="2EFA733D"/>
    <w:rsid w:val="2EFC30B5"/>
    <w:rsid w:val="2F012662"/>
    <w:rsid w:val="2F0B48E6"/>
    <w:rsid w:val="2F0D7070"/>
    <w:rsid w:val="2F103ABB"/>
    <w:rsid w:val="2F124686"/>
    <w:rsid w:val="2F204FF5"/>
    <w:rsid w:val="2F230642"/>
    <w:rsid w:val="2F2443BA"/>
    <w:rsid w:val="2F26216F"/>
    <w:rsid w:val="2F380F68"/>
    <w:rsid w:val="2F3E36CD"/>
    <w:rsid w:val="2F3E6A57"/>
    <w:rsid w:val="2F414F6C"/>
    <w:rsid w:val="2F440E1F"/>
    <w:rsid w:val="2F4862FA"/>
    <w:rsid w:val="2F503401"/>
    <w:rsid w:val="2F5051AF"/>
    <w:rsid w:val="2F520F27"/>
    <w:rsid w:val="2F5646C4"/>
    <w:rsid w:val="2F57265F"/>
    <w:rsid w:val="2F5E1B5C"/>
    <w:rsid w:val="2F6824F8"/>
    <w:rsid w:val="2F6A2714"/>
    <w:rsid w:val="2F6D0B69"/>
    <w:rsid w:val="2F6D7B0F"/>
    <w:rsid w:val="2F7470EF"/>
    <w:rsid w:val="2F7C41F6"/>
    <w:rsid w:val="2F835584"/>
    <w:rsid w:val="2F837A4C"/>
    <w:rsid w:val="2F8C268B"/>
    <w:rsid w:val="2F8D6403"/>
    <w:rsid w:val="2F933CB1"/>
    <w:rsid w:val="2F94153F"/>
    <w:rsid w:val="2F974B8C"/>
    <w:rsid w:val="2F990904"/>
    <w:rsid w:val="2F9E5F1A"/>
    <w:rsid w:val="2F9E7071"/>
    <w:rsid w:val="2F9E71D8"/>
    <w:rsid w:val="2FA07EE4"/>
    <w:rsid w:val="2FA33530"/>
    <w:rsid w:val="2FB13E9F"/>
    <w:rsid w:val="2FB44BED"/>
    <w:rsid w:val="2FB63264"/>
    <w:rsid w:val="2FBA7790"/>
    <w:rsid w:val="2FBC2844"/>
    <w:rsid w:val="2FBC45F2"/>
    <w:rsid w:val="2FC00586"/>
    <w:rsid w:val="2FC0163C"/>
    <w:rsid w:val="2FC11C09"/>
    <w:rsid w:val="2FC92BF4"/>
    <w:rsid w:val="2FD065E6"/>
    <w:rsid w:val="2FD14C2F"/>
    <w:rsid w:val="2FD45DE0"/>
    <w:rsid w:val="2FD550D3"/>
    <w:rsid w:val="2FD933F6"/>
    <w:rsid w:val="2FD951A4"/>
    <w:rsid w:val="2FD96870"/>
    <w:rsid w:val="2FE222AB"/>
    <w:rsid w:val="2FE47EAD"/>
    <w:rsid w:val="2FF975F4"/>
    <w:rsid w:val="2FFB336C"/>
    <w:rsid w:val="30094C07"/>
    <w:rsid w:val="300F4A91"/>
    <w:rsid w:val="3011493E"/>
    <w:rsid w:val="302A3C52"/>
    <w:rsid w:val="303074BA"/>
    <w:rsid w:val="30313232"/>
    <w:rsid w:val="30332B06"/>
    <w:rsid w:val="3034062C"/>
    <w:rsid w:val="30381BBE"/>
    <w:rsid w:val="303B100B"/>
    <w:rsid w:val="303C3B8C"/>
    <w:rsid w:val="3049232A"/>
    <w:rsid w:val="304E3B62"/>
    <w:rsid w:val="304F36B8"/>
    <w:rsid w:val="30580BC9"/>
    <w:rsid w:val="3058256D"/>
    <w:rsid w:val="305D7B83"/>
    <w:rsid w:val="305F7D9F"/>
    <w:rsid w:val="306B16EA"/>
    <w:rsid w:val="306B49F6"/>
    <w:rsid w:val="306E1D90"/>
    <w:rsid w:val="307134B2"/>
    <w:rsid w:val="3071362F"/>
    <w:rsid w:val="307C26FF"/>
    <w:rsid w:val="307F65FB"/>
    <w:rsid w:val="30857C93"/>
    <w:rsid w:val="308F70EA"/>
    <w:rsid w:val="30923D47"/>
    <w:rsid w:val="309537C1"/>
    <w:rsid w:val="309A2B85"/>
    <w:rsid w:val="309C68FD"/>
    <w:rsid w:val="30A25EDE"/>
    <w:rsid w:val="30AD0B0B"/>
    <w:rsid w:val="30AE6631"/>
    <w:rsid w:val="30B72BC4"/>
    <w:rsid w:val="30B8300C"/>
    <w:rsid w:val="30BB2AFC"/>
    <w:rsid w:val="30CB1972"/>
    <w:rsid w:val="30CF7F86"/>
    <w:rsid w:val="30DC7D84"/>
    <w:rsid w:val="30E738F1"/>
    <w:rsid w:val="30E87D95"/>
    <w:rsid w:val="30EB1EB0"/>
    <w:rsid w:val="30EF681F"/>
    <w:rsid w:val="30F81DF3"/>
    <w:rsid w:val="31010E56"/>
    <w:rsid w:val="31037E72"/>
    <w:rsid w:val="31091AB9"/>
    <w:rsid w:val="310B3A83"/>
    <w:rsid w:val="310B75DF"/>
    <w:rsid w:val="310D15A9"/>
    <w:rsid w:val="310F3573"/>
    <w:rsid w:val="31153096"/>
    <w:rsid w:val="311E2ED7"/>
    <w:rsid w:val="312468F3"/>
    <w:rsid w:val="312B1A2F"/>
    <w:rsid w:val="312D1C4B"/>
    <w:rsid w:val="3139239E"/>
    <w:rsid w:val="3143321D"/>
    <w:rsid w:val="314618C4"/>
    <w:rsid w:val="314825E1"/>
    <w:rsid w:val="3150593A"/>
    <w:rsid w:val="31540F86"/>
    <w:rsid w:val="315619EE"/>
    <w:rsid w:val="315C449C"/>
    <w:rsid w:val="315E4628"/>
    <w:rsid w:val="31604BDE"/>
    <w:rsid w:val="316433EE"/>
    <w:rsid w:val="31647A1E"/>
    <w:rsid w:val="31701B38"/>
    <w:rsid w:val="317F1D7B"/>
    <w:rsid w:val="318555E4"/>
    <w:rsid w:val="31975317"/>
    <w:rsid w:val="31AA5041"/>
    <w:rsid w:val="31AC14CC"/>
    <w:rsid w:val="31AD4B3A"/>
    <w:rsid w:val="31AF08B2"/>
    <w:rsid w:val="31B82709"/>
    <w:rsid w:val="31C75BFC"/>
    <w:rsid w:val="31CE61A7"/>
    <w:rsid w:val="31D05482"/>
    <w:rsid w:val="31D16F01"/>
    <w:rsid w:val="31D245A1"/>
    <w:rsid w:val="31D64E22"/>
    <w:rsid w:val="31DE6AA2"/>
    <w:rsid w:val="31E3230A"/>
    <w:rsid w:val="31F24388"/>
    <w:rsid w:val="31F31CBD"/>
    <w:rsid w:val="32081D71"/>
    <w:rsid w:val="32085366"/>
    <w:rsid w:val="32144BB9"/>
    <w:rsid w:val="32170B57"/>
    <w:rsid w:val="321B1AA4"/>
    <w:rsid w:val="32244DFC"/>
    <w:rsid w:val="323D1A1A"/>
    <w:rsid w:val="323D7C6C"/>
    <w:rsid w:val="323E5792"/>
    <w:rsid w:val="32400B34"/>
    <w:rsid w:val="32470AEB"/>
    <w:rsid w:val="3251196A"/>
    <w:rsid w:val="32513718"/>
    <w:rsid w:val="32543208"/>
    <w:rsid w:val="32546394"/>
    <w:rsid w:val="325B00F2"/>
    <w:rsid w:val="3264344B"/>
    <w:rsid w:val="32655415"/>
    <w:rsid w:val="32716803"/>
    <w:rsid w:val="32737B32"/>
    <w:rsid w:val="32847649"/>
    <w:rsid w:val="32866B73"/>
    <w:rsid w:val="32891103"/>
    <w:rsid w:val="32917FB8"/>
    <w:rsid w:val="329267FE"/>
    <w:rsid w:val="32944E37"/>
    <w:rsid w:val="329655CE"/>
    <w:rsid w:val="329E6876"/>
    <w:rsid w:val="32A525FA"/>
    <w:rsid w:val="32A55811"/>
    <w:rsid w:val="32AE2918"/>
    <w:rsid w:val="32B05ACE"/>
    <w:rsid w:val="32B42EE3"/>
    <w:rsid w:val="32B53CA7"/>
    <w:rsid w:val="32B56F4C"/>
    <w:rsid w:val="32B75C71"/>
    <w:rsid w:val="32BA12BD"/>
    <w:rsid w:val="32C43EEA"/>
    <w:rsid w:val="32D16607"/>
    <w:rsid w:val="32D94CDA"/>
    <w:rsid w:val="32DA195F"/>
    <w:rsid w:val="32DA54BB"/>
    <w:rsid w:val="32E17E07"/>
    <w:rsid w:val="32E53E60"/>
    <w:rsid w:val="32FD564D"/>
    <w:rsid w:val="32FD7EDB"/>
    <w:rsid w:val="33024A12"/>
    <w:rsid w:val="331A1D5C"/>
    <w:rsid w:val="331D33CC"/>
    <w:rsid w:val="332350B4"/>
    <w:rsid w:val="332C482A"/>
    <w:rsid w:val="3330157F"/>
    <w:rsid w:val="333015F2"/>
    <w:rsid w:val="333404AE"/>
    <w:rsid w:val="333A41AC"/>
    <w:rsid w:val="33460DA3"/>
    <w:rsid w:val="334656FD"/>
    <w:rsid w:val="334B6320"/>
    <w:rsid w:val="33501C21"/>
    <w:rsid w:val="335214F5"/>
    <w:rsid w:val="33582884"/>
    <w:rsid w:val="335A2AA0"/>
    <w:rsid w:val="335F00B6"/>
    <w:rsid w:val="33673093"/>
    <w:rsid w:val="336B25B7"/>
    <w:rsid w:val="336D4581"/>
    <w:rsid w:val="33711F60"/>
    <w:rsid w:val="33743B62"/>
    <w:rsid w:val="33756B27"/>
    <w:rsid w:val="337E5A99"/>
    <w:rsid w:val="33835B53"/>
    <w:rsid w:val="3387194B"/>
    <w:rsid w:val="338B4A07"/>
    <w:rsid w:val="33925D96"/>
    <w:rsid w:val="33941B0E"/>
    <w:rsid w:val="33956C1F"/>
    <w:rsid w:val="339A10EE"/>
    <w:rsid w:val="33A93AA6"/>
    <w:rsid w:val="33B2468A"/>
    <w:rsid w:val="33C5616B"/>
    <w:rsid w:val="33CC574C"/>
    <w:rsid w:val="33CF6FEA"/>
    <w:rsid w:val="33D60378"/>
    <w:rsid w:val="33D934D4"/>
    <w:rsid w:val="33E81E5A"/>
    <w:rsid w:val="33EC443C"/>
    <w:rsid w:val="33ED121E"/>
    <w:rsid w:val="33EF4F96"/>
    <w:rsid w:val="33F543C4"/>
    <w:rsid w:val="33FE2F6A"/>
    <w:rsid w:val="340053F5"/>
    <w:rsid w:val="340143F2"/>
    <w:rsid w:val="340E07E5"/>
    <w:rsid w:val="340F5638"/>
    <w:rsid w:val="34117240"/>
    <w:rsid w:val="341E7C58"/>
    <w:rsid w:val="34235BF7"/>
    <w:rsid w:val="34256C0A"/>
    <w:rsid w:val="342C7F98"/>
    <w:rsid w:val="34321327"/>
    <w:rsid w:val="343926B5"/>
    <w:rsid w:val="3441714C"/>
    <w:rsid w:val="34430EE4"/>
    <w:rsid w:val="34496D9C"/>
    <w:rsid w:val="344A48C2"/>
    <w:rsid w:val="344D6161"/>
    <w:rsid w:val="344D6305"/>
    <w:rsid w:val="344E43B3"/>
    <w:rsid w:val="345117AD"/>
    <w:rsid w:val="345319C9"/>
    <w:rsid w:val="34580D8D"/>
    <w:rsid w:val="345B262C"/>
    <w:rsid w:val="345D63A4"/>
    <w:rsid w:val="346239BA"/>
    <w:rsid w:val="34645984"/>
    <w:rsid w:val="34666BD6"/>
    <w:rsid w:val="34670FD0"/>
    <w:rsid w:val="347D07F4"/>
    <w:rsid w:val="34806536"/>
    <w:rsid w:val="34812180"/>
    <w:rsid w:val="348A4CBF"/>
    <w:rsid w:val="348E2A01"/>
    <w:rsid w:val="3491429F"/>
    <w:rsid w:val="34936269"/>
    <w:rsid w:val="34945B3E"/>
    <w:rsid w:val="34993154"/>
    <w:rsid w:val="34A22009"/>
    <w:rsid w:val="34AC2E87"/>
    <w:rsid w:val="34BB131C"/>
    <w:rsid w:val="34BB30CA"/>
    <w:rsid w:val="34C401D1"/>
    <w:rsid w:val="34C5046A"/>
    <w:rsid w:val="34CA155F"/>
    <w:rsid w:val="34CD748C"/>
    <w:rsid w:val="34D04DC8"/>
    <w:rsid w:val="34D128EE"/>
    <w:rsid w:val="34DA3E98"/>
    <w:rsid w:val="34DB19BE"/>
    <w:rsid w:val="34DB376C"/>
    <w:rsid w:val="34E647FA"/>
    <w:rsid w:val="34E95E89"/>
    <w:rsid w:val="34EA0E7E"/>
    <w:rsid w:val="34F32864"/>
    <w:rsid w:val="34FD1935"/>
    <w:rsid w:val="350033DB"/>
    <w:rsid w:val="350303A1"/>
    <w:rsid w:val="350E3B42"/>
    <w:rsid w:val="351647A5"/>
    <w:rsid w:val="351F18AB"/>
    <w:rsid w:val="351F7AFD"/>
    <w:rsid w:val="352C7F4B"/>
    <w:rsid w:val="35327830"/>
    <w:rsid w:val="35352E7D"/>
    <w:rsid w:val="35470E02"/>
    <w:rsid w:val="354D466A"/>
    <w:rsid w:val="3550415A"/>
    <w:rsid w:val="355157DD"/>
    <w:rsid w:val="35577297"/>
    <w:rsid w:val="355C5AB7"/>
    <w:rsid w:val="355F439E"/>
    <w:rsid w:val="355F7EFA"/>
    <w:rsid w:val="356814A4"/>
    <w:rsid w:val="356A0580"/>
    <w:rsid w:val="356F4FBA"/>
    <w:rsid w:val="3575771D"/>
    <w:rsid w:val="3576124D"/>
    <w:rsid w:val="35773495"/>
    <w:rsid w:val="357A4D33"/>
    <w:rsid w:val="35810843"/>
    <w:rsid w:val="35845BB2"/>
    <w:rsid w:val="35887450"/>
    <w:rsid w:val="358C5FA8"/>
    <w:rsid w:val="359559D7"/>
    <w:rsid w:val="359758E5"/>
    <w:rsid w:val="35BE6570"/>
    <w:rsid w:val="35C15DF1"/>
    <w:rsid w:val="35C16E06"/>
    <w:rsid w:val="35C778E0"/>
    <w:rsid w:val="35CA38CE"/>
    <w:rsid w:val="35D643E6"/>
    <w:rsid w:val="35DB11D2"/>
    <w:rsid w:val="35E13004"/>
    <w:rsid w:val="35E41E62"/>
    <w:rsid w:val="35E87EEF"/>
    <w:rsid w:val="35E90436"/>
    <w:rsid w:val="35E93C67"/>
    <w:rsid w:val="35E94AF3"/>
    <w:rsid w:val="35ED19A9"/>
    <w:rsid w:val="35F22391"/>
    <w:rsid w:val="35F26FC0"/>
    <w:rsid w:val="35F607CB"/>
    <w:rsid w:val="35F83CBA"/>
    <w:rsid w:val="36015455"/>
    <w:rsid w:val="3606093C"/>
    <w:rsid w:val="36074A7F"/>
    <w:rsid w:val="360867E3"/>
    <w:rsid w:val="360D3DFA"/>
    <w:rsid w:val="360D4655"/>
    <w:rsid w:val="36114676"/>
    <w:rsid w:val="36134E8B"/>
    <w:rsid w:val="36146F36"/>
    <w:rsid w:val="3615115B"/>
    <w:rsid w:val="36162CAE"/>
    <w:rsid w:val="361B3494"/>
    <w:rsid w:val="361B6516"/>
    <w:rsid w:val="3627310D"/>
    <w:rsid w:val="36280C33"/>
    <w:rsid w:val="3628478F"/>
    <w:rsid w:val="36337F76"/>
    <w:rsid w:val="36356EAC"/>
    <w:rsid w:val="363B44C3"/>
    <w:rsid w:val="363E2205"/>
    <w:rsid w:val="364553FD"/>
    <w:rsid w:val="364C52E9"/>
    <w:rsid w:val="364D41F6"/>
    <w:rsid w:val="364F7F6E"/>
    <w:rsid w:val="366652B8"/>
    <w:rsid w:val="3667175C"/>
    <w:rsid w:val="366E29C3"/>
    <w:rsid w:val="368340BC"/>
    <w:rsid w:val="36851BE2"/>
    <w:rsid w:val="36853990"/>
    <w:rsid w:val="3687595A"/>
    <w:rsid w:val="368959FD"/>
    <w:rsid w:val="36895BF7"/>
    <w:rsid w:val="368D5C4C"/>
    <w:rsid w:val="36923549"/>
    <w:rsid w:val="369342FF"/>
    <w:rsid w:val="369D6F2B"/>
    <w:rsid w:val="369F597F"/>
    <w:rsid w:val="36A118A5"/>
    <w:rsid w:val="36A11BEB"/>
    <w:rsid w:val="36B10C29"/>
    <w:rsid w:val="36B14785"/>
    <w:rsid w:val="36B75FBF"/>
    <w:rsid w:val="36BB1AA7"/>
    <w:rsid w:val="36BD0C45"/>
    <w:rsid w:val="36BE50F4"/>
    <w:rsid w:val="36C24BE4"/>
    <w:rsid w:val="36C3270A"/>
    <w:rsid w:val="36CF25F9"/>
    <w:rsid w:val="36D30B9F"/>
    <w:rsid w:val="36D641EB"/>
    <w:rsid w:val="36D96A36"/>
    <w:rsid w:val="36DA6785"/>
    <w:rsid w:val="36DF7544"/>
    <w:rsid w:val="36E27034"/>
    <w:rsid w:val="36F154C9"/>
    <w:rsid w:val="370201E8"/>
    <w:rsid w:val="370945C1"/>
    <w:rsid w:val="370B658B"/>
    <w:rsid w:val="370C40B1"/>
    <w:rsid w:val="371371EE"/>
    <w:rsid w:val="37192788"/>
    <w:rsid w:val="371A057C"/>
    <w:rsid w:val="371B2546"/>
    <w:rsid w:val="371F65FA"/>
    <w:rsid w:val="37215DAE"/>
    <w:rsid w:val="37236FF1"/>
    <w:rsid w:val="37265299"/>
    <w:rsid w:val="37270EEB"/>
    <w:rsid w:val="37272C99"/>
    <w:rsid w:val="3727713D"/>
    <w:rsid w:val="3732332F"/>
    <w:rsid w:val="37353608"/>
    <w:rsid w:val="37387E37"/>
    <w:rsid w:val="373C4996"/>
    <w:rsid w:val="37441A9D"/>
    <w:rsid w:val="374B2E2B"/>
    <w:rsid w:val="375C6DE7"/>
    <w:rsid w:val="375F68D7"/>
    <w:rsid w:val="37704807"/>
    <w:rsid w:val="37737C8C"/>
    <w:rsid w:val="37747743"/>
    <w:rsid w:val="377F06AD"/>
    <w:rsid w:val="377F4883"/>
    <w:rsid w:val="378C020C"/>
    <w:rsid w:val="378D2FFD"/>
    <w:rsid w:val="378E7BEC"/>
    <w:rsid w:val="37906A90"/>
    <w:rsid w:val="37936580"/>
    <w:rsid w:val="37945201"/>
    <w:rsid w:val="379963C7"/>
    <w:rsid w:val="379B60E1"/>
    <w:rsid w:val="379D29F3"/>
    <w:rsid w:val="37A20571"/>
    <w:rsid w:val="37A50AAD"/>
    <w:rsid w:val="37AF7AF5"/>
    <w:rsid w:val="37B06B2D"/>
    <w:rsid w:val="37B7401D"/>
    <w:rsid w:val="37B85691"/>
    <w:rsid w:val="37BC5AD7"/>
    <w:rsid w:val="37BD53AB"/>
    <w:rsid w:val="37BE184F"/>
    <w:rsid w:val="37C07E87"/>
    <w:rsid w:val="37C4673A"/>
    <w:rsid w:val="37C52BDE"/>
    <w:rsid w:val="37C91FA2"/>
    <w:rsid w:val="37D3697D"/>
    <w:rsid w:val="37D50947"/>
    <w:rsid w:val="37D57F4F"/>
    <w:rsid w:val="37DA5F5D"/>
    <w:rsid w:val="37DC0EE0"/>
    <w:rsid w:val="37DC1CD5"/>
    <w:rsid w:val="37DD15AA"/>
    <w:rsid w:val="37E00298"/>
    <w:rsid w:val="37E1553E"/>
    <w:rsid w:val="37EA2644"/>
    <w:rsid w:val="37EC0259"/>
    <w:rsid w:val="37ED7A3F"/>
    <w:rsid w:val="37F05781"/>
    <w:rsid w:val="37F66FC7"/>
    <w:rsid w:val="37FB2F62"/>
    <w:rsid w:val="37FB6A05"/>
    <w:rsid w:val="37FE2DCB"/>
    <w:rsid w:val="37FE30D2"/>
    <w:rsid w:val="38003C16"/>
    <w:rsid w:val="38042549"/>
    <w:rsid w:val="3810197F"/>
    <w:rsid w:val="38107BD1"/>
    <w:rsid w:val="381C6576"/>
    <w:rsid w:val="382316B2"/>
    <w:rsid w:val="38285B5C"/>
    <w:rsid w:val="382B67B9"/>
    <w:rsid w:val="38327B47"/>
    <w:rsid w:val="383438BF"/>
    <w:rsid w:val="38390ED6"/>
    <w:rsid w:val="383B4C4E"/>
    <w:rsid w:val="383C2AF5"/>
    <w:rsid w:val="38406CB4"/>
    <w:rsid w:val="3842422E"/>
    <w:rsid w:val="3845787B"/>
    <w:rsid w:val="38496769"/>
    <w:rsid w:val="384A4E91"/>
    <w:rsid w:val="384F24A7"/>
    <w:rsid w:val="384F4255"/>
    <w:rsid w:val="38543F62"/>
    <w:rsid w:val="385B709E"/>
    <w:rsid w:val="3862042D"/>
    <w:rsid w:val="386D6DD1"/>
    <w:rsid w:val="387243E8"/>
    <w:rsid w:val="38726196"/>
    <w:rsid w:val="387B329C"/>
    <w:rsid w:val="387D5266"/>
    <w:rsid w:val="388008B3"/>
    <w:rsid w:val="3881462B"/>
    <w:rsid w:val="3882287D"/>
    <w:rsid w:val="38832151"/>
    <w:rsid w:val="388A7F97"/>
    <w:rsid w:val="388D2FD0"/>
    <w:rsid w:val="38993D18"/>
    <w:rsid w:val="389C3213"/>
    <w:rsid w:val="389E342F"/>
    <w:rsid w:val="389E774C"/>
    <w:rsid w:val="38A10829"/>
    <w:rsid w:val="38A46394"/>
    <w:rsid w:val="38A81BB8"/>
    <w:rsid w:val="38B302F9"/>
    <w:rsid w:val="38B35BDE"/>
    <w:rsid w:val="38BB7B3D"/>
    <w:rsid w:val="38CC3AF8"/>
    <w:rsid w:val="38D26C34"/>
    <w:rsid w:val="38D53F72"/>
    <w:rsid w:val="38D8249D"/>
    <w:rsid w:val="38E86458"/>
    <w:rsid w:val="38E87ECE"/>
    <w:rsid w:val="38E928FC"/>
    <w:rsid w:val="38EA21D0"/>
    <w:rsid w:val="38F117B0"/>
    <w:rsid w:val="38F12CD3"/>
    <w:rsid w:val="38F94775"/>
    <w:rsid w:val="3903338C"/>
    <w:rsid w:val="3905700A"/>
    <w:rsid w:val="39096992"/>
    <w:rsid w:val="39096AFA"/>
    <w:rsid w:val="390E2362"/>
    <w:rsid w:val="390E5EBF"/>
    <w:rsid w:val="390F1C37"/>
    <w:rsid w:val="390F4C36"/>
    <w:rsid w:val="39113C01"/>
    <w:rsid w:val="391334D5"/>
    <w:rsid w:val="391A0D07"/>
    <w:rsid w:val="39205BF2"/>
    <w:rsid w:val="392077F5"/>
    <w:rsid w:val="392971ED"/>
    <w:rsid w:val="39325651"/>
    <w:rsid w:val="39330C32"/>
    <w:rsid w:val="393578EF"/>
    <w:rsid w:val="39382F3B"/>
    <w:rsid w:val="393873DF"/>
    <w:rsid w:val="39475874"/>
    <w:rsid w:val="39565AB7"/>
    <w:rsid w:val="39754190"/>
    <w:rsid w:val="397871A5"/>
    <w:rsid w:val="39793A97"/>
    <w:rsid w:val="397C551E"/>
    <w:rsid w:val="397D4F1B"/>
    <w:rsid w:val="39845ABA"/>
    <w:rsid w:val="39850668"/>
    <w:rsid w:val="39873EC3"/>
    <w:rsid w:val="39875C71"/>
    <w:rsid w:val="39904B26"/>
    <w:rsid w:val="39944A1D"/>
    <w:rsid w:val="399674A1"/>
    <w:rsid w:val="399F120C"/>
    <w:rsid w:val="39A14595"/>
    <w:rsid w:val="39A22AAB"/>
    <w:rsid w:val="39A24859"/>
    <w:rsid w:val="39A86313"/>
    <w:rsid w:val="39AB5E03"/>
    <w:rsid w:val="39AE4929"/>
    <w:rsid w:val="39B53C0B"/>
    <w:rsid w:val="39B90520"/>
    <w:rsid w:val="39BD4F8E"/>
    <w:rsid w:val="39BE4A37"/>
    <w:rsid w:val="39C173D5"/>
    <w:rsid w:val="39C24EFB"/>
    <w:rsid w:val="39C40C73"/>
    <w:rsid w:val="39CB0253"/>
    <w:rsid w:val="39CD59D6"/>
    <w:rsid w:val="39D72754"/>
    <w:rsid w:val="39D974C5"/>
    <w:rsid w:val="39DD097D"/>
    <w:rsid w:val="39DE7F87"/>
    <w:rsid w:val="39E7589A"/>
    <w:rsid w:val="39F07CBA"/>
    <w:rsid w:val="39F33306"/>
    <w:rsid w:val="39F71049"/>
    <w:rsid w:val="39F94DC1"/>
    <w:rsid w:val="39FA28E7"/>
    <w:rsid w:val="39FB6819"/>
    <w:rsid w:val="39FC040D"/>
    <w:rsid w:val="39FF60EE"/>
    <w:rsid w:val="3A054634"/>
    <w:rsid w:val="3A064C8C"/>
    <w:rsid w:val="3A0B4AF4"/>
    <w:rsid w:val="3A1A77DA"/>
    <w:rsid w:val="3A23599A"/>
    <w:rsid w:val="3A255BB6"/>
    <w:rsid w:val="3A2A31CC"/>
    <w:rsid w:val="3A306308"/>
    <w:rsid w:val="3A3454BF"/>
    <w:rsid w:val="3A3A2CE3"/>
    <w:rsid w:val="3A3C2EFF"/>
    <w:rsid w:val="3A3C4CAD"/>
    <w:rsid w:val="3A3E4582"/>
    <w:rsid w:val="3A3E6C77"/>
    <w:rsid w:val="3A3F02FA"/>
    <w:rsid w:val="3A437DEA"/>
    <w:rsid w:val="3A494C37"/>
    <w:rsid w:val="3A4D0C68"/>
    <w:rsid w:val="3A5111CD"/>
    <w:rsid w:val="3A536E8F"/>
    <w:rsid w:val="3A551B4D"/>
    <w:rsid w:val="3A575643"/>
    <w:rsid w:val="3A654204"/>
    <w:rsid w:val="3A663AD8"/>
    <w:rsid w:val="3A712BA9"/>
    <w:rsid w:val="3A7312F0"/>
    <w:rsid w:val="3A78116B"/>
    <w:rsid w:val="3A792DA8"/>
    <w:rsid w:val="3A7E0E22"/>
    <w:rsid w:val="3A872856"/>
    <w:rsid w:val="3A8A5A19"/>
    <w:rsid w:val="3A900FD0"/>
    <w:rsid w:val="3A9C399E"/>
    <w:rsid w:val="3A9E7716"/>
    <w:rsid w:val="3AA0348E"/>
    <w:rsid w:val="3AAD5BAB"/>
    <w:rsid w:val="3AAF722D"/>
    <w:rsid w:val="3AB07529"/>
    <w:rsid w:val="3ABD5DEE"/>
    <w:rsid w:val="3ABE0D08"/>
    <w:rsid w:val="3AD924FC"/>
    <w:rsid w:val="3AD969A0"/>
    <w:rsid w:val="3ADD1FEC"/>
    <w:rsid w:val="3AE322C6"/>
    <w:rsid w:val="3AF31810"/>
    <w:rsid w:val="3AF410E4"/>
    <w:rsid w:val="3AFB06C4"/>
    <w:rsid w:val="3B08098E"/>
    <w:rsid w:val="3B0F23C2"/>
    <w:rsid w:val="3B196D9D"/>
    <w:rsid w:val="3B226475"/>
    <w:rsid w:val="3B261FE2"/>
    <w:rsid w:val="3B273268"/>
    <w:rsid w:val="3B2C3C71"/>
    <w:rsid w:val="3B2C6AD0"/>
    <w:rsid w:val="3B2F7ECD"/>
    <w:rsid w:val="3B345984"/>
    <w:rsid w:val="3B3763D1"/>
    <w:rsid w:val="3B3D2A8B"/>
    <w:rsid w:val="3B3D7EF1"/>
    <w:rsid w:val="3B4007CD"/>
    <w:rsid w:val="3B4A33FA"/>
    <w:rsid w:val="3B516536"/>
    <w:rsid w:val="3B5878C5"/>
    <w:rsid w:val="3B5A188F"/>
    <w:rsid w:val="3B5D312D"/>
    <w:rsid w:val="3B6C511E"/>
    <w:rsid w:val="3B6E70E8"/>
    <w:rsid w:val="3B725A07"/>
    <w:rsid w:val="3B7E098B"/>
    <w:rsid w:val="3B800BCA"/>
    <w:rsid w:val="3B837FC2"/>
    <w:rsid w:val="3B8A79A6"/>
    <w:rsid w:val="3B8C62D6"/>
    <w:rsid w:val="3B9D79CE"/>
    <w:rsid w:val="3BA64AD4"/>
    <w:rsid w:val="3BA90120"/>
    <w:rsid w:val="3BAB2DDE"/>
    <w:rsid w:val="3BB00D7F"/>
    <w:rsid w:val="3BC040E2"/>
    <w:rsid w:val="3BC211E2"/>
    <w:rsid w:val="3BC61B14"/>
    <w:rsid w:val="3BCC2C0F"/>
    <w:rsid w:val="3BD006E8"/>
    <w:rsid w:val="3BD038FF"/>
    <w:rsid w:val="3BD52F77"/>
    <w:rsid w:val="3BD66A3C"/>
    <w:rsid w:val="3BD86C58"/>
    <w:rsid w:val="3BDE6E4E"/>
    <w:rsid w:val="3BE9676F"/>
    <w:rsid w:val="3BEA279F"/>
    <w:rsid w:val="3BEB0739"/>
    <w:rsid w:val="3BF84E2A"/>
    <w:rsid w:val="3BFD046C"/>
    <w:rsid w:val="3C095063"/>
    <w:rsid w:val="3C0D06AF"/>
    <w:rsid w:val="3C0D6901"/>
    <w:rsid w:val="3C1557B6"/>
    <w:rsid w:val="3C1D466B"/>
    <w:rsid w:val="3C204AFC"/>
    <w:rsid w:val="3C2F6E1E"/>
    <w:rsid w:val="3C37397E"/>
    <w:rsid w:val="3C392C9C"/>
    <w:rsid w:val="3C4147FD"/>
    <w:rsid w:val="3C4F64BA"/>
    <w:rsid w:val="3C544530"/>
    <w:rsid w:val="3C5A766D"/>
    <w:rsid w:val="3C5B3B1A"/>
    <w:rsid w:val="3C5C1637"/>
    <w:rsid w:val="3C601127"/>
    <w:rsid w:val="3C650E53"/>
    <w:rsid w:val="3C664263"/>
    <w:rsid w:val="3C687FDC"/>
    <w:rsid w:val="3C6A5B02"/>
    <w:rsid w:val="3C6C13B6"/>
    <w:rsid w:val="3C6D114E"/>
    <w:rsid w:val="3C6D7AD0"/>
    <w:rsid w:val="3C6F3118"/>
    <w:rsid w:val="3C795D45"/>
    <w:rsid w:val="3C7A1ABD"/>
    <w:rsid w:val="3C7C3A87"/>
    <w:rsid w:val="3C7F2CC1"/>
    <w:rsid w:val="3C834E15"/>
    <w:rsid w:val="3C85300E"/>
    <w:rsid w:val="3C8841DA"/>
    <w:rsid w:val="3C8935EF"/>
    <w:rsid w:val="3C920BB5"/>
    <w:rsid w:val="3C9B4C94"/>
    <w:rsid w:val="3C9D0FE0"/>
    <w:rsid w:val="3CA12094"/>
    <w:rsid w:val="3CA134EE"/>
    <w:rsid w:val="3CB054DF"/>
    <w:rsid w:val="3CB56D8B"/>
    <w:rsid w:val="3CB57AE8"/>
    <w:rsid w:val="3CB90837"/>
    <w:rsid w:val="3CBD0327"/>
    <w:rsid w:val="3CBE19AA"/>
    <w:rsid w:val="3CC44087"/>
    <w:rsid w:val="3CC50459"/>
    <w:rsid w:val="3CC66207"/>
    <w:rsid w:val="3CCA2A44"/>
    <w:rsid w:val="3CD236A7"/>
    <w:rsid w:val="3CDA245A"/>
    <w:rsid w:val="3CF03B2D"/>
    <w:rsid w:val="3CF4361D"/>
    <w:rsid w:val="3D006466"/>
    <w:rsid w:val="3D040CB5"/>
    <w:rsid w:val="3D0F66A9"/>
    <w:rsid w:val="3D127F47"/>
    <w:rsid w:val="3D1B504E"/>
    <w:rsid w:val="3D1D2B74"/>
    <w:rsid w:val="3D1E06B7"/>
    <w:rsid w:val="3D216703"/>
    <w:rsid w:val="3D2C29C6"/>
    <w:rsid w:val="3D2D6D90"/>
    <w:rsid w:val="3D2F4655"/>
    <w:rsid w:val="3D311FE7"/>
    <w:rsid w:val="3D4445A5"/>
    <w:rsid w:val="3D44525F"/>
    <w:rsid w:val="3D4A01D7"/>
    <w:rsid w:val="3D535D9E"/>
    <w:rsid w:val="3D653D8E"/>
    <w:rsid w:val="3D670293"/>
    <w:rsid w:val="3D6A38DF"/>
    <w:rsid w:val="3D6C58AA"/>
    <w:rsid w:val="3D7309E6"/>
    <w:rsid w:val="3D783084"/>
    <w:rsid w:val="3D7A7FC6"/>
    <w:rsid w:val="3D826E7B"/>
    <w:rsid w:val="3D8449A1"/>
    <w:rsid w:val="3D8E5820"/>
    <w:rsid w:val="3D9F7A2D"/>
    <w:rsid w:val="3DA54918"/>
    <w:rsid w:val="3DA7291A"/>
    <w:rsid w:val="3DA9265A"/>
    <w:rsid w:val="3DAE00D5"/>
    <w:rsid w:val="3DB159B2"/>
    <w:rsid w:val="3DB42DAD"/>
    <w:rsid w:val="3DB73753"/>
    <w:rsid w:val="3DB7740C"/>
    <w:rsid w:val="3DB8289D"/>
    <w:rsid w:val="3DBA7B3D"/>
    <w:rsid w:val="3DC254CA"/>
    <w:rsid w:val="3DC92CFC"/>
    <w:rsid w:val="3DCB6A74"/>
    <w:rsid w:val="3DCC29BA"/>
    <w:rsid w:val="3DD1395F"/>
    <w:rsid w:val="3DD47255"/>
    <w:rsid w:val="3DDD5C3F"/>
    <w:rsid w:val="3DFE0BF8"/>
    <w:rsid w:val="3E09134A"/>
    <w:rsid w:val="3E1113DE"/>
    <w:rsid w:val="3E13107E"/>
    <w:rsid w:val="3E136A94"/>
    <w:rsid w:val="3E210442"/>
    <w:rsid w:val="3E287A22"/>
    <w:rsid w:val="3E3102AB"/>
    <w:rsid w:val="3E3363C7"/>
    <w:rsid w:val="3E3913D7"/>
    <w:rsid w:val="3E3D0FF4"/>
    <w:rsid w:val="3E4170BC"/>
    <w:rsid w:val="3E42660A"/>
    <w:rsid w:val="3E452F5F"/>
    <w:rsid w:val="3E4E3201"/>
    <w:rsid w:val="3E522CF1"/>
    <w:rsid w:val="3E536D07"/>
    <w:rsid w:val="3E5844CD"/>
    <w:rsid w:val="3E594080"/>
    <w:rsid w:val="3E5A1BA6"/>
    <w:rsid w:val="3E5A44B0"/>
    <w:rsid w:val="3E774506"/>
    <w:rsid w:val="3E7C7D6E"/>
    <w:rsid w:val="3E7E7642"/>
    <w:rsid w:val="3E80785E"/>
    <w:rsid w:val="3E86299B"/>
    <w:rsid w:val="3E8A248B"/>
    <w:rsid w:val="3E952BDE"/>
    <w:rsid w:val="3E974BA8"/>
    <w:rsid w:val="3E9F580B"/>
    <w:rsid w:val="3EA74998"/>
    <w:rsid w:val="3EB1238D"/>
    <w:rsid w:val="3EBA43F3"/>
    <w:rsid w:val="3EBA4F1D"/>
    <w:rsid w:val="3EC3599D"/>
    <w:rsid w:val="3EC712FD"/>
    <w:rsid w:val="3EC86B10"/>
    <w:rsid w:val="3ECB13AD"/>
    <w:rsid w:val="3ECF60F0"/>
    <w:rsid w:val="3ED100BA"/>
    <w:rsid w:val="3ED3238B"/>
    <w:rsid w:val="3EDA0523"/>
    <w:rsid w:val="3EDB2CE7"/>
    <w:rsid w:val="3EE55913"/>
    <w:rsid w:val="3EE80F60"/>
    <w:rsid w:val="3EED2A1A"/>
    <w:rsid w:val="3EF20030"/>
    <w:rsid w:val="3EF525AD"/>
    <w:rsid w:val="3EF52B33"/>
    <w:rsid w:val="3EF754C4"/>
    <w:rsid w:val="3F065B75"/>
    <w:rsid w:val="3F0B2EA0"/>
    <w:rsid w:val="3F0D000C"/>
    <w:rsid w:val="3F122481"/>
    <w:rsid w:val="3F1251DD"/>
    <w:rsid w:val="3F126659"/>
    <w:rsid w:val="3F1B7587"/>
    <w:rsid w:val="3F23643C"/>
    <w:rsid w:val="3F255D10"/>
    <w:rsid w:val="3F2A77CA"/>
    <w:rsid w:val="3F2C3542"/>
    <w:rsid w:val="3F2D777A"/>
    <w:rsid w:val="3F367F1D"/>
    <w:rsid w:val="3F3F66D9"/>
    <w:rsid w:val="3F450160"/>
    <w:rsid w:val="3F474725"/>
    <w:rsid w:val="3F4B5684"/>
    <w:rsid w:val="3F4E04A6"/>
    <w:rsid w:val="3F4E2026"/>
    <w:rsid w:val="3F4F3363"/>
    <w:rsid w:val="3F4F7231"/>
    <w:rsid w:val="3F514D57"/>
    <w:rsid w:val="3F566811"/>
    <w:rsid w:val="3F5D194E"/>
    <w:rsid w:val="3F616DE4"/>
    <w:rsid w:val="3F644B9E"/>
    <w:rsid w:val="3F656A54"/>
    <w:rsid w:val="3F695DAF"/>
    <w:rsid w:val="3F6B165F"/>
    <w:rsid w:val="3F6C1B91"/>
    <w:rsid w:val="3F6C393F"/>
    <w:rsid w:val="3F6F78D3"/>
    <w:rsid w:val="3F746C97"/>
    <w:rsid w:val="3F786042"/>
    <w:rsid w:val="3F8A1EFB"/>
    <w:rsid w:val="3F8A2017"/>
    <w:rsid w:val="3F8C2250"/>
    <w:rsid w:val="3F8E7D59"/>
    <w:rsid w:val="3F941779"/>
    <w:rsid w:val="3F964E60"/>
    <w:rsid w:val="3F9B2DCE"/>
    <w:rsid w:val="3FA532F5"/>
    <w:rsid w:val="3FB1324E"/>
    <w:rsid w:val="3FB452E6"/>
    <w:rsid w:val="3FBF43B6"/>
    <w:rsid w:val="3FC27A03"/>
    <w:rsid w:val="3FC72668"/>
    <w:rsid w:val="3FCC6AD3"/>
    <w:rsid w:val="3FCD5A5D"/>
    <w:rsid w:val="3FD17C46"/>
    <w:rsid w:val="3FD5329E"/>
    <w:rsid w:val="3FD87116"/>
    <w:rsid w:val="3FDE566B"/>
    <w:rsid w:val="3FE1257F"/>
    <w:rsid w:val="3FE77469"/>
    <w:rsid w:val="3FEB51AC"/>
    <w:rsid w:val="3FEC2CD2"/>
    <w:rsid w:val="3FF132F0"/>
    <w:rsid w:val="3FF34060"/>
    <w:rsid w:val="3FF35E0E"/>
    <w:rsid w:val="3FF57DD8"/>
    <w:rsid w:val="3FFB4CC3"/>
    <w:rsid w:val="3FFC5081"/>
    <w:rsid w:val="3FFF47B3"/>
    <w:rsid w:val="400C0C7E"/>
    <w:rsid w:val="401B1A9A"/>
    <w:rsid w:val="401D10DD"/>
    <w:rsid w:val="40271505"/>
    <w:rsid w:val="40273D0A"/>
    <w:rsid w:val="402D7572"/>
    <w:rsid w:val="40307062"/>
    <w:rsid w:val="403311B0"/>
    <w:rsid w:val="403501D5"/>
    <w:rsid w:val="403F2E01"/>
    <w:rsid w:val="4041301D"/>
    <w:rsid w:val="404171CE"/>
    <w:rsid w:val="40491ED2"/>
    <w:rsid w:val="4051580E"/>
    <w:rsid w:val="40552625"/>
    <w:rsid w:val="406665E0"/>
    <w:rsid w:val="406C796F"/>
    <w:rsid w:val="406D5519"/>
    <w:rsid w:val="40784565"/>
    <w:rsid w:val="407A6407"/>
    <w:rsid w:val="408829FA"/>
    <w:rsid w:val="40885F49"/>
    <w:rsid w:val="408D2437"/>
    <w:rsid w:val="408D6263"/>
    <w:rsid w:val="40955117"/>
    <w:rsid w:val="409B3F98"/>
    <w:rsid w:val="40A11D0E"/>
    <w:rsid w:val="40A40265"/>
    <w:rsid w:val="40A52B59"/>
    <w:rsid w:val="40AE1E2A"/>
    <w:rsid w:val="40B05AAD"/>
    <w:rsid w:val="40B437EF"/>
    <w:rsid w:val="40B6353A"/>
    <w:rsid w:val="40B82BB4"/>
    <w:rsid w:val="40B841A9"/>
    <w:rsid w:val="40C652D1"/>
    <w:rsid w:val="40CD2B03"/>
    <w:rsid w:val="40D23C76"/>
    <w:rsid w:val="40D559E0"/>
    <w:rsid w:val="40E35E83"/>
    <w:rsid w:val="40EC2BC3"/>
    <w:rsid w:val="40ED4F53"/>
    <w:rsid w:val="40F005A0"/>
    <w:rsid w:val="40F24318"/>
    <w:rsid w:val="40F40090"/>
    <w:rsid w:val="40FE2700"/>
    <w:rsid w:val="41083B3B"/>
    <w:rsid w:val="4110479E"/>
    <w:rsid w:val="4114428E"/>
    <w:rsid w:val="411C1395"/>
    <w:rsid w:val="411D7259"/>
    <w:rsid w:val="412160C9"/>
    <w:rsid w:val="41384420"/>
    <w:rsid w:val="41393CF5"/>
    <w:rsid w:val="413F0F4F"/>
    <w:rsid w:val="41464224"/>
    <w:rsid w:val="41576633"/>
    <w:rsid w:val="41676AB4"/>
    <w:rsid w:val="41686388"/>
    <w:rsid w:val="416A65A4"/>
    <w:rsid w:val="416B602F"/>
    <w:rsid w:val="41744D2D"/>
    <w:rsid w:val="41785377"/>
    <w:rsid w:val="417967E7"/>
    <w:rsid w:val="417B430D"/>
    <w:rsid w:val="417E3DFD"/>
    <w:rsid w:val="41882FC6"/>
    <w:rsid w:val="41943621"/>
    <w:rsid w:val="4195025F"/>
    <w:rsid w:val="41AC096A"/>
    <w:rsid w:val="41B15F81"/>
    <w:rsid w:val="41B63597"/>
    <w:rsid w:val="41BB295C"/>
    <w:rsid w:val="41C31810"/>
    <w:rsid w:val="41C757A4"/>
    <w:rsid w:val="41C87E31"/>
    <w:rsid w:val="41C9151C"/>
    <w:rsid w:val="41C927E8"/>
    <w:rsid w:val="41C932CA"/>
    <w:rsid w:val="41CF6407"/>
    <w:rsid w:val="41DD0B24"/>
    <w:rsid w:val="41DD28D2"/>
    <w:rsid w:val="41E158E5"/>
    <w:rsid w:val="41E55A36"/>
    <w:rsid w:val="41E719A3"/>
    <w:rsid w:val="41EA2C66"/>
    <w:rsid w:val="41EA4FEF"/>
    <w:rsid w:val="41EC6FB9"/>
    <w:rsid w:val="41F82483"/>
    <w:rsid w:val="41F93484"/>
    <w:rsid w:val="41FF4DFA"/>
    <w:rsid w:val="4200449D"/>
    <w:rsid w:val="42004812"/>
    <w:rsid w:val="42046A3D"/>
    <w:rsid w:val="42047533"/>
    <w:rsid w:val="4205007B"/>
    <w:rsid w:val="42051E29"/>
    <w:rsid w:val="421D3616"/>
    <w:rsid w:val="421D7172"/>
    <w:rsid w:val="421F2EEA"/>
    <w:rsid w:val="422113A4"/>
    <w:rsid w:val="422A5D5D"/>
    <w:rsid w:val="42304C9D"/>
    <w:rsid w:val="423529C0"/>
    <w:rsid w:val="42360234"/>
    <w:rsid w:val="42366DB7"/>
    <w:rsid w:val="423A3BCC"/>
    <w:rsid w:val="423C6931"/>
    <w:rsid w:val="42407D0F"/>
    <w:rsid w:val="42472441"/>
    <w:rsid w:val="424C55C7"/>
    <w:rsid w:val="424E557E"/>
    <w:rsid w:val="424E57D2"/>
    <w:rsid w:val="425828A0"/>
    <w:rsid w:val="425A2175"/>
    <w:rsid w:val="42621029"/>
    <w:rsid w:val="42674891"/>
    <w:rsid w:val="426B4382"/>
    <w:rsid w:val="426D00FA"/>
    <w:rsid w:val="42772D26"/>
    <w:rsid w:val="4278084D"/>
    <w:rsid w:val="427A2817"/>
    <w:rsid w:val="427B4245"/>
    <w:rsid w:val="427E2307"/>
    <w:rsid w:val="428758E9"/>
    <w:rsid w:val="4288545C"/>
    <w:rsid w:val="42886C9F"/>
    <w:rsid w:val="42932B04"/>
    <w:rsid w:val="42957651"/>
    <w:rsid w:val="429D4850"/>
    <w:rsid w:val="42A930FC"/>
    <w:rsid w:val="42AC5117"/>
    <w:rsid w:val="42B06238"/>
    <w:rsid w:val="42B20202"/>
    <w:rsid w:val="42B26C49"/>
    <w:rsid w:val="42B4482C"/>
    <w:rsid w:val="42B53AF5"/>
    <w:rsid w:val="42B802B2"/>
    <w:rsid w:val="42CF2B62"/>
    <w:rsid w:val="42DC0DDB"/>
    <w:rsid w:val="42EB256B"/>
    <w:rsid w:val="42F3082F"/>
    <w:rsid w:val="42F56341"/>
    <w:rsid w:val="43000F6E"/>
    <w:rsid w:val="43030A5E"/>
    <w:rsid w:val="4303280C"/>
    <w:rsid w:val="43095949"/>
    <w:rsid w:val="431C38CE"/>
    <w:rsid w:val="43252782"/>
    <w:rsid w:val="432B58BF"/>
    <w:rsid w:val="43302ED5"/>
    <w:rsid w:val="43397FDC"/>
    <w:rsid w:val="433A6EA7"/>
    <w:rsid w:val="433A6FE6"/>
    <w:rsid w:val="43475FAB"/>
    <w:rsid w:val="43476B9D"/>
    <w:rsid w:val="43480868"/>
    <w:rsid w:val="43484CFF"/>
    <w:rsid w:val="434B7D0F"/>
    <w:rsid w:val="4350713C"/>
    <w:rsid w:val="4352109E"/>
    <w:rsid w:val="4355293C"/>
    <w:rsid w:val="4356671E"/>
    <w:rsid w:val="4359348E"/>
    <w:rsid w:val="435A1519"/>
    <w:rsid w:val="43635059"/>
    <w:rsid w:val="436653E0"/>
    <w:rsid w:val="43672D9B"/>
    <w:rsid w:val="43713C1A"/>
    <w:rsid w:val="43770B04"/>
    <w:rsid w:val="437D25BE"/>
    <w:rsid w:val="438307EA"/>
    <w:rsid w:val="43860D47"/>
    <w:rsid w:val="43882D11"/>
    <w:rsid w:val="43890F54"/>
    <w:rsid w:val="438945E6"/>
    <w:rsid w:val="43996CCD"/>
    <w:rsid w:val="439B0C97"/>
    <w:rsid w:val="439C4815"/>
    <w:rsid w:val="439E2535"/>
    <w:rsid w:val="43A22025"/>
    <w:rsid w:val="43A86F10"/>
    <w:rsid w:val="43AD2778"/>
    <w:rsid w:val="43AF4742"/>
    <w:rsid w:val="43B9382D"/>
    <w:rsid w:val="43BE4985"/>
    <w:rsid w:val="43C07C90"/>
    <w:rsid w:val="43C27FD1"/>
    <w:rsid w:val="43C4431A"/>
    <w:rsid w:val="43C83EB2"/>
    <w:rsid w:val="43C875B2"/>
    <w:rsid w:val="43C95039"/>
    <w:rsid w:val="43CA332A"/>
    <w:rsid w:val="43CF0940"/>
    <w:rsid w:val="43D361EF"/>
    <w:rsid w:val="43D61CCF"/>
    <w:rsid w:val="43DD12AF"/>
    <w:rsid w:val="43DE6DD5"/>
    <w:rsid w:val="43DF5027"/>
    <w:rsid w:val="43E268C5"/>
    <w:rsid w:val="43EC14F2"/>
    <w:rsid w:val="43F202D8"/>
    <w:rsid w:val="43F263DD"/>
    <w:rsid w:val="43FB34E3"/>
    <w:rsid w:val="43FC32A0"/>
    <w:rsid w:val="44056B1D"/>
    <w:rsid w:val="440F51E1"/>
    <w:rsid w:val="4413082D"/>
    <w:rsid w:val="44135E3D"/>
    <w:rsid w:val="44142073"/>
    <w:rsid w:val="441478F0"/>
    <w:rsid w:val="441A6054"/>
    <w:rsid w:val="442756F7"/>
    <w:rsid w:val="44325588"/>
    <w:rsid w:val="443469F5"/>
    <w:rsid w:val="4436451B"/>
    <w:rsid w:val="44384737"/>
    <w:rsid w:val="443B538D"/>
    <w:rsid w:val="443E1A9D"/>
    <w:rsid w:val="44476729"/>
    <w:rsid w:val="444C1F91"/>
    <w:rsid w:val="444E7AB7"/>
    <w:rsid w:val="44501A81"/>
    <w:rsid w:val="4456696C"/>
    <w:rsid w:val="44580936"/>
    <w:rsid w:val="445F3A72"/>
    <w:rsid w:val="44613C8E"/>
    <w:rsid w:val="446C2633"/>
    <w:rsid w:val="446C618F"/>
    <w:rsid w:val="446F7A2D"/>
    <w:rsid w:val="44760DBC"/>
    <w:rsid w:val="4476700E"/>
    <w:rsid w:val="447C2876"/>
    <w:rsid w:val="44801C3A"/>
    <w:rsid w:val="448D78C3"/>
    <w:rsid w:val="44914E62"/>
    <w:rsid w:val="449166E8"/>
    <w:rsid w:val="44937BC0"/>
    <w:rsid w:val="449A2CFC"/>
    <w:rsid w:val="449B0822"/>
    <w:rsid w:val="449E0C07"/>
    <w:rsid w:val="44A16EA6"/>
    <w:rsid w:val="44A21BB1"/>
    <w:rsid w:val="44A41DCD"/>
    <w:rsid w:val="44A66CC7"/>
    <w:rsid w:val="44AB4F09"/>
    <w:rsid w:val="44B244EA"/>
    <w:rsid w:val="44B57B36"/>
    <w:rsid w:val="44B951CC"/>
    <w:rsid w:val="44C03837"/>
    <w:rsid w:val="44CD14E0"/>
    <w:rsid w:val="44CF0CF9"/>
    <w:rsid w:val="44D173B2"/>
    <w:rsid w:val="44D25729"/>
    <w:rsid w:val="44D3620E"/>
    <w:rsid w:val="44D415C8"/>
    <w:rsid w:val="44D472D9"/>
    <w:rsid w:val="44DA134B"/>
    <w:rsid w:val="44DC3315"/>
    <w:rsid w:val="44DE02F8"/>
    <w:rsid w:val="44DF2091"/>
    <w:rsid w:val="44DF4BB3"/>
    <w:rsid w:val="44E26451"/>
    <w:rsid w:val="44E30E42"/>
    <w:rsid w:val="44E623E5"/>
    <w:rsid w:val="44EE4DF6"/>
    <w:rsid w:val="44F20B0B"/>
    <w:rsid w:val="44F248E6"/>
    <w:rsid w:val="44F7014F"/>
    <w:rsid w:val="44F732D6"/>
    <w:rsid w:val="44FA7C3F"/>
    <w:rsid w:val="4508235C"/>
    <w:rsid w:val="450B1E4C"/>
    <w:rsid w:val="45101210"/>
    <w:rsid w:val="45132AAF"/>
    <w:rsid w:val="451F7B21"/>
    <w:rsid w:val="45207390"/>
    <w:rsid w:val="45234FB6"/>
    <w:rsid w:val="45260A34"/>
    <w:rsid w:val="45280308"/>
    <w:rsid w:val="452B604A"/>
    <w:rsid w:val="452E1696"/>
    <w:rsid w:val="452E3CBA"/>
    <w:rsid w:val="452E5F4C"/>
    <w:rsid w:val="453C0257"/>
    <w:rsid w:val="45401AF6"/>
    <w:rsid w:val="45466C0F"/>
    <w:rsid w:val="454B2644"/>
    <w:rsid w:val="454B3FF6"/>
    <w:rsid w:val="45561319"/>
    <w:rsid w:val="455664FC"/>
    <w:rsid w:val="45576E3F"/>
    <w:rsid w:val="45605CF4"/>
    <w:rsid w:val="45612018"/>
    <w:rsid w:val="4561381A"/>
    <w:rsid w:val="45637592"/>
    <w:rsid w:val="456F3ACE"/>
    <w:rsid w:val="45725A27"/>
    <w:rsid w:val="457A19CB"/>
    <w:rsid w:val="457C2402"/>
    <w:rsid w:val="457C4AF8"/>
    <w:rsid w:val="457E43CC"/>
    <w:rsid w:val="45800144"/>
    <w:rsid w:val="45832023"/>
    <w:rsid w:val="4584225E"/>
    <w:rsid w:val="45855206"/>
    <w:rsid w:val="458946E9"/>
    <w:rsid w:val="45941E41"/>
    <w:rsid w:val="45961716"/>
    <w:rsid w:val="459B6D2C"/>
    <w:rsid w:val="459C2AA4"/>
    <w:rsid w:val="45A47C0E"/>
    <w:rsid w:val="45AC207F"/>
    <w:rsid w:val="45E22BAD"/>
    <w:rsid w:val="45E87A97"/>
    <w:rsid w:val="45EA1A61"/>
    <w:rsid w:val="45EA7CB3"/>
    <w:rsid w:val="45EC57D9"/>
    <w:rsid w:val="45ED63FF"/>
    <w:rsid w:val="45EE70E7"/>
    <w:rsid w:val="45F1666A"/>
    <w:rsid w:val="45F26B0C"/>
    <w:rsid w:val="45F823D0"/>
    <w:rsid w:val="45F87C65"/>
    <w:rsid w:val="45FB77CB"/>
    <w:rsid w:val="45FF375F"/>
    <w:rsid w:val="46001285"/>
    <w:rsid w:val="46032B23"/>
    <w:rsid w:val="460348D1"/>
    <w:rsid w:val="46045951"/>
    <w:rsid w:val="4609638B"/>
    <w:rsid w:val="460A5C60"/>
    <w:rsid w:val="460D5750"/>
    <w:rsid w:val="460F771A"/>
    <w:rsid w:val="46135FD1"/>
    <w:rsid w:val="461864F7"/>
    <w:rsid w:val="461B1C1B"/>
    <w:rsid w:val="461D5FBC"/>
    <w:rsid w:val="46250CEB"/>
    <w:rsid w:val="462C207A"/>
    <w:rsid w:val="462C5BD6"/>
    <w:rsid w:val="4631143E"/>
    <w:rsid w:val="46315F44"/>
    <w:rsid w:val="46357180"/>
    <w:rsid w:val="463A06F9"/>
    <w:rsid w:val="463F7FFF"/>
    <w:rsid w:val="46405B25"/>
    <w:rsid w:val="464078D3"/>
    <w:rsid w:val="4645313C"/>
    <w:rsid w:val="46492C2C"/>
    <w:rsid w:val="464F5D68"/>
    <w:rsid w:val="4654337F"/>
    <w:rsid w:val="46577FD6"/>
    <w:rsid w:val="465D0485"/>
    <w:rsid w:val="466435C2"/>
    <w:rsid w:val="466730B2"/>
    <w:rsid w:val="4669507C"/>
    <w:rsid w:val="466E61EE"/>
    <w:rsid w:val="46724595"/>
    <w:rsid w:val="46737CA9"/>
    <w:rsid w:val="467A2DE5"/>
    <w:rsid w:val="467D28D5"/>
    <w:rsid w:val="46841EB6"/>
    <w:rsid w:val="468446EC"/>
    <w:rsid w:val="468A4D8B"/>
    <w:rsid w:val="46940DD5"/>
    <w:rsid w:val="46957C1F"/>
    <w:rsid w:val="46A00372"/>
    <w:rsid w:val="46A47E62"/>
    <w:rsid w:val="46AD1803"/>
    <w:rsid w:val="46B41CAB"/>
    <w:rsid w:val="46BE611A"/>
    <w:rsid w:val="46BF2EEE"/>
    <w:rsid w:val="46C027C2"/>
    <w:rsid w:val="46C77CF5"/>
    <w:rsid w:val="46CC1167"/>
    <w:rsid w:val="46CD00CF"/>
    <w:rsid w:val="46D80047"/>
    <w:rsid w:val="46D955A7"/>
    <w:rsid w:val="46DC75FC"/>
    <w:rsid w:val="46DD15C6"/>
    <w:rsid w:val="46DD5122"/>
    <w:rsid w:val="46E46CF4"/>
    <w:rsid w:val="46EC35B7"/>
    <w:rsid w:val="46ED1809"/>
    <w:rsid w:val="46EE65B3"/>
    <w:rsid w:val="46F26E20"/>
    <w:rsid w:val="46F30DEA"/>
    <w:rsid w:val="46FC7C9E"/>
    <w:rsid w:val="47060B1D"/>
    <w:rsid w:val="470628CB"/>
    <w:rsid w:val="47133957"/>
    <w:rsid w:val="4714323A"/>
    <w:rsid w:val="47166D36"/>
    <w:rsid w:val="471F1BDF"/>
    <w:rsid w:val="471F5302"/>
    <w:rsid w:val="47266AC9"/>
    <w:rsid w:val="472D7E58"/>
    <w:rsid w:val="47353849"/>
    <w:rsid w:val="47370CD6"/>
    <w:rsid w:val="473D3E13"/>
    <w:rsid w:val="473E3276"/>
    <w:rsid w:val="473F1CAF"/>
    <w:rsid w:val="473F7B8B"/>
    <w:rsid w:val="474F1FE6"/>
    <w:rsid w:val="475278BE"/>
    <w:rsid w:val="47555600"/>
    <w:rsid w:val="475A49C5"/>
    <w:rsid w:val="475F3D89"/>
    <w:rsid w:val="47615D53"/>
    <w:rsid w:val="47680E90"/>
    <w:rsid w:val="47737835"/>
    <w:rsid w:val="47743B69"/>
    <w:rsid w:val="477B6E52"/>
    <w:rsid w:val="477C493B"/>
    <w:rsid w:val="477D2899"/>
    <w:rsid w:val="47801562"/>
    <w:rsid w:val="47841A42"/>
    <w:rsid w:val="478D4D9A"/>
    <w:rsid w:val="478F1FF1"/>
    <w:rsid w:val="47925F0D"/>
    <w:rsid w:val="479B1265"/>
    <w:rsid w:val="479E48B1"/>
    <w:rsid w:val="47A07E0C"/>
    <w:rsid w:val="47A53E92"/>
    <w:rsid w:val="47A85730"/>
    <w:rsid w:val="47B73E5C"/>
    <w:rsid w:val="47B95A5C"/>
    <w:rsid w:val="47BA5463"/>
    <w:rsid w:val="47C00CCC"/>
    <w:rsid w:val="47C02A7A"/>
    <w:rsid w:val="47CA56A6"/>
    <w:rsid w:val="47D318F9"/>
    <w:rsid w:val="47D3493F"/>
    <w:rsid w:val="47D47CB9"/>
    <w:rsid w:val="47DB78B4"/>
    <w:rsid w:val="47DC187E"/>
    <w:rsid w:val="47DC362C"/>
    <w:rsid w:val="47E26E94"/>
    <w:rsid w:val="47E726FC"/>
    <w:rsid w:val="47E81FD1"/>
    <w:rsid w:val="47EA1A59"/>
    <w:rsid w:val="47F24BFD"/>
    <w:rsid w:val="47F6293F"/>
    <w:rsid w:val="47F646ED"/>
    <w:rsid w:val="47FE17F4"/>
    <w:rsid w:val="480212E4"/>
    <w:rsid w:val="48030BB8"/>
    <w:rsid w:val="480768FB"/>
    <w:rsid w:val="480A63EB"/>
    <w:rsid w:val="480E5EDB"/>
    <w:rsid w:val="48147269"/>
    <w:rsid w:val="48225263"/>
    <w:rsid w:val="48233009"/>
    <w:rsid w:val="482C010F"/>
    <w:rsid w:val="482E032B"/>
    <w:rsid w:val="4832149E"/>
    <w:rsid w:val="48335942"/>
    <w:rsid w:val="48350B11"/>
    <w:rsid w:val="48376AB4"/>
    <w:rsid w:val="483F6EFA"/>
    <w:rsid w:val="48427933"/>
    <w:rsid w:val="484456CE"/>
    <w:rsid w:val="484713ED"/>
    <w:rsid w:val="4847319B"/>
    <w:rsid w:val="48474F49"/>
    <w:rsid w:val="484F2050"/>
    <w:rsid w:val="485419CC"/>
    <w:rsid w:val="48561630"/>
    <w:rsid w:val="485A0FA3"/>
    <w:rsid w:val="48655D5B"/>
    <w:rsid w:val="48691363"/>
    <w:rsid w:val="4870272E"/>
    <w:rsid w:val="48816489"/>
    <w:rsid w:val="48847F4B"/>
    <w:rsid w:val="488A3088"/>
    <w:rsid w:val="488B752C"/>
    <w:rsid w:val="48914416"/>
    <w:rsid w:val="48934632"/>
    <w:rsid w:val="489755D2"/>
    <w:rsid w:val="48990CD4"/>
    <w:rsid w:val="48AA53A8"/>
    <w:rsid w:val="48AE5D84"/>
    <w:rsid w:val="48AF47C8"/>
    <w:rsid w:val="48B306AC"/>
    <w:rsid w:val="48B36616"/>
    <w:rsid w:val="48B445F1"/>
    <w:rsid w:val="48B85E47"/>
    <w:rsid w:val="48BB76E5"/>
    <w:rsid w:val="48C4659A"/>
    <w:rsid w:val="48CC544E"/>
    <w:rsid w:val="48D0073C"/>
    <w:rsid w:val="48DA3031"/>
    <w:rsid w:val="48E704DA"/>
    <w:rsid w:val="48F13107"/>
    <w:rsid w:val="48F14EB5"/>
    <w:rsid w:val="48F549A5"/>
    <w:rsid w:val="48FC21D7"/>
    <w:rsid w:val="490C755D"/>
    <w:rsid w:val="49167842"/>
    <w:rsid w:val="491F33FC"/>
    <w:rsid w:val="49290AF3"/>
    <w:rsid w:val="49295C0D"/>
    <w:rsid w:val="492E435B"/>
    <w:rsid w:val="492F31C0"/>
    <w:rsid w:val="49306170"/>
    <w:rsid w:val="493556E9"/>
    <w:rsid w:val="493D00FA"/>
    <w:rsid w:val="493F3E72"/>
    <w:rsid w:val="49413E94"/>
    <w:rsid w:val="494B2817"/>
    <w:rsid w:val="49543DC1"/>
    <w:rsid w:val="4957740E"/>
    <w:rsid w:val="495F4514"/>
    <w:rsid w:val="4961028C"/>
    <w:rsid w:val="49642768"/>
    <w:rsid w:val="49675177"/>
    <w:rsid w:val="497D3965"/>
    <w:rsid w:val="497F6965"/>
    <w:rsid w:val="49847E71"/>
    <w:rsid w:val="498521CD"/>
    <w:rsid w:val="498D5F7B"/>
    <w:rsid w:val="49980CEF"/>
    <w:rsid w:val="49987C81"/>
    <w:rsid w:val="49A44C2C"/>
    <w:rsid w:val="49A62143"/>
    <w:rsid w:val="49AF724A"/>
    <w:rsid w:val="49B06B1E"/>
    <w:rsid w:val="49B4660E"/>
    <w:rsid w:val="49B466B1"/>
    <w:rsid w:val="49B607A3"/>
    <w:rsid w:val="49B74350"/>
    <w:rsid w:val="49B760FE"/>
    <w:rsid w:val="49BB5BEF"/>
    <w:rsid w:val="49BC1967"/>
    <w:rsid w:val="49BE123B"/>
    <w:rsid w:val="49BE748D"/>
    <w:rsid w:val="49C26CAD"/>
    <w:rsid w:val="49C826CF"/>
    <w:rsid w:val="49D547D7"/>
    <w:rsid w:val="49D61097"/>
    <w:rsid w:val="49D95B7D"/>
    <w:rsid w:val="49D97612"/>
    <w:rsid w:val="49DC7359"/>
    <w:rsid w:val="49DC7715"/>
    <w:rsid w:val="49E50EBD"/>
    <w:rsid w:val="49E60792"/>
    <w:rsid w:val="49F92273"/>
    <w:rsid w:val="49FC1D63"/>
    <w:rsid w:val="4A0155CC"/>
    <w:rsid w:val="4A023139"/>
    <w:rsid w:val="4A0A0924"/>
    <w:rsid w:val="4A162E9A"/>
    <w:rsid w:val="4A1B668D"/>
    <w:rsid w:val="4A227A1C"/>
    <w:rsid w:val="4A273284"/>
    <w:rsid w:val="4A300642"/>
    <w:rsid w:val="4A315EB1"/>
    <w:rsid w:val="4A3332C2"/>
    <w:rsid w:val="4A365275"/>
    <w:rsid w:val="4A370FED"/>
    <w:rsid w:val="4A407EA2"/>
    <w:rsid w:val="4A437992"/>
    <w:rsid w:val="4A45195C"/>
    <w:rsid w:val="4A4C2CEB"/>
    <w:rsid w:val="4A5120AF"/>
    <w:rsid w:val="4A530748"/>
    <w:rsid w:val="4A530F91"/>
    <w:rsid w:val="4A62250E"/>
    <w:rsid w:val="4A6C513B"/>
    <w:rsid w:val="4A712751"/>
    <w:rsid w:val="4A791606"/>
    <w:rsid w:val="4A7A13F6"/>
    <w:rsid w:val="4A7B576F"/>
    <w:rsid w:val="4A90515E"/>
    <w:rsid w:val="4A914BA1"/>
    <w:rsid w:val="4A9326C8"/>
    <w:rsid w:val="4A946440"/>
    <w:rsid w:val="4A995D43"/>
    <w:rsid w:val="4AA03036"/>
    <w:rsid w:val="4AA21637"/>
    <w:rsid w:val="4AA30AF1"/>
    <w:rsid w:val="4AB16FF2"/>
    <w:rsid w:val="4ABC383D"/>
    <w:rsid w:val="4ABD5996"/>
    <w:rsid w:val="4ABE6895"/>
    <w:rsid w:val="4AC4428B"/>
    <w:rsid w:val="4AC7411F"/>
    <w:rsid w:val="4AC83D6E"/>
    <w:rsid w:val="4AD30D16"/>
    <w:rsid w:val="4AD7736C"/>
    <w:rsid w:val="4ADB5E1D"/>
    <w:rsid w:val="4AEB2504"/>
    <w:rsid w:val="4AF40C8C"/>
    <w:rsid w:val="4AF561A9"/>
    <w:rsid w:val="4B062139"/>
    <w:rsid w:val="4B062C02"/>
    <w:rsid w:val="4B0B04B0"/>
    <w:rsid w:val="4B1732F9"/>
    <w:rsid w:val="4B187071"/>
    <w:rsid w:val="4B1A06F3"/>
    <w:rsid w:val="4B1A4B97"/>
    <w:rsid w:val="4B1D3089"/>
    <w:rsid w:val="4B257098"/>
    <w:rsid w:val="4B296B88"/>
    <w:rsid w:val="4B2E7CB0"/>
    <w:rsid w:val="4B373459"/>
    <w:rsid w:val="4B3A0D95"/>
    <w:rsid w:val="4B3D6AD7"/>
    <w:rsid w:val="4B410375"/>
    <w:rsid w:val="4B427C4A"/>
    <w:rsid w:val="4B536DA9"/>
    <w:rsid w:val="4B577B99"/>
    <w:rsid w:val="4B5D2CD5"/>
    <w:rsid w:val="4B6126FE"/>
    <w:rsid w:val="4B614574"/>
    <w:rsid w:val="4B643D40"/>
    <w:rsid w:val="4B660DFA"/>
    <w:rsid w:val="4B683B54"/>
    <w:rsid w:val="4B685902"/>
    <w:rsid w:val="4B702A09"/>
    <w:rsid w:val="4B703E8A"/>
    <w:rsid w:val="4B707D3B"/>
    <w:rsid w:val="4B83273C"/>
    <w:rsid w:val="4B86222C"/>
    <w:rsid w:val="4B904E59"/>
    <w:rsid w:val="4B92472D"/>
    <w:rsid w:val="4B9761E7"/>
    <w:rsid w:val="4BA6467C"/>
    <w:rsid w:val="4BA9153A"/>
    <w:rsid w:val="4BA91A77"/>
    <w:rsid w:val="4BAB57EF"/>
    <w:rsid w:val="4BAE52DF"/>
    <w:rsid w:val="4BBC5C4E"/>
    <w:rsid w:val="4BBE3774"/>
    <w:rsid w:val="4BC02B64"/>
    <w:rsid w:val="4BC32B39"/>
    <w:rsid w:val="4BC36FDC"/>
    <w:rsid w:val="4BCD4623"/>
    <w:rsid w:val="4BD05255"/>
    <w:rsid w:val="4BDC6EAE"/>
    <w:rsid w:val="4BE62CCB"/>
    <w:rsid w:val="4BE64A79"/>
    <w:rsid w:val="4BEC28F6"/>
    <w:rsid w:val="4BED5E07"/>
    <w:rsid w:val="4BF24B1A"/>
    <w:rsid w:val="4BF278C2"/>
    <w:rsid w:val="4BFB1E15"/>
    <w:rsid w:val="4C0575F5"/>
    <w:rsid w:val="4C06511B"/>
    <w:rsid w:val="4C0A69B9"/>
    <w:rsid w:val="4C0B44E0"/>
    <w:rsid w:val="4C0C0625"/>
    <w:rsid w:val="4C0F2222"/>
    <w:rsid w:val="4C12586E"/>
    <w:rsid w:val="4C176B55"/>
    <w:rsid w:val="4C1930A0"/>
    <w:rsid w:val="4C1E06B7"/>
    <w:rsid w:val="4C2537F3"/>
    <w:rsid w:val="4C2555A1"/>
    <w:rsid w:val="4C2F6420"/>
    <w:rsid w:val="4C3E0640"/>
    <w:rsid w:val="4C3E48B5"/>
    <w:rsid w:val="4C4023DB"/>
    <w:rsid w:val="4C43011D"/>
    <w:rsid w:val="4C45002D"/>
    <w:rsid w:val="4C4A0649"/>
    <w:rsid w:val="4C4A5008"/>
    <w:rsid w:val="4C4C343B"/>
    <w:rsid w:val="4C4F261E"/>
    <w:rsid w:val="4C5E4F57"/>
    <w:rsid w:val="4C602A7D"/>
    <w:rsid w:val="4C621503"/>
    <w:rsid w:val="4C6562E6"/>
    <w:rsid w:val="4C76404F"/>
    <w:rsid w:val="4C7B3413"/>
    <w:rsid w:val="4C7B78B7"/>
    <w:rsid w:val="4C7E15B6"/>
    <w:rsid w:val="4C7E5ECA"/>
    <w:rsid w:val="4C82133E"/>
    <w:rsid w:val="4C854292"/>
    <w:rsid w:val="4C876AA5"/>
    <w:rsid w:val="4C8A5D4C"/>
    <w:rsid w:val="4C8E75EA"/>
    <w:rsid w:val="4C8F3363"/>
    <w:rsid w:val="4C96024D"/>
    <w:rsid w:val="4CA014BD"/>
    <w:rsid w:val="4CA4430D"/>
    <w:rsid w:val="4CA50490"/>
    <w:rsid w:val="4CB02346"/>
    <w:rsid w:val="4CB30DFF"/>
    <w:rsid w:val="4CB35C07"/>
    <w:rsid w:val="4CB37051"/>
    <w:rsid w:val="4CB608EF"/>
    <w:rsid w:val="4CB66B41"/>
    <w:rsid w:val="4CBE0994"/>
    <w:rsid w:val="4CBF59F6"/>
    <w:rsid w:val="4CC36B68"/>
    <w:rsid w:val="4CC54E90"/>
    <w:rsid w:val="4CC94969"/>
    <w:rsid w:val="4CCA6149"/>
    <w:rsid w:val="4CCE3DBA"/>
    <w:rsid w:val="4CFF2296"/>
    <w:rsid w:val="4D04165B"/>
    <w:rsid w:val="4D0478AD"/>
    <w:rsid w:val="4D0E00FB"/>
    <w:rsid w:val="4D12653A"/>
    <w:rsid w:val="4D176606"/>
    <w:rsid w:val="4D1D44CA"/>
    <w:rsid w:val="4D225F85"/>
    <w:rsid w:val="4D2B73D1"/>
    <w:rsid w:val="4D2C1017"/>
    <w:rsid w:val="4D341814"/>
    <w:rsid w:val="4D371A30"/>
    <w:rsid w:val="4D445EFB"/>
    <w:rsid w:val="4D461C73"/>
    <w:rsid w:val="4D491763"/>
    <w:rsid w:val="4D493511"/>
    <w:rsid w:val="4D4E0B28"/>
    <w:rsid w:val="4D52686A"/>
    <w:rsid w:val="4D531031"/>
    <w:rsid w:val="4D561DFD"/>
    <w:rsid w:val="4D5679DC"/>
    <w:rsid w:val="4D5A127B"/>
    <w:rsid w:val="4D5A74CD"/>
    <w:rsid w:val="4D5D6FBD"/>
    <w:rsid w:val="4D60114F"/>
    <w:rsid w:val="4D622825"/>
    <w:rsid w:val="4D673998"/>
    <w:rsid w:val="4D6B792C"/>
    <w:rsid w:val="4D6D36A4"/>
    <w:rsid w:val="4D7560B4"/>
    <w:rsid w:val="4D7D31BB"/>
    <w:rsid w:val="4D83293F"/>
    <w:rsid w:val="4D844549"/>
    <w:rsid w:val="4D874BAD"/>
    <w:rsid w:val="4D891B60"/>
    <w:rsid w:val="4D897DB2"/>
    <w:rsid w:val="4D8D78A2"/>
    <w:rsid w:val="4D9724CF"/>
    <w:rsid w:val="4D9A3D6D"/>
    <w:rsid w:val="4D9D560B"/>
    <w:rsid w:val="4DA03ACE"/>
    <w:rsid w:val="4DA404FE"/>
    <w:rsid w:val="4DA70238"/>
    <w:rsid w:val="4DAB1AD6"/>
    <w:rsid w:val="4DBC0187"/>
    <w:rsid w:val="4DC42B98"/>
    <w:rsid w:val="4DC808DA"/>
    <w:rsid w:val="4DCD7C9F"/>
    <w:rsid w:val="4DE13512"/>
    <w:rsid w:val="4DE7524B"/>
    <w:rsid w:val="4DEB7471"/>
    <w:rsid w:val="4DEC4FB0"/>
    <w:rsid w:val="4DED6593"/>
    <w:rsid w:val="4DEF40B9"/>
    <w:rsid w:val="4DF416CF"/>
    <w:rsid w:val="4DF8690F"/>
    <w:rsid w:val="4E0062C6"/>
    <w:rsid w:val="4E021058"/>
    <w:rsid w:val="4E066C4A"/>
    <w:rsid w:val="4E075D8A"/>
    <w:rsid w:val="4E0B07C7"/>
    <w:rsid w:val="4E10402F"/>
    <w:rsid w:val="4E135A02"/>
    <w:rsid w:val="4E197388"/>
    <w:rsid w:val="4E1D11F8"/>
    <w:rsid w:val="4E1F4272"/>
    <w:rsid w:val="4E2875CB"/>
    <w:rsid w:val="4E323FA5"/>
    <w:rsid w:val="4E361CE8"/>
    <w:rsid w:val="4E4F4B57"/>
    <w:rsid w:val="4E4F5D47"/>
    <w:rsid w:val="4E591876"/>
    <w:rsid w:val="4E5959D6"/>
    <w:rsid w:val="4E5E7140"/>
    <w:rsid w:val="4E6B6B36"/>
    <w:rsid w:val="4E7059D0"/>
    <w:rsid w:val="4E807407"/>
    <w:rsid w:val="4E8117BB"/>
    <w:rsid w:val="4E821B43"/>
    <w:rsid w:val="4E830CA5"/>
    <w:rsid w:val="4E8C7BCE"/>
    <w:rsid w:val="4E8D3B9D"/>
    <w:rsid w:val="4EA2112B"/>
    <w:rsid w:val="4EA604F0"/>
    <w:rsid w:val="4EA76741"/>
    <w:rsid w:val="4EAC01FC"/>
    <w:rsid w:val="4EC00FAD"/>
    <w:rsid w:val="4EC05A55"/>
    <w:rsid w:val="4EC56BC8"/>
    <w:rsid w:val="4EC76C49"/>
    <w:rsid w:val="4EC92B5C"/>
    <w:rsid w:val="4ECA6411"/>
    <w:rsid w:val="4ECD1F20"/>
    <w:rsid w:val="4ED41501"/>
    <w:rsid w:val="4ED65279"/>
    <w:rsid w:val="4EE259CC"/>
    <w:rsid w:val="4EE400F6"/>
    <w:rsid w:val="4EE7471F"/>
    <w:rsid w:val="4EEC4690"/>
    <w:rsid w:val="4EF31987"/>
    <w:rsid w:val="4EF83441"/>
    <w:rsid w:val="4F0C0C9A"/>
    <w:rsid w:val="4F0E7BBD"/>
    <w:rsid w:val="4F1671A0"/>
    <w:rsid w:val="4F22226C"/>
    <w:rsid w:val="4F28465E"/>
    <w:rsid w:val="4F2A1121"/>
    <w:rsid w:val="4F320305"/>
    <w:rsid w:val="4F376DC8"/>
    <w:rsid w:val="4F3855EC"/>
    <w:rsid w:val="4F3D6282"/>
    <w:rsid w:val="4F400944"/>
    <w:rsid w:val="4F445E8E"/>
    <w:rsid w:val="4F45324F"/>
    <w:rsid w:val="4F492811"/>
    <w:rsid w:val="4F4C1097"/>
    <w:rsid w:val="4F4F0B87"/>
    <w:rsid w:val="4F512925"/>
    <w:rsid w:val="4F5278CB"/>
    <w:rsid w:val="4F55619D"/>
    <w:rsid w:val="4F561EF4"/>
    <w:rsid w:val="4F563CC4"/>
    <w:rsid w:val="4F5A1A06"/>
    <w:rsid w:val="4F5A37B4"/>
    <w:rsid w:val="4F624D5E"/>
    <w:rsid w:val="4F6B3C13"/>
    <w:rsid w:val="4F6C34E7"/>
    <w:rsid w:val="4F730D1A"/>
    <w:rsid w:val="4F732AC8"/>
    <w:rsid w:val="4F74239C"/>
    <w:rsid w:val="4F7505EE"/>
    <w:rsid w:val="4F7725B8"/>
    <w:rsid w:val="4F7A0F29"/>
    <w:rsid w:val="4F806F93"/>
    <w:rsid w:val="4F9843DC"/>
    <w:rsid w:val="4FB355BA"/>
    <w:rsid w:val="4FB357B3"/>
    <w:rsid w:val="4FBA06F6"/>
    <w:rsid w:val="4FBB46C9"/>
    <w:rsid w:val="4FC62A8C"/>
    <w:rsid w:val="4FCC21D8"/>
    <w:rsid w:val="4FD214D8"/>
    <w:rsid w:val="4FD516E5"/>
    <w:rsid w:val="4FDA05FA"/>
    <w:rsid w:val="4FE15C83"/>
    <w:rsid w:val="4FE20F0D"/>
    <w:rsid w:val="4FE51552"/>
    <w:rsid w:val="4FE95959"/>
    <w:rsid w:val="4FEB6B02"/>
    <w:rsid w:val="4FF8133B"/>
    <w:rsid w:val="4FF84D7B"/>
    <w:rsid w:val="4FF97471"/>
    <w:rsid w:val="4FFC4417"/>
    <w:rsid w:val="4FFE4A87"/>
    <w:rsid w:val="50003008"/>
    <w:rsid w:val="5001570E"/>
    <w:rsid w:val="50041972"/>
    <w:rsid w:val="5006393C"/>
    <w:rsid w:val="5006576B"/>
    <w:rsid w:val="500B0F52"/>
    <w:rsid w:val="50150863"/>
    <w:rsid w:val="501E0C85"/>
    <w:rsid w:val="502424AA"/>
    <w:rsid w:val="50243DC2"/>
    <w:rsid w:val="502838B2"/>
    <w:rsid w:val="502B33A2"/>
    <w:rsid w:val="502F660F"/>
    <w:rsid w:val="50336A45"/>
    <w:rsid w:val="5036368D"/>
    <w:rsid w:val="50377F99"/>
    <w:rsid w:val="504B134F"/>
    <w:rsid w:val="50504C4B"/>
    <w:rsid w:val="50511562"/>
    <w:rsid w:val="50534498"/>
    <w:rsid w:val="50546455"/>
    <w:rsid w:val="505521CD"/>
    <w:rsid w:val="50597F0F"/>
    <w:rsid w:val="505D0C28"/>
    <w:rsid w:val="505E5526"/>
    <w:rsid w:val="50622F2F"/>
    <w:rsid w:val="506348EA"/>
    <w:rsid w:val="50650662"/>
    <w:rsid w:val="506B19F1"/>
    <w:rsid w:val="506F14E1"/>
    <w:rsid w:val="50700DB5"/>
    <w:rsid w:val="50770396"/>
    <w:rsid w:val="507765E7"/>
    <w:rsid w:val="50832EE6"/>
    <w:rsid w:val="50836016"/>
    <w:rsid w:val="50966A6E"/>
    <w:rsid w:val="509C6E7C"/>
    <w:rsid w:val="50A16E04"/>
    <w:rsid w:val="50A70C7B"/>
    <w:rsid w:val="50AA42C7"/>
    <w:rsid w:val="50AC6291"/>
    <w:rsid w:val="50AF5D81"/>
    <w:rsid w:val="50B45146"/>
    <w:rsid w:val="50C8299F"/>
    <w:rsid w:val="50CA4969"/>
    <w:rsid w:val="50CA6717"/>
    <w:rsid w:val="50CF3D2E"/>
    <w:rsid w:val="50D41344"/>
    <w:rsid w:val="50D457E8"/>
    <w:rsid w:val="50DD28EE"/>
    <w:rsid w:val="50E16898"/>
    <w:rsid w:val="50E25172"/>
    <w:rsid w:val="50ED2406"/>
    <w:rsid w:val="50F33EC0"/>
    <w:rsid w:val="50F47C38"/>
    <w:rsid w:val="50FB0FC7"/>
    <w:rsid w:val="50FE4613"/>
    <w:rsid w:val="51071719"/>
    <w:rsid w:val="510C2A01"/>
    <w:rsid w:val="510C6C49"/>
    <w:rsid w:val="510D68F6"/>
    <w:rsid w:val="510E5ABE"/>
    <w:rsid w:val="5111270B"/>
    <w:rsid w:val="5116195C"/>
    <w:rsid w:val="51167BAE"/>
    <w:rsid w:val="5119769F"/>
    <w:rsid w:val="511D0F3D"/>
    <w:rsid w:val="51220301"/>
    <w:rsid w:val="5139389D"/>
    <w:rsid w:val="513B13C3"/>
    <w:rsid w:val="513D15DF"/>
    <w:rsid w:val="514774AD"/>
    <w:rsid w:val="515A3F3F"/>
    <w:rsid w:val="515D758B"/>
    <w:rsid w:val="5162104E"/>
    <w:rsid w:val="5164091A"/>
    <w:rsid w:val="51656440"/>
    <w:rsid w:val="5167040A"/>
    <w:rsid w:val="51695F30"/>
    <w:rsid w:val="516E1798"/>
    <w:rsid w:val="51711289"/>
    <w:rsid w:val="5177452E"/>
    <w:rsid w:val="517B2107"/>
    <w:rsid w:val="517B3EB5"/>
    <w:rsid w:val="517B4CCE"/>
    <w:rsid w:val="517D7C2E"/>
    <w:rsid w:val="51803698"/>
    <w:rsid w:val="51874608"/>
    <w:rsid w:val="51976F41"/>
    <w:rsid w:val="51986815"/>
    <w:rsid w:val="519B6306"/>
    <w:rsid w:val="51A229D8"/>
    <w:rsid w:val="51AD579B"/>
    <w:rsid w:val="51B30E34"/>
    <w:rsid w:val="51B318A1"/>
    <w:rsid w:val="51B86EB8"/>
    <w:rsid w:val="51B87E32"/>
    <w:rsid w:val="51B9600D"/>
    <w:rsid w:val="51BB2504"/>
    <w:rsid w:val="51C10389"/>
    <w:rsid w:val="51C714BE"/>
    <w:rsid w:val="51CD5E6B"/>
    <w:rsid w:val="51CD70D5"/>
    <w:rsid w:val="51CE0489"/>
    <w:rsid w:val="51CE66DB"/>
    <w:rsid w:val="51D33CF1"/>
    <w:rsid w:val="51D3784E"/>
    <w:rsid w:val="51DF4444"/>
    <w:rsid w:val="51E43809"/>
    <w:rsid w:val="52021EE1"/>
    <w:rsid w:val="521A36CE"/>
    <w:rsid w:val="522462FB"/>
    <w:rsid w:val="52271947"/>
    <w:rsid w:val="523F4EE3"/>
    <w:rsid w:val="52416EAD"/>
    <w:rsid w:val="524F15CA"/>
    <w:rsid w:val="52524C16"/>
    <w:rsid w:val="52577645"/>
    <w:rsid w:val="525A1D1D"/>
    <w:rsid w:val="5268268C"/>
    <w:rsid w:val="52704D94"/>
    <w:rsid w:val="52741030"/>
    <w:rsid w:val="529262DB"/>
    <w:rsid w:val="52990A97"/>
    <w:rsid w:val="529F09D7"/>
    <w:rsid w:val="52A6687D"/>
    <w:rsid w:val="52A66D10"/>
    <w:rsid w:val="52AA2CA4"/>
    <w:rsid w:val="52AB5231"/>
    <w:rsid w:val="52B21B59"/>
    <w:rsid w:val="52BC41EF"/>
    <w:rsid w:val="52BC78D9"/>
    <w:rsid w:val="52C04276"/>
    <w:rsid w:val="52C8312A"/>
    <w:rsid w:val="52CD0741"/>
    <w:rsid w:val="52D25D57"/>
    <w:rsid w:val="52D47D21"/>
    <w:rsid w:val="52DE46FC"/>
    <w:rsid w:val="52E141EC"/>
    <w:rsid w:val="52EB0C6C"/>
    <w:rsid w:val="52EF4B5B"/>
    <w:rsid w:val="52F67C97"/>
    <w:rsid w:val="5302663C"/>
    <w:rsid w:val="530F6FAB"/>
    <w:rsid w:val="531243A6"/>
    <w:rsid w:val="531445C2"/>
    <w:rsid w:val="531620E8"/>
    <w:rsid w:val="531E2D4A"/>
    <w:rsid w:val="532145E9"/>
    <w:rsid w:val="532D11DF"/>
    <w:rsid w:val="532F5F82"/>
    <w:rsid w:val="533267F6"/>
    <w:rsid w:val="53346A12"/>
    <w:rsid w:val="53357AF1"/>
    <w:rsid w:val="53373E0C"/>
    <w:rsid w:val="5338205E"/>
    <w:rsid w:val="533B56AA"/>
    <w:rsid w:val="53407165"/>
    <w:rsid w:val="53422EDD"/>
    <w:rsid w:val="534327B1"/>
    <w:rsid w:val="534C2B31"/>
    <w:rsid w:val="53514ECE"/>
    <w:rsid w:val="53560736"/>
    <w:rsid w:val="53603363"/>
    <w:rsid w:val="537446BB"/>
    <w:rsid w:val="53843798"/>
    <w:rsid w:val="53915C12"/>
    <w:rsid w:val="539F032F"/>
    <w:rsid w:val="53A039CC"/>
    <w:rsid w:val="53A05E55"/>
    <w:rsid w:val="53A1505A"/>
    <w:rsid w:val="53A5521A"/>
    <w:rsid w:val="53AE0572"/>
    <w:rsid w:val="53B042EA"/>
    <w:rsid w:val="53B05F89"/>
    <w:rsid w:val="53BD552F"/>
    <w:rsid w:val="53CC27A6"/>
    <w:rsid w:val="53D21A54"/>
    <w:rsid w:val="53D855EF"/>
    <w:rsid w:val="53E63F5A"/>
    <w:rsid w:val="53E93358"/>
    <w:rsid w:val="53EE59EB"/>
    <w:rsid w:val="53F0692B"/>
    <w:rsid w:val="53FC4219"/>
    <w:rsid w:val="54063E08"/>
    <w:rsid w:val="54085ED4"/>
    <w:rsid w:val="540A1B74"/>
    <w:rsid w:val="540B45EB"/>
    <w:rsid w:val="541A5C08"/>
    <w:rsid w:val="541E4EDE"/>
    <w:rsid w:val="542425E2"/>
    <w:rsid w:val="54261A12"/>
    <w:rsid w:val="542B1BC3"/>
    <w:rsid w:val="542B3971"/>
    <w:rsid w:val="542E520F"/>
    <w:rsid w:val="543437E8"/>
    <w:rsid w:val="543B62AD"/>
    <w:rsid w:val="543F11CA"/>
    <w:rsid w:val="54442C85"/>
    <w:rsid w:val="5444538C"/>
    <w:rsid w:val="54452748"/>
    <w:rsid w:val="54483D0D"/>
    <w:rsid w:val="544E58B1"/>
    <w:rsid w:val="54534C76"/>
    <w:rsid w:val="54596730"/>
    <w:rsid w:val="5463135D"/>
    <w:rsid w:val="54671E67"/>
    <w:rsid w:val="546D5D37"/>
    <w:rsid w:val="547277F2"/>
    <w:rsid w:val="547616E6"/>
    <w:rsid w:val="547C241E"/>
    <w:rsid w:val="54807156"/>
    <w:rsid w:val="5488491F"/>
    <w:rsid w:val="548B2661"/>
    <w:rsid w:val="548E5CAE"/>
    <w:rsid w:val="549332C4"/>
    <w:rsid w:val="549E2395"/>
    <w:rsid w:val="549E4143"/>
    <w:rsid w:val="54AB2D04"/>
    <w:rsid w:val="54B03E76"/>
    <w:rsid w:val="54B716A8"/>
    <w:rsid w:val="54BF3EBA"/>
    <w:rsid w:val="54C20B5C"/>
    <w:rsid w:val="54C33BA9"/>
    <w:rsid w:val="54C87412"/>
    <w:rsid w:val="54D20290"/>
    <w:rsid w:val="54D2203E"/>
    <w:rsid w:val="54D50E8B"/>
    <w:rsid w:val="54D933CD"/>
    <w:rsid w:val="54E3523E"/>
    <w:rsid w:val="54E83610"/>
    <w:rsid w:val="54EA4F99"/>
    <w:rsid w:val="54EE3825"/>
    <w:rsid w:val="54F16968"/>
    <w:rsid w:val="54F73313"/>
    <w:rsid w:val="54F80955"/>
    <w:rsid w:val="54FB1595"/>
    <w:rsid w:val="54FC1E04"/>
    <w:rsid w:val="55010060"/>
    <w:rsid w:val="5503044A"/>
    <w:rsid w:val="5503357A"/>
    <w:rsid w:val="55034586"/>
    <w:rsid w:val="55085A60"/>
    <w:rsid w:val="551A4B20"/>
    <w:rsid w:val="551B015B"/>
    <w:rsid w:val="551C775D"/>
    <w:rsid w:val="55200FFC"/>
    <w:rsid w:val="552154CB"/>
    <w:rsid w:val="552503C0"/>
    <w:rsid w:val="552532DE"/>
    <w:rsid w:val="55256E3A"/>
    <w:rsid w:val="552705DC"/>
    <w:rsid w:val="55293C6F"/>
    <w:rsid w:val="55313209"/>
    <w:rsid w:val="5533321F"/>
    <w:rsid w:val="55340057"/>
    <w:rsid w:val="55387608"/>
    <w:rsid w:val="553920BD"/>
    <w:rsid w:val="553E76D4"/>
    <w:rsid w:val="55456CB4"/>
    <w:rsid w:val="554A42CB"/>
    <w:rsid w:val="554A4758"/>
    <w:rsid w:val="554A7E27"/>
    <w:rsid w:val="554B067D"/>
    <w:rsid w:val="554D2A28"/>
    <w:rsid w:val="554D7917"/>
    <w:rsid w:val="554F18E1"/>
    <w:rsid w:val="555170A7"/>
    <w:rsid w:val="55533B27"/>
    <w:rsid w:val="555869E7"/>
    <w:rsid w:val="556709D9"/>
    <w:rsid w:val="55690BF5"/>
    <w:rsid w:val="556C5FEF"/>
    <w:rsid w:val="55760C1C"/>
    <w:rsid w:val="557C1FAA"/>
    <w:rsid w:val="557F21C6"/>
    <w:rsid w:val="55867025"/>
    <w:rsid w:val="5587536D"/>
    <w:rsid w:val="559B174B"/>
    <w:rsid w:val="559F2084"/>
    <w:rsid w:val="55A41C2D"/>
    <w:rsid w:val="55AB6E66"/>
    <w:rsid w:val="55AC3A35"/>
    <w:rsid w:val="55AF412E"/>
    <w:rsid w:val="55B94FAC"/>
    <w:rsid w:val="55CE0CF4"/>
    <w:rsid w:val="55CE1F6F"/>
    <w:rsid w:val="55D02A22"/>
    <w:rsid w:val="55D10548"/>
    <w:rsid w:val="55D63DB0"/>
    <w:rsid w:val="55E464CD"/>
    <w:rsid w:val="55EB5A20"/>
    <w:rsid w:val="56073F6A"/>
    <w:rsid w:val="560F6013"/>
    <w:rsid w:val="561B17C3"/>
    <w:rsid w:val="561B7A15"/>
    <w:rsid w:val="561C5C67"/>
    <w:rsid w:val="5621327D"/>
    <w:rsid w:val="562E7748"/>
    <w:rsid w:val="563F1955"/>
    <w:rsid w:val="56432596"/>
    <w:rsid w:val="56440D1A"/>
    <w:rsid w:val="565343B8"/>
    <w:rsid w:val="56550A77"/>
    <w:rsid w:val="565847C5"/>
    <w:rsid w:val="565D002E"/>
    <w:rsid w:val="5661367A"/>
    <w:rsid w:val="566D0271"/>
    <w:rsid w:val="566D4244"/>
    <w:rsid w:val="566E3FE9"/>
    <w:rsid w:val="567804EC"/>
    <w:rsid w:val="5679712E"/>
    <w:rsid w:val="567C6706"/>
    <w:rsid w:val="567F0E43"/>
    <w:rsid w:val="568E6439"/>
    <w:rsid w:val="569357FD"/>
    <w:rsid w:val="56A33C92"/>
    <w:rsid w:val="56A60FEC"/>
    <w:rsid w:val="56A84A65"/>
    <w:rsid w:val="56AD6428"/>
    <w:rsid w:val="56B22A9C"/>
    <w:rsid w:val="56B82CC8"/>
    <w:rsid w:val="56BA5480"/>
    <w:rsid w:val="56C555A0"/>
    <w:rsid w:val="56C65BD3"/>
    <w:rsid w:val="56C97471"/>
    <w:rsid w:val="56CB143B"/>
    <w:rsid w:val="56CF0F2B"/>
    <w:rsid w:val="56CF468A"/>
    <w:rsid w:val="56D04ED3"/>
    <w:rsid w:val="56D46542"/>
    <w:rsid w:val="56E21670"/>
    <w:rsid w:val="56E36785"/>
    <w:rsid w:val="56E66275"/>
    <w:rsid w:val="56E83D9B"/>
    <w:rsid w:val="56F25084"/>
    <w:rsid w:val="56F3629C"/>
    <w:rsid w:val="56F91B04"/>
    <w:rsid w:val="56FD7708"/>
    <w:rsid w:val="5705494D"/>
    <w:rsid w:val="57062473"/>
    <w:rsid w:val="570A1F63"/>
    <w:rsid w:val="571240E8"/>
    <w:rsid w:val="5718622B"/>
    <w:rsid w:val="571B7CCD"/>
    <w:rsid w:val="571C57F3"/>
    <w:rsid w:val="57204EA3"/>
    <w:rsid w:val="57253D43"/>
    <w:rsid w:val="573A32B8"/>
    <w:rsid w:val="57452F9B"/>
    <w:rsid w:val="574C257C"/>
    <w:rsid w:val="575156C8"/>
    <w:rsid w:val="57521214"/>
    <w:rsid w:val="57544F8D"/>
    <w:rsid w:val="57545875"/>
    <w:rsid w:val="575651A9"/>
    <w:rsid w:val="575E405D"/>
    <w:rsid w:val="5765719A"/>
    <w:rsid w:val="576F0018"/>
    <w:rsid w:val="57766BA1"/>
    <w:rsid w:val="57781CFF"/>
    <w:rsid w:val="57790E97"/>
    <w:rsid w:val="577B4C0F"/>
    <w:rsid w:val="577D49C6"/>
    <w:rsid w:val="57825F9E"/>
    <w:rsid w:val="5785783C"/>
    <w:rsid w:val="578734F8"/>
    <w:rsid w:val="57917F8F"/>
    <w:rsid w:val="579637F7"/>
    <w:rsid w:val="5798229B"/>
    <w:rsid w:val="5798756F"/>
    <w:rsid w:val="579B4E9E"/>
    <w:rsid w:val="579E0857"/>
    <w:rsid w:val="579F41A2"/>
    <w:rsid w:val="57A203EE"/>
    <w:rsid w:val="57A32387"/>
    <w:rsid w:val="57A777B2"/>
    <w:rsid w:val="57A80FD1"/>
    <w:rsid w:val="57AE0B41"/>
    <w:rsid w:val="57B36157"/>
    <w:rsid w:val="57B42183"/>
    <w:rsid w:val="57B675EE"/>
    <w:rsid w:val="57B72A76"/>
    <w:rsid w:val="57C00874"/>
    <w:rsid w:val="57C2283E"/>
    <w:rsid w:val="57C3426C"/>
    <w:rsid w:val="57C57C38"/>
    <w:rsid w:val="57CA16F3"/>
    <w:rsid w:val="57CB607D"/>
    <w:rsid w:val="57CE1F93"/>
    <w:rsid w:val="57DB15B9"/>
    <w:rsid w:val="57DE0CFA"/>
    <w:rsid w:val="57E413FE"/>
    <w:rsid w:val="57E44562"/>
    <w:rsid w:val="57EC3417"/>
    <w:rsid w:val="57ED3220"/>
    <w:rsid w:val="57EE4E5E"/>
    <w:rsid w:val="57EE7B0A"/>
    <w:rsid w:val="57F00489"/>
    <w:rsid w:val="57F04F42"/>
    <w:rsid w:val="57F46973"/>
    <w:rsid w:val="57F52AEB"/>
    <w:rsid w:val="580B6F57"/>
    <w:rsid w:val="58134053"/>
    <w:rsid w:val="58134E48"/>
    <w:rsid w:val="582C415B"/>
    <w:rsid w:val="582C7CB7"/>
    <w:rsid w:val="582E57DE"/>
    <w:rsid w:val="583B1785"/>
    <w:rsid w:val="583C218C"/>
    <w:rsid w:val="58426929"/>
    <w:rsid w:val="58523BC2"/>
    <w:rsid w:val="58555460"/>
    <w:rsid w:val="58580AAD"/>
    <w:rsid w:val="585A65D3"/>
    <w:rsid w:val="585D4315"/>
    <w:rsid w:val="58645F3E"/>
    <w:rsid w:val="5866766D"/>
    <w:rsid w:val="587F428B"/>
    <w:rsid w:val="588673C8"/>
    <w:rsid w:val="588743D1"/>
    <w:rsid w:val="5887701A"/>
    <w:rsid w:val="588F7451"/>
    <w:rsid w:val="58975B15"/>
    <w:rsid w:val="589A7317"/>
    <w:rsid w:val="589F492D"/>
    <w:rsid w:val="58A406BC"/>
    <w:rsid w:val="58A41F44"/>
    <w:rsid w:val="58A65CBC"/>
    <w:rsid w:val="58B34832"/>
    <w:rsid w:val="58B55EFF"/>
    <w:rsid w:val="58BC728D"/>
    <w:rsid w:val="58BD1B3B"/>
    <w:rsid w:val="58C425E6"/>
    <w:rsid w:val="58C919AA"/>
    <w:rsid w:val="58CA3876"/>
    <w:rsid w:val="58D42829"/>
    <w:rsid w:val="58D75FDC"/>
    <w:rsid w:val="58DA7713"/>
    <w:rsid w:val="58DE2E5D"/>
    <w:rsid w:val="58DF4D2A"/>
    <w:rsid w:val="58E00F99"/>
    <w:rsid w:val="58E32A6C"/>
    <w:rsid w:val="58E3481A"/>
    <w:rsid w:val="58E53575"/>
    <w:rsid w:val="58E81E30"/>
    <w:rsid w:val="58EA204C"/>
    <w:rsid w:val="58ED38EB"/>
    <w:rsid w:val="58EE1991"/>
    <w:rsid w:val="58F00A4E"/>
    <w:rsid w:val="58F5275D"/>
    <w:rsid w:val="58FA7DB6"/>
    <w:rsid w:val="58FC1D80"/>
    <w:rsid w:val="58FC6474"/>
    <w:rsid w:val="58FE1654"/>
    <w:rsid w:val="59036C6A"/>
    <w:rsid w:val="59060509"/>
    <w:rsid w:val="5915074C"/>
    <w:rsid w:val="59194516"/>
    <w:rsid w:val="59215342"/>
    <w:rsid w:val="59232E69"/>
    <w:rsid w:val="59236A4B"/>
    <w:rsid w:val="593257A1"/>
    <w:rsid w:val="593C03CE"/>
    <w:rsid w:val="59411541"/>
    <w:rsid w:val="594159E5"/>
    <w:rsid w:val="59465AB6"/>
    <w:rsid w:val="595219A0"/>
    <w:rsid w:val="59570D64"/>
    <w:rsid w:val="59582C76"/>
    <w:rsid w:val="5969442E"/>
    <w:rsid w:val="596D2336"/>
    <w:rsid w:val="596F5E5F"/>
    <w:rsid w:val="5973309F"/>
    <w:rsid w:val="597436C4"/>
    <w:rsid w:val="59771406"/>
    <w:rsid w:val="597731B4"/>
    <w:rsid w:val="597E09E7"/>
    <w:rsid w:val="59831B59"/>
    <w:rsid w:val="598853C1"/>
    <w:rsid w:val="598D123A"/>
    <w:rsid w:val="598D4786"/>
    <w:rsid w:val="59970B04"/>
    <w:rsid w:val="599B0B91"/>
    <w:rsid w:val="599D2D09"/>
    <w:rsid w:val="599D523F"/>
    <w:rsid w:val="599D70BF"/>
    <w:rsid w:val="59A00AEF"/>
    <w:rsid w:val="59B461B6"/>
    <w:rsid w:val="59B95834"/>
    <w:rsid w:val="59BB7545"/>
    <w:rsid w:val="59BF5314"/>
    <w:rsid w:val="59C0439F"/>
    <w:rsid w:val="59C3464B"/>
    <w:rsid w:val="59C53F20"/>
    <w:rsid w:val="59C97EB4"/>
    <w:rsid w:val="59CD1026"/>
    <w:rsid w:val="59CE54CA"/>
    <w:rsid w:val="59D16D68"/>
    <w:rsid w:val="59D2663D"/>
    <w:rsid w:val="59DA3B12"/>
    <w:rsid w:val="59DD395F"/>
    <w:rsid w:val="59DE3233"/>
    <w:rsid w:val="59E62A83"/>
    <w:rsid w:val="59F24535"/>
    <w:rsid w:val="59F87154"/>
    <w:rsid w:val="59F91E1B"/>
    <w:rsid w:val="59FE5684"/>
    <w:rsid w:val="59FE7432"/>
    <w:rsid w:val="5A054C64"/>
    <w:rsid w:val="5A055D9D"/>
    <w:rsid w:val="5A10039C"/>
    <w:rsid w:val="5A1B4488"/>
    <w:rsid w:val="5A1D596D"/>
    <w:rsid w:val="5A20429C"/>
    <w:rsid w:val="5A2055FA"/>
    <w:rsid w:val="5A263473"/>
    <w:rsid w:val="5A292701"/>
    <w:rsid w:val="5A3115B5"/>
    <w:rsid w:val="5A39084E"/>
    <w:rsid w:val="5A395FB1"/>
    <w:rsid w:val="5A3C1C76"/>
    <w:rsid w:val="5A3F75CA"/>
    <w:rsid w:val="5A47527D"/>
    <w:rsid w:val="5A49556B"/>
    <w:rsid w:val="5A511C57"/>
    <w:rsid w:val="5A5A4FB0"/>
    <w:rsid w:val="5A682D19"/>
    <w:rsid w:val="5A74177B"/>
    <w:rsid w:val="5A7D7A30"/>
    <w:rsid w:val="5A7F0572"/>
    <w:rsid w:val="5A871FF9"/>
    <w:rsid w:val="5A8D3A63"/>
    <w:rsid w:val="5A8D78D3"/>
    <w:rsid w:val="5A92474A"/>
    <w:rsid w:val="5A987886"/>
    <w:rsid w:val="5A9B1124"/>
    <w:rsid w:val="5A9D30EE"/>
    <w:rsid w:val="5AA43C6A"/>
    <w:rsid w:val="5AA601F5"/>
    <w:rsid w:val="5AAF422B"/>
    <w:rsid w:val="5AB0697E"/>
    <w:rsid w:val="5ABA52D3"/>
    <w:rsid w:val="5ABE2233"/>
    <w:rsid w:val="5AC0097E"/>
    <w:rsid w:val="5AC4067B"/>
    <w:rsid w:val="5AC8016B"/>
    <w:rsid w:val="5AC937EB"/>
    <w:rsid w:val="5ACD5782"/>
    <w:rsid w:val="5ACE14FA"/>
    <w:rsid w:val="5AD54636"/>
    <w:rsid w:val="5AD76600"/>
    <w:rsid w:val="5ADE0739"/>
    <w:rsid w:val="5AE01AED"/>
    <w:rsid w:val="5AE14D89"/>
    <w:rsid w:val="5AE261DB"/>
    <w:rsid w:val="5AEE56F8"/>
    <w:rsid w:val="5AF56A87"/>
    <w:rsid w:val="5AF67C93"/>
    <w:rsid w:val="5AF745AD"/>
    <w:rsid w:val="5AFC6067"/>
    <w:rsid w:val="5AFE1E6A"/>
    <w:rsid w:val="5AFF3461"/>
    <w:rsid w:val="5B044EB7"/>
    <w:rsid w:val="5B0647F0"/>
    <w:rsid w:val="5B092532"/>
    <w:rsid w:val="5B0D2022"/>
    <w:rsid w:val="5B0E18F6"/>
    <w:rsid w:val="5B0F73CD"/>
    <w:rsid w:val="5B1038C0"/>
    <w:rsid w:val="5B16081E"/>
    <w:rsid w:val="5B1661B0"/>
    <w:rsid w:val="5B1B612A"/>
    <w:rsid w:val="5B1E693A"/>
    <w:rsid w:val="5B2335F4"/>
    <w:rsid w:val="5B2630E4"/>
    <w:rsid w:val="5B273834"/>
    <w:rsid w:val="5B2A6594"/>
    <w:rsid w:val="5B307ABF"/>
    <w:rsid w:val="5B3A26EB"/>
    <w:rsid w:val="5B3F7D02"/>
    <w:rsid w:val="5B422BCC"/>
    <w:rsid w:val="5B467AA5"/>
    <w:rsid w:val="5B4A2E52"/>
    <w:rsid w:val="5B4F7685"/>
    <w:rsid w:val="5B5C08B4"/>
    <w:rsid w:val="5B603717"/>
    <w:rsid w:val="5B773940"/>
    <w:rsid w:val="5B7756EE"/>
    <w:rsid w:val="5B7A6F8C"/>
    <w:rsid w:val="5B7E4CCE"/>
    <w:rsid w:val="5B835E40"/>
    <w:rsid w:val="5B871DD5"/>
    <w:rsid w:val="5B8F2A37"/>
    <w:rsid w:val="5B90055D"/>
    <w:rsid w:val="5B942E9D"/>
    <w:rsid w:val="5B9E0ECC"/>
    <w:rsid w:val="5B9E4B62"/>
    <w:rsid w:val="5BBB1A7E"/>
    <w:rsid w:val="5BBE156E"/>
    <w:rsid w:val="5BBF782B"/>
    <w:rsid w:val="5BC36B85"/>
    <w:rsid w:val="5BC56459"/>
    <w:rsid w:val="5BD20B76"/>
    <w:rsid w:val="5BD42B40"/>
    <w:rsid w:val="5BD668B8"/>
    <w:rsid w:val="5BD70683"/>
    <w:rsid w:val="5BD743DE"/>
    <w:rsid w:val="5BDA475A"/>
    <w:rsid w:val="5BDF4CD3"/>
    <w:rsid w:val="5BDF5D95"/>
    <w:rsid w:val="5BE54817"/>
    <w:rsid w:val="5BE865EB"/>
    <w:rsid w:val="5BED59B0"/>
    <w:rsid w:val="5BF154A0"/>
    <w:rsid w:val="5BF705DC"/>
    <w:rsid w:val="5BFE5E0F"/>
    <w:rsid w:val="5BFE7528"/>
    <w:rsid w:val="5C0276AD"/>
    <w:rsid w:val="5C042965"/>
    <w:rsid w:val="5C090941"/>
    <w:rsid w:val="5C0A1B37"/>
    <w:rsid w:val="5C0D7E00"/>
    <w:rsid w:val="5C133668"/>
    <w:rsid w:val="5C182A2D"/>
    <w:rsid w:val="5C186FA6"/>
    <w:rsid w:val="5C1B73EB"/>
    <w:rsid w:val="5C207B33"/>
    <w:rsid w:val="5C241507"/>
    <w:rsid w:val="5C25339C"/>
    <w:rsid w:val="5C2869E8"/>
    <w:rsid w:val="5C2F7D76"/>
    <w:rsid w:val="5C313AEE"/>
    <w:rsid w:val="5C34538D"/>
    <w:rsid w:val="5C425CFC"/>
    <w:rsid w:val="5C4750C0"/>
    <w:rsid w:val="5C5F68AD"/>
    <w:rsid w:val="5C6043D4"/>
    <w:rsid w:val="5C71038F"/>
    <w:rsid w:val="5C78796F"/>
    <w:rsid w:val="5C7C740F"/>
    <w:rsid w:val="5C806824"/>
    <w:rsid w:val="5C845970"/>
    <w:rsid w:val="5C86208C"/>
    <w:rsid w:val="5C877BB2"/>
    <w:rsid w:val="5C950521"/>
    <w:rsid w:val="5CAC7619"/>
    <w:rsid w:val="5CAE3391"/>
    <w:rsid w:val="5CB564CD"/>
    <w:rsid w:val="5CB62246"/>
    <w:rsid w:val="5CB85FBE"/>
    <w:rsid w:val="5CBD1826"/>
    <w:rsid w:val="5CC0508A"/>
    <w:rsid w:val="5CCE098D"/>
    <w:rsid w:val="5CD1707F"/>
    <w:rsid w:val="5CD54DC2"/>
    <w:rsid w:val="5CD735C1"/>
    <w:rsid w:val="5CDA4186"/>
    <w:rsid w:val="5CDC1CAC"/>
    <w:rsid w:val="5CDD77D2"/>
    <w:rsid w:val="5CDF354A"/>
    <w:rsid w:val="5CEB0141"/>
    <w:rsid w:val="5CEB1EEF"/>
    <w:rsid w:val="5CED6664"/>
    <w:rsid w:val="5CF05758"/>
    <w:rsid w:val="5CF27722"/>
    <w:rsid w:val="5CF318AE"/>
    <w:rsid w:val="5CF8017A"/>
    <w:rsid w:val="5CF80AB0"/>
    <w:rsid w:val="5CFB1AA0"/>
    <w:rsid w:val="5CFC234E"/>
    <w:rsid w:val="5CFF599B"/>
    <w:rsid w:val="5D015BB7"/>
    <w:rsid w:val="5D042FB1"/>
    <w:rsid w:val="5D0C73DA"/>
    <w:rsid w:val="5D0D311B"/>
    <w:rsid w:val="5D1B3B07"/>
    <w:rsid w:val="5D1F603D"/>
    <w:rsid w:val="5D227B0C"/>
    <w:rsid w:val="5D245401"/>
    <w:rsid w:val="5D2673CB"/>
    <w:rsid w:val="5D2D2508"/>
    <w:rsid w:val="5D30024A"/>
    <w:rsid w:val="5D302A1A"/>
    <w:rsid w:val="5D373386"/>
    <w:rsid w:val="5D3A04BC"/>
    <w:rsid w:val="5D3C099D"/>
    <w:rsid w:val="5D3E4715"/>
    <w:rsid w:val="5D4635C9"/>
    <w:rsid w:val="5D4C06C8"/>
    <w:rsid w:val="5D577585"/>
    <w:rsid w:val="5D59154F"/>
    <w:rsid w:val="5D665A1A"/>
    <w:rsid w:val="5D6677C8"/>
    <w:rsid w:val="5D6972B8"/>
    <w:rsid w:val="5D7D12D2"/>
    <w:rsid w:val="5D7F6ADB"/>
    <w:rsid w:val="5D843CB0"/>
    <w:rsid w:val="5D852344"/>
    <w:rsid w:val="5D866F60"/>
    <w:rsid w:val="5D944335"/>
    <w:rsid w:val="5D9500AD"/>
    <w:rsid w:val="5D9E3405"/>
    <w:rsid w:val="5D9F2181"/>
    <w:rsid w:val="5DA9018E"/>
    <w:rsid w:val="5DAA7FFC"/>
    <w:rsid w:val="5DAB23BB"/>
    <w:rsid w:val="5DAD2535"/>
    <w:rsid w:val="5DAF116F"/>
    <w:rsid w:val="5DAF1F9E"/>
    <w:rsid w:val="5DAF73C1"/>
    <w:rsid w:val="5DB26EB1"/>
    <w:rsid w:val="5DC170F4"/>
    <w:rsid w:val="5DC97ADF"/>
    <w:rsid w:val="5DCA1E1E"/>
    <w:rsid w:val="5DD300E3"/>
    <w:rsid w:val="5DDA78A3"/>
    <w:rsid w:val="5DDF095B"/>
    <w:rsid w:val="5DE13E74"/>
    <w:rsid w:val="5DE53167"/>
    <w:rsid w:val="5DE61FF9"/>
    <w:rsid w:val="5DEB4A70"/>
    <w:rsid w:val="5DEF5A0F"/>
    <w:rsid w:val="5DF21F7F"/>
    <w:rsid w:val="5DFB0858"/>
    <w:rsid w:val="5DFB4C00"/>
    <w:rsid w:val="5E005A13"/>
    <w:rsid w:val="5E006039"/>
    <w:rsid w:val="5E035C0E"/>
    <w:rsid w:val="5E0E058B"/>
    <w:rsid w:val="5E12155F"/>
    <w:rsid w:val="5E176D14"/>
    <w:rsid w:val="5E196F30"/>
    <w:rsid w:val="5E1B4612"/>
    <w:rsid w:val="5E1B6804"/>
    <w:rsid w:val="5E225DE5"/>
    <w:rsid w:val="5E227B93"/>
    <w:rsid w:val="5E2467F1"/>
    <w:rsid w:val="5E2D4789"/>
    <w:rsid w:val="5E2D6537"/>
    <w:rsid w:val="5E341674"/>
    <w:rsid w:val="5E361890"/>
    <w:rsid w:val="5E3653EC"/>
    <w:rsid w:val="5E3C6B6C"/>
    <w:rsid w:val="5E3E24F3"/>
    <w:rsid w:val="5E3F0623"/>
    <w:rsid w:val="5E420235"/>
    <w:rsid w:val="5E437B09"/>
    <w:rsid w:val="5E45699F"/>
    <w:rsid w:val="5E475E69"/>
    <w:rsid w:val="5E56783C"/>
    <w:rsid w:val="5E581806"/>
    <w:rsid w:val="5E5E3CBB"/>
    <w:rsid w:val="5E602469"/>
    <w:rsid w:val="5E655CD1"/>
    <w:rsid w:val="5E681499"/>
    <w:rsid w:val="5E693A13"/>
    <w:rsid w:val="5E6A778C"/>
    <w:rsid w:val="5E6C52B2"/>
    <w:rsid w:val="5E7423B8"/>
    <w:rsid w:val="5E744166"/>
    <w:rsid w:val="5E79352B"/>
    <w:rsid w:val="5E7C394C"/>
    <w:rsid w:val="5E7D4C9A"/>
    <w:rsid w:val="5E7E6D93"/>
    <w:rsid w:val="5E96388F"/>
    <w:rsid w:val="5EA07788"/>
    <w:rsid w:val="5EA07AA3"/>
    <w:rsid w:val="5EA22A81"/>
    <w:rsid w:val="5EAA7B88"/>
    <w:rsid w:val="5EB50A07"/>
    <w:rsid w:val="5EB822A5"/>
    <w:rsid w:val="5EBB452B"/>
    <w:rsid w:val="5EBD77AF"/>
    <w:rsid w:val="5EC00240"/>
    <w:rsid w:val="5EC40C4A"/>
    <w:rsid w:val="5ECB022A"/>
    <w:rsid w:val="5ECC5D50"/>
    <w:rsid w:val="5ED846F5"/>
    <w:rsid w:val="5EDC587A"/>
    <w:rsid w:val="5EE4753E"/>
    <w:rsid w:val="5EE65064"/>
    <w:rsid w:val="5EE906B0"/>
    <w:rsid w:val="5EEC63F2"/>
    <w:rsid w:val="5EFA466C"/>
    <w:rsid w:val="5EFE6E52"/>
    <w:rsid w:val="5F030150"/>
    <w:rsid w:val="5F092B01"/>
    <w:rsid w:val="5F0A3E4D"/>
    <w:rsid w:val="5F1A2B43"/>
    <w:rsid w:val="5F2D4A41"/>
    <w:rsid w:val="5F2E6A0B"/>
    <w:rsid w:val="5F351B48"/>
    <w:rsid w:val="5F3B7BEC"/>
    <w:rsid w:val="5F443B39"/>
    <w:rsid w:val="5F462822"/>
    <w:rsid w:val="5F4973A1"/>
    <w:rsid w:val="5F4B3119"/>
    <w:rsid w:val="5F4F3A3D"/>
    <w:rsid w:val="5F50072F"/>
    <w:rsid w:val="5F516B5E"/>
    <w:rsid w:val="5F5473DD"/>
    <w:rsid w:val="5F5A18F2"/>
    <w:rsid w:val="5F5F0972"/>
    <w:rsid w:val="5F61293D"/>
    <w:rsid w:val="5F6845F0"/>
    <w:rsid w:val="5F6F53EB"/>
    <w:rsid w:val="5F724B4A"/>
    <w:rsid w:val="5F7268F8"/>
    <w:rsid w:val="5F750196"/>
    <w:rsid w:val="5F767A01"/>
    <w:rsid w:val="5F7723D7"/>
    <w:rsid w:val="5F7A1712"/>
    <w:rsid w:val="5F7F7267"/>
    <w:rsid w:val="5F887C77"/>
    <w:rsid w:val="5F903222"/>
    <w:rsid w:val="5F944DAC"/>
    <w:rsid w:val="5F990328"/>
    <w:rsid w:val="5FA36AB1"/>
    <w:rsid w:val="5FA64C7B"/>
    <w:rsid w:val="5FAA42E4"/>
    <w:rsid w:val="5FB23198"/>
    <w:rsid w:val="5FB707AE"/>
    <w:rsid w:val="5FB7255D"/>
    <w:rsid w:val="5FB837BB"/>
    <w:rsid w:val="5FBA204D"/>
    <w:rsid w:val="5FBE122D"/>
    <w:rsid w:val="5FC30F01"/>
    <w:rsid w:val="5FC37153"/>
    <w:rsid w:val="5FC52ECB"/>
    <w:rsid w:val="5FC627A0"/>
    <w:rsid w:val="5FC8476A"/>
    <w:rsid w:val="5FCA04E2"/>
    <w:rsid w:val="5FDA618F"/>
    <w:rsid w:val="5FDC1FC3"/>
    <w:rsid w:val="5FDE5D3B"/>
    <w:rsid w:val="5FE570CA"/>
    <w:rsid w:val="5FEB2206"/>
    <w:rsid w:val="5FF53085"/>
    <w:rsid w:val="5FF9368B"/>
    <w:rsid w:val="5FFA501D"/>
    <w:rsid w:val="600339F4"/>
    <w:rsid w:val="60076625"/>
    <w:rsid w:val="600A2FD4"/>
    <w:rsid w:val="600A6B30"/>
    <w:rsid w:val="60121E89"/>
    <w:rsid w:val="60141585"/>
    <w:rsid w:val="60172FFB"/>
    <w:rsid w:val="602C4CF9"/>
    <w:rsid w:val="60367925"/>
    <w:rsid w:val="603911C4"/>
    <w:rsid w:val="6040038A"/>
    <w:rsid w:val="60402552"/>
    <w:rsid w:val="60447F0D"/>
    <w:rsid w:val="604F09E7"/>
    <w:rsid w:val="60591866"/>
    <w:rsid w:val="60695F4D"/>
    <w:rsid w:val="606C1599"/>
    <w:rsid w:val="60714E01"/>
    <w:rsid w:val="60771CEC"/>
    <w:rsid w:val="60880E60"/>
    <w:rsid w:val="608A5EC3"/>
    <w:rsid w:val="608A7C71"/>
    <w:rsid w:val="608C39E9"/>
    <w:rsid w:val="608F7035"/>
    <w:rsid w:val="60920644"/>
    <w:rsid w:val="6092598D"/>
    <w:rsid w:val="60966616"/>
    <w:rsid w:val="609805E0"/>
    <w:rsid w:val="60996106"/>
    <w:rsid w:val="60996DCF"/>
    <w:rsid w:val="609B00D0"/>
    <w:rsid w:val="609D1752"/>
    <w:rsid w:val="60A56859"/>
    <w:rsid w:val="60A76A75"/>
    <w:rsid w:val="60B3335D"/>
    <w:rsid w:val="60B60A66"/>
    <w:rsid w:val="60B91067"/>
    <w:rsid w:val="60B91C51"/>
    <w:rsid w:val="60BA0556"/>
    <w:rsid w:val="60BB42CE"/>
    <w:rsid w:val="60C146A2"/>
    <w:rsid w:val="60C2565D"/>
    <w:rsid w:val="60C72C73"/>
    <w:rsid w:val="60CC405A"/>
    <w:rsid w:val="60CE1DD8"/>
    <w:rsid w:val="60CE4002"/>
    <w:rsid w:val="60D62EB6"/>
    <w:rsid w:val="60DA0BF8"/>
    <w:rsid w:val="60DD4245"/>
    <w:rsid w:val="60E43825"/>
    <w:rsid w:val="60E530F9"/>
    <w:rsid w:val="60EE4B9C"/>
    <w:rsid w:val="60F63558"/>
    <w:rsid w:val="60F64CF4"/>
    <w:rsid w:val="60F72902"/>
    <w:rsid w:val="60FC3832"/>
    <w:rsid w:val="61005DAE"/>
    <w:rsid w:val="61025A59"/>
    <w:rsid w:val="61077826"/>
    <w:rsid w:val="610877A7"/>
    <w:rsid w:val="611D0AE5"/>
    <w:rsid w:val="612005AE"/>
    <w:rsid w:val="61202383"/>
    <w:rsid w:val="6122434D"/>
    <w:rsid w:val="612400C6"/>
    <w:rsid w:val="61243C22"/>
    <w:rsid w:val="612A5DC1"/>
    <w:rsid w:val="612B3202"/>
    <w:rsid w:val="612E4AA0"/>
    <w:rsid w:val="613025C6"/>
    <w:rsid w:val="61306A6A"/>
    <w:rsid w:val="613273FA"/>
    <w:rsid w:val="6133751C"/>
    <w:rsid w:val="61393CA9"/>
    <w:rsid w:val="6140737D"/>
    <w:rsid w:val="61477910"/>
    <w:rsid w:val="61497B2C"/>
    <w:rsid w:val="61597718"/>
    <w:rsid w:val="616039D4"/>
    <w:rsid w:val="61614E76"/>
    <w:rsid w:val="6166423A"/>
    <w:rsid w:val="61671D60"/>
    <w:rsid w:val="616B1851"/>
    <w:rsid w:val="616D0E9D"/>
    <w:rsid w:val="616D381B"/>
    <w:rsid w:val="6170330B"/>
    <w:rsid w:val="617701F5"/>
    <w:rsid w:val="617821BF"/>
    <w:rsid w:val="617D3332"/>
    <w:rsid w:val="617E5E71"/>
    <w:rsid w:val="617F354E"/>
    <w:rsid w:val="61811074"/>
    <w:rsid w:val="618A61C9"/>
    <w:rsid w:val="61907509"/>
    <w:rsid w:val="61954857"/>
    <w:rsid w:val="61956CEF"/>
    <w:rsid w:val="619A2136"/>
    <w:rsid w:val="619F774C"/>
    <w:rsid w:val="61B551C2"/>
    <w:rsid w:val="61BA27D8"/>
    <w:rsid w:val="61C13B66"/>
    <w:rsid w:val="61CA2A1B"/>
    <w:rsid w:val="61CA3CCD"/>
    <w:rsid w:val="61D03DA9"/>
    <w:rsid w:val="61DA0784"/>
    <w:rsid w:val="61DE64C6"/>
    <w:rsid w:val="61E17D65"/>
    <w:rsid w:val="61E215D8"/>
    <w:rsid w:val="61EF1F11"/>
    <w:rsid w:val="61F21F72"/>
    <w:rsid w:val="61F3765A"/>
    <w:rsid w:val="61F41846"/>
    <w:rsid w:val="61F5736C"/>
    <w:rsid w:val="62061579"/>
    <w:rsid w:val="620B4DE2"/>
    <w:rsid w:val="621243C2"/>
    <w:rsid w:val="62126170"/>
    <w:rsid w:val="62143C96"/>
    <w:rsid w:val="621B0213"/>
    <w:rsid w:val="621B3775"/>
    <w:rsid w:val="621E4B15"/>
    <w:rsid w:val="62230EC5"/>
    <w:rsid w:val="623375C8"/>
    <w:rsid w:val="62346A12"/>
    <w:rsid w:val="62364782"/>
    <w:rsid w:val="623936FD"/>
    <w:rsid w:val="623954AB"/>
    <w:rsid w:val="62397BA1"/>
    <w:rsid w:val="623A1223"/>
    <w:rsid w:val="623B5972"/>
    <w:rsid w:val="624B1D15"/>
    <w:rsid w:val="624E5DF2"/>
    <w:rsid w:val="624F4CCE"/>
    <w:rsid w:val="62570027"/>
    <w:rsid w:val="62600C89"/>
    <w:rsid w:val="62677DAD"/>
    <w:rsid w:val="62682941"/>
    <w:rsid w:val="62685533"/>
    <w:rsid w:val="626C1E2E"/>
    <w:rsid w:val="627604AD"/>
    <w:rsid w:val="62782477"/>
    <w:rsid w:val="627B6256"/>
    <w:rsid w:val="62832BCA"/>
    <w:rsid w:val="62854B94"/>
    <w:rsid w:val="628D3A49"/>
    <w:rsid w:val="628F3483"/>
    <w:rsid w:val="62A32F4D"/>
    <w:rsid w:val="62A577C3"/>
    <w:rsid w:val="62AA0157"/>
    <w:rsid w:val="62AC456C"/>
    <w:rsid w:val="62AF39BF"/>
    <w:rsid w:val="62CC27C3"/>
    <w:rsid w:val="62D058DC"/>
    <w:rsid w:val="62D653F0"/>
    <w:rsid w:val="62E96ED1"/>
    <w:rsid w:val="62F31AFE"/>
    <w:rsid w:val="62FF4946"/>
    <w:rsid w:val="62FF66F4"/>
    <w:rsid w:val="63065CD5"/>
    <w:rsid w:val="63082571"/>
    <w:rsid w:val="630F26B0"/>
    <w:rsid w:val="63155F18"/>
    <w:rsid w:val="631942AE"/>
    <w:rsid w:val="631D3F8D"/>
    <w:rsid w:val="631D4DCC"/>
    <w:rsid w:val="63220635"/>
    <w:rsid w:val="632B573B"/>
    <w:rsid w:val="632C3261"/>
    <w:rsid w:val="632E6FDA"/>
    <w:rsid w:val="632F68AE"/>
    <w:rsid w:val="63414F5F"/>
    <w:rsid w:val="6349424A"/>
    <w:rsid w:val="63500CFE"/>
    <w:rsid w:val="63690012"/>
    <w:rsid w:val="636C18B0"/>
    <w:rsid w:val="63754C08"/>
    <w:rsid w:val="637A221F"/>
    <w:rsid w:val="6381535B"/>
    <w:rsid w:val="638906B4"/>
    <w:rsid w:val="638E5CCA"/>
    <w:rsid w:val="6394356A"/>
    <w:rsid w:val="63955BB2"/>
    <w:rsid w:val="639A01CB"/>
    <w:rsid w:val="639C03E7"/>
    <w:rsid w:val="639E4968"/>
    <w:rsid w:val="63A1155A"/>
    <w:rsid w:val="63A66B70"/>
    <w:rsid w:val="63B12F97"/>
    <w:rsid w:val="63B55005"/>
    <w:rsid w:val="63B94AF2"/>
    <w:rsid w:val="63BC5355"/>
    <w:rsid w:val="63C33D82"/>
    <w:rsid w:val="63C4148C"/>
    <w:rsid w:val="63C416EC"/>
    <w:rsid w:val="63C61B2C"/>
    <w:rsid w:val="63C65464"/>
    <w:rsid w:val="63C97274"/>
    <w:rsid w:val="63CF256B"/>
    <w:rsid w:val="63D40BE9"/>
    <w:rsid w:val="63D9485B"/>
    <w:rsid w:val="63DA2CBD"/>
    <w:rsid w:val="63DF2082"/>
    <w:rsid w:val="63ED29F1"/>
    <w:rsid w:val="63ED479F"/>
    <w:rsid w:val="63EE34B9"/>
    <w:rsid w:val="63F7509C"/>
    <w:rsid w:val="63FA3360"/>
    <w:rsid w:val="6401024A"/>
    <w:rsid w:val="64021955"/>
    <w:rsid w:val="64095351"/>
    <w:rsid w:val="640970FF"/>
    <w:rsid w:val="64102431"/>
    <w:rsid w:val="64182E0A"/>
    <w:rsid w:val="641C32D6"/>
    <w:rsid w:val="641D1EBA"/>
    <w:rsid w:val="64212443"/>
    <w:rsid w:val="64267CB1"/>
    <w:rsid w:val="642D54E3"/>
    <w:rsid w:val="64314E82"/>
    <w:rsid w:val="64326656"/>
    <w:rsid w:val="64383165"/>
    <w:rsid w:val="643F0D73"/>
    <w:rsid w:val="64462101"/>
    <w:rsid w:val="644665A5"/>
    <w:rsid w:val="64485E79"/>
    <w:rsid w:val="644F3172"/>
    <w:rsid w:val="64512ACB"/>
    <w:rsid w:val="6452504F"/>
    <w:rsid w:val="645C1924"/>
    <w:rsid w:val="646A047C"/>
    <w:rsid w:val="64713622"/>
    <w:rsid w:val="647C1B91"/>
    <w:rsid w:val="647D3761"/>
    <w:rsid w:val="64882719"/>
    <w:rsid w:val="648A0240"/>
    <w:rsid w:val="64940C8D"/>
    <w:rsid w:val="64A5243A"/>
    <w:rsid w:val="64B259E8"/>
    <w:rsid w:val="64B34F91"/>
    <w:rsid w:val="64BC432D"/>
    <w:rsid w:val="64C25C2B"/>
    <w:rsid w:val="64C51278"/>
    <w:rsid w:val="64CE0433"/>
    <w:rsid w:val="64CE2822"/>
    <w:rsid w:val="64D15E6F"/>
    <w:rsid w:val="64D25170"/>
    <w:rsid w:val="64D37E39"/>
    <w:rsid w:val="64D4770D"/>
    <w:rsid w:val="64D771FD"/>
    <w:rsid w:val="64D911C7"/>
    <w:rsid w:val="64DD0CB7"/>
    <w:rsid w:val="64E57B6C"/>
    <w:rsid w:val="64E8140A"/>
    <w:rsid w:val="64EF2799"/>
    <w:rsid w:val="64F14763"/>
    <w:rsid w:val="64F531DE"/>
    <w:rsid w:val="64F6723F"/>
    <w:rsid w:val="64F93BF5"/>
    <w:rsid w:val="65006754"/>
    <w:rsid w:val="650224CC"/>
    <w:rsid w:val="65136487"/>
    <w:rsid w:val="651915C4"/>
    <w:rsid w:val="652C12F7"/>
    <w:rsid w:val="652F1BCA"/>
    <w:rsid w:val="65373578"/>
    <w:rsid w:val="653A7EB8"/>
    <w:rsid w:val="653B51B3"/>
    <w:rsid w:val="653B59DE"/>
    <w:rsid w:val="65402FF4"/>
    <w:rsid w:val="65474383"/>
    <w:rsid w:val="654D71EC"/>
    <w:rsid w:val="6558033E"/>
    <w:rsid w:val="655B398A"/>
    <w:rsid w:val="65695A9D"/>
    <w:rsid w:val="65696F94"/>
    <w:rsid w:val="656A066E"/>
    <w:rsid w:val="656A1E1F"/>
    <w:rsid w:val="65705687"/>
    <w:rsid w:val="65735178"/>
    <w:rsid w:val="657F58CB"/>
    <w:rsid w:val="658729D1"/>
    <w:rsid w:val="659E2041"/>
    <w:rsid w:val="65A17D86"/>
    <w:rsid w:val="65A215B9"/>
    <w:rsid w:val="65A2479E"/>
    <w:rsid w:val="65A92947"/>
    <w:rsid w:val="65AE4402"/>
    <w:rsid w:val="65B512EC"/>
    <w:rsid w:val="65C23A09"/>
    <w:rsid w:val="65CB6408"/>
    <w:rsid w:val="65CC62CA"/>
    <w:rsid w:val="65CE0600"/>
    <w:rsid w:val="65E4605C"/>
    <w:rsid w:val="65EE47FA"/>
    <w:rsid w:val="65F22540"/>
    <w:rsid w:val="65F71905"/>
    <w:rsid w:val="660605BC"/>
    <w:rsid w:val="66083B12"/>
    <w:rsid w:val="660B1854"/>
    <w:rsid w:val="660D737A"/>
    <w:rsid w:val="661205C0"/>
    <w:rsid w:val="66140709"/>
    <w:rsid w:val="66187ACD"/>
    <w:rsid w:val="661C136B"/>
    <w:rsid w:val="66250FE6"/>
    <w:rsid w:val="662B5592"/>
    <w:rsid w:val="66303069"/>
    <w:rsid w:val="663A5C95"/>
    <w:rsid w:val="66451F92"/>
    <w:rsid w:val="66521231"/>
    <w:rsid w:val="66560D21"/>
    <w:rsid w:val="665B6338"/>
    <w:rsid w:val="66652D12"/>
    <w:rsid w:val="666D1BC7"/>
    <w:rsid w:val="66716C77"/>
    <w:rsid w:val="66734CD3"/>
    <w:rsid w:val="6686712D"/>
    <w:rsid w:val="668F5FE1"/>
    <w:rsid w:val="66910E93"/>
    <w:rsid w:val="669453A6"/>
    <w:rsid w:val="669C78E0"/>
    <w:rsid w:val="66A000D7"/>
    <w:rsid w:val="66AF0431"/>
    <w:rsid w:val="66BE0674"/>
    <w:rsid w:val="66C0619B"/>
    <w:rsid w:val="66C51A03"/>
    <w:rsid w:val="66C67529"/>
    <w:rsid w:val="66C91132"/>
    <w:rsid w:val="66CA7019"/>
    <w:rsid w:val="66CC0FE3"/>
    <w:rsid w:val="66D87988"/>
    <w:rsid w:val="66E04A8F"/>
    <w:rsid w:val="66E93AF6"/>
    <w:rsid w:val="66EA1469"/>
    <w:rsid w:val="66EF6A80"/>
    <w:rsid w:val="66F145A6"/>
    <w:rsid w:val="66F36F96"/>
    <w:rsid w:val="66F66060"/>
    <w:rsid w:val="66FB5425"/>
    <w:rsid w:val="66FB71D3"/>
    <w:rsid w:val="67035656"/>
    <w:rsid w:val="670B5D4F"/>
    <w:rsid w:val="670C135D"/>
    <w:rsid w:val="67100980"/>
    <w:rsid w:val="671F124A"/>
    <w:rsid w:val="673B7F17"/>
    <w:rsid w:val="673C7B87"/>
    <w:rsid w:val="673E5744"/>
    <w:rsid w:val="67420199"/>
    <w:rsid w:val="674A63AC"/>
    <w:rsid w:val="674D37A6"/>
    <w:rsid w:val="67513297"/>
    <w:rsid w:val="67531026"/>
    <w:rsid w:val="6755053C"/>
    <w:rsid w:val="6759214B"/>
    <w:rsid w:val="675F3C06"/>
    <w:rsid w:val="6764120B"/>
    <w:rsid w:val="67694A84"/>
    <w:rsid w:val="676A25AA"/>
    <w:rsid w:val="676E209B"/>
    <w:rsid w:val="676E52D2"/>
    <w:rsid w:val="677540CF"/>
    <w:rsid w:val="677A33C6"/>
    <w:rsid w:val="678274E8"/>
    <w:rsid w:val="6784366C"/>
    <w:rsid w:val="67852F40"/>
    <w:rsid w:val="67944631"/>
    <w:rsid w:val="679715F1"/>
    <w:rsid w:val="679D028A"/>
    <w:rsid w:val="679F4946"/>
    <w:rsid w:val="67A61834"/>
    <w:rsid w:val="67A96C2F"/>
    <w:rsid w:val="67AA29A7"/>
    <w:rsid w:val="67DF08A2"/>
    <w:rsid w:val="67E749C9"/>
    <w:rsid w:val="67E934CF"/>
    <w:rsid w:val="67EB36EB"/>
    <w:rsid w:val="67F325A0"/>
    <w:rsid w:val="67F65BEC"/>
    <w:rsid w:val="67F72090"/>
    <w:rsid w:val="67F87BB6"/>
    <w:rsid w:val="67FC60FE"/>
    <w:rsid w:val="67FF2CF3"/>
    <w:rsid w:val="67FF6DE1"/>
    <w:rsid w:val="68014B1A"/>
    <w:rsid w:val="6808604B"/>
    <w:rsid w:val="680B5B3B"/>
    <w:rsid w:val="680E1188"/>
    <w:rsid w:val="680E64F1"/>
    <w:rsid w:val="680E73DA"/>
    <w:rsid w:val="68106CAE"/>
    <w:rsid w:val="68152516"/>
    <w:rsid w:val="681744E0"/>
    <w:rsid w:val="6818381D"/>
    <w:rsid w:val="681A7B2C"/>
    <w:rsid w:val="681F6961"/>
    <w:rsid w:val="681F7C23"/>
    <w:rsid w:val="68232E85"/>
    <w:rsid w:val="68285C65"/>
    <w:rsid w:val="682B3AE8"/>
    <w:rsid w:val="682D3D04"/>
    <w:rsid w:val="682D7860"/>
    <w:rsid w:val="68330D9E"/>
    <w:rsid w:val="683433C3"/>
    <w:rsid w:val="68352BB8"/>
    <w:rsid w:val="68364CD7"/>
    <w:rsid w:val="683A01CF"/>
    <w:rsid w:val="683A6742"/>
    <w:rsid w:val="683E0957"/>
    <w:rsid w:val="683E7CBF"/>
    <w:rsid w:val="68420E31"/>
    <w:rsid w:val="685002C6"/>
    <w:rsid w:val="685962F4"/>
    <w:rsid w:val="68600C0C"/>
    <w:rsid w:val="68610A2F"/>
    <w:rsid w:val="686A23AC"/>
    <w:rsid w:val="686B0388"/>
    <w:rsid w:val="686B65DA"/>
    <w:rsid w:val="686D4100"/>
    <w:rsid w:val="68757459"/>
    <w:rsid w:val="687A4A6F"/>
    <w:rsid w:val="68803790"/>
    <w:rsid w:val="68805514"/>
    <w:rsid w:val="688D02FE"/>
    <w:rsid w:val="689871CF"/>
    <w:rsid w:val="689A0C6D"/>
    <w:rsid w:val="689F0032"/>
    <w:rsid w:val="68A44B73"/>
    <w:rsid w:val="68A57C30"/>
    <w:rsid w:val="68A815DC"/>
    <w:rsid w:val="68AA0EB0"/>
    <w:rsid w:val="68B03FED"/>
    <w:rsid w:val="68BE495C"/>
    <w:rsid w:val="68BF2482"/>
    <w:rsid w:val="68C31F72"/>
    <w:rsid w:val="68C73114"/>
    <w:rsid w:val="68CC52CB"/>
    <w:rsid w:val="68CD1043"/>
    <w:rsid w:val="68CF0917"/>
    <w:rsid w:val="68D104AB"/>
    <w:rsid w:val="68DA70DB"/>
    <w:rsid w:val="68E00D76"/>
    <w:rsid w:val="68E63EB3"/>
    <w:rsid w:val="68EE5551"/>
    <w:rsid w:val="68F44821"/>
    <w:rsid w:val="68F472B9"/>
    <w:rsid w:val="68F71C1C"/>
    <w:rsid w:val="68FB2144"/>
    <w:rsid w:val="68FD36D6"/>
    <w:rsid w:val="68FE74B6"/>
    <w:rsid w:val="69110C93"/>
    <w:rsid w:val="69166546"/>
    <w:rsid w:val="691B0000"/>
    <w:rsid w:val="692549DB"/>
    <w:rsid w:val="69274514"/>
    <w:rsid w:val="692C5EB4"/>
    <w:rsid w:val="692C7B17"/>
    <w:rsid w:val="692F13B6"/>
    <w:rsid w:val="69316E2F"/>
    <w:rsid w:val="69335730"/>
    <w:rsid w:val="69391E5C"/>
    <w:rsid w:val="69417FC4"/>
    <w:rsid w:val="694E2071"/>
    <w:rsid w:val="694E3301"/>
    <w:rsid w:val="694F3806"/>
    <w:rsid w:val="69540E1C"/>
    <w:rsid w:val="69586B2A"/>
    <w:rsid w:val="695B58F4"/>
    <w:rsid w:val="695E38FE"/>
    <w:rsid w:val="696A0B24"/>
    <w:rsid w:val="69766163"/>
    <w:rsid w:val="69794D27"/>
    <w:rsid w:val="69796AD5"/>
    <w:rsid w:val="697A3B33"/>
    <w:rsid w:val="69814FCE"/>
    <w:rsid w:val="698175F9"/>
    <w:rsid w:val="6994390F"/>
    <w:rsid w:val="69956513"/>
    <w:rsid w:val="699833FF"/>
    <w:rsid w:val="69A00505"/>
    <w:rsid w:val="69A21516"/>
    <w:rsid w:val="69A27DD9"/>
    <w:rsid w:val="69A422AA"/>
    <w:rsid w:val="69A772B0"/>
    <w:rsid w:val="69A973BA"/>
    <w:rsid w:val="69AE49D0"/>
    <w:rsid w:val="69B1626F"/>
    <w:rsid w:val="69B31FE7"/>
    <w:rsid w:val="69BE2739"/>
    <w:rsid w:val="69C4716E"/>
    <w:rsid w:val="69CE0BCF"/>
    <w:rsid w:val="69D106BF"/>
    <w:rsid w:val="69D44760"/>
    <w:rsid w:val="69D72179"/>
    <w:rsid w:val="69D85591"/>
    <w:rsid w:val="69D93E97"/>
    <w:rsid w:val="69DB32EB"/>
    <w:rsid w:val="69E228CC"/>
    <w:rsid w:val="69E71C90"/>
    <w:rsid w:val="69E957BC"/>
    <w:rsid w:val="69EB79D2"/>
    <w:rsid w:val="69F62F84"/>
    <w:rsid w:val="69FB7307"/>
    <w:rsid w:val="6A026ACA"/>
    <w:rsid w:val="6A154A4F"/>
    <w:rsid w:val="6A161774"/>
    <w:rsid w:val="6A2133F4"/>
    <w:rsid w:val="6A2B7DCF"/>
    <w:rsid w:val="6A2E78BF"/>
    <w:rsid w:val="6A333127"/>
    <w:rsid w:val="6A38073E"/>
    <w:rsid w:val="6A4A4AB9"/>
    <w:rsid w:val="6A4B4EEB"/>
    <w:rsid w:val="6A4E7F61"/>
    <w:rsid w:val="6A4F6A08"/>
    <w:rsid w:val="6A520EC7"/>
    <w:rsid w:val="6A5512F0"/>
    <w:rsid w:val="6A6B0B13"/>
    <w:rsid w:val="6A737C23"/>
    <w:rsid w:val="6A815C41"/>
    <w:rsid w:val="6A845731"/>
    <w:rsid w:val="6A885221"/>
    <w:rsid w:val="6A902328"/>
    <w:rsid w:val="6A94006A"/>
    <w:rsid w:val="6A9A5AB8"/>
    <w:rsid w:val="6A9C52FB"/>
    <w:rsid w:val="6AA06A0F"/>
    <w:rsid w:val="6ABA55F7"/>
    <w:rsid w:val="6ABE2AE9"/>
    <w:rsid w:val="6ACA3A8C"/>
    <w:rsid w:val="6AD2649C"/>
    <w:rsid w:val="6AD466B8"/>
    <w:rsid w:val="6AD541DF"/>
    <w:rsid w:val="6ADF0BB9"/>
    <w:rsid w:val="6AEA7C8A"/>
    <w:rsid w:val="6AEC1C54"/>
    <w:rsid w:val="6AF87E20"/>
    <w:rsid w:val="6B016D82"/>
    <w:rsid w:val="6B07083C"/>
    <w:rsid w:val="6B086362"/>
    <w:rsid w:val="6B0869DC"/>
    <w:rsid w:val="6B0B5C18"/>
    <w:rsid w:val="6B0D1BCA"/>
    <w:rsid w:val="6B0E04B9"/>
    <w:rsid w:val="6B1271E1"/>
    <w:rsid w:val="6B144D07"/>
    <w:rsid w:val="6B1747F7"/>
    <w:rsid w:val="6B1B7E43"/>
    <w:rsid w:val="6B2036AC"/>
    <w:rsid w:val="6B222FA4"/>
    <w:rsid w:val="6B256F14"/>
    <w:rsid w:val="6B2807B2"/>
    <w:rsid w:val="6B2A0087"/>
    <w:rsid w:val="6B2D401B"/>
    <w:rsid w:val="6B2F7FE6"/>
    <w:rsid w:val="6B317667"/>
    <w:rsid w:val="6B322639"/>
    <w:rsid w:val="6B3521BC"/>
    <w:rsid w:val="6B383D1A"/>
    <w:rsid w:val="6B3E1D84"/>
    <w:rsid w:val="6B454EC0"/>
    <w:rsid w:val="6B476E8A"/>
    <w:rsid w:val="6B482C03"/>
    <w:rsid w:val="6B496B0F"/>
    <w:rsid w:val="6B52582F"/>
    <w:rsid w:val="6B55512C"/>
    <w:rsid w:val="6B56437F"/>
    <w:rsid w:val="6B56531F"/>
    <w:rsid w:val="6B5D34D5"/>
    <w:rsid w:val="6B601CFA"/>
    <w:rsid w:val="6B637C63"/>
    <w:rsid w:val="6B686E01"/>
    <w:rsid w:val="6B6A6423"/>
    <w:rsid w:val="6B6F4633"/>
    <w:rsid w:val="6B703894"/>
    <w:rsid w:val="6B7632CC"/>
    <w:rsid w:val="6B855D8D"/>
    <w:rsid w:val="6B993E15"/>
    <w:rsid w:val="6B9B3272"/>
    <w:rsid w:val="6B9D486E"/>
    <w:rsid w:val="6BA51E03"/>
    <w:rsid w:val="6BAA11C7"/>
    <w:rsid w:val="6BAF4A30"/>
    <w:rsid w:val="6BBD539F"/>
    <w:rsid w:val="6BD1361D"/>
    <w:rsid w:val="6BD86BFC"/>
    <w:rsid w:val="6BDE45F3"/>
    <w:rsid w:val="6BDF5315"/>
    <w:rsid w:val="6BE7241B"/>
    <w:rsid w:val="6BE9497A"/>
    <w:rsid w:val="6BEE5558"/>
    <w:rsid w:val="6BF75C89"/>
    <w:rsid w:val="6BFB7C75"/>
    <w:rsid w:val="6BFD1C3F"/>
    <w:rsid w:val="6C0C579C"/>
    <w:rsid w:val="6C0F2941"/>
    <w:rsid w:val="6C102E58"/>
    <w:rsid w:val="6C1256EA"/>
    <w:rsid w:val="6C13293F"/>
    <w:rsid w:val="6C262B15"/>
    <w:rsid w:val="6C2C422A"/>
    <w:rsid w:val="6C2E004A"/>
    <w:rsid w:val="6C382C77"/>
    <w:rsid w:val="6C3A66BC"/>
    <w:rsid w:val="6C472EBA"/>
    <w:rsid w:val="6C4D6B28"/>
    <w:rsid w:val="6C5008E1"/>
    <w:rsid w:val="6C557385"/>
    <w:rsid w:val="6C5A11F7"/>
    <w:rsid w:val="6C613F7C"/>
    <w:rsid w:val="6C636C38"/>
    <w:rsid w:val="6C68355C"/>
    <w:rsid w:val="6C6972D4"/>
    <w:rsid w:val="6C702411"/>
    <w:rsid w:val="6C7517D5"/>
    <w:rsid w:val="6C7650CC"/>
    <w:rsid w:val="6C7A6DEC"/>
    <w:rsid w:val="6C803E91"/>
    <w:rsid w:val="6C865790"/>
    <w:rsid w:val="6C9205D9"/>
    <w:rsid w:val="6C97174C"/>
    <w:rsid w:val="6C9C3206"/>
    <w:rsid w:val="6CA5567A"/>
    <w:rsid w:val="6CA83959"/>
    <w:rsid w:val="6CB00A5F"/>
    <w:rsid w:val="6CB0280D"/>
    <w:rsid w:val="6CBA5193"/>
    <w:rsid w:val="6CBA7B30"/>
    <w:rsid w:val="6CD009DE"/>
    <w:rsid w:val="6CD26C28"/>
    <w:rsid w:val="6CD56718"/>
    <w:rsid w:val="6CD97FB6"/>
    <w:rsid w:val="6CDC4AA9"/>
    <w:rsid w:val="6CE4695B"/>
    <w:rsid w:val="6CE77FFE"/>
    <w:rsid w:val="6CE95D1F"/>
    <w:rsid w:val="6CEB6BE5"/>
    <w:rsid w:val="6CF46B9E"/>
    <w:rsid w:val="6CF748E0"/>
    <w:rsid w:val="6D044D29"/>
    <w:rsid w:val="6D064B23"/>
    <w:rsid w:val="6D094E3F"/>
    <w:rsid w:val="6D0B3EE8"/>
    <w:rsid w:val="6D13102F"/>
    <w:rsid w:val="6D16193B"/>
    <w:rsid w:val="6D1E1E6D"/>
    <w:rsid w:val="6D254FA9"/>
    <w:rsid w:val="6D262AD0"/>
    <w:rsid w:val="6D307856"/>
    <w:rsid w:val="6D325918"/>
    <w:rsid w:val="6D3C22F3"/>
    <w:rsid w:val="6D3E606B"/>
    <w:rsid w:val="6D3E6A5C"/>
    <w:rsid w:val="6D45389E"/>
    <w:rsid w:val="6D480C98"/>
    <w:rsid w:val="6D4D4500"/>
    <w:rsid w:val="6D4D62AE"/>
    <w:rsid w:val="6D5C2995"/>
    <w:rsid w:val="6D5E1D11"/>
    <w:rsid w:val="6D6830AF"/>
    <w:rsid w:val="6D714693"/>
    <w:rsid w:val="6D7221B9"/>
    <w:rsid w:val="6D7952F5"/>
    <w:rsid w:val="6D836174"/>
    <w:rsid w:val="6D88378A"/>
    <w:rsid w:val="6D8B6DD7"/>
    <w:rsid w:val="6D9D7236"/>
    <w:rsid w:val="6DA9017B"/>
    <w:rsid w:val="6DAD31F1"/>
    <w:rsid w:val="6DB0087C"/>
    <w:rsid w:val="6DB12CE1"/>
    <w:rsid w:val="6DB34098"/>
    <w:rsid w:val="6DB545B6"/>
    <w:rsid w:val="6DB77697"/>
    <w:rsid w:val="6DC5053A"/>
    <w:rsid w:val="6DC522E8"/>
    <w:rsid w:val="6DC62138"/>
    <w:rsid w:val="6DC72505"/>
    <w:rsid w:val="6DCA5B51"/>
    <w:rsid w:val="6DD15131"/>
    <w:rsid w:val="6DD62748"/>
    <w:rsid w:val="6DD8026E"/>
    <w:rsid w:val="6DDB1B0C"/>
    <w:rsid w:val="6DDE33AA"/>
    <w:rsid w:val="6DE02FB4"/>
    <w:rsid w:val="6DE54739"/>
    <w:rsid w:val="6DEF7365"/>
    <w:rsid w:val="6DF10F35"/>
    <w:rsid w:val="6E0E5A3E"/>
    <w:rsid w:val="6E121BA4"/>
    <w:rsid w:val="6E13574A"/>
    <w:rsid w:val="6E1B45FE"/>
    <w:rsid w:val="6E241705"/>
    <w:rsid w:val="6E331948"/>
    <w:rsid w:val="6E3B25AB"/>
    <w:rsid w:val="6E4A0A40"/>
    <w:rsid w:val="6E514CED"/>
    <w:rsid w:val="6E55366C"/>
    <w:rsid w:val="6E5F098F"/>
    <w:rsid w:val="6E634421"/>
    <w:rsid w:val="6E6B000D"/>
    <w:rsid w:val="6E7206C2"/>
    <w:rsid w:val="6E755ABD"/>
    <w:rsid w:val="6E7D7067"/>
    <w:rsid w:val="6E7F2DDF"/>
    <w:rsid w:val="6E80357D"/>
    <w:rsid w:val="6E812670"/>
    <w:rsid w:val="6E8201DA"/>
    <w:rsid w:val="6E866F50"/>
    <w:rsid w:val="6E8757F0"/>
    <w:rsid w:val="6E900B48"/>
    <w:rsid w:val="6E9111BD"/>
    <w:rsid w:val="6E9543B1"/>
    <w:rsid w:val="6EA56207"/>
    <w:rsid w:val="6EB563D5"/>
    <w:rsid w:val="6EB56801"/>
    <w:rsid w:val="6EBC193D"/>
    <w:rsid w:val="6EC95E08"/>
    <w:rsid w:val="6ECB392F"/>
    <w:rsid w:val="6ECE1671"/>
    <w:rsid w:val="6ED92677"/>
    <w:rsid w:val="6EDC5681"/>
    <w:rsid w:val="6EDD3662"/>
    <w:rsid w:val="6EDD3C41"/>
    <w:rsid w:val="6EDF1C33"/>
    <w:rsid w:val="6EE01B59"/>
    <w:rsid w:val="6EE05E54"/>
    <w:rsid w:val="6EE06E14"/>
    <w:rsid w:val="6EE4427D"/>
    <w:rsid w:val="6EF32E85"/>
    <w:rsid w:val="6EF75547"/>
    <w:rsid w:val="6EFD27D4"/>
    <w:rsid w:val="6F0B01CF"/>
    <w:rsid w:val="6F1928EC"/>
    <w:rsid w:val="6F1933B5"/>
    <w:rsid w:val="6F1E7F02"/>
    <w:rsid w:val="6F224506"/>
    <w:rsid w:val="6F225983"/>
    <w:rsid w:val="6F28231A"/>
    <w:rsid w:val="6F2B256F"/>
    <w:rsid w:val="6F3C2815"/>
    <w:rsid w:val="6F3E05A4"/>
    <w:rsid w:val="6F472FE7"/>
    <w:rsid w:val="6F4F0A46"/>
    <w:rsid w:val="6F4F20AB"/>
    <w:rsid w:val="6F4F4560"/>
    <w:rsid w:val="6F543739"/>
    <w:rsid w:val="6F55769C"/>
    <w:rsid w:val="6F5B73A8"/>
    <w:rsid w:val="6F616041"/>
    <w:rsid w:val="6F616B55"/>
    <w:rsid w:val="6F683873"/>
    <w:rsid w:val="6F6A3147"/>
    <w:rsid w:val="6F6F4C02"/>
    <w:rsid w:val="6F6F69B0"/>
    <w:rsid w:val="6F7246F2"/>
    <w:rsid w:val="6F743FC6"/>
    <w:rsid w:val="6F751AEC"/>
    <w:rsid w:val="6F813F51"/>
    <w:rsid w:val="6F854425"/>
    <w:rsid w:val="6F865AA7"/>
    <w:rsid w:val="6F8A37EA"/>
    <w:rsid w:val="6F8A5598"/>
    <w:rsid w:val="6F8F2BAE"/>
    <w:rsid w:val="6F8F5D2D"/>
    <w:rsid w:val="6F9203C6"/>
    <w:rsid w:val="6F9208F0"/>
    <w:rsid w:val="6F96218E"/>
    <w:rsid w:val="6F993A2D"/>
    <w:rsid w:val="6F9957DB"/>
    <w:rsid w:val="6FAA343B"/>
    <w:rsid w:val="6FAC3760"/>
    <w:rsid w:val="6FB40867"/>
    <w:rsid w:val="6FB42615"/>
    <w:rsid w:val="6FB7142D"/>
    <w:rsid w:val="6FB72B3F"/>
    <w:rsid w:val="6FB8103A"/>
    <w:rsid w:val="6FC34F4E"/>
    <w:rsid w:val="6FCF56A0"/>
    <w:rsid w:val="6FD21CEC"/>
    <w:rsid w:val="6FD76303"/>
    <w:rsid w:val="6FD96F22"/>
    <w:rsid w:val="6FDB4931"/>
    <w:rsid w:val="6FDD600F"/>
    <w:rsid w:val="6FE27182"/>
    <w:rsid w:val="6FE4739E"/>
    <w:rsid w:val="6FE54EC4"/>
    <w:rsid w:val="6FE70C3C"/>
    <w:rsid w:val="6FE91A27"/>
    <w:rsid w:val="6FF70753"/>
    <w:rsid w:val="6FF869A5"/>
    <w:rsid w:val="6FFC5590"/>
    <w:rsid w:val="700417EE"/>
    <w:rsid w:val="70082960"/>
    <w:rsid w:val="700A66D9"/>
    <w:rsid w:val="70115CB9"/>
    <w:rsid w:val="701379DF"/>
    <w:rsid w:val="7016507D"/>
    <w:rsid w:val="70221C74"/>
    <w:rsid w:val="7024192F"/>
    <w:rsid w:val="702E23C7"/>
    <w:rsid w:val="70316D6E"/>
    <w:rsid w:val="7047792D"/>
    <w:rsid w:val="704E0CBB"/>
    <w:rsid w:val="705362D1"/>
    <w:rsid w:val="70573A64"/>
    <w:rsid w:val="705A36F0"/>
    <w:rsid w:val="705B6F34"/>
    <w:rsid w:val="70691651"/>
    <w:rsid w:val="706D1DD0"/>
    <w:rsid w:val="706E4EB9"/>
    <w:rsid w:val="70706980"/>
    <w:rsid w:val="70785D38"/>
    <w:rsid w:val="70790109"/>
    <w:rsid w:val="70856B87"/>
    <w:rsid w:val="708A15C7"/>
    <w:rsid w:val="708C533F"/>
    <w:rsid w:val="709366CE"/>
    <w:rsid w:val="70995FB2"/>
    <w:rsid w:val="709F32C5"/>
    <w:rsid w:val="70A02B99"/>
    <w:rsid w:val="70A22DB5"/>
    <w:rsid w:val="70A628A5"/>
    <w:rsid w:val="70A703CB"/>
    <w:rsid w:val="70A92325"/>
    <w:rsid w:val="70AB4A44"/>
    <w:rsid w:val="70AC59E2"/>
    <w:rsid w:val="70AE52B6"/>
    <w:rsid w:val="70B0102E"/>
    <w:rsid w:val="70B02DA9"/>
    <w:rsid w:val="70B054D2"/>
    <w:rsid w:val="70B14DA6"/>
    <w:rsid w:val="70B7060E"/>
    <w:rsid w:val="70B8153B"/>
    <w:rsid w:val="70BB79D3"/>
    <w:rsid w:val="70BD199D"/>
    <w:rsid w:val="70BF3967"/>
    <w:rsid w:val="70C1323B"/>
    <w:rsid w:val="70C53B3E"/>
    <w:rsid w:val="70C8281B"/>
    <w:rsid w:val="70CE5958"/>
    <w:rsid w:val="70D51FC2"/>
    <w:rsid w:val="70D527EE"/>
    <w:rsid w:val="70D80585"/>
    <w:rsid w:val="70D867D7"/>
    <w:rsid w:val="70DC62C7"/>
    <w:rsid w:val="70DF7B65"/>
    <w:rsid w:val="70E1568B"/>
    <w:rsid w:val="70EA0A40"/>
    <w:rsid w:val="70F25AEA"/>
    <w:rsid w:val="70F3716D"/>
    <w:rsid w:val="70F41389"/>
    <w:rsid w:val="70F51137"/>
    <w:rsid w:val="70F826F5"/>
    <w:rsid w:val="710B44B6"/>
    <w:rsid w:val="710D41DB"/>
    <w:rsid w:val="710E3FA6"/>
    <w:rsid w:val="710F044A"/>
    <w:rsid w:val="71121CE9"/>
    <w:rsid w:val="711A6DEF"/>
    <w:rsid w:val="711C2B67"/>
    <w:rsid w:val="71297032"/>
    <w:rsid w:val="71333A0D"/>
    <w:rsid w:val="713559D7"/>
    <w:rsid w:val="71381023"/>
    <w:rsid w:val="71453E6C"/>
    <w:rsid w:val="714874B8"/>
    <w:rsid w:val="715220E5"/>
    <w:rsid w:val="715317C5"/>
    <w:rsid w:val="715916C6"/>
    <w:rsid w:val="715B5300"/>
    <w:rsid w:val="71614A1E"/>
    <w:rsid w:val="716B13F9"/>
    <w:rsid w:val="71706A0F"/>
    <w:rsid w:val="71752DEB"/>
    <w:rsid w:val="71777D9E"/>
    <w:rsid w:val="71782745"/>
    <w:rsid w:val="717845C7"/>
    <w:rsid w:val="717E460C"/>
    <w:rsid w:val="718018F4"/>
    <w:rsid w:val="7185070D"/>
    <w:rsid w:val="71852C58"/>
    <w:rsid w:val="71866233"/>
    <w:rsid w:val="71867FE1"/>
    <w:rsid w:val="718A7AD1"/>
    <w:rsid w:val="718F50E7"/>
    <w:rsid w:val="71902C0D"/>
    <w:rsid w:val="71926986"/>
    <w:rsid w:val="719E17CE"/>
    <w:rsid w:val="71A30B93"/>
    <w:rsid w:val="71A46CAE"/>
    <w:rsid w:val="71A86C91"/>
    <w:rsid w:val="71AC3EEB"/>
    <w:rsid w:val="71B927E7"/>
    <w:rsid w:val="71BC7EA6"/>
    <w:rsid w:val="71BD5B16"/>
    <w:rsid w:val="71BE59CD"/>
    <w:rsid w:val="71C07997"/>
    <w:rsid w:val="71C1726B"/>
    <w:rsid w:val="71C225C6"/>
    <w:rsid w:val="71CB353B"/>
    <w:rsid w:val="71CF3736"/>
    <w:rsid w:val="71D1650B"/>
    <w:rsid w:val="71D27F8A"/>
    <w:rsid w:val="71D8098C"/>
    <w:rsid w:val="71E2790D"/>
    <w:rsid w:val="71E35433"/>
    <w:rsid w:val="71E371E1"/>
    <w:rsid w:val="71EA0570"/>
    <w:rsid w:val="71F118FE"/>
    <w:rsid w:val="71FB277D"/>
    <w:rsid w:val="71FD4747"/>
    <w:rsid w:val="72020FBC"/>
    <w:rsid w:val="72031996"/>
    <w:rsid w:val="72084E9A"/>
    <w:rsid w:val="720C498A"/>
    <w:rsid w:val="720D425E"/>
    <w:rsid w:val="720E0702"/>
    <w:rsid w:val="720F72CF"/>
    <w:rsid w:val="72126B77"/>
    <w:rsid w:val="72192C03"/>
    <w:rsid w:val="721A2C2C"/>
    <w:rsid w:val="721D6B97"/>
    <w:rsid w:val="72471C50"/>
    <w:rsid w:val="724834E8"/>
    <w:rsid w:val="724A27C8"/>
    <w:rsid w:val="724A645D"/>
    <w:rsid w:val="72553024"/>
    <w:rsid w:val="72563E57"/>
    <w:rsid w:val="725B76BF"/>
    <w:rsid w:val="7265409A"/>
    <w:rsid w:val="72680BA4"/>
    <w:rsid w:val="726E7683"/>
    <w:rsid w:val="7270316B"/>
    <w:rsid w:val="727306B3"/>
    <w:rsid w:val="72760055"/>
    <w:rsid w:val="7278201F"/>
    <w:rsid w:val="727B38BE"/>
    <w:rsid w:val="727F33AE"/>
    <w:rsid w:val="72800ED4"/>
    <w:rsid w:val="72822E9E"/>
    <w:rsid w:val="72834520"/>
    <w:rsid w:val="72872262"/>
    <w:rsid w:val="729055BB"/>
    <w:rsid w:val="72930C07"/>
    <w:rsid w:val="72961AC7"/>
    <w:rsid w:val="729F57FE"/>
    <w:rsid w:val="72A77801"/>
    <w:rsid w:val="72B8241C"/>
    <w:rsid w:val="72B9082C"/>
    <w:rsid w:val="72BD1A99"/>
    <w:rsid w:val="72C139C6"/>
    <w:rsid w:val="72C2329A"/>
    <w:rsid w:val="72C47013"/>
    <w:rsid w:val="72D336FA"/>
    <w:rsid w:val="72D37256"/>
    <w:rsid w:val="72DF3E4C"/>
    <w:rsid w:val="72E43211"/>
    <w:rsid w:val="72E512AD"/>
    <w:rsid w:val="72E74AAF"/>
    <w:rsid w:val="72E94CCB"/>
    <w:rsid w:val="72F53670"/>
    <w:rsid w:val="72F60591"/>
    <w:rsid w:val="73027B3B"/>
    <w:rsid w:val="73041B05"/>
    <w:rsid w:val="73075151"/>
    <w:rsid w:val="73122968"/>
    <w:rsid w:val="73125FD0"/>
    <w:rsid w:val="731A162D"/>
    <w:rsid w:val="731E030C"/>
    <w:rsid w:val="731F5D5E"/>
    <w:rsid w:val="732775A1"/>
    <w:rsid w:val="732A7F5C"/>
    <w:rsid w:val="732B52E4"/>
    <w:rsid w:val="732D2E0A"/>
    <w:rsid w:val="732E6B82"/>
    <w:rsid w:val="73332D30"/>
    <w:rsid w:val="733B6E27"/>
    <w:rsid w:val="733F0D8F"/>
    <w:rsid w:val="73426189"/>
    <w:rsid w:val="73441F01"/>
    <w:rsid w:val="734737A0"/>
    <w:rsid w:val="73497A39"/>
    <w:rsid w:val="734B7734"/>
    <w:rsid w:val="734E2D80"/>
    <w:rsid w:val="735D2FC3"/>
    <w:rsid w:val="735E1215"/>
    <w:rsid w:val="736A5F1D"/>
    <w:rsid w:val="736D1458"/>
    <w:rsid w:val="73724CC1"/>
    <w:rsid w:val="7375030D"/>
    <w:rsid w:val="7375655F"/>
    <w:rsid w:val="737F118B"/>
    <w:rsid w:val="737F2F53"/>
    <w:rsid w:val="738430F5"/>
    <w:rsid w:val="738454F1"/>
    <w:rsid w:val="738642C8"/>
    <w:rsid w:val="738D5656"/>
    <w:rsid w:val="73964142"/>
    <w:rsid w:val="73966C01"/>
    <w:rsid w:val="739A7D73"/>
    <w:rsid w:val="739C3AEB"/>
    <w:rsid w:val="73A01AA0"/>
    <w:rsid w:val="73AD77F7"/>
    <w:rsid w:val="73B40E35"/>
    <w:rsid w:val="73B928EF"/>
    <w:rsid w:val="73C51AD5"/>
    <w:rsid w:val="73C822A1"/>
    <w:rsid w:val="73D72D76"/>
    <w:rsid w:val="73D9089C"/>
    <w:rsid w:val="73DD4830"/>
    <w:rsid w:val="73E07E7C"/>
    <w:rsid w:val="73E21E46"/>
    <w:rsid w:val="73E3171A"/>
    <w:rsid w:val="73E86D31"/>
    <w:rsid w:val="73E95163"/>
    <w:rsid w:val="73EA2AA9"/>
    <w:rsid w:val="73F97190"/>
    <w:rsid w:val="73FB4CB6"/>
    <w:rsid w:val="73FC27DC"/>
    <w:rsid w:val="740578E3"/>
    <w:rsid w:val="74085625"/>
    <w:rsid w:val="740B2A1F"/>
    <w:rsid w:val="7418102D"/>
    <w:rsid w:val="741E2752"/>
    <w:rsid w:val="741E793C"/>
    <w:rsid w:val="742064CB"/>
    <w:rsid w:val="74243C15"/>
    <w:rsid w:val="743106D8"/>
    <w:rsid w:val="74341F76"/>
    <w:rsid w:val="74381A66"/>
    <w:rsid w:val="7439758C"/>
    <w:rsid w:val="743B1BC8"/>
    <w:rsid w:val="74407763"/>
    <w:rsid w:val="744523D5"/>
    <w:rsid w:val="744B35AE"/>
    <w:rsid w:val="74552A6A"/>
    <w:rsid w:val="74566390"/>
    <w:rsid w:val="745B7503"/>
    <w:rsid w:val="745E3944"/>
    <w:rsid w:val="745F3497"/>
    <w:rsid w:val="74604B19"/>
    <w:rsid w:val="74650381"/>
    <w:rsid w:val="746611A6"/>
    <w:rsid w:val="74665CE0"/>
    <w:rsid w:val="74687E72"/>
    <w:rsid w:val="7469144C"/>
    <w:rsid w:val="74730CF0"/>
    <w:rsid w:val="74732A9E"/>
    <w:rsid w:val="74744A68"/>
    <w:rsid w:val="747607E0"/>
    <w:rsid w:val="747846C3"/>
    <w:rsid w:val="74793E2D"/>
    <w:rsid w:val="747D44D4"/>
    <w:rsid w:val="7482135A"/>
    <w:rsid w:val="74842EFD"/>
    <w:rsid w:val="748922C2"/>
    <w:rsid w:val="74933140"/>
    <w:rsid w:val="74980757"/>
    <w:rsid w:val="749C3BDC"/>
    <w:rsid w:val="74A25132"/>
    <w:rsid w:val="74A27930"/>
    <w:rsid w:val="74AE1D28"/>
    <w:rsid w:val="74AE3AD6"/>
    <w:rsid w:val="74B82BA7"/>
    <w:rsid w:val="74D3178F"/>
    <w:rsid w:val="74DC0F51"/>
    <w:rsid w:val="74DD616A"/>
    <w:rsid w:val="74DF584C"/>
    <w:rsid w:val="74E3206C"/>
    <w:rsid w:val="74E37836"/>
    <w:rsid w:val="74EE309A"/>
    <w:rsid w:val="74F65FDA"/>
    <w:rsid w:val="74F6722B"/>
    <w:rsid w:val="74F7202F"/>
    <w:rsid w:val="74FF4332"/>
    <w:rsid w:val="75215851"/>
    <w:rsid w:val="75267B11"/>
    <w:rsid w:val="752913AF"/>
    <w:rsid w:val="752C5ED8"/>
    <w:rsid w:val="7530273D"/>
    <w:rsid w:val="75383B7F"/>
    <w:rsid w:val="753A180E"/>
    <w:rsid w:val="753A35BC"/>
    <w:rsid w:val="753D4E5A"/>
    <w:rsid w:val="753E3965"/>
    <w:rsid w:val="75422471"/>
    <w:rsid w:val="7548217D"/>
    <w:rsid w:val="754E52B9"/>
    <w:rsid w:val="755A1EB0"/>
    <w:rsid w:val="755B67EF"/>
    <w:rsid w:val="75610911"/>
    <w:rsid w:val="7561323F"/>
    <w:rsid w:val="7564688B"/>
    <w:rsid w:val="75720FA8"/>
    <w:rsid w:val="75792336"/>
    <w:rsid w:val="759C4277"/>
    <w:rsid w:val="759E5483"/>
    <w:rsid w:val="759E7FEF"/>
    <w:rsid w:val="75A1188D"/>
    <w:rsid w:val="75A373B3"/>
    <w:rsid w:val="75A629FF"/>
    <w:rsid w:val="75A924F0"/>
    <w:rsid w:val="75AD18F8"/>
    <w:rsid w:val="75AE5A32"/>
    <w:rsid w:val="75AE7B06"/>
    <w:rsid w:val="75B07D22"/>
    <w:rsid w:val="75B23A9A"/>
    <w:rsid w:val="75B4121E"/>
    <w:rsid w:val="75B60976"/>
    <w:rsid w:val="75B720C2"/>
    <w:rsid w:val="75BE243F"/>
    <w:rsid w:val="75C4732A"/>
    <w:rsid w:val="75C630A2"/>
    <w:rsid w:val="75CB6EB8"/>
    <w:rsid w:val="75D26A94"/>
    <w:rsid w:val="75D7705D"/>
    <w:rsid w:val="75D92DD5"/>
    <w:rsid w:val="75E11C8A"/>
    <w:rsid w:val="75ED32D4"/>
    <w:rsid w:val="75EE4750"/>
    <w:rsid w:val="75EF25F8"/>
    <w:rsid w:val="75F06371"/>
    <w:rsid w:val="75F10938"/>
    <w:rsid w:val="75F4067F"/>
    <w:rsid w:val="75F47C0F"/>
    <w:rsid w:val="75FB0F9D"/>
    <w:rsid w:val="75FE6CDF"/>
    <w:rsid w:val="760D6F22"/>
    <w:rsid w:val="7610256F"/>
    <w:rsid w:val="761402B1"/>
    <w:rsid w:val="761D53B8"/>
    <w:rsid w:val="761F12AC"/>
    <w:rsid w:val="76202512"/>
    <w:rsid w:val="762027B2"/>
    <w:rsid w:val="7621652A"/>
    <w:rsid w:val="7621740A"/>
    <w:rsid w:val="762229CE"/>
    <w:rsid w:val="762570B9"/>
    <w:rsid w:val="762A1882"/>
    <w:rsid w:val="762C55FB"/>
    <w:rsid w:val="763175F6"/>
    <w:rsid w:val="7635099D"/>
    <w:rsid w:val="76381B18"/>
    <w:rsid w:val="76397D18"/>
    <w:rsid w:val="76500BBD"/>
    <w:rsid w:val="765E1F23"/>
    <w:rsid w:val="766160EC"/>
    <w:rsid w:val="76636B42"/>
    <w:rsid w:val="76696332"/>
    <w:rsid w:val="766A78CC"/>
    <w:rsid w:val="76760624"/>
    <w:rsid w:val="76797FEA"/>
    <w:rsid w:val="767C19B2"/>
    <w:rsid w:val="767D7C04"/>
    <w:rsid w:val="767E1BCE"/>
    <w:rsid w:val="7682521B"/>
    <w:rsid w:val="768E0063"/>
    <w:rsid w:val="769377B6"/>
    <w:rsid w:val="769413F2"/>
    <w:rsid w:val="76A809F9"/>
    <w:rsid w:val="76AF1D88"/>
    <w:rsid w:val="76B0094A"/>
    <w:rsid w:val="76B7252D"/>
    <w:rsid w:val="76BD26F7"/>
    <w:rsid w:val="76C515AB"/>
    <w:rsid w:val="76C86F6F"/>
    <w:rsid w:val="76D03A04"/>
    <w:rsid w:val="76D10BBB"/>
    <w:rsid w:val="76D13703"/>
    <w:rsid w:val="76D31F1A"/>
    <w:rsid w:val="76D55C89"/>
    <w:rsid w:val="76D8308D"/>
    <w:rsid w:val="76E8442E"/>
    <w:rsid w:val="76E9529A"/>
    <w:rsid w:val="76EE0B02"/>
    <w:rsid w:val="76F0487A"/>
    <w:rsid w:val="76F33E29"/>
    <w:rsid w:val="76FB6D7B"/>
    <w:rsid w:val="77035D31"/>
    <w:rsid w:val="770E4D00"/>
    <w:rsid w:val="77130569"/>
    <w:rsid w:val="77161E07"/>
    <w:rsid w:val="771A5453"/>
    <w:rsid w:val="771F2A69"/>
    <w:rsid w:val="77291B3A"/>
    <w:rsid w:val="772C7988"/>
    <w:rsid w:val="77376F40"/>
    <w:rsid w:val="773B361B"/>
    <w:rsid w:val="773F4EBA"/>
    <w:rsid w:val="773F7B4A"/>
    <w:rsid w:val="774050A4"/>
    <w:rsid w:val="77444D05"/>
    <w:rsid w:val="774F73F7"/>
    <w:rsid w:val="77556CEB"/>
    <w:rsid w:val="77560455"/>
    <w:rsid w:val="77562203"/>
    <w:rsid w:val="775A1CF3"/>
    <w:rsid w:val="775D3592"/>
    <w:rsid w:val="7761285C"/>
    <w:rsid w:val="776E1C43"/>
    <w:rsid w:val="77762421"/>
    <w:rsid w:val="777B4A1B"/>
    <w:rsid w:val="77833871"/>
    <w:rsid w:val="77862AE9"/>
    <w:rsid w:val="778E4093"/>
    <w:rsid w:val="778F5CB8"/>
    <w:rsid w:val="77935205"/>
    <w:rsid w:val="779571D0"/>
    <w:rsid w:val="77A64208"/>
    <w:rsid w:val="77AB69F3"/>
    <w:rsid w:val="77B04517"/>
    <w:rsid w:val="77B56B1F"/>
    <w:rsid w:val="77B92EBE"/>
    <w:rsid w:val="77BE6726"/>
    <w:rsid w:val="77C6382D"/>
    <w:rsid w:val="77C74EAF"/>
    <w:rsid w:val="77C83101"/>
    <w:rsid w:val="77C875A5"/>
    <w:rsid w:val="77CD0717"/>
    <w:rsid w:val="77D31AA6"/>
    <w:rsid w:val="77D44DFB"/>
    <w:rsid w:val="77D93560"/>
    <w:rsid w:val="77DE2925"/>
    <w:rsid w:val="77E77FA4"/>
    <w:rsid w:val="77FA56FB"/>
    <w:rsid w:val="77FE0DCC"/>
    <w:rsid w:val="77FF289B"/>
    <w:rsid w:val="78000AED"/>
    <w:rsid w:val="78081954"/>
    <w:rsid w:val="780F09F4"/>
    <w:rsid w:val="78174088"/>
    <w:rsid w:val="781F6205"/>
    <w:rsid w:val="78250553"/>
    <w:rsid w:val="78252301"/>
    <w:rsid w:val="782B3690"/>
    <w:rsid w:val="782B5247"/>
    <w:rsid w:val="783764D9"/>
    <w:rsid w:val="783863BB"/>
    <w:rsid w:val="784529A4"/>
    <w:rsid w:val="78482494"/>
    <w:rsid w:val="784B6557"/>
    <w:rsid w:val="78600D6D"/>
    <w:rsid w:val="7860158C"/>
    <w:rsid w:val="78641DAE"/>
    <w:rsid w:val="78680440"/>
    <w:rsid w:val="786B58A2"/>
    <w:rsid w:val="787119EB"/>
    <w:rsid w:val="787B31CC"/>
    <w:rsid w:val="788468B4"/>
    <w:rsid w:val="789065FF"/>
    <w:rsid w:val="78982C37"/>
    <w:rsid w:val="789C587C"/>
    <w:rsid w:val="789E0306"/>
    <w:rsid w:val="78A376CA"/>
    <w:rsid w:val="78A51694"/>
    <w:rsid w:val="78A82F32"/>
    <w:rsid w:val="78A90480"/>
    <w:rsid w:val="78AC47D1"/>
    <w:rsid w:val="78B74F24"/>
    <w:rsid w:val="78BD078C"/>
    <w:rsid w:val="78C50512"/>
    <w:rsid w:val="78CA10FB"/>
    <w:rsid w:val="78CE0BEB"/>
    <w:rsid w:val="78CF36D3"/>
    <w:rsid w:val="78D67D8F"/>
    <w:rsid w:val="78DB6E64"/>
    <w:rsid w:val="78E0447A"/>
    <w:rsid w:val="78F63C9E"/>
    <w:rsid w:val="78F9553C"/>
    <w:rsid w:val="790068A3"/>
    <w:rsid w:val="790D586C"/>
    <w:rsid w:val="791660EE"/>
    <w:rsid w:val="79183DF8"/>
    <w:rsid w:val="79195907"/>
    <w:rsid w:val="791B1956"/>
    <w:rsid w:val="791B54B2"/>
    <w:rsid w:val="792151BF"/>
    <w:rsid w:val="792627D5"/>
    <w:rsid w:val="79295E21"/>
    <w:rsid w:val="79313734"/>
    <w:rsid w:val="793842B6"/>
    <w:rsid w:val="793B73B7"/>
    <w:rsid w:val="79466CE7"/>
    <w:rsid w:val="79542480"/>
    <w:rsid w:val="795A247F"/>
    <w:rsid w:val="795A5FDB"/>
    <w:rsid w:val="795F169C"/>
    <w:rsid w:val="79643165"/>
    <w:rsid w:val="79667075"/>
    <w:rsid w:val="79694470"/>
    <w:rsid w:val="79780B57"/>
    <w:rsid w:val="797846B3"/>
    <w:rsid w:val="79791F2A"/>
    <w:rsid w:val="797B41A3"/>
    <w:rsid w:val="79825532"/>
    <w:rsid w:val="7985683A"/>
    <w:rsid w:val="799314ED"/>
    <w:rsid w:val="7993773F"/>
    <w:rsid w:val="79957594"/>
    <w:rsid w:val="7997722F"/>
    <w:rsid w:val="79984D55"/>
    <w:rsid w:val="799A23E8"/>
    <w:rsid w:val="799D05BD"/>
    <w:rsid w:val="79A17CD4"/>
    <w:rsid w:val="79A27982"/>
    <w:rsid w:val="79A436FA"/>
    <w:rsid w:val="79AC0800"/>
    <w:rsid w:val="79B31F1A"/>
    <w:rsid w:val="79BC4EE7"/>
    <w:rsid w:val="79BD2A0E"/>
    <w:rsid w:val="79C36BB6"/>
    <w:rsid w:val="79C8388C"/>
    <w:rsid w:val="79E1494E"/>
    <w:rsid w:val="79F24465"/>
    <w:rsid w:val="79F44681"/>
    <w:rsid w:val="79F95EA5"/>
    <w:rsid w:val="79FA156C"/>
    <w:rsid w:val="7A080AFF"/>
    <w:rsid w:val="7A12330D"/>
    <w:rsid w:val="7A13262E"/>
    <w:rsid w:val="7A140880"/>
    <w:rsid w:val="7A150933"/>
    <w:rsid w:val="7A230AC3"/>
    <w:rsid w:val="7A244816"/>
    <w:rsid w:val="7A262361"/>
    <w:rsid w:val="7A266805"/>
    <w:rsid w:val="7A340F22"/>
    <w:rsid w:val="7A364017"/>
    <w:rsid w:val="7A3A5E0C"/>
    <w:rsid w:val="7A3D001F"/>
    <w:rsid w:val="7A3E2F83"/>
    <w:rsid w:val="7A3E58FC"/>
    <w:rsid w:val="7A456C8B"/>
    <w:rsid w:val="7A505630"/>
    <w:rsid w:val="7A574C10"/>
    <w:rsid w:val="7A5E7D4D"/>
    <w:rsid w:val="7A6335B5"/>
    <w:rsid w:val="7A652E89"/>
    <w:rsid w:val="7A6537B6"/>
    <w:rsid w:val="7A65651D"/>
    <w:rsid w:val="7A6F5AB6"/>
    <w:rsid w:val="7A747570"/>
    <w:rsid w:val="7A7D311C"/>
    <w:rsid w:val="7A8265E1"/>
    <w:rsid w:val="7A8F43AA"/>
    <w:rsid w:val="7A920A5B"/>
    <w:rsid w:val="7A9B2D4F"/>
    <w:rsid w:val="7AA240DD"/>
    <w:rsid w:val="7AA31C03"/>
    <w:rsid w:val="7AA8546C"/>
    <w:rsid w:val="7AAA2F92"/>
    <w:rsid w:val="7AAF7588"/>
    <w:rsid w:val="7AB33EDA"/>
    <w:rsid w:val="7AB43E11"/>
    <w:rsid w:val="7AB82792"/>
    <w:rsid w:val="7ABA3D11"/>
    <w:rsid w:val="7ABF1070"/>
    <w:rsid w:val="7AC33723"/>
    <w:rsid w:val="7AC73B44"/>
    <w:rsid w:val="7ACA694E"/>
    <w:rsid w:val="7ACE4ED2"/>
    <w:rsid w:val="7AD32427"/>
    <w:rsid w:val="7AD4000F"/>
    <w:rsid w:val="7ADB75EF"/>
    <w:rsid w:val="7ADF5A5C"/>
    <w:rsid w:val="7AE30252"/>
    <w:rsid w:val="7AE446F6"/>
    <w:rsid w:val="7AEA5A84"/>
    <w:rsid w:val="7AED4DC5"/>
    <w:rsid w:val="7AF64429"/>
    <w:rsid w:val="7AF75AAB"/>
    <w:rsid w:val="7AFC6B69"/>
    <w:rsid w:val="7B007056"/>
    <w:rsid w:val="7B02692A"/>
    <w:rsid w:val="7B036A1A"/>
    <w:rsid w:val="7B05466C"/>
    <w:rsid w:val="7B087CB8"/>
    <w:rsid w:val="7B0E3521"/>
    <w:rsid w:val="7B191EC6"/>
    <w:rsid w:val="7B1F17DA"/>
    <w:rsid w:val="7B242D44"/>
    <w:rsid w:val="7B25543F"/>
    <w:rsid w:val="7B294AE0"/>
    <w:rsid w:val="7B2B6152"/>
    <w:rsid w:val="7B30793B"/>
    <w:rsid w:val="7B334D35"/>
    <w:rsid w:val="7B340AAD"/>
    <w:rsid w:val="7B3506D7"/>
    <w:rsid w:val="7B3F192C"/>
    <w:rsid w:val="7B4C4049"/>
    <w:rsid w:val="7B5106F0"/>
    <w:rsid w:val="7B557224"/>
    <w:rsid w:val="7B570143"/>
    <w:rsid w:val="7B5F1FCE"/>
    <w:rsid w:val="7B607AF4"/>
    <w:rsid w:val="7B6313EA"/>
    <w:rsid w:val="7B686D42"/>
    <w:rsid w:val="7B77189B"/>
    <w:rsid w:val="7B7B3871"/>
    <w:rsid w:val="7B7D4202"/>
    <w:rsid w:val="7B803CF3"/>
    <w:rsid w:val="7B841746"/>
    <w:rsid w:val="7B8872A6"/>
    <w:rsid w:val="7B890DF9"/>
    <w:rsid w:val="7B8B4A70"/>
    <w:rsid w:val="7B8D6BCE"/>
    <w:rsid w:val="7B8E01BE"/>
    <w:rsid w:val="7B963516"/>
    <w:rsid w:val="7B997A06"/>
    <w:rsid w:val="7B9B0B2D"/>
    <w:rsid w:val="7B9B28DB"/>
    <w:rsid w:val="7BA14395"/>
    <w:rsid w:val="7BA479E1"/>
    <w:rsid w:val="7BA87DE2"/>
    <w:rsid w:val="7BA93249"/>
    <w:rsid w:val="7BAC0D87"/>
    <w:rsid w:val="7BAD0F8C"/>
    <w:rsid w:val="7BAE260E"/>
    <w:rsid w:val="7BB618B0"/>
    <w:rsid w:val="7BB816DF"/>
    <w:rsid w:val="7BC167E5"/>
    <w:rsid w:val="7BC4599C"/>
    <w:rsid w:val="7BC71922"/>
    <w:rsid w:val="7BCE0F02"/>
    <w:rsid w:val="7BD209F2"/>
    <w:rsid w:val="7BD81D81"/>
    <w:rsid w:val="7BE6624C"/>
    <w:rsid w:val="7BE91898"/>
    <w:rsid w:val="7BE97AEA"/>
    <w:rsid w:val="7BEE3352"/>
    <w:rsid w:val="7BF30969"/>
    <w:rsid w:val="7BF344C5"/>
    <w:rsid w:val="7BF75726"/>
    <w:rsid w:val="7BF81ADB"/>
    <w:rsid w:val="7BFE53B6"/>
    <w:rsid w:val="7C013085"/>
    <w:rsid w:val="7C02594A"/>
    <w:rsid w:val="7C045812"/>
    <w:rsid w:val="7C094087"/>
    <w:rsid w:val="7C0E57A2"/>
    <w:rsid w:val="7C112E25"/>
    <w:rsid w:val="7C150723"/>
    <w:rsid w:val="7C172CF1"/>
    <w:rsid w:val="7C174749"/>
    <w:rsid w:val="7C184503"/>
    <w:rsid w:val="7C1F707A"/>
    <w:rsid w:val="7C211032"/>
    <w:rsid w:val="7C27037B"/>
    <w:rsid w:val="7C2823C0"/>
    <w:rsid w:val="7C296138"/>
    <w:rsid w:val="7C2D79D7"/>
    <w:rsid w:val="7C3A6DDA"/>
    <w:rsid w:val="7C456FBD"/>
    <w:rsid w:val="7C481069"/>
    <w:rsid w:val="7C5330B3"/>
    <w:rsid w:val="7C542B7E"/>
    <w:rsid w:val="7C5E4034"/>
    <w:rsid w:val="7C5F294C"/>
    <w:rsid w:val="7C6158D2"/>
    <w:rsid w:val="7C6929D9"/>
    <w:rsid w:val="7C6C5AC7"/>
    <w:rsid w:val="7C776EA4"/>
    <w:rsid w:val="7C792C1C"/>
    <w:rsid w:val="7C80044E"/>
    <w:rsid w:val="7C857813"/>
    <w:rsid w:val="7C921F30"/>
    <w:rsid w:val="7CA3413D"/>
    <w:rsid w:val="7CAA54CB"/>
    <w:rsid w:val="7CAD6D69"/>
    <w:rsid w:val="7CAE3639"/>
    <w:rsid w:val="7CB156CB"/>
    <w:rsid w:val="7CB1685A"/>
    <w:rsid w:val="7CB225D2"/>
    <w:rsid w:val="7CB400F8"/>
    <w:rsid w:val="7CBC0D5A"/>
    <w:rsid w:val="7CC145C3"/>
    <w:rsid w:val="7CC16371"/>
    <w:rsid w:val="7CC6544B"/>
    <w:rsid w:val="7CCD11BA"/>
    <w:rsid w:val="7CCD4D16"/>
    <w:rsid w:val="7CD267D0"/>
    <w:rsid w:val="7CD460A4"/>
    <w:rsid w:val="7CD51E1C"/>
    <w:rsid w:val="7CD73DE6"/>
    <w:rsid w:val="7CDB5685"/>
    <w:rsid w:val="7CE02C9B"/>
    <w:rsid w:val="7CE54755"/>
    <w:rsid w:val="7CE87DA1"/>
    <w:rsid w:val="7CEA58C8"/>
    <w:rsid w:val="7CF90201"/>
    <w:rsid w:val="7D0050EB"/>
    <w:rsid w:val="7D0239FF"/>
    <w:rsid w:val="7D0270B5"/>
    <w:rsid w:val="7D0419FC"/>
    <w:rsid w:val="7D0F63A0"/>
    <w:rsid w:val="7D124E1E"/>
    <w:rsid w:val="7D162B61"/>
    <w:rsid w:val="7D172435"/>
    <w:rsid w:val="7D2012E9"/>
    <w:rsid w:val="7D2A03BA"/>
    <w:rsid w:val="7D2C4132"/>
    <w:rsid w:val="7D3501DD"/>
    <w:rsid w:val="7D366D5F"/>
    <w:rsid w:val="7D3D633F"/>
    <w:rsid w:val="7D3F5A8C"/>
    <w:rsid w:val="7D425704"/>
    <w:rsid w:val="7D4C45D4"/>
    <w:rsid w:val="7D513B99"/>
    <w:rsid w:val="7D515947"/>
    <w:rsid w:val="7D52733A"/>
    <w:rsid w:val="7D5E0064"/>
    <w:rsid w:val="7D5E40CD"/>
    <w:rsid w:val="7D692C90"/>
    <w:rsid w:val="7D6A07B6"/>
    <w:rsid w:val="7D6C2781"/>
    <w:rsid w:val="7D7004C3"/>
    <w:rsid w:val="7D73375A"/>
    <w:rsid w:val="7D763AB5"/>
    <w:rsid w:val="7D7653AD"/>
    <w:rsid w:val="7D80447E"/>
    <w:rsid w:val="7D821FA4"/>
    <w:rsid w:val="7D847ACA"/>
    <w:rsid w:val="7D8950E1"/>
    <w:rsid w:val="7D913F95"/>
    <w:rsid w:val="7D952C5E"/>
    <w:rsid w:val="7D983576"/>
    <w:rsid w:val="7D99590D"/>
    <w:rsid w:val="7D9D293A"/>
    <w:rsid w:val="7DB12915"/>
    <w:rsid w:val="7DBB1012"/>
    <w:rsid w:val="7DBF3AC1"/>
    <w:rsid w:val="7DCB394B"/>
    <w:rsid w:val="7DCD56F2"/>
    <w:rsid w:val="7DCE51E9"/>
    <w:rsid w:val="7DCE6F97"/>
    <w:rsid w:val="7DD56578"/>
    <w:rsid w:val="7DD6626F"/>
    <w:rsid w:val="7DDB3462"/>
    <w:rsid w:val="7DE13349"/>
    <w:rsid w:val="7DE20C95"/>
    <w:rsid w:val="7DE22A43"/>
    <w:rsid w:val="7DE71E07"/>
    <w:rsid w:val="7DE93C65"/>
    <w:rsid w:val="7DEC38C1"/>
    <w:rsid w:val="7DEE7639"/>
    <w:rsid w:val="7DF87D6E"/>
    <w:rsid w:val="7E0B01EB"/>
    <w:rsid w:val="7E0B3EAE"/>
    <w:rsid w:val="7E0E4270"/>
    <w:rsid w:val="7E0F411B"/>
    <w:rsid w:val="7E1150D6"/>
    <w:rsid w:val="7E173851"/>
    <w:rsid w:val="7E1A45D6"/>
    <w:rsid w:val="7E1F4864"/>
    <w:rsid w:val="7E260B81"/>
    <w:rsid w:val="7E266DD3"/>
    <w:rsid w:val="7E282B4B"/>
    <w:rsid w:val="7E3037AE"/>
    <w:rsid w:val="7E415F29"/>
    <w:rsid w:val="7E437985"/>
    <w:rsid w:val="7E4436FD"/>
    <w:rsid w:val="7E461224"/>
    <w:rsid w:val="7E464D80"/>
    <w:rsid w:val="7E484F9C"/>
    <w:rsid w:val="7E504AF8"/>
    <w:rsid w:val="7E505194"/>
    <w:rsid w:val="7E510534"/>
    <w:rsid w:val="7E56012D"/>
    <w:rsid w:val="7E5E3C19"/>
    <w:rsid w:val="7E5F22E5"/>
    <w:rsid w:val="7E5F5E41"/>
    <w:rsid w:val="7E68119A"/>
    <w:rsid w:val="7E723DC7"/>
    <w:rsid w:val="7E791963"/>
    <w:rsid w:val="7E7A2C7B"/>
    <w:rsid w:val="7E834226"/>
    <w:rsid w:val="7E865AC4"/>
    <w:rsid w:val="7E881AE3"/>
    <w:rsid w:val="7E8C242A"/>
    <w:rsid w:val="7E9957F7"/>
    <w:rsid w:val="7EA45F4A"/>
    <w:rsid w:val="7EA51438"/>
    <w:rsid w:val="7EAB552B"/>
    <w:rsid w:val="7ECA59B1"/>
    <w:rsid w:val="7ECB1729"/>
    <w:rsid w:val="7ECB797B"/>
    <w:rsid w:val="7ED14F91"/>
    <w:rsid w:val="7ED44A81"/>
    <w:rsid w:val="7ED868D1"/>
    <w:rsid w:val="7ED95BF4"/>
    <w:rsid w:val="7EE06F82"/>
    <w:rsid w:val="7EE11C19"/>
    <w:rsid w:val="7EEB2BD4"/>
    <w:rsid w:val="7EEC6371"/>
    <w:rsid w:val="7EED5B43"/>
    <w:rsid w:val="7EEF13EE"/>
    <w:rsid w:val="7F001CE7"/>
    <w:rsid w:val="7F037115"/>
    <w:rsid w:val="7F110E72"/>
    <w:rsid w:val="7F121106"/>
    <w:rsid w:val="7F141322"/>
    <w:rsid w:val="7F2A644F"/>
    <w:rsid w:val="7F2C0849"/>
    <w:rsid w:val="7F3B240A"/>
    <w:rsid w:val="7F3C6183"/>
    <w:rsid w:val="7F4055A0"/>
    <w:rsid w:val="7F4514DB"/>
    <w:rsid w:val="7F45772D"/>
    <w:rsid w:val="7F4E65E2"/>
    <w:rsid w:val="7F541666"/>
    <w:rsid w:val="7F565496"/>
    <w:rsid w:val="7F567244"/>
    <w:rsid w:val="7F5867C0"/>
    <w:rsid w:val="7F5B6A3D"/>
    <w:rsid w:val="7F5D4E94"/>
    <w:rsid w:val="7F5F07EF"/>
    <w:rsid w:val="7F7122D0"/>
    <w:rsid w:val="7F7939CB"/>
    <w:rsid w:val="7F7D6EC7"/>
    <w:rsid w:val="7F7E632E"/>
    <w:rsid w:val="7F8042C1"/>
    <w:rsid w:val="7F89761A"/>
    <w:rsid w:val="7F8A3392"/>
    <w:rsid w:val="7FA91A6A"/>
    <w:rsid w:val="7FAB224F"/>
    <w:rsid w:val="7FAB3A34"/>
    <w:rsid w:val="7FAB54CF"/>
    <w:rsid w:val="7FBA3C77"/>
    <w:rsid w:val="7FC00B62"/>
    <w:rsid w:val="7FC0104F"/>
    <w:rsid w:val="7FC5261C"/>
    <w:rsid w:val="7FCC5758"/>
    <w:rsid w:val="7FCE7723"/>
    <w:rsid w:val="7FD10B43"/>
    <w:rsid w:val="7FD676A6"/>
    <w:rsid w:val="7FE17456"/>
    <w:rsid w:val="7FE42AA2"/>
    <w:rsid w:val="7FE47E50"/>
    <w:rsid w:val="7FE64A6C"/>
    <w:rsid w:val="7FE837AB"/>
    <w:rsid w:val="7FE949E3"/>
    <w:rsid w:val="7FEE3921"/>
    <w:rsid w:val="7FEF7C50"/>
    <w:rsid w:val="7FF13411"/>
    <w:rsid w:val="7FF249A8"/>
    <w:rsid w:val="7FF263E6"/>
    <w:rsid w:val="7FF8654D"/>
    <w:rsid w:val="7FFA22C6"/>
    <w:rsid w:val="7FFB603E"/>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qFormat="1" w:unhideWhenUsed="0" w:uiPriority="99"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qFormat="1" w:unhideWhenUsed="0" w:uiPriority="0" w:semiHidden="0" w:name="macro" w:locked="1"/>
    <w:lsdException w:unhideWhenUsed="0" w:uiPriority="0" w:semiHidden="0" w:name="toa heading" w:locked="1"/>
    <w:lsdException w:qFormat="1"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99"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0" w:firstLineChars="200"/>
      <w:jc w:val="left"/>
    </w:pPr>
    <w:rPr>
      <w:rFonts w:ascii="Times New Roman" w:hAnsi="Times New Roman" w:eastAsia="宋体" w:cs="Times New Roman"/>
      <w:kern w:val="2"/>
      <w:sz w:val="24"/>
      <w:szCs w:val="24"/>
      <w:lang w:val="en-US" w:eastAsia="zh-CN" w:bidi="ar-SA"/>
    </w:rPr>
  </w:style>
  <w:style w:type="paragraph" w:styleId="11">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12">
    <w:name w:val="heading 2"/>
    <w:basedOn w:val="1"/>
    <w:next w:val="1"/>
    <w:qFormat/>
    <w:locked/>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13">
    <w:name w:val="heading 4"/>
    <w:next w:val="1"/>
    <w:qFormat/>
    <w:locked/>
    <w:uiPriority w:val="1"/>
    <w:pPr>
      <w:widowControl w:val="0"/>
      <w:autoSpaceDE w:val="0"/>
      <w:autoSpaceDN w:val="0"/>
      <w:spacing w:before="0" w:after="0" w:line="240" w:lineRule="auto"/>
      <w:ind w:left="1134" w:right="0"/>
      <w:jc w:val="left"/>
      <w:outlineLvl w:val="4"/>
    </w:pPr>
    <w:rPr>
      <w:rFonts w:ascii="宋体" w:hAnsi="宋体" w:eastAsia="宋体" w:cs="宋体"/>
      <w:b/>
      <w:bCs/>
      <w:sz w:val="24"/>
      <w:szCs w:val="24"/>
      <w:lang w:val="zh-CN" w:eastAsia="zh-CN" w:bidi="zh-C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locked/>
    <w:uiPriority w:val="99"/>
    <w:pPr>
      <w:ind w:firstLine="420" w:firstLineChars="200"/>
    </w:pPr>
  </w:style>
  <w:style w:type="paragraph" w:styleId="3">
    <w:name w:val="Body Text Indent"/>
    <w:basedOn w:val="1"/>
    <w:next w:val="4"/>
    <w:link w:val="56"/>
    <w:qFormat/>
    <w:uiPriority w:val="0"/>
    <w:pPr>
      <w:spacing w:after="120"/>
      <w:ind w:left="420" w:leftChars="200"/>
    </w:pPr>
    <w:rPr>
      <w:kern w:val="0"/>
      <w:sz w:val="24"/>
      <w:szCs w:val="20"/>
    </w:rPr>
  </w:style>
  <w:style w:type="paragraph" w:customStyle="1" w:styleId="4">
    <w:name w:val="样式 正文文本缩进 + 行距: 1.5 倍行距"/>
    <w:basedOn w:val="5"/>
    <w:next w:val="6"/>
    <w:qFormat/>
    <w:uiPriority w:val="0"/>
    <w:pPr>
      <w:widowControl w:val="0"/>
      <w:spacing w:before="0" w:after="120"/>
      <w:ind w:left="90" w:leftChars="32" w:firstLine="560" w:firstLineChars="200"/>
      <w:jc w:val="both"/>
    </w:pPr>
    <w:rPr>
      <w:rFonts w:ascii="Times New Roman" w:hAnsi="Times New Roman" w:eastAsia="宋体" w:cs="宋体"/>
      <w:kern w:val="0"/>
      <w:sz w:val="24"/>
      <w:szCs w:val="20"/>
      <w:lang w:val="en-US" w:eastAsia="zh-CN" w:bidi="ar-SA"/>
    </w:rPr>
  </w:style>
  <w:style w:type="paragraph" w:customStyle="1" w:styleId="5">
    <w:name w:val="正文文本缩进1"/>
    <w:basedOn w:val="1"/>
    <w:next w:val="4"/>
    <w:qFormat/>
    <w:uiPriority w:val="0"/>
    <w:pPr>
      <w:widowControl/>
      <w:spacing w:beforeLines="50" w:line="360" w:lineRule="auto"/>
      <w:ind w:firstLine="560" w:firstLineChars="200"/>
      <w:jc w:val="left"/>
    </w:pPr>
    <w:rPr>
      <w:rFonts w:ascii="Calibri" w:hAnsi="Calibri"/>
      <w:sz w:val="28"/>
      <w:szCs w:val="22"/>
    </w:rPr>
  </w:style>
  <w:style w:type="paragraph" w:styleId="6">
    <w:name w:val="header"/>
    <w:basedOn w:val="1"/>
    <w:next w:val="7"/>
    <w:link w:val="61"/>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7">
    <w:name w:val="样式5"/>
    <w:basedOn w:val="8"/>
    <w:next w:val="1"/>
    <w:qFormat/>
    <w:uiPriority w:val="0"/>
    <w:pPr>
      <w:tabs>
        <w:tab w:val="left" w:pos="420"/>
        <w:tab w:val="left" w:pos="1589"/>
      </w:tabs>
      <w:adjustRightInd w:val="0"/>
      <w:spacing w:line="480" w:lineRule="exact"/>
      <w:ind w:firstLine="480" w:firstLineChars="200"/>
      <w:jc w:val="left"/>
    </w:pPr>
    <w:rPr>
      <w:rFonts w:ascii="宋体" w:hAnsi="宋体"/>
      <w:b/>
      <w:snapToGrid w:val="0"/>
      <w:sz w:val="24"/>
    </w:rPr>
  </w:style>
  <w:style w:type="paragraph" w:styleId="8">
    <w:name w:val="Body Text"/>
    <w:basedOn w:val="1"/>
    <w:next w:val="9"/>
    <w:link w:val="49"/>
    <w:qFormat/>
    <w:uiPriority w:val="0"/>
    <w:pPr>
      <w:widowControl/>
      <w:snapToGrid w:val="0"/>
      <w:spacing w:before="60" w:after="160" w:line="259" w:lineRule="auto"/>
      <w:ind w:right="113"/>
    </w:pPr>
    <w:rPr>
      <w:kern w:val="0"/>
      <w:sz w:val="18"/>
      <w:szCs w:val="20"/>
    </w:rPr>
  </w:style>
  <w:style w:type="paragraph" w:styleId="9">
    <w:name w:val="List Bullet 5"/>
    <w:basedOn w:val="1"/>
    <w:qFormat/>
    <w:locked/>
    <w:uiPriority w:val="0"/>
    <w:pPr>
      <w:numPr>
        <w:ilvl w:val="0"/>
        <w:numId w:val="1"/>
      </w:numPr>
    </w:pPr>
  </w:style>
  <w:style w:type="paragraph" w:styleId="10">
    <w:name w:val="macro"/>
    <w:basedOn w:val="1"/>
    <w:next w:val="1"/>
    <w:qFormat/>
    <w:locked/>
    <w:uiPriority w:val="0"/>
    <w:pPr>
      <w:numPr>
        <w:ilvl w:val="8"/>
        <w:numId w:val="2"/>
      </w:numPr>
      <w:tabs>
        <w:tab w:val="left" w:pos="480"/>
        <w:tab w:val="left" w:pos="960"/>
        <w:tab w:val="left" w:pos="1276"/>
        <w:tab w:val="left" w:pos="1440"/>
        <w:tab w:val="left" w:pos="1920"/>
        <w:tab w:val="left" w:pos="2400"/>
        <w:tab w:val="left" w:pos="2880"/>
        <w:tab w:val="left" w:pos="3360"/>
        <w:tab w:val="left" w:pos="3840"/>
        <w:tab w:val="left" w:pos="4320"/>
        <w:tab w:val="clear" w:pos="0"/>
      </w:tabs>
      <w:kinsoku w:val="0"/>
      <w:overflowPunct w:val="0"/>
      <w:autoSpaceDE w:val="0"/>
      <w:autoSpaceDN w:val="0"/>
      <w:adjustRightInd w:val="0"/>
      <w:snapToGrid w:val="0"/>
      <w:spacing w:line="240" w:lineRule="auto"/>
      <w:ind w:left="0" w:firstLineChars="0"/>
      <w:jc w:val="center"/>
    </w:pPr>
    <w:rPr>
      <w:rFonts w:eastAsia="黑体" w:cs="Times New Roman"/>
      <w:szCs w:val="21"/>
    </w:rPr>
  </w:style>
  <w:style w:type="paragraph" w:styleId="14">
    <w:name w:val="Normal Indent"/>
    <w:basedOn w:val="1"/>
    <w:link w:val="75"/>
    <w:unhideWhenUsed/>
    <w:qFormat/>
    <w:locked/>
    <w:uiPriority w:val="0"/>
    <w:pPr>
      <w:ind w:firstLine="420" w:firstLineChars="200"/>
    </w:pPr>
    <w:rPr>
      <w:szCs w:val="20"/>
    </w:rPr>
  </w:style>
  <w:style w:type="paragraph" w:styleId="15">
    <w:name w:val="Document Map"/>
    <w:basedOn w:val="1"/>
    <w:link w:val="105"/>
    <w:qFormat/>
    <w:locked/>
    <w:uiPriority w:val="0"/>
    <w:rPr>
      <w:rFonts w:ascii="宋体"/>
      <w:sz w:val="18"/>
      <w:szCs w:val="18"/>
    </w:rPr>
  </w:style>
  <w:style w:type="paragraph" w:styleId="16">
    <w:name w:val="annotation text"/>
    <w:basedOn w:val="1"/>
    <w:link w:val="62"/>
    <w:semiHidden/>
    <w:qFormat/>
    <w:uiPriority w:val="0"/>
    <w:pPr>
      <w:jc w:val="left"/>
    </w:pPr>
    <w:rPr>
      <w:kern w:val="0"/>
      <w:sz w:val="24"/>
      <w:szCs w:val="20"/>
    </w:rPr>
  </w:style>
  <w:style w:type="paragraph" w:styleId="17">
    <w:name w:val="Salutation"/>
    <w:basedOn w:val="1"/>
    <w:next w:val="1"/>
    <w:qFormat/>
    <w:locked/>
    <w:uiPriority w:val="0"/>
    <w:rPr>
      <w:rFonts w:ascii="Calibri" w:hAnsi="Calibri"/>
      <w:kern w:val="0"/>
      <w:sz w:val="20"/>
      <w:szCs w:val="24"/>
    </w:rPr>
  </w:style>
  <w:style w:type="paragraph" w:styleId="18">
    <w:name w:val="Block Text"/>
    <w:qFormat/>
    <w:locked/>
    <w:uiPriority w:val="0"/>
    <w:pPr>
      <w:widowControl w:val="0"/>
      <w:ind w:left="359" w:leftChars="171" w:right="25" w:rightChars="12" w:firstLine="717" w:firstLineChars="224"/>
      <w:jc w:val="both"/>
    </w:pPr>
    <w:rPr>
      <w:rFonts w:ascii="Times New Roman" w:hAnsi="Times New Roman" w:eastAsia="宋体" w:cs="Times New Roman"/>
      <w:snapToGrid w:val="0"/>
      <w:kern w:val="0"/>
      <w:sz w:val="32"/>
      <w:szCs w:val="24"/>
      <w:lang w:val="en-US" w:eastAsia="zh-CN" w:bidi="ar-SA"/>
    </w:rPr>
  </w:style>
  <w:style w:type="paragraph" w:styleId="19">
    <w:name w:val="Plain Text"/>
    <w:basedOn w:val="1"/>
    <w:next w:val="17"/>
    <w:link w:val="74"/>
    <w:qFormat/>
    <w:locked/>
    <w:uiPriority w:val="0"/>
    <w:rPr>
      <w:rFonts w:ascii="宋体" w:hAnsi="Courier New" w:cs="Courier New"/>
      <w:szCs w:val="21"/>
    </w:rPr>
  </w:style>
  <w:style w:type="paragraph" w:styleId="20">
    <w:name w:val="toc 8"/>
    <w:basedOn w:val="1"/>
    <w:next w:val="1"/>
    <w:qFormat/>
    <w:locked/>
    <w:uiPriority w:val="0"/>
    <w:pPr>
      <w:ind w:left="1470"/>
      <w:jc w:val="left"/>
    </w:pPr>
    <w:rPr>
      <w:sz w:val="18"/>
      <w:szCs w:val="18"/>
    </w:rPr>
  </w:style>
  <w:style w:type="paragraph" w:styleId="21">
    <w:name w:val="Date"/>
    <w:basedOn w:val="1"/>
    <w:next w:val="1"/>
    <w:link w:val="60"/>
    <w:qFormat/>
    <w:uiPriority w:val="0"/>
    <w:pPr>
      <w:ind w:left="100" w:leftChars="2500"/>
    </w:pPr>
    <w:rPr>
      <w:kern w:val="0"/>
      <w:sz w:val="24"/>
      <w:szCs w:val="20"/>
    </w:rPr>
  </w:style>
  <w:style w:type="paragraph" w:styleId="22">
    <w:name w:val="Body Text Indent 2"/>
    <w:basedOn w:val="1"/>
    <w:next w:val="23"/>
    <w:qFormat/>
    <w:locked/>
    <w:uiPriority w:val="0"/>
    <w:pPr>
      <w:spacing w:line="360" w:lineRule="auto"/>
      <w:ind w:left="720" w:hanging="720"/>
    </w:pPr>
    <w:rPr>
      <w:rFonts w:ascii="宋体"/>
      <w:sz w:val="24"/>
    </w:rPr>
  </w:style>
  <w:style w:type="paragraph" w:customStyle="1" w:styleId="23">
    <w:name w:val="reader-word-layer reader-word-s46-2"/>
    <w:basedOn w:val="1"/>
    <w:next w:val="24"/>
    <w:qFormat/>
    <w:uiPriority w:val="0"/>
    <w:pPr>
      <w:widowControl/>
      <w:spacing w:before="280" w:after="280"/>
    </w:pPr>
    <w:rPr>
      <w:rFonts w:ascii="宋体"/>
      <w:sz w:val="24"/>
    </w:rPr>
  </w:style>
  <w:style w:type="paragraph" w:customStyle="1" w:styleId="24">
    <w:name w:val="xl35"/>
    <w:basedOn w:val="1"/>
    <w:next w:val="1"/>
    <w:qFormat/>
    <w:uiPriority w:val="0"/>
    <w:pPr>
      <w:widowControl/>
      <w:shd w:val="clear" w:color="FFFFFF" w:fill="FFFFFF"/>
      <w:spacing w:before="280" w:after="280"/>
    </w:pPr>
    <w:rPr>
      <w:rFonts w:ascii="Arial Unicode MS" w:eastAsia="Arial Unicode MS"/>
      <w:sz w:val="24"/>
    </w:rPr>
  </w:style>
  <w:style w:type="paragraph" w:styleId="25">
    <w:name w:val="Balloon Text"/>
    <w:basedOn w:val="1"/>
    <w:link w:val="57"/>
    <w:semiHidden/>
    <w:qFormat/>
    <w:uiPriority w:val="0"/>
    <w:rPr>
      <w:kern w:val="0"/>
      <w:sz w:val="18"/>
      <w:szCs w:val="20"/>
    </w:rPr>
  </w:style>
  <w:style w:type="paragraph" w:styleId="26">
    <w:name w:val="footer"/>
    <w:basedOn w:val="1"/>
    <w:link w:val="54"/>
    <w:qFormat/>
    <w:uiPriority w:val="99"/>
    <w:pPr>
      <w:tabs>
        <w:tab w:val="center" w:pos="4153"/>
        <w:tab w:val="right" w:pos="8306"/>
      </w:tabs>
      <w:snapToGrid w:val="0"/>
      <w:jc w:val="left"/>
    </w:pPr>
    <w:rPr>
      <w:kern w:val="0"/>
      <w:sz w:val="18"/>
      <w:szCs w:val="20"/>
    </w:rPr>
  </w:style>
  <w:style w:type="paragraph" w:styleId="27">
    <w:name w:val="List"/>
    <w:basedOn w:val="1"/>
    <w:unhideWhenUsed/>
    <w:qFormat/>
    <w:locked/>
    <w:uiPriority w:val="0"/>
    <w:pPr>
      <w:spacing w:line="320" w:lineRule="exact"/>
      <w:jc w:val="center"/>
    </w:pPr>
    <w:rPr>
      <w:sz w:val="20"/>
    </w:rPr>
  </w:style>
  <w:style w:type="paragraph" w:styleId="28">
    <w:name w:val="index 7"/>
    <w:basedOn w:val="1"/>
    <w:next w:val="1"/>
    <w:qFormat/>
    <w:locked/>
    <w:uiPriority w:val="99"/>
    <w:pPr>
      <w:widowControl w:val="0"/>
      <w:ind w:left="1200" w:leftChars="1200"/>
      <w:jc w:val="both"/>
    </w:pPr>
    <w:rPr>
      <w:rFonts w:ascii="Times New Roman" w:hAnsi="Times New Roman" w:eastAsia="宋体" w:cs="Times New Roman"/>
      <w:kern w:val="2"/>
      <w:sz w:val="21"/>
      <w:szCs w:val="24"/>
      <w:lang w:val="en-US" w:eastAsia="zh-CN" w:bidi="ar-SA"/>
    </w:rPr>
  </w:style>
  <w:style w:type="paragraph" w:styleId="29">
    <w:name w:val="Body Text 2"/>
    <w:basedOn w:val="1"/>
    <w:qFormat/>
    <w:locked/>
    <w:uiPriority w:val="0"/>
    <w:pPr>
      <w:spacing w:after="120" w:line="480" w:lineRule="auto"/>
    </w:pPr>
  </w:style>
  <w:style w:type="paragraph" w:styleId="30">
    <w:name w:val="Normal (Web)"/>
    <w:basedOn w:val="1"/>
    <w:next w:val="28"/>
    <w:link w:val="58"/>
    <w:qFormat/>
    <w:uiPriority w:val="0"/>
    <w:pPr>
      <w:widowControl/>
      <w:spacing w:before="100" w:beforeAutospacing="1" w:after="100" w:afterAutospacing="1"/>
      <w:jc w:val="left"/>
    </w:pPr>
    <w:rPr>
      <w:rFonts w:ascii="宋体" w:hAnsi="宋体"/>
      <w:kern w:val="0"/>
      <w:sz w:val="24"/>
      <w:szCs w:val="20"/>
    </w:rPr>
  </w:style>
  <w:style w:type="paragraph" w:styleId="31">
    <w:name w:val="annotation subject"/>
    <w:basedOn w:val="16"/>
    <w:next w:val="16"/>
    <w:link w:val="48"/>
    <w:semiHidden/>
    <w:qFormat/>
    <w:uiPriority w:val="0"/>
    <w:rPr>
      <w:b/>
      <w:kern w:val="2"/>
    </w:rPr>
  </w:style>
  <w:style w:type="paragraph" w:styleId="32">
    <w:name w:val="Body Text First Indent"/>
    <w:basedOn w:val="8"/>
    <w:qFormat/>
    <w:locked/>
    <w:uiPriority w:val="0"/>
    <w:pPr>
      <w:widowControl w:val="0"/>
      <w:topLinePunct/>
      <w:adjustRightInd w:val="0"/>
      <w:snapToGrid w:val="0"/>
      <w:spacing w:line="360" w:lineRule="auto"/>
      <w:ind w:firstLine="560" w:firstLineChars="200"/>
      <w:jc w:val="both"/>
    </w:pPr>
    <w:rPr>
      <w:rFonts w:ascii="仿宋_GB2312" w:hAnsi="Times New Roman" w:eastAsia="方正仿宋简体" w:cs="Times New Roman"/>
      <w:kern w:val="2"/>
      <w:sz w:val="28"/>
      <w:szCs w:val="24"/>
      <w:lang w:val="en-US" w:eastAsia="zh-CN" w:bidi="ar-SA"/>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locked/>
    <w:uiPriority w:val="0"/>
    <w:rPr>
      <w:b/>
      <w:bCs/>
    </w:rPr>
  </w:style>
  <w:style w:type="character" w:styleId="37">
    <w:name w:val="page number"/>
    <w:basedOn w:val="35"/>
    <w:qFormat/>
    <w:locked/>
    <w:uiPriority w:val="0"/>
  </w:style>
  <w:style w:type="character" w:styleId="38">
    <w:name w:val="Hyperlink"/>
    <w:basedOn w:val="35"/>
    <w:unhideWhenUsed/>
    <w:qFormat/>
    <w:locked/>
    <w:uiPriority w:val="99"/>
    <w:rPr>
      <w:color w:val="0000FF"/>
      <w:u w:val="single"/>
    </w:rPr>
  </w:style>
  <w:style w:type="character" w:styleId="39">
    <w:name w:val="annotation reference"/>
    <w:basedOn w:val="35"/>
    <w:semiHidden/>
    <w:qFormat/>
    <w:uiPriority w:val="0"/>
    <w:rPr>
      <w:sz w:val="21"/>
    </w:rPr>
  </w:style>
  <w:style w:type="paragraph" w:customStyle="1" w:styleId="40">
    <w:name w:val="正文1"/>
    <w:basedOn w:val="1"/>
    <w:next w:val="1"/>
    <w:qFormat/>
    <w:uiPriority w:val="0"/>
    <w:pPr>
      <w:snapToGrid w:val="0"/>
      <w:spacing w:line="360" w:lineRule="atLeast"/>
      <w:jc w:val="center"/>
    </w:pPr>
    <w:rPr>
      <w:kern w:val="21"/>
    </w:rPr>
  </w:style>
  <w:style w:type="paragraph" w:customStyle="1" w:styleId="41">
    <w:name w:val="Default"/>
    <w:basedOn w:val="42"/>
    <w:next w:val="43"/>
    <w:link w:val="94"/>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42">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43">
    <w:name w:val="样式35"/>
    <w:basedOn w:val="1"/>
    <w:next w:val="1"/>
    <w:qFormat/>
    <w:uiPriority w:val="0"/>
    <w:pPr>
      <w:spacing w:line="312" w:lineRule="auto"/>
      <w:ind w:firstLine="567"/>
    </w:pPr>
    <w:rPr>
      <w:rFonts w:ascii="宋体"/>
      <w:sz w:val="28"/>
    </w:rPr>
  </w:style>
  <w:style w:type="paragraph" w:customStyle="1" w:styleId="44">
    <w:name w:val="Default1"/>
    <w:basedOn w:val="1"/>
    <w:qFormat/>
    <w:uiPriority w:val="0"/>
    <w:pPr>
      <w:autoSpaceDE w:val="0"/>
      <w:autoSpaceDN w:val="0"/>
      <w:adjustRightInd w:val="0"/>
      <w:jc w:val="left"/>
    </w:pPr>
    <w:rPr>
      <w:rFonts w:ascii="宋体" w:hAnsi="Times New Roman" w:cs="宋体"/>
      <w:color w:val="000000"/>
      <w:kern w:val="0"/>
      <w:sz w:val="24"/>
      <w:szCs w:val="24"/>
    </w:rPr>
  </w:style>
  <w:style w:type="paragraph" w:customStyle="1" w:styleId="45">
    <w:name w:val="纯文本1"/>
    <w:basedOn w:val="1"/>
    <w:qFormat/>
    <w:uiPriority w:val="0"/>
    <w:pPr>
      <w:adjustRightInd w:val="0"/>
      <w:jc w:val="center"/>
      <w:textAlignment w:val="baseline"/>
    </w:pPr>
    <w:rPr>
      <w:rFonts w:ascii="宋体" w:hAnsi="Courier New"/>
      <w:sz w:val="24"/>
    </w:rPr>
  </w:style>
  <w:style w:type="paragraph" w:customStyle="1" w:styleId="46">
    <w:name w:val="xl27"/>
    <w:basedOn w:val="1"/>
    <w:qFormat/>
    <w:uiPriority w:val="0"/>
    <w:pPr>
      <w:widowControl/>
      <w:pBdr>
        <w:left w:val="single" w:color="auto" w:sz="12" w:space="0"/>
        <w:bottom w:val="single" w:color="auto" w:sz="12" w:space="0"/>
      </w:pBdr>
      <w:spacing w:before="100" w:beforeAutospacing="1" w:after="100" w:afterAutospacing="1"/>
      <w:jc w:val="left"/>
    </w:pPr>
    <w:rPr>
      <w:rFonts w:ascii="Arial Unicode MS" w:hAnsi="Arial Unicode MS"/>
      <w:kern w:val="0"/>
    </w:rPr>
  </w:style>
  <w:style w:type="paragraph" w:customStyle="1" w:styleId="47">
    <w:name w:val="li_正文"/>
    <w:basedOn w:val="1"/>
    <w:link w:val="83"/>
    <w:qFormat/>
    <w:uiPriority w:val="0"/>
    <w:pPr>
      <w:ind w:firstLine="480" w:firstLineChars="200"/>
      <w:jc w:val="left"/>
    </w:pPr>
    <w:rPr>
      <w:rFonts w:ascii="宋体" w:hAnsi="宋体"/>
      <w:color w:val="000000"/>
      <w:sz w:val="24"/>
    </w:rPr>
  </w:style>
  <w:style w:type="character" w:customStyle="1" w:styleId="48">
    <w:name w:val="批注主题 Char"/>
    <w:link w:val="31"/>
    <w:semiHidden/>
    <w:qFormat/>
    <w:locked/>
    <w:uiPriority w:val="0"/>
    <w:rPr>
      <w:rFonts w:ascii="Times New Roman" w:hAnsi="Times New Roman" w:eastAsia="宋体"/>
      <w:b/>
      <w:kern w:val="2"/>
      <w:sz w:val="24"/>
    </w:rPr>
  </w:style>
  <w:style w:type="character" w:customStyle="1" w:styleId="49">
    <w:name w:val="正文文本 Char"/>
    <w:link w:val="8"/>
    <w:qFormat/>
    <w:locked/>
    <w:uiPriority w:val="0"/>
    <w:rPr>
      <w:sz w:val="18"/>
    </w:rPr>
  </w:style>
  <w:style w:type="character" w:customStyle="1" w:styleId="50">
    <w:name w:val="表格 Char"/>
    <w:link w:val="51"/>
    <w:qFormat/>
    <w:locked/>
    <w:uiPriority w:val="0"/>
    <w:rPr>
      <w:rFonts w:ascii="Times New Roman" w:hAnsi="Times New Roman" w:eastAsia="宋体"/>
      <w:sz w:val="22"/>
    </w:rPr>
  </w:style>
  <w:style w:type="paragraph" w:customStyle="1" w:styleId="51">
    <w:name w:val="表格"/>
    <w:basedOn w:val="1"/>
    <w:next w:val="1"/>
    <w:link w:val="50"/>
    <w:qFormat/>
    <w:uiPriority w:val="0"/>
    <w:pPr>
      <w:adjustRightInd w:val="0"/>
      <w:snapToGrid w:val="0"/>
      <w:spacing w:line="240" w:lineRule="auto"/>
      <w:ind w:firstLine="0" w:firstLineChars="0"/>
      <w:jc w:val="center"/>
    </w:pPr>
    <w:rPr>
      <w:rFonts w:ascii="Times New Roman" w:hAnsi="Times New Roman" w:eastAsia="宋体"/>
      <w:kern w:val="0"/>
      <w:sz w:val="22"/>
      <w:szCs w:val="20"/>
    </w:rPr>
  </w:style>
  <w:style w:type="character" w:customStyle="1" w:styleId="52">
    <w:name w:val="正文文本 字符1"/>
    <w:semiHidden/>
    <w:qFormat/>
    <w:uiPriority w:val="0"/>
    <w:rPr>
      <w:rFonts w:ascii="Times New Roman" w:hAnsi="Times New Roman" w:eastAsia="宋体"/>
      <w:sz w:val="24"/>
    </w:rPr>
  </w:style>
  <w:style w:type="character" w:customStyle="1" w:styleId="53">
    <w:name w:val="批注文字 字符1"/>
    <w:semiHidden/>
    <w:qFormat/>
    <w:uiPriority w:val="0"/>
    <w:rPr>
      <w:rFonts w:ascii="Times New Roman" w:hAnsi="Times New Roman" w:eastAsia="宋体"/>
      <w:sz w:val="24"/>
    </w:rPr>
  </w:style>
  <w:style w:type="character" w:customStyle="1" w:styleId="54">
    <w:name w:val="页脚 Char"/>
    <w:link w:val="26"/>
    <w:qFormat/>
    <w:locked/>
    <w:uiPriority w:val="99"/>
    <w:rPr>
      <w:sz w:val="18"/>
    </w:rPr>
  </w:style>
  <w:style w:type="character" w:customStyle="1" w:styleId="55">
    <w:name w:val="日期 字符"/>
    <w:semiHidden/>
    <w:qFormat/>
    <w:uiPriority w:val="0"/>
    <w:rPr>
      <w:rFonts w:ascii="Times New Roman" w:hAnsi="Times New Roman" w:eastAsia="宋体"/>
      <w:sz w:val="24"/>
    </w:rPr>
  </w:style>
  <w:style w:type="character" w:customStyle="1" w:styleId="56">
    <w:name w:val="正文文本缩进 Char"/>
    <w:link w:val="3"/>
    <w:qFormat/>
    <w:locked/>
    <w:uiPriority w:val="0"/>
    <w:rPr>
      <w:rFonts w:ascii="Times New Roman" w:hAnsi="Times New Roman" w:eastAsia="宋体"/>
      <w:sz w:val="24"/>
    </w:rPr>
  </w:style>
  <w:style w:type="character" w:customStyle="1" w:styleId="57">
    <w:name w:val="批注框文本 Char"/>
    <w:link w:val="25"/>
    <w:semiHidden/>
    <w:qFormat/>
    <w:locked/>
    <w:uiPriority w:val="0"/>
    <w:rPr>
      <w:rFonts w:ascii="Times New Roman" w:hAnsi="Times New Roman" w:eastAsia="宋体"/>
      <w:sz w:val="18"/>
    </w:rPr>
  </w:style>
  <w:style w:type="character" w:customStyle="1" w:styleId="58">
    <w:name w:val="普通(网站) Char"/>
    <w:link w:val="30"/>
    <w:qFormat/>
    <w:locked/>
    <w:uiPriority w:val="99"/>
    <w:rPr>
      <w:rFonts w:ascii="宋体" w:hAnsi="宋体" w:eastAsia="宋体"/>
      <w:sz w:val="24"/>
    </w:rPr>
  </w:style>
  <w:style w:type="character" w:customStyle="1" w:styleId="59">
    <w:name w:val="页脚 字符"/>
    <w:basedOn w:val="35"/>
    <w:qFormat/>
    <w:uiPriority w:val="99"/>
  </w:style>
  <w:style w:type="character" w:customStyle="1" w:styleId="60">
    <w:name w:val="日期 Char"/>
    <w:link w:val="21"/>
    <w:qFormat/>
    <w:locked/>
    <w:uiPriority w:val="0"/>
    <w:rPr>
      <w:rFonts w:ascii="Times New Roman" w:hAnsi="Times New Roman" w:eastAsia="宋体"/>
      <w:sz w:val="24"/>
    </w:rPr>
  </w:style>
  <w:style w:type="character" w:customStyle="1" w:styleId="61">
    <w:name w:val="页眉 Char"/>
    <w:link w:val="6"/>
    <w:qFormat/>
    <w:locked/>
    <w:uiPriority w:val="0"/>
    <w:rPr>
      <w:sz w:val="18"/>
    </w:rPr>
  </w:style>
  <w:style w:type="character" w:customStyle="1" w:styleId="62">
    <w:name w:val="批注文字 Char"/>
    <w:link w:val="16"/>
    <w:qFormat/>
    <w:locked/>
    <w:uiPriority w:val="0"/>
    <w:rPr>
      <w:rFonts w:ascii="Times New Roman" w:hAnsi="Times New Roman" w:eastAsia="宋体"/>
      <w:sz w:val="24"/>
    </w:rPr>
  </w:style>
  <w:style w:type="paragraph" w:customStyle="1" w:styleId="63">
    <w:name w:val="表"/>
    <w:basedOn w:val="1"/>
    <w:next w:val="1"/>
    <w:qFormat/>
    <w:uiPriority w:val="0"/>
    <w:pPr>
      <w:jc w:val="center"/>
    </w:pPr>
    <w:rPr>
      <w:rFonts w:ascii="宋体" w:hAnsi="宋体"/>
      <w:szCs w:val="21"/>
    </w:rPr>
  </w:style>
  <w:style w:type="paragraph" w:customStyle="1" w:styleId="6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able Paragraph"/>
    <w:basedOn w:val="1"/>
    <w:qFormat/>
    <w:uiPriority w:val="1"/>
    <w:pPr>
      <w:jc w:val="left"/>
    </w:pPr>
    <w:rPr>
      <w:rFonts w:ascii="宋体" w:hAnsi="宋体" w:cs="宋体"/>
      <w:kern w:val="0"/>
      <w:sz w:val="22"/>
      <w:lang w:eastAsia="en-US"/>
    </w:rPr>
  </w:style>
  <w:style w:type="paragraph" w:customStyle="1" w:styleId="66">
    <w:name w:val="A表头"/>
    <w:basedOn w:val="1"/>
    <w:link w:val="91"/>
    <w:qFormat/>
    <w:uiPriority w:val="0"/>
    <w:pPr>
      <w:spacing w:line="360" w:lineRule="auto"/>
      <w:jc w:val="center"/>
    </w:pPr>
    <w:rPr>
      <w:b/>
      <w:kern w:val="0"/>
      <w:sz w:val="24"/>
      <w:szCs w:val="21"/>
    </w:rPr>
  </w:style>
  <w:style w:type="paragraph" w:customStyle="1" w:styleId="6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8">
    <w:name w:val="正文lcc"/>
    <w:basedOn w:val="1"/>
    <w:qFormat/>
    <w:uiPriority w:val="0"/>
    <w:pPr>
      <w:snapToGrid w:val="0"/>
      <w:spacing w:line="360" w:lineRule="auto"/>
      <w:ind w:firstLine="480" w:firstLineChars="200"/>
    </w:pPr>
    <w:rPr>
      <w:color w:val="000000"/>
      <w:sz w:val="24"/>
    </w:rPr>
  </w:style>
  <w:style w:type="paragraph" w:customStyle="1" w:styleId="69">
    <w:name w:val="列出段落1"/>
    <w:basedOn w:val="1"/>
    <w:qFormat/>
    <w:uiPriority w:val="34"/>
    <w:pPr>
      <w:ind w:firstLine="420" w:firstLineChars="200"/>
    </w:pPr>
    <w:rPr>
      <w:rFonts w:ascii="Calibri" w:hAnsi="Calibri"/>
      <w:szCs w:val="22"/>
    </w:rPr>
  </w:style>
  <w:style w:type="character" w:customStyle="1" w:styleId="70">
    <w:name w:val="正1 Char"/>
    <w:basedOn w:val="35"/>
    <w:link w:val="71"/>
    <w:qFormat/>
    <w:locked/>
    <w:uiPriority w:val="0"/>
    <w:rPr>
      <w:rFonts w:ascii="楷体_GB2312" w:eastAsia="楷体_GB2312"/>
      <w:kern w:val="2"/>
      <w:sz w:val="24"/>
      <w:szCs w:val="24"/>
    </w:rPr>
  </w:style>
  <w:style w:type="paragraph" w:customStyle="1" w:styleId="71">
    <w:name w:val="正1"/>
    <w:basedOn w:val="1"/>
    <w:link w:val="70"/>
    <w:qFormat/>
    <w:uiPriority w:val="0"/>
    <w:pPr>
      <w:spacing w:line="360" w:lineRule="auto"/>
      <w:ind w:firstLine="200" w:firstLineChars="200"/>
      <w:jc w:val="left"/>
    </w:pPr>
    <w:rPr>
      <w:rFonts w:ascii="楷体_GB2312" w:eastAsia="楷体_GB2312"/>
      <w:sz w:val="24"/>
    </w:rPr>
  </w:style>
  <w:style w:type="paragraph" w:customStyle="1" w:styleId="72">
    <w:name w:val="正文啦"/>
    <w:basedOn w:val="1"/>
    <w:qFormat/>
    <w:uiPriority w:val="0"/>
    <w:pPr>
      <w:spacing w:line="360" w:lineRule="auto"/>
      <w:ind w:firstLine="480" w:firstLineChars="200"/>
    </w:pPr>
    <w:rPr>
      <w:rFonts w:ascii="宋体" w:hAnsi="宋体"/>
      <w:bCs/>
      <w:sz w:val="24"/>
      <w:szCs w:val="20"/>
    </w:rPr>
  </w:style>
  <w:style w:type="paragraph" w:customStyle="1" w:styleId="73">
    <w:name w:val="正文部分"/>
    <w:basedOn w:val="1"/>
    <w:qFormat/>
    <w:uiPriority w:val="0"/>
    <w:pPr>
      <w:spacing w:line="480" w:lineRule="exact"/>
      <w:ind w:firstLine="1446" w:firstLineChars="200"/>
    </w:pPr>
    <w:rPr>
      <w:rFonts w:ascii="Calibri" w:hAnsi="Calibri"/>
      <w:sz w:val="24"/>
      <w:szCs w:val="20"/>
    </w:rPr>
  </w:style>
  <w:style w:type="character" w:customStyle="1" w:styleId="74">
    <w:name w:val="纯文本 Char"/>
    <w:basedOn w:val="35"/>
    <w:link w:val="19"/>
    <w:qFormat/>
    <w:uiPriority w:val="0"/>
    <w:rPr>
      <w:rFonts w:ascii="宋体" w:hAnsi="Courier New" w:cs="Courier New"/>
      <w:kern w:val="2"/>
      <w:sz w:val="21"/>
      <w:szCs w:val="21"/>
    </w:rPr>
  </w:style>
  <w:style w:type="character" w:customStyle="1" w:styleId="75">
    <w:name w:val="正文缩进 Char"/>
    <w:basedOn w:val="35"/>
    <w:link w:val="14"/>
    <w:qFormat/>
    <w:locked/>
    <w:uiPriority w:val="0"/>
    <w:rPr>
      <w:kern w:val="2"/>
      <w:sz w:val="21"/>
    </w:rPr>
  </w:style>
  <w:style w:type="character" w:customStyle="1" w:styleId="76">
    <w:name w:val="fontstyle01"/>
    <w:qFormat/>
    <w:uiPriority w:val="0"/>
    <w:rPr>
      <w:rFonts w:hint="eastAsia" w:ascii="宋体" w:hAnsi="宋体" w:eastAsia="宋体"/>
      <w:color w:val="000000"/>
      <w:sz w:val="24"/>
      <w:szCs w:val="24"/>
    </w:rPr>
  </w:style>
  <w:style w:type="paragraph" w:customStyle="1" w:styleId="77">
    <w:name w:val="二级标题"/>
    <w:basedOn w:val="1"/>
    <w:qFormat/>
    <w:uiPriority w:val="0"/>
    <w:pPr>
      <w:adjustRightInd w:val="0"/>
      <w:spacing w:before="120" w:after="120" w:line="400" w:lineRule="atLeast"/>
    </w:pPr>
    <w:rPr>
      <w:rFonts w:eastAsia="黑体"/>
      <w:kern w:val="0"/>
      <w:sz w:val="28"/>
      <w:szCs w:val="20"/>
    </w:rPr>
  </w:style>
  <w:style w:type="paragraph" w:customStyle="1" w:styleId="78">
    <w:name w:val="样式1"/>
    <w:basedOn w:val="1"/>
    <w:next w:val="1"/>
    <w:qFormat/>
    <w:uiPriority w:val="0"/>
    <w:pPr>
      <w:snapToGrid w:val="0"/>
      <w:spacing w:line="300" w:lineRule="auto"/>
      <w:ind w:firstLine="200" w:firstLineChars="200"/>
    </w:pPr>
    <w:rPr>
      <w:rFonts w:eastAsia="仿宋_GB2312"/>
      <w:color w:val="000000"/>
      <w:kern w:val="30"/>
      <w:sz w:val="30"/>
      <w:szCs w:val="30"/>
    </w:rPr>
  </w:style>
  <w:style w:type="paragraph" w:customStyle="1" w:styleId="79">
    <w:name w:val="表头"/>
    <w:basedOn w:val="14"/>
    <w:next w:val="1"/>
    <w:qFormat/>
    <w:uiPriority w:val="0"/>
    <w:pPr>
      <w:spacing w:line="360" w:lineRule="auto"/>
      <w:jc w:val="center"/>
    </w:pPr>
    <w:rPr>
      <w:rFonts w:ascii="黑体" w:hAnsi="宋体" w:eastAsia="黑体"/>
    </w:rPr>
  </w:style>
  <w:style w:type="paragraph" w:customStyle="1" w:styleId="80">
    <w:name w:val="标准正文文本"/>
    <w:basedOn w:val="1"/>
    <w:qFormat/>
    <w:uiPriority w:val="0"/>
    <w:pPr>
      <w:adjustRightInd w:val="0"/>
      <w:snapToGrid w:val="0"/>
      <w:spacing w:line="360" w:lineRule="auto"/>
      <w:ind w:firstLine="643" w:firstLineChars="200"/>
    </w:pPr>
    <w:rPr>
      <w:kern w:val="0"/>
      <w:sz w:val="24"/>
      <w:szCs w:val="22"/>
    </w:rPr>
  </w:style>
  <w:style w:type="paragraph" w:customStyle="1" w:styleId="81">
    <w:name w:val="表标题编号"/>
    <w:basedOn w:val="1"/>
    <w:next w:val="51"/>
    <w:qFormat/>
    <w:uiPriority w:val="0"/>
    <w:pPr>
      <w:numPr>
        <w:ilvl w:val="0"/>
        <w:numId w:val="3"/>
      </w:numPr>
      <w:tabs>
        <w:tab w:val="left" w:pos="0"/>
      </w:tabs>
      <w:adjustRightInd w:val="0"/>
      <w:snapToGrid w:val="0"/>
      <w:jc w:val="center"/>
    </w:pPr>
    <w:rPr>
      <w:sz w:val="24"/>
      <w:szCs w:val="22"/>
    </w:rPr>
  </w:style>
  <w:style w:type="paragraph" w:customStyle="1" w:styleId="82">
    <w:name w:val="表格内容"/>
    <w:basedOn w:val="8"/>
    <w:qFormat/>
    <w:uiPriority w:val="0"/>
    <w:pPr>
      <w:widowControl w:val="0"/>
      <w:adjustRightInd w:val="0"/>
      <w:spacing w:before="10" w:after="10" w:line="400" w:lineRule="exact"/>
      <w:ind w:right="0"/>
      <w:jc w:val="center"/>
    </w:pPr>
    <w:rPr>
      <w:rFonts w:ascii="宋体" w:hAnsi="宋体"/>
      <w:sz w:val="22"/>
      <w:szCs w:val="22"/>
    </w:rPr>
  </w:style>
  <w:style w:type="character" w:customStyle="1" w:styleId="83">
    <w:name w:val="li_正文 Char"/>
    <w:basedOn w:val="35"/>
    <w:link w:val="47"/>
    <w:qFormat/>
    <w:locked/>
    <w:uiPriority w:val="0"/>
    <w:rPr>
      <w:rFonts w:ascii="宋体" w:hAnsi="宋体"/>
      <w:color w:val="000000"/>
      <w:kern w:val="2"/>
      <w:sz w:val="24"/>
      <w:szCs w:val="24"/>
    </w:rPr>
  </w:style>
  <w:style w:type="paragraph" w:customStyle="1" w:styleId="84">
    <w:name w:val="表格填充1"/>
    <w:basedOn w:val="19"/>
    <w:qFormat/>
    <w:uiPriority w:val="0"/>
    <w:pPr>
      <w:snapToGrid w:val="0"/>
    </w:pPr>
    <w:rPr>
      <w:rFonts w:ascii="Times New Roman" w:hAnsi="Times New Roman" w:eastAsia="仿宋_GB2312" w:cs="Times New Roman"/>
      <w:sz w:val="28"/>
      <w:szCs w:val="20"/>
    </w:rPr>
  </w:style>
  <w:style w:type="character" w:customStyle="1" w:styleId="85">
    <w:name w:val="15"/>
    <w:basedOn w:val="35"/>
    <w:qFormat/>
    <w:uiPriority w:val="0"/>
    <w:rPr>
      <w:rFonts w:hint="eastAsia" w:ascii="宋体" w:hAnsi="宋体" w:eastAsia="宋体"/>
      <w:color w:val="000000"/>
      <w:sz w:val="32"/>
      <w:szCs w:val="32"/>
    </w:rPr>
  </w:style>
  <w:style w:type="paragraph" w:styleId="86">
    <w:name w:val="List Paragraph"/>
    <w:basedOn w:val="1"/>
    <w:qFormat/>
    <w:uiPriority w:val="99"/>
    <w:pPr>
      <w:ind w:firstLine="420" w:firstLineChars="200"/>
    </w:pPr>
    <w:rPr>
      <w:rFonts w:ascii="Calibri" w:hAnsi="Calibri" w:cs="宋体"/>
      <w:szCs w:val="21"/>
    </w:rPr>
  </w:style>
  <w:style w:type="character" w:customStyle="1" w:styleId="87">
    <w:name w:val="NormalCharacter"/>
    <w:qFormat/>
    <w:uiPriority w:val="0"/>
    <w:rPr>
      <w:kern w:val="2"/>
      <w:sz w:val="21"/>
      <w:szCs w:val="24"/>
      <w:lang w:val="en-US" w:eastAsia="zh-CN" w:bidi="ar-SA"/>
    </w:rPr>
  </w:style>
  <w:style w:type="character" w:customStyle="1" w:styleId="88">
    <w:name w:val="p0 Char Char"/>
    <w:link w:val="89"/>
    <w:qFormat/>
    <w:locked/>
    <w:uiPriority w:val="0"/>
    <w:rPr>
      <w:sz w:val="21"/>
      <w:szCs w:val="21"/>
    </w:rPr>
  </w:style>
  <w:style w:type="paragraph" w:customStyle="1" w:styleId="89">
    <w:name w:val="p0"/>
    <w:basedOn w:val="1"/>
    <w:link w:val="88"/>
    <w:qFormat/>
    <w:uiPriority w:val="0"/>
    <w:pPr>
      <w:widowControl/>
    </w:pPr>
    <w:rPr>
      <w:kern w:val="0"/>
      <w:szCs w:val="21"/>
    </w:rPr>
  </w:style>
  <w:style w:type="paragraph" w:customStyle="1" w:styleId="90">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pPr>
    <w:rPr>
      <w:rFonts w:ascii="Calibri" w:hAnsi="Calibri" w:cs="宋体"/>
      <w:sz w:val="24"/>
      <w:szCs w:val="20"/>
    </w:rPr>
  </w:style>
  <w:style w:type="character" w:customStyle="1" w:styleId="91">
    <w:name w:val="A表头 Char"/>
    <w:link w:val="66"/>
    <w:qFormat/>
    <w:locked/>
    <w:uiPriority w:val="0"/>
    <w:rPr>
      <w:b/>
      <w:sz w:val="24"/>
      <w:szCs w:val="21"/>
    </w:rPr>
  </w:style>
  <w:style w:type="character" w:customStyle="1" w:styleId="92">
    <w:name w:val="纯文本 Char1"/>
    <w:basedOn w:val="35"/>
    <w:semiHidden/>
    <w:qFormat/>
    <w:locked/>
    <w:uiPriority w:val="0"/>
    <w:rPr>
      <w:rFonts w:ascii="宋体" w:hAnsi="Courier New" w:cs="Courier New"/>
      <w:kern w:val="2"/>
      <w:sz w:val="21"/>
      <w:szCs w:val="21"/>
    </w:rPr>
  </w:style>
  <w:style w:type="paragraph" w:customStyle="1" w:styleId="93">
    <w:name w:val="君邦正文"/>
    <w:qFormat/>
    <w:uiPriority w:val="0"/>
    <w:pPr>
      <w:snapToGrid w:val="0"/>
      <w:spacing w:after="60" w:line="360" w:lineRule="auto"/>
      <w:ind w:firstLine="480" w:firstLineChars="200"/>
      <w:jc w:val="both"/>
    </w:pPr>
    <w:rPr>
      <w:rFonts w:ascii="Times New Roman" w:hAnsi="Times New Roman" w:eastAsia="宋体" w:cs="Times New Roman"/>
      <w:bCs/>
      <w:sz w:val="24"/>
      <w:szCs w:val="22"/>
      <w:lang w:val="en-US" w:eastAsia="zh-CN" w:bidi="ar-SA"/>
    </w:rPr>
  </w:style>
  <w:style w:type="character" w:customStyle="1" w:styleId="94">
    <w:name w:val="Default Char"/>
    <w:link w:val="41"/>
    <w:qFormat/>
    <w:locked/>
    <w:uiPriority w:val="99"/>
    <w:rPr>
      <w:rFonts w:ascii="宋体" w:hAnsi="Calibri"/>
      <w:color w:val="000000"/>
      <w:sz w:val="24"/>
      <w:szCs w:val="24"/>
      <w:lang w:bidi="ar-SA"/>
    </w:rPr>
  </w:style>
  <w:style w:type="character" w:customStyle="1" w:styleId="95">
    <w:name w:val="font11"/>
    <w:basedOn w:val="35"/>
    <w:qFormat/>
    <w:uiPriority w:val="0"/>
    <w:rPr>
      <w:rFonts w:hint="default" w:ascii="Times New Roman" w:hAnsi="Times New Roman" w:cs="Times New Roman"/>
      <w:color w:val="000000"/>
      <w:sz w:val="21"/>
      <w:szCs w:val="21"/>
      <w:u w:val="none"/>
      <w:vertAlign w:val="subscript"/>
    </w:rPr>
  </w:style>
  <w:style w:type="character" w:customStyle="1" w:styleId="96">
    <w:name w:val="font51"/>
    <w:qFormat/>
    <w:uiPriority w:val="0"/>
    <w:rPr>
      <w:rFonts w:hint="eastAsia" w:ascii="宋体" w:hAnsi="宋体" w:eastAsia="宋体" w:cs="宋体"/>
      <w:b/>
      <w:color w:val="000000"/>
      <w:sz w:val="21"/>
      <w:szCs w:val="21"/>
      <w:u w:val="none"/>
    </w:rPr>
  </w:style>
  <w:style w:type="paragraph" w:customStyle="1" w:styleId="97">
    <w:name w:val="HP正文"/>
    <w:basedOn w:val="1"/>
    <w:qFormat/>
    <w:uiPriority w:val="99"/>
    <w:pPr>
      <w:jc w:val="left"/>
    </w:pPr>
    <w:rPr>
      <w:szCs w:val="21"/>
    </w:rPr>
  </w:style>
  <w:style w:type="paragraph" w:customStyle="1" w:styleId="98">
    <w:name w:val="填表内容"/>
    <w:basedOn w:val="1"/>
    <w:qFormat/>
    <w:uiPriority w:val="0"/>
    <w:pPr>
      <w:adjustRightInd w:val="0"/>
      <w:spacing w:line="480" w:lineRule="exact"/>
      <w:ind w:firstLine="560" w:firstLineChars="200"/>
      <w:jc w:val="left"/>
      <w:textAlignment w:val="baseline"/>
    </w:pPr>
    <w:rPr>
      <w:rFonts w:ascii="Arial" w:eastAsia="Arial"/>
      <w:sz w:val="28"/>
      <w:szCs w:val="20"/>
    </w:rPr>
  </w:style>
  <w:style w:type="paragraph" w:customStyle="1" w:styleId="99">
    <w:name w:val="标准"/>
    <w:basedOn w:val="1"/>
    <w:qFormat/>
    <w:uiPriority w:val="0"/>
    <w:pPr>
      <w:snapToGrid w:val="0"/>
      <w:spacing w:line="240" w:lineRule="atLeast"/>
    </w:pPr>
    <w:rPr>
      <w:kern w:val="22"/>
      <w:szCs w:val="21"/>
    </w:rPr>
  </w:style>
  <w:style w:type="paragraph" w:customStyle="1" w:styleId="100">
    <w:name w:val="正文(首行缩进)"/>
    <w:basedOn w:val="1"/>
    <w:qFormat/>
    <w:uiPriority w:val="0"/>
    <w:pPr>
      <w:adjustRightInd w:val="0"/>
      <w:snapToGrid w:val="0"/>
      <w:spacing w:line="360" w:lineRule="auto"/>
      <w:ind w:firstLine="200" w:firstLineChars="200"/>
    </w:pPr>
    <w:rPr>
      <w:rFonts w:asciiTheme="minorHAnsi" w:hAnsiTheme="minorHAnsi" w:eastAsiaTheme="minorEastAsia" w:cstheme="minorBidi"/>
      <w:snapToGrid w:val="0"/>
      <w:sz w:val="24"/>
    </w:rPr>
  </w:style>
  <w:style w:type="paragraph" w:customStyle="1" w:styleId="101">
    <w:name w:val="表内容"/>
    <w:basedOn w:val="1"/>
    <w:next w:val="102"/>
    <w:qFormat/>
    <w:uiPriority w:val="0"/>
    <w:pPr>
      <w:adjustRightInd w:val="0"/>
      <w:snapToGrid w:val="0"/>
      <w:jc w:val="center"/>
    </w:pPr>
    <w:rPr>
      <w:rFonts w:asciiTheme="minorHAnsi" w:hAnsiTheme="minorHAnsi" w:eastAsiaTheme="minorEastAsia" w:cstheme="minorBidi"/>
      <w:snapToGrid w:val="0"/>
      <w:szCs w:val="21"/>
    </w:rPr>
  </w:style>
  <w:style w:type="paragraph" w:customStyle="1" w:styleId="102">
    <w:name w:val="正文内容"/>
    <w:qFormat/>
    <w:uiPriority w:val="0"/>
    <w:pPr>
      <w:widowControl w:val="0"/>
      <w:spacing w:line="312" w:lineRule="auto"/>
      <w:ind w:firstLine="480" w:firstLineChars="200"/>
      <w:jc w:val="both"/>
      <w:outlineLvl w:val="9"/>
    </w:pPr>
    <w:rPr>
      <w:rFonts w:ascii="Times New Roman" w:hAnsi="Times New Roman" w:eastAsia="宋体" w:cs="Times New Roman"/>
      <w:kern w:val="2"/>
      <w:sz w:val="24"/>
      <w:szCs w:val="24"/>
      <w:lang w:val="en-US" w:eastAsia="zh-CN" w:bidi="ar-SA"/>
    </w:rPr>
  </w:style>
  <w:style w:type="paragraph" w:customStyle="1" w:styleId="103">
    <w:name w:val="cheng正文"/>
    <w:basedOn w:val="1"/>
    <w:qFormat/>
    <w:uiPriority w:val="0"/>
    <w:pPr>
      <w:shd w:val="clear" w:color="auto" w:fill="FFFFFF"/>
      <w:adjustRightInd w:val="0"/>
      <w:snapToGrid w:val="0"/>
      <w:spacing w:line="360" w:lineRule="auto"/>
      <w:ind w:firstLine="480" w:firstLineChars="200"/>
      <w:jc w:val="left"/>
    </w:pPr>
    <w:rPr>
      <w:kern w:val="0"/>
      <w:sz w:val="24"/>
      <w:lang w:val="sq-AL"/>
    </w:rPr>
  </w:style>
  <w:style w:type="paragraph" w:customStyle="1" w:styleId="104">
    <w:name w:val="表格内文字"/>
    <w:basedOn w:val="1"/>
    <w:qFormat/>
    <w:uiPriority w:val="0"/>
    <w:pPr>
      <w:tabs>
        <w:tab w:val="left" w:pos="0"/>
      </w:tabs>
      <w:adjustRightInd w:val="0"/>
      <w:snapToGrid w:val="0"/>
      <w:jc w:val="center"/>
    </w:pPr>
    <w:rPr>
      <w:rFonts w:eastAsia="仿宋_GB2312" w:asciiTheme="minorHAnsi" w:hAnsiTheme="minorHAnsi" w:cstheme="minorBidi"/>
      <w:sz w:val="24"/>
    </w:rPr>
  </w:style>
  <w:style w:type="character" w:customStyle="1" w:styleId="105">
    <w:name w:val="文档结构图 Char"/>
    <w:basedOn w:val="35"/>
    <w:link w:val="15"/>
    <w:qFormat/>
    <w:uiPriority w:val="0"/>
    <w:rPr>
      <w:rFonts w:ascii="宋体"/>
      <w:kern w:val="2"/>
      <w:sz w:val="18"/>
      <w:szCs w:val="18"/>
    </w:rPr>
  </w:style>
  <w:style w:type="paragraph" w:customStyle="1" w:styleId="106">
    <w:name w:val="报告书表格"/>
    <w:qFormat/>
    <w:uiPriority w:val="0"/>
    <w:pPr>
      <w:widowControl w:val="0"/>
      <w:adjustRightInd w:val="0"/>
      <w:spacing w:before="60" w:after="60" w:line="240" w:lineRule="atLeast"/>
      <w:jc w:val="center"/>
      <w:textAlignment w:val="baseline"/>
    </w:pPr>
    <w:rPr>
      <w:rFonts w:ascii="Times New Roman" w:hAnsi="Times New Roman" w:eastAsia="宋体" w:cs="Times New Roman"/>
      <w:kern w:val="0"/>
      <w:sz w:val="21"/>
      <w:szCs w:val="24"/>
      <w:lang w:val="en-US" w:eastAsia="zh-CN" w:bidi="ar-SA"/>
    </w:rPr>
  </w:style>
  <w:style w:type="paragraph" w:customStyle="1" w:styleId="107">
    <w:name w:val="Other|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 w:type="paragraph" w:customStyle="1" w:styleId="108">
    <w:name w:val="正文-zl"/>
    <w:qFormat/>
    <w:uiPriority w:val="0"/>
    <w:pPr>
      <w:widowControl w:val="0"/>
      <w:spacing w:line="360" w:lineRule="auto"/>
      <w:ind w:firstLine="480" w:firstLineChars="200"/>
      <w:jc w:val="both"/>
    </w:pPr>
    <w:rPr>
      <w:rFonts w:ascii="Times New Roman" w:hAnsi="Times New Roman" w:eastAsia="宋体" w:cs="Times New Roman"/>
      <w:kern w:val="0"/>
      <w:sz w:val="24"/>
      <w:szCs w:val="24"/>
      <w:lang w:val="en-US" w:eastAsia="zh-CN" w:bidi="ar-SA"/>
    </w:rPr>
  </w:style>
  <w:style w:type="paragraph" w:customStyle="1" w:styleId="109">
    <w:name w:val="A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0"/>
      <w:sz w:val="21"/>
      <w:szCs w:val="24"/>
      <w:lang w:val="en-US" w:eastAsia="zh-CN" w:bidi="ar-SA"/>
    </w:rPr>
  </w:style>
  <w:style w:type="table" w:customStyle="1" w:styleId="110">
    <w:name w:val="Table Normal"/>
    <w:semiHidden/>
    <w:unhideWhenUsed/>
    <w:qFormat/>
    <w:uiPriority w:val="0"/>
    <w:tblPr>
      <w:tblCellMar>
        <w:top w:w="0" w:type="dxa"/>
        <w:left w:w="0" w:type="dxa"/>
        <w:bottom w:w="0" w:type="dxa"/>
        <w:right w:w="0" w:type="dxa"/>
      </w:tblCellMar>
    </w:tblPr>
  </w:style>
  <w:style w:type="paragraph" w:customStyle="1" w:styleId="111">
    <w:name w:val="表标题"/>
    <w:next w:val="102"/>
    <w:qFormat/>
    <w:uiPriority w:val="0"/>
    <w:pPr>
      <w:widowControl w:val="0"/>
      <w:spacing w:line="240" w:lineRule="auto"/>
      <w:ind w:firstLine="0" w:firstLineChars="0"/>
      <w:jc w:val="center"/>
      <w:outlineLvl w:val="9"/>
    </w:pPr>
    <w:rPr>
      <w:rFonts w:ascii="Times New Roman" w:hAnsi="Times New Roman" w:eastAsia="宋体" w:cs="Times New Roman"/>
      <w:b/>
      <w:kern w:val="2"/>
      <w:sz w:val="21"/>
      <w:szCs w:val="24"/>
      <w:lang w:val="en-US" w:eastAsia="zh-CN" w:bidi="ar-SA"/>
    </w:rPr>
  </w:style>
  <w:style w:type="paragraph" w:customStyle="1" w:styleId="112">
    <w:name w:val="表第一列"/>
    <w:qFormat/>
    <w:uiPriority w:val="0"/>
    <w:pPr>
      <w:keepNext/>
      <w:keepLines/>
      <w:widowControl w:val="0"/>
      <w:tabs>
        <w:tab w:val="left" w:pos="1727"/>
        <w:tab w:val="left" w:pos="1884"/>
        <w:tab w:val="left" w:pos="2940"/>
      </w:tabs>
      <w:topLinePunct w:val="0"/>
      <w:adjustRightInd w:val="0"/>
      <w:snapToGrid w:val="0"/>
      <w:spacing w:after="120" w:line="0" w:lineRule="atLeast"/>
      <w:ind w:firstLine="0" w:firstLineChars="200"/>
      <w:jc w:val="center"/>
    </w:pPr>
    <w:rPr>
      <w:rFonts w:ascii="宋体" w:hAnsi="Times New Roman" w:eastAsia="宋体" w:cs="Times New Roman"/>
      <w:color w:val="000000"/>
      <w:spacing w:val="-4"/>
      <w:kern w:val="2"/>
      <w:sz w:val="24"/>
      <w:szCs w:val="24"/>
      <w:lang w:val="en-US" w:eastAsia="zh-CN" w:bidi="ar-SA"/>
    </w:rPr>
  </w:style>
  <w:style w:type="paragraph" w:customStyle="1" w:styleId="113">
    <w:name w:val="Body text|1"/>
    <w:qFormat/>
    <w:uiPriority w:val="0"/>
    <w:pPr>
      <w:widowControl w:val="0"/>
      <w:spacing w:after="100"/>
      <w:jc w:val="left"/>
    </w:pPr>
    <w:rPr>
      <w:rFonts w:ascii="宋体" w:hAnsi="宋体" w:eastAsia="宋体" w:cs="宋体"/>
      <w:kern w:val="0"/>
      <w:sz w:val="22"/>
      <w:szCs w:val="22"/>
      <w:lang w:val="zh-TW" w:eastAsia="zh-TW" w:bidi="zh-TW"/>
    </w:rPr>
  </w:style>
  <w:style w:type="paragraph" w:customStyle="1" w:styleId="114">
    <w:name w:val="表格内容 张"/>
    <w:basedOn w:val="1"/>
    <w:qFormat/>
    <w:uiPriority w:val="0"/>
    <w:pPr>
      <w:adjustRightInd w:val="0"/>
      <w:snapToGrid w:val="0"/>
      <w:spacing w:line="240" w:lineRule="auto"/>
      <w:ind w:firstLine="0" w:firstLineChars="0"/>
      <w:jc w:val="center"/>
    </w:pPr>
    <w:rPr>
      <w:kern w:val="0"/>
      <w:sz w:val="21"/>
      <w:szCs w:val="20"/>
    </w:rPr>
  </w:style>
  <w:style w:type="paragraph" w:styleId="115">
    <w:name w:val="Quote"/>
    <w:basedOn w:val="1"/>
    <w:next w:val="1"/>
    <w:qFormat/>
    <w:uiPriority w:val="29"/>
    <w:pPr>
      <w:spacing w:line="240" w:lineRule="auto"/>
      <w:ind w:firstLine="0" w:firstLineChars="0"/>
      <w:jc w:val="center"/>
    </w:pPr>
    <w:rPr>
      <w:iCs/>
      <w:color w:val="404040"/>
      <w:sz w:val="24"/>
    </w:rPr>
  </w:style>
  <w:style w:type="paragraph" w:customStyle="1" w:styleId="116">
    <w:name w:val="正文小标题"/>
    <w:basedOn w:val="117"/>
    <w:qFormat/>
    <w:uiPriority w:val="0"/>
    <w:pPr>
      <w:ind w:firstLine="0" w:firstLineChars="0"/>
    </w:pPr>
    <w:rPr>
      <w:b/>
      <w:kern w:val="0"/>
      <w:szCs w:val="21"/>
    </w:rPr>
  </w:style>
  <w:style w:type="paragraph" w:customStyle="1" w:styleId="117">
    <w:name w:val="正文-文本"/>
    <w:basedOn w:val="1"/>
    <w:next w:val="2"/>
    <w:qFormat/>
    <w:uiPriority w:val="0"/>
    <w:pPr>
      <w:spacing w:line="360" w:lineRule="auto"/>
      <w:ind w:firstLine="200" w:firstLineChars="200"/>
    </w:pPr>
    <w:rPr>
      <w:sz w:val="24"/>
      <w:szCs w:val="20"/>
    </w:rPr>
  </w:style>
  <w:style w:type="paragraph" w:customStyle="1" w:styleId="118">
    <w:name w:val="图"/>
    <w:basedOn w:val="79"/>
    <w:next w:val="117"/>
    <w:qFormat/>
    <w:uiPriority w:val="99"/>
    <w:pPr>
      <w:keepNext/>
      <w:adjustRightInd/>
      <w:spacing w:line="360" w:lineRule="auto"/>
      <w:ind w:firstLine="0"/>
    </w:pPr>
    <w:rPr>
      <w:rFonts w:ascii="黑体" w:hAnsi="黑体" w:eastAsia="黑体"/>
      <w:sz w:val="24"/>
    </w:rPr>
  </w:style>
  <w:style w:type="paragraph" w:customStyle="1" w:styleId="119">
    <w:name w:val="表格样式"/>
    <w:basedOn w:val="1"/>
    <w:qFormat/>
    <w:uiPriority w:val="0"/>
    <w:pPr>
      <w:adjustRightInd w:val="0"/>
      <w:snapToGrid w:val="0"/>
      <w:spacing w:line="360" w:lineRule="exact"/>
      <w:ind w:firstLine="0" w:firstLineChars="0"/>
      <w:jc w:val="center"/>
    </w:pPr>
    <w:rPr>
      <w:color w:val="000000"/>
      <w:szCs w:val="21"/>
    </w:rPr>
  </w:style>
  <w:style w:type="paragraph" w:customStyle="1" w:styleId="120">
    <w:name w:val="目录2"/>
    <w:basedOn w:val="1"/>
    <w:qFormat/>
    <w:uiPriority w:val="0"/>
    <w:pPr>
      <w:jc w:val="left"/>
    </w:pPr>
    <w:rPr>
      <w:rFonts w:ascii="Times New Roman" w:hAnsi="Times New Roman"/>
      <w:b/>
      <w:sz w:val="24"/>
    </w:rPr>
  </w:style>
  <w:style w:type="paragraph" w:customStyle="1" w:styleId="121">
    <w:name w:val="表格头"/>
    <w:basedOn w:val="1"/>
    <w:qFormat/>
    <w:uiPriority w:val="0"/>
    <w:pPr>
      <w:adjustRightInd w:val="0"/>
      <w:snapToGrid w:val="0"/>
      <w:spacing w:line="240" w:lineRule="auto"/>
      <w:ind w:firstLine="0" w:firstLineChars="0"/>
      <w:jc w:val="center"/>
    </w:pPr>
    <w:rPr>
      <w:rFonts w:eastAsia="宋体" w:cs="Times New Roman"/>
      <w:b/>
      <w:bCs/>
      <w:szCs w:val="21"/>
    </w:rPr>
  </w:style>
  <w:style w:type="paragraph" w:customStyle="1" w:styleId="122">
    <w:name w:val="正文 首行缩进:  2 字符"/>
    <w:basedOn w:val="1"/>
    <w:semiHidden/>
    <w:qFormat/>
    <w:uiPriority w:val="0"/>
    <w:pPr>
      <w:spacing w:line="520" w:lineRule="exact"/>
      <w:ind w:firstLine="480" w:firstLineChars="200"/>
    </w:pPr>
    <w:rPr>
      <w:kern w:val="44"/>
      <w:sz w:val="24"/>
      <w:szCs w:val="20"/>
    </w:rPr>
  </w:style>
  <w:style w:type="paragraph" w:customStyle="1" w:styleId="123">
    <w:name w:val="1、正文"/>
    <w:basedOn w:val="1"/>
    <w:qFormat/>
    <w:uiPriority w:val="0"/>
    <w:pPr>
      <w:adjustRightInd w:val="0"/>
      <w:snapToGrid w:val="0"/>
      <w:ind w:firstLine="200"/>
    </w:pPr>
    <w:rPr>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38</Pages>
  <Words>23516</Words>
  <Characters>26566</Characters>
  <Lines>219</Lines>
  <Paragraphs>61</Paragraphs>
  <TotalTime>45</TotalTime>
  <ScaleCrop>false</ScaleCrop>
  <LinksUpToDate>false</LinksUpToDate>
  <CharactersWithSpaces>26708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嘉祥生态环境局许可服务科</cp:lastModifiedBy>
  <cp:lastPrinted>2024-06-06T01:19:00Z</cp:lastPrinted>
  <dcterms:modified xsi:type="dcterms:W3CDTF">2024-07-01T07:15:46Z</dcterms:modified>
  <dc:title>附件2</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CE209D0C2E2342FABBD411F637E923AB_13</vt:lpwstr>
  </property>
</Properties>
</file>